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宋体" w:eastAsia="方正小标宋简体"/>
          <w:color w:val="000000"/>
          <w:sz w:val="72"/>
          <w:szCs w:val="72"/>
        </w:rPr>
      </w:pPr>
      <w:bookmarkStart w:id="0" w:name="_Toc15306267"/>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spacing w:line="600" w:lineRule="exact"/>
        <w:jc w:val="center"/>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96597"/>
      <w:bookmarkStart w:id="2" w:name="_Toc3490"/>
      <w:bookmarkStart w:id="3" w:name="_Toc15377193"/>
      <w:bookmarkStart w:id="4" w:name="_Toc31749"/>
      <w:bookmarkStart w:id="5" w:name="_Toc6465"/>
      <w:bookmarkStart w:id="6" w:name="_Toc15378441"/>
      <w:bookmarkStart w:id="7" w:name="_Toc25540"/>
      <w:bookmarkStart w:id="8" w:name="_Toc15396475"/>
      <w:bookmarkStart w:id="9" w:name="_Toc15377425"/>
      <w:r>
        <w:rPr>
          <w:rFonts w:ascii="黑体" w:hAnsi="黑体" w:eastAsia="黑体"/>
          <w:color w:val="000000"/>
          <w:sz w:val="72"/>
          <w:szCs w:val="72"/>
        </w:rPr>
        <w:t>201</w:t>
      </w:r>
      <w:r>
        <w:rPr>
          <w:rFonts w:hint="eastAsia" w:ascii="黑体" w:hAnsi="黑体" w:eastAsia="黑体"/>
          <w:color w:val="000000"/>
          <w:sz w:val="72"/>
          <w:szCs w:val="72"/>
        </w:rPr>
        <w:t>9</w:t>
      </w:r>
      <w:r>
        <w:rPr>
          <w:rFonts w:hint="eastAsia" w:ascii="方正小标宋简体" w:hAnsi="宋体" w:eastAsia="方正小标宋简体"/>
          <w:color w:val="000000"/>
          <w:sz w:val="72"/>
          <w:szCs w:val="72"/>
        </w:rPr>
        <w:t>年度</w:t>
      </w:r>
      <w:bookmarkEnd w:id="1"/>
      <w:bookmarkEnd w:id="2"/>
      <w:bookmarkEnd w:id="3"/>
      <w:bookmarkEnd w:id="4"/>
      <w:bookmarkEnd w:id="5"/>
      <w:bookmarkEnd w:id="6"/>
      <w:bookmarkEnd w:id="7"/>
      <w:bookmarkEnd w:id="8"/>
      <w:bookmarkEnd w:id="9"/>
    </w:p>
    <w:p>
      <w:pPr>
        <w:adjustRightInd w:val="0"/>
        <w:snapToGrid w:val="0"/>
        <w:spacing w:line="360" w:lineRule="auto"/>
        <w:jc w:val="center"/>
        <w:outlineLvl w:val="0"/>
        <w:rPr>
          <w:rFonts w:ascii="方正小标宋简体" w:hAnsi="宋体" w:eastAsia="方正小标宋简体"/>
          <w:color w:val="000000"/>
          <w:sz w:val="72"/>
          <w:szCs w:val="72"/>
        </w:rPr>
      </w:pPr>
      <w:bookmarkStart w:id="10" w:name="_Toc15378442"/>
      <w:bookmarkStart w:id="11" w:name="_Toc29981"/>
      <w:bookmarkStart w:id="12" w:name="_Toc15396598"/>
      <w:bookmarkStart w:id="13" w:name="_Toc15377194"/>
      <w:bookmarkStart w:id="14" w:name="_Toc15377426"/>
      <w:bookmarkStart w:id="15" w:name="_Toc5931"/>
      <w:bookmarkStart w:id="16" w:name="_Toc20516"/>
      <w:bookmarkStart w:id="17" w:name="_Toc15396476"/>
      <w:bookmarkStart w:id="18" w:name="_Toc10042"/>
      <w:r>
        <w:rPr>
          <w:rFonts w:hint="eastAsia" w:ascii="方正小标宋简体" w:hAnsi="宋体" w:eastAsia="方正小标宋简体"/>
          <w:color w:val="000000"/>
          <w:sz w:val="72"/>
          <w:szCs w:val="72"/>
        </w:rPr>
        <w:t>四川省</w:t>
      </w:r>
      <w:bookmarkEnd w:id="0"/>
      <w:bookmarkStart w:id="19" w:name="_Toc15306268"/>
      <w:r>
        <w:rPr>
          <w:rFonts w:hint="eastAsia" w:ascii="方正小标宋简体" w:hAnsi="宋体" w:eastAsia="方正小标宋简体"/>
          <w:color w:val="000000"/>
          <w:sz w:val="72"/>
          <w:szCs w:val="72"/>
        </w:rPr>
        <w:t>乐山市金口河区残疾人联合会部门决算</w:t>
      </w:r>
      <w:bookmarkEnd w:id="10"/>
      <w:bookmarkEnd w:id="11"/>
      <w:bookmarkEnd w:id="12"/>
      <w:bookmarkEnd w:id="13"/>
      <w:bookmarkEnd w:id="14"/>
      <w:bookmarkEnd w:id="15"/>
      <w:bookmarkEnd w:id="16"/>
      <w:bookmarkEnd w:id="17"/>
      <w:bookmarkEnd w:id="18"/>
      <w:bookmarkEnd w:id="19"/>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cstheme="minorBidi"/>
          <w:sz w:val="28"/>
          <w:szCs w:val="28"/>
        </w:rPr>
      </w:pPr>
    </w:p>
    <w:p>
      <w:pPr>
        <w:pStyle w:val="6"/>
      </w:pPr>
      <w:r>
        <w:rPr>
          <w:rFonts w:hint="eastAsia"/>
        </w:rPr>
        <w:t>公开时间：2020年9月3日</w:t>
      </w:r>
    </w:p>
    <w:p>
      <w:pPr>
        <w:pStyle w:val="6"/>
        <w:tabs>
          <w:tab w:val="right" w:leader="dot" w:pos="8306"/>
          <w:tab w:val="clear" w:pos="8296"/>
        </w:tabs>
      </w:pPr>
      <w:r>
        <w:fldChar w:fldCharType="begin"/>
      </w:r>
      <w:r>
        <w:instrText xml:space="preserve">TOC \o "1-3" \f \h \u </w:instrText>
      </w:r>
      <w:r>
        <w:fldChar w:fldCharType="separate"/>
      </w:r>
    </w:p>
    <w:p>
      <w:pPr>
        <w:pStyle w:val="6"/>
        <w:tabs>
          <w:tab w:val="right" w:leader="dot" w:pos="8306"/>
          <w:tab w:val="clear" w:pos="8296"/>
        </w:tabs>
      </w:pPr>
      <w:r>
        <w:fldChar w:fldCharType="begin"/>
      </w:r>
      <w:r>
        <w:instrText xml:space="preserve"> HYPERLINK \l "_Toc30634" </w:instrText>
      </w:r>
      <w:r>
        <w:fldChar w:fldCharType="separate"/>
      </w:r>
      <w:r>
        <w:rPr>
          <w:rFonts w:hint="eastAsia" w:ascii="黑体" w:hAnsi="黑体"/>
        </w:rPr>
        <w:t>第一部分 部门概况</w:t>
      </w:r>
      <w:r>
        <w:tab/>
      </w:r>
      <w:r>
        <w:fldChar w:fldCharType="begin"/>
      </w:r>
      <w:r>
        <w:instrText xml:space="preserve"> PAGEREF _Toc30634 </w:instrText>
      </w:r>
      <w:r>
        <w:fldChar w:fldCharType="separate"/>
      </w:r>
      <w:r>
        <w:t>4</w:t>
      </w:r>
      <w:r>
        <w:fldChar w:fldCharType="end"/>
      </w:r>
      <w:r>
        <w:fldChar w:fldCharType="end"/>
      </w:r>
    </w:p>
    <w:p>
      <w:pPr>
        <w:pStyle w:val="7"/>
        <w:tabs>
          <w:tab w:val="right" w:leader="dot" w:pos="8306"/>
          <w:tab w:val="clear" w:pos="8296"/>
        </w:tabs>
        <w:rPr>
          <w:rFonts w:eastAsia="仿宋"/>
          <w:sz w:val="28"/>
        </w:rPr>
      </w:pPr>
      <w:r>
        <w:fldChar w:fldCharType="begin"/>
      </w:r>
      <w:r>
        <w:instrText xml:space="preserve"> HYPERLINK \l "_Toc4388" </w:instrText>
      </w:r>
      <w:r>
        <w:fldChar w:fldCharType="separate"/>
      </w:r>
      <w:r>
        <w:rPr>
          <w:rFonts w:hint="eastAsia" w:ascii="黑体" w:hAnsi="黑体" w:eastAsia="仿宋"/>
          <w:sz w:val="28"/>
        </w:rPr>
        <w:t>一、基本职能及主要工作</w:t>
      </w:r>
      <w:r>
        <w:rPr>
          <w:rFonts w:eastAsia="仿宋"/>
          <w:sz w:val="28"/>
        </w:rPr>
        <w:tab/>
      </w:r>
      <w:r>
        <w:rPr>
          <w:rFonts w:eastAsia="仿宋"/>
          <w:sz w:val="28"/>
        </w:rPr>
        <w:fldChar w:fldCharType="begin"/>
      </w:r>
      <w:r>
        <w:rPr>
          <w:rFonts w:eastAsia="仿宋"/>
          <w:sz w:val="28"/>
        </w:rPr>
        <w:instrText xml:space="preserve"> PAGEREF _Toc4388 </w:instrText>
      </w:r>
      <w:r>
        <w:rPr>
          <w:rFonts w:eastAsia="仿宋"/>
          <w:sz w:val="28"/>
        </w:rPr>
        <w:fldChar w:fldCharType="separate"/>
      </w:r>
      <w:r>
        <w:rPr>
          <w:rFonts w:eastAsia="仿宋"/>
          <w:sz w:val="28"/>
        </w:rPr>
        <w:t>4</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"_Toc15105" </w:instrText>
      </w:r>
      <w:r>
        <w:fldChar w:fldCharType="separate"/>
      </w:r>
      <w:r>
        <w:rPr>
          <w:rFonts w:hint="eastAsia" w:ascii="黑体" w:eastAsia="仿宋"/>
          <w:sz w:val="28"/>
        </w:rPr>
        <w:t>二、</w:t>
      </w:r>
      <w:r>
        <w:rPr>
          <w:rFonts w:hint="eastAsia" w:ascii="黑体" w:hAnsi="黑体" w:eastAsia="仿宋"/>
          <w:sz w:val="28"/>
        </w:rPr>
        <w:t>机构设置</w:t>
      </w:r>
      <w:r>
        <w:rPr>
          <w:rFonts w:eastAsia="仿宋"/>
          <w:sz w:val="28"/>
        </w:rPr>
        <w:tab/>
      </w:r>
      <w:r>
        <w:rPr>
          <w:rFonts w:eastAsia="仿宋"/>
          <w:sz w:val="28"/>
        </w:rPr>
        <w:fldChar w:fldCharType="begin"/>
      </w:r>
      <w:r>
        <w:rPr>
          <w:rFonts w:eastAsia="仿宋"/>
          <w:sz w:val="28"/>
        </w:rPr>
        <w:instrText xml:space="preserve"> PAGEREF _Toc15105 </w:instrText>
      </w:r>
      <w:r>
        <w:rPr>
          <w:rFonts w:eastAsia="仿宋"/>
          <w:sz w:val="28"/>
        </w:rPr>
        <w:fldChar w:fldCharType="separate"/>
      </w:r>
      <w:r>
        <w:rPr>
          <w:rFonts w:eastAsia="仿宋"/>
          <w:sz w:val="28"/>
        </w:rPr>
        <w:t>6</w:t>
      </w:r>
      <w:r>
        <w:rPr>
          <w:rFonts w:eastAsia="仿宋"/>
          <w:sz w:val="28"/>
        </w:rPr>
        <w:fldChar w:fldCharType="end"/>
      </w:r>
      <w:r>
        <w:rPr>
          <w:rFonts w:eastAsia="仿宋"/>
          <w:sz w:val="28"/>
        </w:rPr>
        <w:fldChar w:fldCharType="end"/>
      </w:r>
    </w:p>
    <w:p>
      <w:pPr>
        <w:pStyle w:val="6"/>
        <w:tabs>
          <w:tab w:val="right" w:leader="dot" w:pos="8306"/>
          <w:tab w:val="clear" w:pos="8296"/>
        </w:tabs>
      </w:pPr>
      <w:r>
        <w:fldChar w:fldCharType="begin"/>
      </w:r>
      <w:r>
        <w:instrText xml:space="preserve"> HYPERLINK \l "_Toc7714" </w:instrText>
      </w:r>
      <w:r>
        <w:fldChar w:fldCharType="separate"/>
      </w:r>
      <w:r>
        <w:rPr>
          <w:rFonts w:hint="eastAsia" w:ascii="黑体" w:hAnsi="黑体"/>
        </w:rPr>
        <w:t>第二部分 2019年度部门决算情况说明</w:t>
      </w:r>
      <w:r>
        <w:tab/>
      </w:r>
      <w:r>
        <w:fldChar w:fldCharType="begin"/>
      </w:r>
      <w:r>
        <w:instrText xml:space="preserve"> PAGEREF _Toc7714 </w:instrText>
      </w:r>
      <w:r>
        <w:fldChar w:fldCharType="separate"/>
      </w:r>
      <w:r>
        <w:t>7</w:t>
      </w:r>
      <w:r>
        <w:fldChar w:fldCharType="end"/>
      </w:r>
      <w:r>
        <w:fldChar w:fldCharType="end"/>
      </w:r>
    </w:p>
    <w:p>
      <w:pPr>
        <w:pStyle w:val="7"/>
        <w:tabs>
          <w:tab w:val="right" w:leader="dot" w:pos="8306"/>
          <w:tab w:val="clear" w:pos="8296"/>
        </w:tabs>
        <w:rPr>
          <w:rFonts w:eastAsia="仿宋"/>
          <w:sz w:val="28"/>
        </w:rPr>
      </w:pPr>
      <w:r>
        <w:fldChar w:fldCharType="begin"/>
      </w:r>
      <w:r>
        <w:instrText xml:space="preserve"> HYPERLINK \l "_Toc30998" </w:instrText>
      </w:r>
      <w:r>
        <w:fldChar w:fldCharType="separate"/>
      </w:r>
      <w:r>
        <w:rPr>
          <w:rFonts w:ascii="黑体" w:hAnsi="黑体" w:eastAsia="仿宋"/>
          <w:sz w:val="28"/>
        </w:rPr>
        <w:t xml:space="preserve">一、 </w:t>
      </w:r>
      <w:r>
        <w:rPr>
          <w:rFonts w:hint="eastAsia" w:ascii="黑体" w:hAnsi="黑体" w:eastAsia="仿宋"/>
          <w:sz w:val="28"/>
          <w:szCs w:val="32"/>
        </w:rPr>
        <w:t>收</w:t>
      </w:r>
      <w:r>
        <w:rPr>
          <w:rFonts w:hint="eastAsia" w:ascii="黑体" w:hAnsi="黑体" w:eastAsia="仿宋"/>
          <w:sz w:val="28"/>
        </w:rPr>
        <w:t>入支出决算总体情况说明</w:t>
      </w:r>
      <w:r>
        <w:rPr>
          <w:rFonts w:eastAsia="仿宋"/>
          <w:sz w:val="28"/>
        </w:rPr>
        <w:tab/>
      </w:r>
      <w:r>
        <w:rPr>
          <w:rFonts w:eastAsia="仿宋"/>
          <w:sz w:val="28"/>
        </w:rPr>
        <w:fldChar w:fldCharType="begin"/>
      </w:r>
      <w:r>
        <w:rPr>
          <w:rFonts w:eastAsia="仿宋"/>
          <w:sz w:val="28"/>
        </w:rPr>
        <w:instrText xml:space="preserve"> PAGEREF _Toc30998 </w:instrText>
      </w:r>
      <w:r>
        <w:rPr>
          <w:rFonts w:eastAsia="仿宋"/>
          <w:sz w:val="28"/>
        </w:rPr>
        <w:fldChar w:fldCharType="separate"/>
      </w:r>
      <w:r>
        <w:rPr>
          <w:rFonts w:eastAsia="仿宋"/>
          <w:sz w:val="28"/>
        </w:rPr>
        <w:t>7</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"_Toc15839" </w:instrText>
      </w:r>
      <w:r>
        <w:fldChar w:fldCharType="separate"/>
      </w:r>
      <w:r>
        <w:rPr>
          <w:rFonts w:ascii="黑体" w:hAnsi="黑体" w:eastAsia="仿宋"/>
          <w:sz w:val="28"/>
        </w:rPr>
        <w:t xml:space="preserve">二、 </w:t>
      </w:r>
      <w:r>
        <w:rPr>
          <w:rFonts w:hint="eastAsia" w:ascii="黑体" w:hAnsi="黑体" w:eastAsia="仿宋"/>
          <w:sz w:val="28"/>
          <w:szCs w:val="32"/>
        </w:rPr>
        <w:t>收</w:t>
      </w:r>
      <w:r>
        <w:rPr>
          <w:rFonts w:hint="eastAsia" w:ascii="黑体" w:hAnsi="黑体" w:eastAsia="仿宋"/>
          <w:sz w:val="28"/>
        </w:rPr>
        <w:t>入决算情况说明</w:t>
      </w:r>
      <w:r>
        <w:rPr>
          <w:rFonts w:eastAsia="仿宋"/>
          <w:sz w:val="28"/>
        </w:rPr>
        <w:tab/>
      </w:r>
      <w:r>
        <w:rPr>
          <w:rFonts w:eastAsia="仿宋"/>
          <w:sz w:val="28"/>
        </w:rPr>
        <w:fldChar w:fldCharType="begin"/>
      </w:r>
      <w:r>
        <w:rPr>
          <w:rFonts w:eastAsia="仿宋"/>
          <w:sz w:val="28"/>
        </w:rPr>
        <w:instrText xml:space="preserve"> PAGEREF _Toc15839 </w:instrText>
      </w:r>
      <w:r>
        <w:rPr>
          <w:rFonts w:eastAsia="仿宋"/>
          <w:sz w:val="28"/>
        </w:rPr>
        <w:fldChar w:fldCharType="separate"/>
      </w:r>
      <w:r>
        <w:rPr>
          <w:rFonts w:eastAsia="仿宋"/>
          <w:sz w:val="28"/>
        </w:rPr>
        <w:t>7</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"_Toc24511" </w:instrText>
      </w:r>
      <w:r>
        <w:fldChar w:fldCharType="separate"/>
      </w:r>
      <w:r>
        <w:rPr>
          <w:rFonts w:ascii="黑体" w:hAnsi="黑体" w:eastAsia="仿宋"/>
          <w:sz w:val="28"/>
        </w:rPr>
        <w:t xml:space="preserve">三、 </w:t>
      </w:r>
      <w:r>
        <w:rPr>
          <w:rFonts w:hint="eastAsia" w:ascii="黑体" w:hAnsi="黑体" w:eastAsia="仿宋"/>
          <w:sz w:val="28"/>
          <w:szCs w:val="32"/>
        </w:rPr>
        <w:t>支</w:t>
      </w:r>
      <w:r>
        <w:rPr>
          <w:rFonts w:hint="eastAsia" w:ascii="黑体" w:hAnsi="黑体" w:eastAsia="仿宋"/>
          <w:sz w:val="28"/>
        </w:rPr>
        <w:t>出决算情况说明</w:t>
      </w:r>
      <w:r>
        <w:rPr>
          <w:rFonts w:eastAsia="仿宋"/>
          <w:sz w:val="28"/>
        </w:rPr>
        <w:tab/>
      </w:r>
      <w:r>
        <w:rPr>
          <w:rFonts w:eastAsia="仿宋"/>
          <w:sz w:val="28"/>
        </w:rPr>
        <w:fldChar w:fldCharType="begin"/>
      </w:r>
      <w:r>
        <w:rPr>
          <w:rFonts w:eastAsia="仿宋"/>
          <w:sz w:val="28"/>
        </w:rPr>
        <w:instrText xml:space="preserve"> PAGEREF _Toc24511 </w:instrText>
      </w:r>
      <w:r>
        <w:rPr>
          <w:rFonts w:eastAsia="仿宋"/>
          <w:sz w:val="28"/>
        </w:rPr>
        <w:fldChar w:fldCharType="separate"/>
      </w:r>
      <w:r>
        <w:rPr>
          <w:rFonts w:eastAsia="仿宋"/>
          <w:sz w:val="28"/>
        </w:rPr>
        <w:t>8</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"_Toc31575" </w:instrText>
      </w:r>
      <w:r>
        <w:fldChar w:fldCharType="separate"/>
      </w:r>
      <w:r>
        <w:rPr>
          <w:rFonts w:hint="eastAsia" w:ascii="黑体" w:hAnsi="黑体" w:eastAsia="仿宋"/>
          <w:sz w:val="28"/>
          <w:szCs w:val="32"/>
        </w:rPr>
        <w:t>四、财</w:t>
      </w:r>
      <w:r>
        <w:rPr>
          <w:rFonts w:hint="eastAsia" w:ascii="黑体" w:hAnsi="黑体" w:eastAsia="仿宋"/>
          <w:sz w:val="28"/>
        </w:rPr>
        <w:t>政拨款收入支出决算总体情况说明</w:t>
      </w:r>
      <w:r>
        <w:rPr>
          <w:rFonts w:eastAsia="仿宋"/>
          <w:sz w:val="28"/>
        </w:rPr>
        <w:tab/>
      </w:r>
      <w:r>
        <w:rPr>
          <w:rFonts w:eastAsia="仿宋"/>
          <w:sz w:val="28"/>
        </w:rPr>
        <w:fldChar w:fldCharType="begin"/>
      </w:r>
      <w:r>
        <w:rPr>
          <w:rFonts w:eastAsia="仿宋"/>
          <w:sz w:val="28"/>
        </w:rPr>
        <w:instrText xml:space="preserve"> PAGEREF _Toc31575 </w:instrText>
      </w:r>
      <w:r>
        <w:rPr>
          <w:rFonts w:eastAsia="仿宋"/>
          <w:sz w:val="28"/>
        </w:rPr>
        <w:fldChar w:fldCharType="separate"/>
      </w:r>
      <w:r>
        <w:rPr>
          <w:rFonts w:eastAsia="仿宋"/>
          <w:sz w:val="28"/>
        </w:rPr>
        <w:t>9</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"_Toc21007" </w:instrText>
      </w:r>
      <w:r>
        <w:fldChar w:fldCharType="separate"/>
      </w:r>
      <w:r>
        <w:rPr>
          <w:rFonts w:hint="eastAsia" w:ascii="黑体" w:hAnsi="黑体" w:eastAsia="仿宋"/>
          <w:sz w:val="28"/>
          <w:szCs w:val="32"/>
        </w:rPr>
        <w:t>五、一</w:t>
      </w:r>
      <w:r>
        <w:rPr>
          <w:rFonts w:hint="eastAsia" w:ascii="黑体" w:hAnsi="黑体" w:eastAsia="仿宋"/>
          <w:sz w:val="28"/>
        </w:rPr>
        <w:t>般公共预算财政拨款支出决算情况说明</w:t>
      </w:r>
      <w:r>
        <w:rPr>
          <w:rFonts w:eastAsia="仿宋"/>
          <w:sz w:val="28"/>
        </w:rPr>
        <w:tab/>
      </w:r>
      <w:r>
        <w:rPr>
          <w:rFonts w:eastAsia="仿宋"/>
          <w:sz w:val="28"/>
        </w:rPr>
        <w:fldChar w:fldCharType="begin"/>
      </w:r>
      <w:r>
        <w:rPr>
          <w:rFonts w:eastAsia="仿宋"/>
          <w:sz w:val="28"/>
        </w:rPr>
        <w:instrText xml:space="preserve"> PAGEREF _Toc21007 </w:instrText>
      </w:r>
      <w:r>
        <w:rPr>
          <w:rFonts w:eastAsia="仿宋"/>
          <w:sz w:val="28"/>
        </w:rPr>
        <w:fldChar w:fldCharType="separate"/>
      </w:r>
      <w:r>
        <w:rPr>
          <w:rFonts w:eastAsia="仿宋"/>
          <w:sz w:val="28"/>
        </w:rPr>
        <w:t>9</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"_Toc30050" </w:instrText>
      </w:r>
      <w:r>
        <w:fldChar w:fldCharType="separate"/>
      </w:r>
      <w:r>
        <w:rPr>
          <w:rFonts w:hint="eastAsia" w:ascii="黑体" w:eastAsia="仿宋"/>
          <w:sz w:val="28"/>
          <w:szCs w:val="32"/>
        </w:rPr>
        <w:t>六、</w:t>
      </w:r>
      <w:r>
        <w:rPr>
          <w:rFonts w:hint="eastAsia" w:ascii="黑体" w:hAnsi="黑体" w:eastAsia="仿宋"/>
          <w:sz w:val="28"/>
          <w:szCs w:val="32"/>
        </w:rPr>
        <w:t>一</w:t>
      </w:r>
      <w:r>
        <w:rPr>
          <w:rFonts w:hint="eastAsia" w:ascii="黑体" w:hAnsi="黑体" w:eastAsia="仿宋"/>
          <w:sz w:val="28"/>
        </w:rPr>
        <w:t>般公共预算财政拨款基本支出决算情况说明</w:t>
      </w:r>
      <w:r>
        <w:rPr>
          <w:rFonts w:eastAsia="仿宋"/>
          <w:sz w:val="28"/>
        </w:rPr>
        <w:tab/>
      </w:r>
      <w:r>
        <w:rPr>
          <w:rFonts w:eastAsia="仿宋"/>
          <w:sz w:val="28"/>
        </w:rPr>
        <w:fldChar w:fldCharType="begin"/>
      </w:r>
      <w:r>
        <w:rPr>
          <w:rFonts w:eastAsia="仿宋"/>
          <w:sz w:val="28"/>
        </w:rPr>
        <w:instrText xml:space="preserve"> PAGEREF _Toc30050 </w:instrText>
      </w:r>
      <w:r>
        <w:rPr>
          <w:rFonts w:eastAsia="仿宋"/>
          <w:sz w:val="28"/>
        </w:rPr>
        <w:fldChar w:fldCharType="separate"/>
      </w:r>
      <w:r>
        <w:rPr>
          <w:rFonts w:eastAsia="仿宋"/>
          <w:sz w:val="28"/>
        </w:rPr>
        <w:t>12</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"_Toc23079" </w:instrText>
      </w:r>
      <w:r>
        <w:fldChar w:fldCharType="separate"/>
      </w:r>
      <w:r>
        <w:rPr>
          <w:rFonts w:hint="eastAsia" w:ascii="黑体" w:eastAsia="仿宋"/>
          <w:sz w:val="28"/>
          <w:szCs w:val="32"/>
        </w:rPr>
        <w:t>七、</w:t>
      </w:r>
      <w:r>
        <w:rPr>
          <w:rFonts w:hint="eastAsia" w:ascii="黑体" w:hAnsi="黑体" w:eastAsia="仿宋"/>
          <w:sz w:val="28"/>
        </w:rPr>
        <w:t>“三公”经费财政拨款支出决算情况说明</w:t>
      </w:r>
      <w:r>
        <w:rPr>
          <w:rFonts w:eastAsia="仿宋"/>
          <w:sz w:val="28"/>
        </w:rPr>
        <w:tab/>
      </w:r>
      <w:r>
        <w:rPr>
          <w:rFonts w:eastAsia="仿宋"/>
          <w:sz w:val="28"/>
        </w:rPr>
        <w:fldChar w:fldCharType="begin"/>
      </w:r>
      <w:r>
        <w:rPr>
          <w:rFonts w:eastAsia="仿宋"/>
          <w:sz w:val="28"/>
        </w:rPr>
        <w:instrText xml:space="preserve"> PAGEREF _Toc23079 </w:instrText>
      </w:r>
      <w:r>
        <w:rPr>
          <w:rFonts w:eastAsia="仿宋"/>
          <w:sz w:val="28"/>
        </w:rPr>
        <w:fldChar w:fldCharType="separate"/>
      </w:r>
      <w:r>
        <w:rPr>
          <w:rFonts w:eastAsia="仿宋"/>
          <w:sz w:val="28"/>
        </w:rPr>
        <w:t>12</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"_Toc28004" </w:instrText>
      </w:r>
      <w:r>
        <w:fldChar w:fldCharType="separate"/>
      </w:r>
      <w:r>
        <w:rPr>
          <w:rFonts w:hint="eastAsia" w:ascii="黑体" w:eastAsia="仿宋"/>
          <w:sz w:val="28"/>
          <w:szCs w:val="32"/>
        </w:rPr>
        <w:t>八、</w:t>
      </w:r>
      <w:r>
        <w:rPr>
          <w:rFonts w:hint="eastAsia" w:ascii="黑体" w:hAnsi="黑体" w:eastAsia="仿宋"/>
          <w:sz w:val="28"/>
        </w:rPr>
        <w:t>政府性基金预算支出决算情况说明</w:t>
      </w:r>
      <w:r>
        <w:rPr>
          <w:rFonts w:eastAsia="仿宋"/>
          <w:sz w:val="28"/>
        </w:rPr>
        <w:tab/>
      </w:r>
      <w:r>
        <w:rPr>
          <w:rFonts w:eastAsia="仿宋"/>
          <w:sz w:val="28"/>
        </w:rPr>
        <w:fldChar w:fldCharType="begin"/>
      </w:r>
      <w:r>
        <w:rPr>
          <w:rFonts w:eastAsia="仿宋"/>
          <w:sz w:val="28"/>
        </w:rPr>
        <w:instrText xml:space="preserve"> PAGEREF _Toc28004 </w:instrText>
      </w:r>
      <w:r>
        <w:rPr>
          <w:rFonts w:eastAsia="仿宋"/>
          <w:sz w:val="28"/>
        </w:rPr>
        <w:fldChar w:fldCharType="separate"/>
      </w:r>
      <w:r>
        <w:rPr>
          <w:rFonts w:eastAsia="仿宋"/>
          <w:sz w:val="28"/>
        </w:rPr>
        <w:t>14</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"_Toc19493" </w:instrText>
      </w:r>
      <w:r>
        <w:fldChar w:fldCharType="separate"/>
      </w:r>
      <w:r>
        <w:rPr>
          <w:rFonts w:hint="eastAsia" w:ascii="黑体" w:hAnsi="黑体" w:eastAsia="仿宋"/>
          <w:sz w:val="28"/>
        </w:rPr>
        <w:t>九、 国有资本经营预算支出决算情况说明</w:t>
      </w:r>
      <w:r>
        <w:rPr>
          <w:rFonts w:eastAsia="仿宋"/>
          <w:sz w:val="28"/>
        </w:rPr>
        <w:tab/>
      </w:r>
      <w:r>
        <w:rPr>
          <w:rFonts w:eastAsia="仿宋"/>
          <w:sz w:val="28"/>
        </w:rPr>
        <w:fldChar w:fldCharType="begin"/>
      </w:r>
      <w:r>
        <w:rPr>
          <w:rFonts w:eastAsia="仿宋"/>
          <w:sz w:val="28"/>
        </w:rPr>
        <w:instrText xml:space="preserve"> PAGEREF _Toc19493 </w:instrText>
      </w:r>
      <w:r>
        <w:rPr>
          <w:rFonts w:eastAsia="仿宋"/>
          <w:sz w:val="28"/>
        </w:rPr>
        <w:fldChar w:fldCharType="separate"/>
      </w:r>
      <w:r>
        <w:rPr>
          <w:rFonts w:eastAsia="仿宋"/>
          <w:sz w:val="28"/>
        </w:rPr>
        <w:t>14</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"_Toc24378" </w:instrText>
      </w:r>
      <w:r>
        <w:fldChar w:fldCharType="separate"/>
      </w:r>
      <w:r>
        <w:rPr>
          <w:rFonts w:hint="eastAsia" w:ascii="黑体" w:hAnsi="黑体" w:eastAsia="仿宋"/>
          <w:sz w:val="28"/>
          <w:szCs w:val="32"/>
        </w:rPr>
        <w:t>十</w:t>
      </w:r>
      <w:r>
        <w:rPr>
          <w:rFonts w:hint="eastAsia" w:ascii="黑体" w:hAnsi="黑体" w:eastAsia="仿宋"/>
          <w:sz w:val="28"/>
        </w:rPr>
        <w:t>、其他重要事项的情况说明</w:t>
      </w:r>
      <w:r>
        <w:rPr>
          <w:rFonts w:eastAsia="仿宋"/>
          <w:sz w:val="28"/>
        </w:rPr>
        <w:tab/>
      </w:r>
      <w:r>
        <w:rPr>
          <w:rFonts w:eastAsia="仿宋"/>
          <w:sz w:val="28"/>
        </w:rPr>
        <w:fldChar w:fldCharType="begin"/>
      </w:r>
      <w:r>
        <w:rPr>
          <w:rFonts w:eastAsia="仿宋"/>
          <w:sz w:val="28"/>
        </w:rPr>
        <w:instrText xml:space="preserve"> PAGEREF _Toc24378 </w:instrText>
      </w:r>
      <w:r>
        <w:rPr>
          <w:rFonts w:eastAsia="仿宋"/>
          <w:sz w:val="28"/>
        </w:rPr>
        <w:fldChar w:fldCharType="separate"/>
      </w:r>
      <w:r>
        <w:rPr>
          <w:rFonts w:eastAsia="仿宋"/>
          <w:sz w:val="28"/>
        </w:rPr>
        <w:t>14</w:t>
      </w:r>
      <w:r>
        <w:rPr>
          <w:rFonts w:eastAsia="仿宋"/>
          <w:sz w:val="28"/>
        </w:rPr>
        <w:fldChar w:fldCharType="end"/>
      </w:r>
      <w:r>
        <w:rPr>
          <w:rFonts w:eastAsia="仿宋"/>
          <w:sz w:val="28"/>
        </w:rPr>
        <w:fldChar w:fldCharType="end"/>
      </w:r>
    </w:p>
    <w:p>
      <w:pPr>
        <w:pStyle w:val="6"/>
        <w:tabs>
          <w:tab w:val="right" w:leader="dot" w:pos="8306"/>
          <w:tab w:val="clear" w:pos="8296"/>
        </w:tabs>
      </w:pPr>
      <w:r>
        <w:fldChar w:fldCharType="begin"/>
      </w:r>
      <w:r>
        <w:instrText xml:space="preserve"> HYPERLINK \l "_Toc7306" </w:instrText>
      </w:r>
      <w:r>
        <w:fldChar w:fldCharType="separate"/>
      </w:r>
      <w:r>
        <w:rPr>
          <w:rFonts w:hint="eastAsia" w:ascii="黑体" w:hAnsi="黑体"/>
        </w:rPr>
        <w:t xml:space="preserve">第三部分 </w:t>
      </w:r>
      <w:r>
        <w:rPr>
          <w:rFonts w:hint="eastAsia" w:ascii="黑体" w:hAnsi="黑体"/>
          <w:szCs w:val="44"/>
        </w:rPr>
        <w:t>名</w:t>
      </w:r>
      <w:r>
        <w:rPr>
          <w:rFonts w:hint="eastAsia" w:ascii="黑体" w:hAnsi="黑体"/>
        </w:rPr>
        <w:t>词解释</w:t>
      </w:r>
      <w:r>
        <w:tab/>
      </w:r>
      <w:r>
        <w:fldChar w:fldCharType="begin"/>
      </w:r>
      <w:r>
        <w:instrText xml:space="preserve"> PAGEREF _Toc7306 </w:instrText>
      </w:r>
      <w:r>
        <w:fldChar w:fldCharType="separate"/>
      </w:r>
      <w:r>
        <w:t>20</w:t>
      </w:r>
      <w:r>
        <w:fldChar w:fldCharType="end"/>
      </w:r>
      <w:r>
        <w:fldChar w:fldCharType="end"/>
      </w:r>
    </w:p>
    <w:p>
      <w:pPr>
        <w:pStyle w:val="6"/>
        <w:tabs>
          <w:tab w:val="right" w:leader="dot" w:pos="8306"/>
          <w:tab w:val="clear" w:pos="8296"/>
        </w:tabs>
      </w:pPr>
      <w:r>
        <w:fldChar w:fldCharType="begin"/>
      </w:r>
      <w:r>
        <w:instrText xml:space="preserve"> HYPERLINK \l "_Toc17258" </w:instrText>
      </w:r>
      <w:r>
        <w:fldChar w:fldCharType="separate"/>
      </w:r>
      <w:r>
        <w:rPr>
          <w:rFonts w:hint="eastAsia" w:ascii="黑体" w:hAnsi="黑体"/>
          <w:szCs w:val="44"/>
        </w:rPr>
        <w:t>第</w:t>
      </w:r>
      <w:r>
        <w:rPr>
          <w:rFonts w:hint="eastAsia" w:ascii="黑体" w:hAnsi="黑体"/>
        </w:rPr>
        <w:t>四部分 附件</w:t>
      </w:r>
      <w:r>
        <w:tab/>
      </w:r>
      <w:r>
        <w:fldChar w:fldCharType="begin"/>
      </w:r>
      <w:r>
        <w:instrText xml:space="preserve"> PAGEREF _Toc17258 </w:instrText>
      </w:r>
      <w:r>
        <w:fldChar w:fldCharType="separate"/>
      </w:r>
      <w:r>
        <w:t>24</w:t>
      </w:r>
      <w:r>
        <w:fldChar w:fldCharType="end"/>
      </w:r>
      <w:r>
        <w:fldChar w:fldCharType="end"/>
      </w:r>
    </w:p>
    <w:p>
      <w:pPr>
        <w:pStyle w:val="7"/>
        <w:tabs>
          <w:tab w:val="right" w:leader="dot" w:pos="8306"/>
          <w:tab w:val="clear" w:pos="8296"/>
        </w:tabs>
        <w:rPr>
          <w:rFonts w:eastAsia="仿宋"/>
          <w:sz w:val="28"/>
        </w:rPr>
      </w:pPr>
      <w:r>
        <w:fldChar w:fldCharType="begin"/>
      </w:r>
      <w:r>
        <w:instrText xml:space="preserve"> HYPERLINK \l "_Toc29969" </w:instrText>
      </w:r>
      <w:r>
        <w:fldChar w:fldCharType="separate"/>
      </w:r>
      <w:r>
        <w:rPr>
          <w:rFonts w:hint="eastAsia" w:eastAsia="仿宋"/>
          <w:sz w:val="28"/>
        </w:rPr>
        <w:t>附件1</w:t>
      </w:r>
      <w:r>
        <w:rPr>
          <w:rFonts w:eastAsia="仿宋"/>
          <w:sz w:val="28"/>
        </w:rPr>
        <w:tab/>
      </w:r>
      <w:r>
        <w:rPr>
          <w:rFonts w:eastAsia="仿宋"/>
          <w:sz w:val="28"/>
        </w:rPr>
        <w:fldChar w:fldCharType="begin"/>
      </w:r>
      <w:r>
        <w:rPr>
          <w:rFonts w:eastAsia="仿宋"/>
          <w:sz w:val="28"/>
        </w:rPr>
        <w:instrText xml:space="preserve"> PAGEREF _Toc29969 </w:instrText>
      </w:r>
      <w:r>
        <w:rPr>
          <w:rFonts w:eastAsia="仿宋"/>
          <w:sz w:val="28"/>
        </w:rPr>
        <w:fldChar w:fldCharType="separate"/>
      </w:r>
      <w:r>
        <w:rPr>
          <w:rFonts w:eastAsia="仿宋"/>
          <w:sz w:val="28"/>
        </w:rPr>
        <w:t>24</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"_Toc10742" </w:instrText>
      </w:r>
      <w:r>
        <w:fldChar w:fldCharType="separate"/>
      </w:r>
      <w:r>
        <w:rPr>
          <w:rFonts w:hint="eastAsia" w:eastAsia="仿宋"/>
          <w:sz w:val="28"/>
        </w:rPr>
        <w:t>附件2</w:t>
      </w:r>
      <w:r>
        <w:rPr>
          <w:rFonts w:eastAsia="仿宋"/>
          <w:sz w:val="28"/>
        </w:rPr>
        <w:tab/>
      </w:r>
      <w:r>
        <w:rPr>
          <w:rFonts w:eastAsia="仿宋"/>
          <w:sz w:val="28"/>
        </w:rPr>
        <w:fldChar w:fldCharType="begin"/>
      </w:r>
      <w:r>
        <w:rPr>
          <w:rFonts w:eastAsia="仿宋"/>
          <w:sz w:val="28"/>
        </w:rPr>
        <w:instrText xml:space="preserve"> PAGEREF _Toc10742 </w:instrText>
      </w:r>
      <w:r>
        <w:rPr>
          <w:rFonts w:eastAsia="仿宋"/>
          <w:sz w:val="28"/>
        </w:rPr>
        <w:fldChar w:fldCharType="separate"/>
      </w:r>
      <w:r>
        <w:rPr>
          <w:rFonts w:eastAsia="仿宋"/>
          <w:sz w:val="28"/>
        </w:rPr>
        <w:t>28</w:t>
      </w:r>
      <w:r>
        <w:rPr>
          <w:rFonts w:eastAsia="仿宋"/>
          <w:sz w:val="28"/>
        </w:rPr>
        <w:fldChar w:fldCharType="end"/>
      </w:r>
      <w:r>
        <w:rPr>
          <w:rFonts w:eastAsia="仿宋"/>
          <w:sz w:val="28"/>
        </w:rPr>
        <w:fldChar w:fldCharType="end"/>
      </w:r>
    </w:p>
    <w:p>
      <w:pPr>
        <w:pStyle w:val="6"/>
        <w:tabs>
          <w:tab w:val="right" w:leader="dot" w:pos="8306"/>
          <w:tab w:val="clear" w:pos="8296"/>
        </w:tabs>
      </w:pPr>
      <w:r>
        <w:fldChar w:fldCharType="begin"/>
      </w:r>
      <w:r>
        <w:instrText xml:space="preserve"> HYPERLINK \l "_Toc2849" </w:instrText>
      </w:r>
      <w:r>
        <w:fldChar w:fldCharType="separate"/>
      </w:r>
      <w:r>
        <w:rPr>
          <w:rFonts w:hint="eastAsia" w:ascii="黑体" w:hAnsi="黑体"/>
          <w:szCs w:val="44"/>
        </w:rPr>
        <w:t>第</w:t>
      </w:r>
      <w:r>
        <w:rPr>
          <w:rFonts w:hint="eastAsia" w:ascii="黑体" w:hAnsi="黑体"/>
        </w:rPr>
        <w:t>五部分 附表</w:t>
      </w:r>
      <w:r>
        <w:tab/>
      </w:r>
      <w:r>
        <w:fldChar w:fldCharType="begin"/>
      </w:r>
      <w:r>
        <w:instrText xml:space="preserve"> PAGEREF _Toc2849 </w:instrText>
      </w:r>
      <w:r>
        <w:fldChar w:fldCharType="separate"/>
      </w:r>
      <w:r>
        <w:t>35</w:t>
      </w:r>
      <w:r>
        <w:fldChar w:fldCharType="end"/>
      </w:r>
      <w:r>
        <w:fldChar w:fldCharType="end"/>
      </w:r>
    </w:p>
    <w:p>
      <w:pPr>
        <w:pStyle w:val="7"/>
        <w:tabs>
          <w:tab w:val="right" w:leader="dot" w:pos="8306"/>
          <w:tab w:val="clear" w:pos="8296"/>
        </w:tabs>
        <w:rPr>
          <w:rFonts w:eastAsia="仿宋"/>
          <w:sz w:val="28"/>
        </w:rPr>
      </w:pPr>
      <w:r>
        <w:fldChar w:fldCharType="begin"/>
      </w:r>
      <w:r>
        <w:instrText xml:space="preserve"> HYPERLINK \l "_Toc32560" </w:instrText>
      </w:r>
      <w:r>
        <w:fldChar w:fldCharType="separate"/>
      </w:r>
      <w:r>
        <w:rPr>
          <w:rFonts w:hint="eastAsia" w:ascii="仿宋" w:hAnsi="仿宋" w:eastAsia="仿宋"/>
          <w:sz w:val="28"/>
        </w:rPr>
        <w:t>一、收入支出决算总表</w:t>
      </w:r>
      <w:r>
        <w:rPr>
          <w:rFonts w:eastAsia="仿宋"/>
          <w:sz w:val="28"/>
        </w:rPr>
        <w:tab/>
      </w:r>
      <w:r>
        <w:rPr>
          <w:rFonts w:eastAsia="仿宋"/>
          <w:sz w:val="28"/>
        </w:rPr>
        <w:fldChar w:fldCharType="begin"/>
      </w:r>
      <w:r>
        <w:rPr>
          <w:rFonts w:eastAsia="仿宋"/>
          <w:sz w:val="28"/>
        </w:rPr>
        <w:instrText xml:space="preserve"> PAGEREF _Toc32560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"_Toc5932" </w:instrText>
      </w:r>
      <w:r>
        <w:fldChar w:fldCharType="separate"/>
      </w:r>
      <w:r>
        <w:rPr>
          <w:rFonts w:hint="eastAsia" w:ascii="仿宋" w:hAnsi="仿宋" w:eastAsia="仿宋"/>
          <w:sz w:val="28"/>
        </w:rPr>
        <w:t>二、收入决算表</w:t>
      </w:r>
      <w:r>
        <w:rPr>
          <w:rFonts w:eastAsia="仿宋"/>
          <w:sz w:val="28"/>
        </w:rPr>
        <w:tab/>
      </w:r>
      <w:r>
        <w:rPr>
          <w:rFonts w:eastAsia="仿宋"/>
          <w:sz w:val="28"/>
        </w:rPr>
        <w:fldChar w:fldCharType="begin"/>
      </w:r>
      <w:r>
        <w:rPr>
          <w:rFonts w:eastAsia="仿宋"/>
          <w:sz w:val="28"/>
        </w:rPr>
        <w:instrText xml:space="preserve"> PAGEREF _Toc5932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"_Toc16175" </w:instrText>
      </w:r>
      <w:r>
        <w:fldChar w:fldCharType="separate"/>
      </w:r>
      <w:r>
        <w:rPr>
          <w:rFonts w:hint="eastAsia" w:ascii="仿宋" w:hAnsi="仿宋" w:eastAsia="仿宋"/>
          <w:sz w:val="28"/>
        </w:rPr>
        <w:t>三、支出决算表</w:t>
      </w:r>
      <w:r>
        <w:rPr>
          <w:rFonts w:eastAsia="仿宋"/>
          <w:sz w:val="28"/>
        </w:rPr>
        <w:tab/>
      </w:r>
      <w:r>
        <w:rPr>
          <w:rFonts w:eastAsia="仿宋"/>
          <w:sz w:val="28"/>
        </w:rPr>
        <w:fldChar w:fldCharType="begin"/>
      </w:r>
      <w:r>
        <w:rPr>
          <w:rFonts w:eastAsia="仿宋"/>
          <w:sz w:val="28"/>
        </w:rPr>
        <w:instrText xml:space="preserve"> PAGEREF _Toc16175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"_Toc20976" </w:instrText>
      </w:r>
      <w:r>
        <w:fldChar w:fldCharType="separate"/>
      </w:r>
      <w:r>
        <w:rPr>
          <w:rFonts w:hint="eastAsia" w:ascii="仿宋" w:hAnsi="仿宋" w:eastAsia="仿宋"/>
          <w:sz w:val="28"/>
        </w:rPr>
        <w:t>四、财政拨款收入支出决算总表</w:t>
      </w:r>
      <w:r>
        <w:rPr>
          <w:rFonts w:eastAsia="仿宋"/>
          <w:sz w:val="28"/>
        </w:rPr>
        <w:tab/>
      </w:r>
      <w:r>
        <w:rPr>
          <w:rFonts w:eastAsia="仿宋"/>
          <w:sz w:val="28"/>
        </w:rPr>
        <w:fldChar w:fldCharType="begin"/>
      </w:r>
      <w:r>
        <w:rPr>
          <w:rFonts w:eastAsia="仿宋"/>
          <w:sz w:val="28"/>
        </w:rPr>
        <w:instrText xml:space="preserve"> PAGEREF _Toc20976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"_Toc10555" </w:instrText>
      </w:r>
      <w:r>
        <w:fldChar w:fldCharType="separate"/>
      </w:r>
      <w:r>
        <w:rPr>
          <w:rFonts w:hint="eastAsia" w:ascii="仿宋" w:hAnsi="仿宋" w:eastAsia="仿宋"/>
          <w:sz w:val="28"/>
        </w:rPr>
        <w:t>五、财政拨款支出决算明细表</w:t>
      </w:r>
      <w:r>
        <w:rPr>
          <w:rFonts w:eastAsia="仿宋"/>
          <w:sz w:val="28"/>
        </w:rPr>
        <w:tab/>
      </w:r>
      <w:r>
        <w:rPr>
          <w:rFonts w:eastAsia="仿宋"/>
          <w:sz w:val="28"/>
        </w:rPr>
        <w:fldChar w:fldCharType="begin"/>
      </w:r>
      <w:r>
        <w:rPr>
          <w:rFonts w:eastAsia="仿宋"/>
          <w:sz w:val="28"/>
        </w:rPr>
        <w:instrText xml:space="preserve"> PAGEREF _Toc10555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"_Toc9439" </w:instrText>
      </w:r>
      <w:r>
        <w:fldChar w:fldCharType="separate"/>
      </w:r>
      <w:r>
        <w:rPr>
          <w:rFonts w:hint="eastAsia" w:ascii="仿宋" w:hAnsi="仿宋" w:eastAsia="仿宋"/>
          <w:sz w:val="28"/>
        </w:rPr>
        <w:t>六、一般公共预算财政拨款支出决算表</w:t>
      </w:r>
      <w:r>
        <w:rPr>
          <w:rFonts w:eastAsia="仿宋"/>
          <w:sz w:val="28"/>
        </w:rPr>
        <w:tab/>
      </w:r>
      <w:r>
        <w:rPr>
          <w:rFonts w:eastAsia="仿宋"/>
          <w:sz w:val="28"/>
        </w:rPr>
        <w:fldChar w:fldCharType="begin"/>
      </w:r>
      <w:r>
        <w:rPr>
          <w:rFonts w:eastAsia="仿宋"/>
          <w:sz w:val="28"/>
        </w:rPr>
        <w:instrText xml:space="preserve"> PAGEREF _Toc9439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"_Toc23764" </w:instrText>
      </w:r>
      <w:r>
        <w:fldChar w:fldCharType="separate"/>
      </w:r>
      <w:r>
        <w:rPr>
          <w:rFonts w:hint="eastAsia" w:ascii="仿宋" w:hAnsi="仿宋" w:eastAsia="仿宋"/>
          <w:sz w:val="28"/>
        </w:rPr>
        <w:t>七、一般公共预算财政拨款支出决算明细表</w:t>
      </w:r>
      <w:r>
        <w:rPr>
          <w:rFonts w:eastAsia="仿宋"/>
          <w:sz w:val="28"/>
        </w:rPr>
        <w:tab/>
      </w:r>
      <w:r>
        <w:rPr>
          <w:rFonts w:eastAsia="仿宋"/>
          <w:sz w:val="28"/>
        </w:rPr>
        <w:fldChar w:fldCharType="begin"/>
      </w:r>
      <w:r>
        <w:rPr>
          <w:rFonts w:eastAsia="仿宋"/>
          <w:sz w:val="28"/>
        </w:rPr>
        <w:instrText xml:space="preserve"> PAGEREF _Toc23764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"_Toc26116" </w:instrText>
      </w:r>
      <w:r>
        <w:fldChar w:fldCharType="separate"/>
      </w:r>
      <w:r>
        <w:rPr>
          <w:rFonts w:hint="eastAsia" w:ascii="仿宋" w:hAnsi="仿宋" w:eastAsia="仿宋"/>
          <w:sz w:val="28"/>
        </w:rPr>
        <w:t>八、一般公共预算财政拨款基本支出决算表</w:t>
      </w:r>
      <w:r>
        <w:rPr>
          <w:rFonts w:eastAsia="仿宋"/>
          <w:sz w:val="28"/>
        </w:rPr>
        <w:tab/>
      </w:r>
      <w:r>
        <w:rPr>
          <w:rFonts w:eastAsia="仿宋"/>
          <w:sz w:val="28"/>
        </w:rPr>
        <w:fldChar w:fldCharType="begin"/>
      </w:r>
      <w:r>
        <w:rPr>
          <w:rFonts w:eastAsia="仿宋"/>
          <w:sz w:val="28"/>
        </w:rPr>
        <w:instrText xml:space="preserve"> PAGEREF _Toc26116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"_Toc25146" </w:instrText>
      </w:r>
      <w:r>
        <w:fldChar w:fldCharType="separate"/>
      </w:r>
      <w:r>
        <w:rPr>
          <w:rFonts w:hint="eastAsia" w:ascii="仿宋" w:hAnsi="仿宋" w:eastAsia="仿宋"/>
          <w:sz w:val="28"/>
        </w:rPr>
        <w:t>九、一般公共预算财政拨款项目支出决算表</w:t>
      </w:r>
      <w:r>
        <w:rPr>
          <w:rFonts w:eastAsia="仿宋"/>
          <w:sz w:val="28"/>
        </w:rPr>
        <w:tab/>
      </w:r>
      <w:r>
        <w:rPr>
          <w:rFonts w:eastAsia="仿宋"/>
          <w:sz w:val="28"/>
        </w:rPr>
        <w:fldChar w:fldCharType="begin"/>
      </w:r>
      <w:r>
        <w:rPr>
          <w:rFonts w:eastAsia="仿宋"/>
          <w:sz w:val="28"/>
        </w:rPr>
        <w:instrText xml:space="preserve"> PAGEREF _Toc25146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"_Toc25976" </w:instrText>
      </w:r>
      <w:r>
        <w:fldChar w:fldCharType="separate"/>
      </w:r>
      <w:r>
        <w:rPr>
          <w:rFonts w:hint="eastAsia" w:ascii="仿宋" w:hAnsi="仿宋" w:eastAsia="仿宋"/>
          <w:sz w:val="28"/>
        </w:rPr>
        <w:t>十、一般公共预算财政拨款“三公”经费支出决算表</w:t>
      </w:r>
      <w:r>
        <w:rPr>
          <w:rFonts w:eastAsia="仿宋"/>
          <w:sz w:val="28"/>
        </w:rPr>
        <w:tab/>
      </w:r>
      <w:r>
        <w:rPr>
          <w:rFonts w:eastAsia="仿宋"/>
          <w:sz w:val="28"/>
        </w:rPr>
        <w:fldChar w:fldCharType="begin"/>
      </w:r>
      <w:r>
        <w:rPr>
          <w:rFonts w:eastAsia="仿宋"/>
          <w:sz w:val="28"/>
        </w:rPr>
        <w:instrText xml:space="preserve"> PAGEREF _Toc25976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"_Toc30356" </w:instrText>
      </w:r>
      <w:r>
        <w:fldChar w:fldCharType="separate"/>
      </w:r>
      <w:r>
        <w:rPr>
          <w:rFonts w:hint="eastAsia" w:ascii="仿宋" w:hAnsi="仿宋" w:eastAsia="仿宋"/>
          <w:sz w:val="28"/>
        </w:rPr>
        <w:t>十一、政府性基金预算财政拨款收入支出决算表</w:t>
      </w:r>
      <w:r>
        <w:rPr>
          <w:rFonts w:eastAsia="仿宋"/>
          <w:sz w:val="28"/>
        </w:rPr>
        <w:tab/>
      </w:r>
      <w:r>
        <w:rPr>
          <w:rFonts w:eastAsia="仿宋"/>
          <w:sz w:val="28"/>
        </w:rPr>
        <w:fldChar w:fldCharType="begin"/>
      </w:r>
      <w:r>
        <w:rPr>
          <w:rFonts w:eastAsia="仿宋"/>
          <w:sz w:val="28"/>
        </w:rPr>
        <w:instrText xml:space="preserve"> PAGEREF _Toc30356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rPr>
          <w:rFonts w:eastAsia="仿宋"/>
          <w:sz w:val="28"/>
        </w:rPr>
      </w:pPr>
      <w:r>
        <w:fldChar w:fldCharType="begin"/>
      </w:r>
      <w:r>
        <w:instrText xml:space="preserve"> HYPERLINK \l "_Toc11116" </w:instrText>
      </w:r>
      <w:r>
        <w:fldChar w:fldCharType="separate"/>
      </w:r>
      <w:r>
        <w:rPr>
          <w:rFonts w:hint="eastAsia" w:ascii="仿宋" w:hAnsi="仿宋" w:eastAsia="仿宋"/>
          <w:sz w:val="28"/>
        </w:rPr>
        <w:t>十二、政府性基金预算财政拨款“三公”经费支出决算表</w:t>
      </w:r>
      <w:r>
        <w:rPr>
          <w:rFonts w:eastAsia="仿宋"/>
          <w:sz w:val="28"/>
        </w:rPr>
        <w:tab/>
      </w:r>
      <w:r>
        <w:rPr>
          <w:rFonts w:eastAsia="仿宋"/>
          <w:sz w:val="28"/>
        </w:rPr>
        <w:fldChar w:fldCharType="begin"/>
      </w:r>
      <w:r>
        <w:rPr>
          <w:rFonts w:eastAsia="仿宋"/>
          <w:sz w:val="28"/>
        </w:rPr>
        <w:instrText xml:space="preserve"> PAGEREF _Toc11116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pPr>
        <w:pStyle w:val="7"/>
        <w:tabs>
          <w:tab w:val="right" w:leader="dot" w:pos="8306"/>
          <w:tab w:val="clear" w:pos="8296"/>
        </w:tabs>
      </w:pPr>
      <w:r>
        <w:fldChar w:fldCharType="begin"/>
      </w:r>
      <w:r>
        <w:instrText xml:space="preserve"> HYPERLINK \l "_Toc27214" </w:instrText>
      </w:r>
      <w:r>
        <w:fldChar w:fldCharType="separate"/>
      </w:r>
      <w:r>
        <w:rPr>
          <w:rFonts w:hint="eastAsia" w:ascii="仿宋" w:hAnsi="仿宋" w:eastAsia="仿宋"/>
          <w:sz w:val="28"/>
        </w:rPr>
        <w:t>十三、国有资本经营预算支出决算表</w:t>
      </w:r>
      <w:r>
        <w:rPr>
          <w:rFonts w:eastAsia="仿宋"/>
          <w:sz w:val="28"/>
        </w:rPr>
        <w:tab/>
      </w:r>
      <w:r>
        <w:rPr>
          <w:rFonts w:eastAsia="仿宋"/>
          <w:sz w:val="28"/>
        </w:rPr>
        <w:fldChar w:fldCharType="begin"/>
      </w:r>
      <w:r>
        <w:rPr>
          <w:rFonts w:eastAsia="仿宋"/>
          <w:sz w:val="28"/>
        </w:rPr>
        <w:instrText xml:space="preserve"> PAGEREF _Toc27214 </w:instrText>
      </w:r>
      <w:r>
        <w:rPr>
          <w:rFonts w:eastAsia="仿宋"/>
          <w:sz w:val="28"/>
        </w:rPr>
        <w:fldChar w:fldCharType="separate"/>
      </w:r>
      <w:r>
        <w:rPr>
          <w:rFonts w:eastAsia="仿宋"/>
          <w:sz w:val="28"/>
        </w:rPr>
        <w:t>35</w:t>
      </w:r>
      <w:r>
        <w:rPr>
          <w:rFonts w:eastAsia="仿宋"/>
          <w:sz w:val="28"/>
        </w:rPr>
        <w:fldChar w:fldCharType="end"/>
      </w:r>
      <w:r>
        <w:rPr>
          <w:rFonts w:eastAsia="仿宋"/>
          <w:sz w:val="28"/>
        </w:rPr>
        <w:fldChar w:fldCharType="end"/>
      </w:r>
    </w:p>
    <w:p>
      <w:r>
        <w:fldChar w:fldCharType="end"/>
      </w:r>
    </w:p>
    <w:p/>
    <w:p/>
    <w:p/>
    <w:p/>
    <w:p/>
    <w:p/>
    <w:p/>
    <w:p/>
    <w:p/>
    <w:p>
      <w:pPr>
        <w:pStyle w:val="2"/>
        <w:jc w:val="center"/>
        <w:rPr>
          <w:rFonts w:ascii="黑体" w:eastAsia="黑体"/>
          <w:color w:val="000000"/>
          <w:sz w:val="32"/>
          <w:szCs w:val="32"/>
        </w:rPr>
      </w:pPr>
      <w:bookmarkStart w:id="20" w:name="_Toc15396599"/>
      <w:bookmarkStart w:id="21" w:name="_Toc15377196"/>
      <w:bookmarkStart w:id="22" w:name="_Toc6335"/>
      <w:bookmarkStart w:id="23" w:name="_Toc30634"/>
      <w:r>
        <w:rPr>
          <w:rFonts w:hint="eastAsia" w:ascii="黑体" w:hAnsi="黑体" w:eastAsia="黑体"/>
          <w:b w:val="0"/>
        </w:rPr>
        <w:t xml:space="preserve">第一部分 </w:t>
      </w:r>
      <w:r>
        <w:rPr>
          <w:rStyle w:val="12"/>
          <w:rFonts w:hint="eastAsia" w:ascii="黑体" w:hAnsi="黑体" w:eastAsia="黑体"/>
          <w:b w:val="0"/>
          <w:bCs w:val="0"/>
        </w:rPr>
        <w:t>部门概况</w:t>
      </w:r>
      <w:bookmarkEnd w:id="20"/>
      <w:bookmarkEnd w:id="21"/>
      <w:bookmarkEnd w:id="22"/>
      <w:bookmarkEnd w:id="23"/>
    </w:p>
    <w:p>
      <w:pPr>
        <w:pStyle w:val="3"/>
        <w:rPr>
          <w:rStyle w:val="13"/>
          <w:rFonts w:ascii="仿宋" w:hAnsi="仿宋" w:eastAsia="仿宋"/>
          <w:b w:val="0"/>
          <w:bCs w:val="0"/>
        </w:rPr>
      </w:pPr>
      <w:bookmarkStart w:id="24" w:name="_Toc4388"/>
      <w:bookmarkStart w:id="25" w:name="_Toc15377197"/>
      <w:bookmarkStart w:id="26" w:name="_Toc15396600"/>
      <w:bookmarkStart w:id="27" w:name="_Toc15461"/>
      <w:r>
        <w:rPr>
          <w:rFonts w:hint="eastAsia" w:ascii="黑体" w:hAnsi="黑体" w:eastAsia="黑体"/>
          <w:b w:val="0"/>
          <w:color w:val="000000"/>
        </w:rPr>
        <w:t>一、基</w:t>
      </w:r>
      <w:r>
        <w:rPr>
          <w:rStyle w:val="13"/>
          <w:rFonts w:hint="eastAsia" w:ascii="黑体" w:hAnsi="黑体" w:eastAsia="黑体"/>
          <w:b w:val="0"/>
          <w:bCs w:val="0"/>
        </w:rPr>
        <w:t>本职能及主要工作</w:t>
      </w:r>
      <w:bookmarkEnd w:id="24"/>
      <w:bookmarkEnd w:id="25"/>
      <w:bookmarkEnd w:id="26"/>
      <w:bookmarkEnd w:id="27"/>
    </w:p>
    <w:p>
      <w:pPr>
        <w:pStyle w:val="8"/>
        <w:shd w:val="clear" w:color="auto" w:fill="FFFFFF"/>
        <w:spacing w:before="0" w:beforeAutospacing="0" w:after="0" w:afterAutospacing="0" w:line="540" w:lineRule="atLeast"/>
        <w:ind w:firstLine="645"/>
        <w:outlineLvl w:val="2"/>
        <w:rPr>
          <w:rFonts w:ascii="仿宋" w:hAnsi="仿宋" w:eastAsia="仿宋"/>
          <w:bCs/>
          <w:color w:val="000000"/>
          <w:sz w:val="32"/>
          <w:szCs w:val="32"/>
        </w:rPr>
      </w:pPr>
      <w:bookmarkStart w:id="28" w:name="_Toc15378445"/>
      <w:bookmarkStart w:id="29" w:name="_Toc20178"/>
      <w:bookmarkStart w:id="30" w:name="_Toc19687"/>
      <w:bookmarkStart w:id="31" w:name="_Toc15377198"/>
      <w:r>
        <w:rPr>
          <w:rFonts w:hint="eastAsia" w:ascii="仿宋" w:hAnsi="仿宋" w:eastAsia="仿宋"/>
          <w:bCs/>
          <w:color w:val="000000"/>
          <w:sz w:val="32"/>
          <w:szCs w:val="32"/>
        </w:rPr>
        <w:t>（一）主要职能。</w:t>
      </w:r>
      <w:bookmarkEnd w:id="28"/>
      <w:bookmarkEnd w:id="29"/>
      <w:bookmarkEnd w:id="30"/>
      <w:bookmarkEnd w:id="31"/>
      <w:bookmarkStart w:id="32" w:name="_Toc15378446"/>
      <w:bookmarkStart w:id="33" w:name="_Toc15377199"/>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（1）听取残疾人意见，反映残疾人需求，维护残疾人权益，为残疾人服务。</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（2）团结、教育残疾人遵守法律，履行应尽的义务，发扬乐观进取精神，自尊、自信、自强、自立，为社会主义建设贡献力量。</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（3）弘扬人道主义，宣传残疾人事业，沟通政府、社会与残疾人之间的联系，动员社会理解、尊重、关心、帮助残疾人。</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（4）开展残疾人康复、扶贫、教育、劳动就业、文化、体育、科研、用品用具、福利、社会服务、无障碍设施和残疾预防等工作。创造良好的环境和条件，扶助残疾人平等参与社会生活。</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（5）协助政府研究，制定和实施残疾人事业政策、规划和计划，起草有关保障残疾人权益的法规草案，调查和掌握残疾人状况，向政府提出决策建议，对有关业务领域进行指导和管理。</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（6）协助乡、镇、彝族乡党委考察残联干部及管理培训工作。</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（7）承担区政府残疾人工作委员会的日常工作，做好综合、组织、协调和服务。</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（8）组织实施残疾人分散按比例就业工作，指导监督和宏观管理残疾人社会福利企业，会同有关部门实施残疾人社会福利生产的扶持保护政策。</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（9）指导和管理残疾人开展各项活动。</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（10）统筹开展为残疾人事业募捐活动。</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（11）开展残疾人事业的对外交流与合作。</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（12）承办区政府和市残联交办的其它工作。</w:t>
      </w:r>
    </w:p>
    <w:p>
      <w:pPr>
        <w:pStyle w:val="8"/>
        <w:shd w:val="clear" w:color="auto" w:fill="FFFFFF"/>
        <w:spacing w:before="0" w:beforeAutospacing="0" w:after="0" w:afterAutospacing="0" w:line="540" w:lineRule="atLeast"/>
        <w:ind w:firstLine="645"/>
        <w:outlineLvl w:val="2"/>
        <w:rPr>
          <w:rFonts w:ascii="仿宋" w:hAnsi="仿宋" w:eastAsia="仿宋"/>
          <w:bCs/>
          <w:color w:val="000000"/>
          <w:sz w:val="32"/>
          <w:szCs w:val="32"/>
        </w:rPr>
      </w:pPr>
      <w:bookmarkStart w:id="34" w:name="_Toc31956"/>
      <w:bookmarkStart w:id="35" w:name="_Toc13094"/>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9年重点工作完成情况。</w:t>
      </w:r>
      <w:bookmarkEnd w:id="32"/>
      <w:bookmarkEnd w:id="33"/>
      <w:bookmarkEnd w:id="34"/>
      <w:bookmarkEnd w:id="35"/>
    </w:p>
    <w:p>
      <w:pPr>
        <w:pStyle w:val="8"/>
        <w:shd w:val="clear" w:color="auto" w:fill="FFFFFF"/>
        <w:spacing w:before="0" w:beforeAutospacing="0" w:after="0" w:afterAutospacing="0" w:line="540" w:lineRule="atLeast"/>
        <w:ind w:firstLine="645"/>
        <w:rPr>
          <w:color w:val="333333"/>
          <w:sz w:val="21"/>
          <w:szCs w:val="21"/>
        </w:rPr>
      </w:pPr>
      <w:r>
        <w:rPr>
          <w:rFonts w:hint="eastAsia" w:ascii="仿宋_GB2312" w:eastAsia="仿宋_GB2312"/>
          <w:color w:val="000000"/>
          <w:sz w:val="32"/>
          <w:szCs w:val="32"/>
        </w:rPr>
        <w:t>1、民生工程项目</w:t>
      </w:r>
    </w:p>
    <w:p>
      <w:pPr>
        <w:pStyle w:val="8"/>
        <w:shd w:val="clear" w:color="auto" w:fill="FFFFFF"/>
        <w:spacing w:before="0" w:beforeAutospacing="0" w:after="0" w:afterAutospacing="0" w:line="540" w:lineRule="atLeast"/>
        <w:ind w:firstLine="645"/>
        <w:rPr>
          <w:color w:val="333333"/>
          <w:sz w:val="21"/>
          <w:szCs w:val="21"/>
        </w:rPr>
      </w:pPr>
      <w:r>
        <w:rPr>
          <w:rFonts w:hint="eastAsia" w:ascii="仿宋_GB2312" w:eastAsia="仿宋_GB2312"/>
          <w:color w:val="000000"/>
          <w:sz w:val="32"/>
          <w:szCs w:val="32"/>
        </w:rPr>
        <w:t>①．实施残疾人就业工程。帮助城乡残疾人实现居家灵活就业及重点对居家灵活就业对象发放直接补贴资金。</w:t>
      </w:r>
    </w:p>
    <w:p>
      <w:pPr>
        <w:pStyle w:val="8"/>
        <w:shd w:val="clear" w:color="auto" w:fill="FFFFFF"/>
        <w:spacing w:before="0" w:beforeAutospacing="0" w:after="0" w:afterAutospacing="0" w:line="540" w:lineRule="atLeast"/>
        <w:ind w:firstLine="645"/>
        <w:rPr>
          <w:color w:val="333333"/>
          <w:sz w:val="21"/>
          <w:szCs w:val="21"/>
        </w:rPr>
      </w:pPr>
      <w:r>
        <w:rPr>
          <w:rFonts w:hint="eastAsia" w:ascii="仿宋_GB2312" w:eastAsia="仿宋_GB2312"/>
          <w:color w:val="000000"/>
          <w:sz w:val="32"/>
          <w:szCs w:val="32"/>
        </w:rPr>
        <w:t>②实施残疾人扶贫解困工程。扶持农村贫困残疾人发展生产；向贫困残疾人发放适配基本辅助器具；为贫困家庭脑瘫儿童实施手术和康复训练。</w:t>
      </w:r>
    </w:p>
    <w:p>
      <w:pPr>
        <w:pStyle w:val="8"/>
        <w:shd w:val="clear" w:color="auto" w:fill="FFFFFF"/>
        <w:spacing w:before="0" w:beforeAutospacing="0" w:after="0" w:afterAutospacing="0" w:line="540" w:lineRule="atLeast"/>
        <w:ind w:firstLine="645"/>
        <w:rPr>
          <w:color w:val="333333"/>
          <w:sz w:val="21"/>
          <w:szCs w:val="21"/>
        </w:rPr>
      </w:pPr>
      <w:r>
        <w:rPr>
          <w:rFonts w:hint="eastAsia" w:ascii="仿宋_GB2312" w:eastAsia="仿宋_GB2312"/>
          <w:color w:val="000000"/>
          <w:sz w:val="32"/>
          <w:szCs w:val="32"/>
        </w:rPr>
        <w:t>③实施残疾人社会保障工程。继续落实重度残疾人护理补贴；向农村贫困残疾人发放生活补贴;帮助有需求的残疾人实施家庭无障碍改造。</w:t>
      </w:r>
    </w:p>
    <w:p>
      <w:pPr>
        <w:pStyle w:val="8"/>
        <w:shd w:val="clear" w:color="auto" w:fill="FFFFFF"/>
        <w:spacing w:before="0" w:beforeAutospacing="0" w:after="0" w:afterAutospacing="0" w:line="540" w:lineRule="atLeast"/>
        <w:ind w:firstLine="645"/>
        <w:rPr>
          <w:color w:val="333333"/>
          <w:sz w:val="21"/>
          <w:szCs w:val="21"/>
        </w:rPr>
      </w:pPr>
      <w:r>
        <w:rPr>
          <w:rFonts w:hint="eastAsia" w:ascii="仿宋_GB2312" w:eastAsia="仿宋_GB2312"/>
          <w:color w:val="000000"/>
          <w:sz w:val="32"/>
          <w:szCs w:val="32"/>
        </w:rPr>
        <w:t>④实施残疾人医疗卫生工程。救助贫困家庭重度听力残疾儿童和智力残疾儿童康复训练。</w:t>
      </w:r>
    </w:p>
    <w:p>
      <w:pPr>
        <w:pStyle w:val="8"/>
        <w:shd w:val="clear" w:color="auto" w:fill="FFFFFF"/>
        <w:spacing w:before="0" w:beforeAutospacing="0" w:after="0" w:afterAutospacing="0" w:line="540" w:lineRule="atLeast"/>
        <w:ind w:firstLine="645"/>
        <w:rPr>
          <w:color w:val="333333"/>
          <w:sz w:val="21"/>
          <w:szCs w:val="21"/>
        </w:rPr>
      </w:pPr>
      <w:r>
        <w:rPr>
          <w:rFonts w:hint="eastAsia" w:ascii="仿宋_GB2312" w:eastAsia="仿宋_GB2312"/>
          <w:color w:val="000000"/>
          <w:sz w:val="32"/>
          <w:szCs w:val="32"/>
        </w:rPr>
        <w:t>2、狠抓脱贫攻坚工作，实现脱贫摘帽。</w:t>
      </w:r>
    </w:p>
    <w:p>
      <w:pPr>
        <w:pStyle w:val="8"/>
        <w:shd w:val="clear" w:color="auto" w:fill="FFFFFF"/>
        <w:spacing w:before="0" w:beforeAutospacing="0" w:after="0" w:afterAutospacing="0" w:line="540" w:lineRule="atLeast"/>
        <w:ind w:firstLine="645"/>
        <w:rPr>
          <w:color w:val="333333"/>
          <w:sz w:val="21"/>
          <w:szCs w:val="21"/>
        </w:rPr>
      </w:pPr>
      <w:r>
        <w:rPr>
          <w:rFonts w:hint="eastAsia" w:ascii="仿宋_GB2312" w:eastAsia="仿宋_GB2312"/>
          <w:color w:val="000000"/>
          <w:sz w:val="32"/>
          <w:szCs w:val="32"/>
        </w:rPr>
        <w:t>3、全面深化“量体裁衣”式为残疾人服务工作</w:t>
      </w:r>
    </w:p>
    <w:p>
      <w:pPr>
        <w:pStyle w:val="8"/>
        <w:shd w:val="clear" w:color="auto" w:fill="FFFFFF"/>
        <w:spacing w:before="0" w:beforeAutospacing="0" w:after="0" w:afterAutospacing="0" w:line="540" w:lineRule="atLeast"/>
        <w:ind w:firstLine="645"/>
        <w:rPr>
          <w:color w:val="333333"/>
          <w:sz w:val="21"/>
          <w:szCs w:val="21"/>
        </w:rPr>
      </w:pPr>
      <w:r>
        <w:rPr>
          <w:rFonts w:hint="eastAsia" w:ascii="仿宋_GB2312" w:eastAsia="仿宋_GB2312"/>
          <w:color w:val="000000"/>
          <w:sz w:val="32"/>
          <w:szCs w:val="32"/>
        </w:rPr>
        <w:t>4、做好残疾人专项调查工作</w:t>
      </w:r>
    </w:p>
    <w:p>
      <w:pPr>
        <w:pStyle w:val="8"/>
        <w:shd w:val="clear" w:color="auto" w:fill="FFFFFF"/>
        <w:spacing w:before="0" w:beforeAutospacing="0" w:after="0" w:afterAutospacing="0" w:line="540" w:lineRule="atLeast"/>
        <w:ind w:firstLine="645"/>
        <w:rPr>
          <w:rFonts w:ascii="仿宋" w:hAnsi="仿宋" w:eastAsia="仿宋"/>
          <w:bCs/>
          <w:color w:val="000000"/>
          <w:sz w:val="32"/>
          <w:szCs w:val="32"/>
        </w:rPr>
      </w:pPr>
      <w:r>
        <w:rPr>
          <w:rFonts w:hint="eastAsia" w:ascii="仿宋_GB2312" w:eastAsia="仿宋_GB2312"/>
          <w:color w:val="000000"/>
          <w:sz w:val="32"/>
          <w:szCs w:val="32"/>
        </w:rPr>
        <w:t>5、做好残疾人维权稳定工作</w:t>
      </w:r>
    </w:p>
    <w:p>
      <w:pPr>
        <w:pStyle w:val="3"/>
        <w:ind w:firstLine="640" w:firstLineChars="200"/>
        <w:rPr>
          <w:rStyle w:val="13"/>
          <w:b w:val="0"/>
          <w:bCs w:val="0"/>
        </w:rPr>
      </w:pPr>
      <w:bookmarkStart w:id="36" w:name="_Toc15377200"/>
      <w:bookmarkStart w:id="37" w:name="_Toc15396601"/>
      <w:bookmarkStart w:id="38" w:name="_Toc22612"/>
      <w:bookmarkStart w:id="39" w:name="_Toc15105"/>
      <w:r>
        <w:rPr>
          <w:rFonts w:hint="eastAsia" w:ascii="黑体" w:eastAsia="黑体"/>
          <w:b w:val="0"/>
          <w:color w:val="000000"/>
        </w:rPr>
        <w:t>二、</w:t>
      </w:r>
      <w:r>
        <w:rPr>
          <w:rFonts w:hint="eastAsia" w:ascii="黑体" w:hAnsi="黑体" w:eastAsia="黑体"/>
          <w:b w:val="0"/>
          <w:color w:val="000000"/>
        </w:rPr>
        <w:t>机</w:t>
      </w:r>
      <w:r>
        <w:rPr>
          <w:rStyle w:val="13"/>
          <w:rFonts w:hint="eastAsia" w:ascii="黑体" w:hAnsi="黑体" w:eastAsia="黑体"/>
          <w:b w:val="0"/>
          <w:bCs w:val="0"/>
        </w:rPr>
        <w:t>构设置</w:t>
      </w:r>
      <w:bookmarkEnd w:id="36"/>
      <w:bookmarkEnd w:id="37"/>
      <w:bookmarkEnd w:id="38"/>
      <w:bookmarkEnd w:id="39"/>
    </w:p>
    <w:p>
      <w:pPr>
        <w:widowControl/>
        <w:ind w:firstLine="640" w:firstLineChars="200"/>
        <w:jc w:val="left"/>
        <w:rPr>
          <w:rFonts w:ascii="仿宋" w:hAnsi="仿宋" w:eastAsia="仿宋"/>
          <w:color w:val="000000"/>
          <w:kern w:val="0"/>
          <w:sz w:val="32"/>
          <w:szCs w:val="32"/>
        </w:rPr>
      </w:pPr>
      <w:r>
        <w:rPr>
          <w:rFonts w:hint="eastAsia" w:ascii="仿宋_GB2312" w:eastAsia="仿宋_GB2312"/>
          <w:color w:val="000000"/>
          <w:sz w:val="32"/>
          <w:szCs w:val="32"/>
        </w:rPr>
        <w:t>区残联属属参照公务员法管理的人民群众团体组织机构，无二级机构</w:t>
      </w:r>
      <w:r>
        <w:rPr>
          <w:rFonts w:hint="eastAsia" w:ascii="仿宋" w:hAnsi="仿宋" w:eastAsia="仿宋"/>
          <w:color w:val="333333"/>
          <w:sz w:val="32"/>
          <w:szCs w:val="32"/>
          <w:shd w:val="clear" w:color="auto" w:fill="FFFFFF"/>
        </w:rPr>
        <w:t>。</w:t>
      </w:r>
      <w:r>
        <w:rPr>
          <w:rFonts w:ascii="仿宋" w:hAnsi="仿宋" w:eastAsia="仿宋"/>
          <w:color w:val="000000"/>
          <w:sz w:val="32"/>
          <w:szCs w:val="32"/>
        </w:rPr>
        <w:br w:type="page"/>
      </w:r>
    </w:p>
    <w:p>
      <w:pPr>
        <w:pStyle w:val="2"/>
        <w:ind w:right="440"/>
        <w:jc w:val="right"/>
      </w:pPr>
      <w:bookmarkStart w:id="40" w:name="_Toc15396602"/>
      <w:bookmarkStart w:id="41" w:name="_Toc20628"/>
      <w:bookmarkStart w:id="42" w:name="_Toc7714"/>
      <w:bookmarkStart w:id="43" w:name="_Toc15377204"/>
      <w:r>
        <w:rPr>
          <w:rFonts w:hint="eastAsia" w:ascii="黑体" w:hAnsi="黑体" w:eastAsia="黑体"/>
          <w:b w:val="0"/>
          <w:color w:val="000000"/>
        </w:rPr>
        <w:t>第二部分</w:t>
      </w:r>
      <w:r>
        <w:rPr>
          <w:rStyle w:val="12"/>
          <w:rFonts w:hint="eastAsia" w:ascii="黑体" w:hAnsi="黑体" w:eastAsia="黑体"/>
          <w:b w:val="0"/>
          <w:bCs w:val="0"/>
        </w:rPr>
        <w:t>2019年度部门决算情况说明</w:t>
      </w:r>
      <w:bookmarkEnd w:id="40"/>
      <w:bookmarkEnd w:id="41"/>
      <w:bookmarkEnd w:id="42"/>
      <w:bookmarkEnd w:id="43"/>
    </w:p>
    <w:p>
      <w:pPr>
        <w:pStyle w:val="14"/>
        <w:numPr>
          <w:ilvl w:val="0"/>
          <w:numId w:val="1"/>
        </w:numPr>
        <w:spacing w:line="600" w:lineRule="exact"/>
        <w:ind w:firstLineChars="0"/>
        <w:outlineLvl w:val="1"/>
        <w:rPr>
          <w:rStyle w:val="13"/>
          <w:rFonts w:ascii="黑体" w:hAnsi="黑体" w:eastAsia="黑体"/>
          <w:b w:val="0"/>
        </w:rPr>
      </w:pPr>
      <w:bookmarkStart w:id="44" w:name="_Toc15396603"/>
      <w:bookmarkStart w:id="45" w:name="_Toc30998"/>
      <w:bookmarkStart w:id="46" w:name="_Toc8602"/>
      <w:bookmarkStart w:id="47" w:name="_Toc15377205"/>
      <w:r>
        <w:rPr>
          <w:rFonts w:hint="eastAsia" w:ascii="黑体" w:hAnsi="黑体" w:eastAsia="黑体"/>
          <w:color w:val="000000"/>
          <w:sz w:val="32"/>
          <w:szCs w:val="32"/>
        </w:rPr>
        <w:t>收</w:t>
      </w:r>
      <w:r>
        <w:rPr>
          <w:rStyle w:val="13"/>
          <w:rFonts w:hint="eastAsia" w:ascii="黑体" w:hAnsi="黑体" w:eastAsia="黑体"/>
          <w:b w:val="0"/>
        </w:rPr>
        <w:t>入支出决算总体情况说明</w:t>
      </w:r>
      <w:bookmarkEnd w:id="44"/>
      <w:bookmarkEnd w:id="45"/>
      <w:bookmarkEnd w:id="46"/>
      <w:bookmarkEnd w:id="47"/>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2019年收入总额434.55万元,比2018年486.24万元减少51.69万元，减少了10.63%，原因主要是项目经费减少。</w:t>
      </w:r>
    </w:p>
    <w:p>
      <w:pPr>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仿宋" w:eastAsia="仿宋_GB2312"/>
          <w:sz w:val="32"/>
          <w:szCs w:val="32"/>
        </w:rPr>
        <w:t>2019年支出总额427.58万元，比2018年405.95万元增加21.63万元，增加了5.33%，主要是基本支出比上年增加支出13.09万元，项目支出较上年增加8.54万元。</w:t>
      </w:r>
    </w:p>
    <w:p>
      <w:pPr>
        <w:spacing w:line="600" w:lineRule="exact"/>
        <w:ind w:firstLine="640" w:firstLineChars="200"/>
        <w:rPr>
          <w:rFonts w:ascii="仿宋" w:hAnsi="仿宋" w:eastAsia="仿宋"/>
          <w:color w:val="000000" w:themeColor="text1"/>
          <w:sz w:val="32"/>
          <w:szCs w:val="32"/>
          <w:highlight w:val="yellow"/>
          <w14:textFill>
            <w14:solidFill>
              <w14:schemeClr w14:val="tx1"/>
            </w14:solidFill>
          </w14:textFill>
        </w:rPr>
      </w:pPr>
      <w:r>
        <w:rPr>
          <w:rFonts w:hint="eastAsia" w:ascii="仿宋" w:hAnsi="仿宋" w:eastAsia="仿宋"/>
          <w:color w:val="000000" w:themeColor="text1"/>
          <w:sz w:val="32"/>
          <w:szCs w:val="32"/>
          <w:highlight w:val="yellow"/>
          <w14:textFill>
            <w14:solidFill>
              <w14:schemeClr w14:val="tx1"/>
            </w14:solidFill>
          </w14:textFill>
        </w:rPr>
        <w:drawing>
          <wp:anchor distT="0" distB="0" distL="114300" distR="114300" simplePos="0" relativeHeight="251658240" behindDoc="0" locked="0" layoutInCell="1" allowOverlap="1">
            <wp:simplePos x="0" y="0"/>
            <wp:positionH relativeFrom="column">
              <wp:posOffset>523875</wp:posOffset>
            </wp:positionH>
            <wp:positionV relativeFrom="paragraph">
              <wp:posOffset>299720</wp:posOffset>
            </wp:positionV>
            <wp:extent cx="4404360" cy="3019425"/>
            <wp:effectExtent l="4445" t="5080" r="10795" b="444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spacing w:line="600" w:lineRule="exact"/>
        <w:ind w:firstLine="640" w:firstLineChars="200"/>
        <w:rPr>
          <w:rFonts w:ascii="仿宋" w:hAnsi="仿宋" w:eastAsia="仿宋"/>
          <w:color w:val="000000" w:themeColor="text1"/>
          <w:sz w:val="32"/>
          <w:szCs w:val="32"/>
          <w:highlight w:val="yellow"/>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highlight w:val="yellow"/>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highlight w:val="yellow"/>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highlight w:val="yellow"/>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highlight w:val="yellow"/>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highlight w:val="yellow"/>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highlight w:val="yellow"/>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highlight w:val="yellow"/>
          <w14:textFill>
            <w14:solidFill>
              <w14:schemeClr w14:val="tx1"/>
            </w14:solidFill>
          </w14:textFill>
        </w:rPr>
      </w:pPr>
    </w:p>
    <w:p>
      <w:pPr>
        <w:pStyle w:val="14"/>
        <w:numPr>
          <w:ilvl w:val="0"/>
          <w:numId w:val="1"/>
        </w:numPr>
        <w:spacing w:line="600" w:lineRule="exact"/>
        <w:ind w:firstLineChars="0"/>
        <w:outlineLvl w:val="1"/>
        <w:rPr>
          <w:rStyle w:val="13"/>
          <w:rFonts w:ascii="黑体" w:hAnsi="黑体" w:eastAsia="黑体"/>
          <w:b w:val="0"/>
        </w:rPr>
      </w:pPr>
      <w:bookmarkStart w:id="48" w:name="_Toc15396604"/>
      <w:bookmarkStart w:id="49" w:name="_Toc26475"/>
      <w:bookmarkStart w:id="50" w:name="_Toc15839"/>
      <w:bookmarkStart w:id="51" w:name="_Toc15377206"/>
      <w:r>
        <w:rPr>
          <w:rFonts w:hint="eastAsia" w:ascii="黑体" w:hAnsi="黑体" w:eastAsia="黑体"/>
          <w:color w:val="000000"/>
          <w:sz w:val="32"/>
          <w:szCs w:val="32"/>
        </w:rPr>
        <w:t>收</w:t>
      </w:r>
      <w:r>
        <w:rPr>
          <w:rStyle w:val="13"/>
          <w:rFonts w:hint="eastAsia" w:ascii="黑体" w:hAnsi="黑体" w:eastAsia="黑体"/>
          <w:b w:val="0"/>
        </w:rPr>
        <w:t>入决算情况说明</w:t>
      </w:r>
      <w:bookmarkEnd w:id="48"/>
      <w:bookmarkEnd w:id="49"/>
      <w:bookmarkEnd w:id="50"/>
      <w:bookmarkEnd w:id="51"/>
    </w:p>
    <w:p>
      <w:pPr>
        <w:spacing w:line="600" w:lineRule="exact"/>
        <w:ind w:firstLine="640" w:firstLineChars="200"/>
        <w:rPr>
          <w:rFonts w:ascii="仿宋_GB2312" w:eastAsia="仿宋_GB2312"/>
          <w:color w:val="000000"/>
          <w:sz w:val="32"/>
          <w:szCs w:val="32"/>
        </w:rPr>
      </w:pPr>
      <w:bookmarkStart w:id="52" w:name="_Toc1670"/>
      <w:bookmarkStart w:id="53" w:name="_Toc30905"/>
      <w:r>
        <w:rPr>
          <w:rFonts w:hint="eastAsia" w:ascii="仿宋_GB2312" w:eastAsia="仿宋_GB2312"/>
          <w:color w:val="000000"/>
          <w:sz w:val="32"/>
          <w:szCs w:val="32"/>
        </w:rPr>
        <w:t>2019年本年收入合计434.55万元，其中：一般公共预算财政拨款收入408.01万元，占93.89%；政府性基金预算财政拨款收入26.54万元，占6.11%；上级补助收入0万元，占0%；事业收入0万元，占0%；经营收入0万元，占0%；附属单位上缴收入0万元，占0%；其他收入0万元，占0%。</w:t>
      </w:r>
      <w:bookmarkEnd w:id="52"/>
      <w:bookmarkEnd w:id="53"/>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drawing>
          <wp:anchor distT="0" distB="0" distL="114300" distR="114300" simplePos="0" relativeHeight="251660288" behindDoc="0" locked="0" layoutInCell="1" allowOverlap="1">
            <wp:simplePos x="0" y="0"/>
            <wp:positionH relativeFrom="column">
              <wp:posOffset>561975</wp:posOffset>
            </wp:positionH>
            <wp:positionV relativeFrom="paragraph">
              <wp:posOffset>85725</wp:posOffset>
            </wp:positionV>
            <wp:extent cx="4328160" cy="2791460"/>
            <wp:effectExtent l="4445" t="4445" r="10795" b="2349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pStyle w:val="14"/>
        <w:numPr>
          <w:ilvl w:val="0"/>
          <w:numId w:val="1"/>
        </w:numPr>
        <w:spacing w:line="600" w:lineRule="exact"/>
        <w:ind w:firstLineChars="0"/>
        <w:outlineLvl w:val="1"/>
        <w:rPr>
          <w:rStyle w:val="13"/>
          <w:rFonts w:ascii="黑体" w:hAnsi="黑体" w:eastAsia="黑体"/>
          <w:b w:val="0"/>
        </w:rPr>
      </w:pPr>
      <w:bookmarkStart w:id="54" w:name="_Toc15377207"/>
      <w:bookmarkStart w:id="55" w:name="_Toc15396605"/>
      <w:bookmarkStart w:id="56" w:name="_Toc24511"/>
      <w:bookmarkStart w:id="57" w:name="_Toc13370"/>
      <w:r>
        <w:rPr>
          <w:rFonts w:hint="eastAsia" w:ascii="黑体" w:hAnsi="黑体" w:eastAsia="黑体"/>
          <w:color w:val="000000"/>
          <w:sz w:val="32"/>
          <w:szCs w:val="32"/>
        </w:rPr>
        <w:t>支</w:t>
      </w:r>
      <w:r>
        <w:rPr>
          <w:rStyle w:val="13"/>
          <w:rFonts w:hint="eastAsia" w:ascii="黑体" w:hAnsi="黑体" w:eastAsia="黑体"/>
          <w:b w:val="0"/>
        </w:rPr>
        <w:t>出决算情况说明</w:t>
      </w:r>
      <w:bookmarkEnd w:id="54"/>
      <w:bookmarkEnd w:id="55"/>
      <w:bookmarkEnd w:id="56"/>
      <w:bookmarkEnd w:id="57"/>
    </w:p>
    <w:p>
      <w:pPr>
        <w:spacing w:line="600" w:lineRule="exact"/>
        <w:ind w:firstLine="640" w:firstLineChars="200"/>
        <w:rPr>
          <w:rFonts w:ascii="仿宋_GB2312" w:eastAsia="仿宋_GB2312"/>
          <w:color w:val="000000"/>
          <w:sz w:val="32"/>
          <w:szCs w:val="32"/>
        </w:rPr>
      </w:pPr>
      <w:bookmarkStart w:id="58" w:name="_Toc11370"/>
      <w:bookmarkStart w:id="59" w:name="_Toc4599"/>
      <w:bookmarkStart w:id="60" w:name="_Toc21484"/>
      <w:r>
        <w:rPr>
          <w:rFonts w:hint="eastAsia" w:ascii="仿宋_GB2312" w:eastAsia="仿宋_GB2312"/>
          <w:color w:val="000000"/>
          <w:sz w:val="32"/>
          <w:szCs w:val="32"/>
        </w:rPr>
        <w:t>2019年本年支出合计427.58万元，其中：基本支出111.73万元，占26.13%；项目支出315.86万元，占73.87%；上缴上级支出0万元，占0%；经营支出0万元，占0%；对附属单位补助支出0万元，占0%。</w:t>
      </w:r>
      <w:bookmarkEnd w:id="58"/>
      <w:bookmarkEnd w:id="59"/>
      <w:bookmarkEnd w:id="60"/>
    </w:p>
    <w:p>
      <w:pPr>
        <w:spacing w:line="600" w:lineRule="exact"/>
        <w:ind w:firstLine="640" w:firstLineChars="200"/>
        <w:rPr>
          <w:rFonts w:ascii="仿宋_GB2312" w:eastAsia="仿宋_GB2312"/>
          <w:color w:val="FF0000"/>
          <w:sz w:val="32"/>
          <w:szCs w:val="32"/>
        </w:rPr>
      </w:pPr>
      <w:r>
        <w:rPr>
          <w:rFonts w:hint="eastAsia" w:ascii="仿宋_GB2312" w:eastAsia="仿宋_GB2312"/>
          <w:color w:val="FF0000"/>
          <w:sz w:val="32"/>
          <w:szCs w:val="32"/>
        </w:rPr>
        <w:drawing>
          <wp:anchor distT="0" distB="0" distL="114300" distR="114300" simplePos="0" relativeHeight="251663360" behindDoc="0" locked="0" layoutInCell="1" allowOverlap="1">
            <wp:simplePos x="0" y="0"/>
            <wp:positionH relativeFrom="column">
              <wp:posOffset>419100</wp:posOffset>
            </wp:positionH>
            <wp:positionV relativeFrom="paragraph">
              <wp:posOffset>266700</wp:posOffset>
            </wp:positionV>
            <wp:extent cx="4385310" cy="2838450"/>
            <wp:effectExtent l="4445" t="5080" r="10795" b="13970"/>
            <wp:wrapNone/>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rPr>
          <w:rFonts w:ascii="仿宋_GB2312" w:eastAsia="仿宋_GB2312"/>
          <w:color w:val="FF0000"/>
          <w:sz w:val="32"/>
          <w:szCs w:val="32"/>
        </w:rPr>
      </w:pPr>
    </w:p>
    <w:p>
      <w:pPr>
        <w:spacing w:line="600" w:lineRule="exact"/>
        <w:ind w:firstLine="640" w:firstLineChars="200"/>
        <w:outlineLvl w:val="1"/>
        <w:rPr>
          <w:rStyle w:val="13"/>
          <w:rFonts w:ascii="黑体" w:hAnsi="黑体" w:eastAsia="黑体"/>
          <w:b w:val="0"/>
        </w:rPr>
      </w:pPr>
      <w:bookmarkStart w:id="61" w:name="_Toc15377208"/>
      <w:bookmarkStart w:id="62" w:name="_Toc6383"/>
      <w:bookmarkStart w:id="63" w:name="_Toc15396606"/>
      <w:bookmarkStart w:id="64" w:name="_Toc31575"/>
      <w:r>
        <w:rPr>
          <w:rFonts w:hint="eastAsia" w:ascii="黑体" w:hAnsi="黑体" w:eastAsia="黑体"/>
          <w:color w:val="000000"/>
          <w:sz w:val="32"/>
          <w:szCs w:val="32"/>
        </w:rPr>
        <w:t>四、财</w:t>
      </w:r>
      <w:r>
        <w:rPr>
          <w:rStyle w:val="13"/>
          <w:rFonts w:hint="eastAsia" w:ascii="黑体" w:hAnsi="黑体" w:eastAsia="黑体"/>
          <w:b w:val="0"/>
        </w:rPr>
        <w:t>政拨款收入支出决算总体情况说明</w:t>
      </w:r>
      <w:bookmarkEnd w:id="61"/>
      <w:bookmarkEnd w:id="62"/>
      <w:bookmarkEnd w:id="63"/>
      <w:bookmarkEnd w:id="64"/>
    </w:p>
    <w:p>
      <w:pPr>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2019年</w:t>
      </w:r>
      <w:r>
        <w:rPr>
          <w:rFonts w:hint="eastAsia" w:ascii="仿宋_GB2312" w:eastAsia="仿宋_GB2312"/>
          <w:color w:val="000000"/>
          <w:sz w:val="32"/>
          <w:szCs w:val="32"/>
        </w:rPr>
        <w:t>财政拨款</w:t>
      </w:r>
      <w:r>
        <w:rPr>
          <w:rFonts w:hint="eastAsia" w:ascii="仿宋_GB2312" w:hAnsi="仿宋" w:eastAsia="仿宋_GB2312"/>
          <w:sz w:val="32"/>
          <w:szCs w:val="32"/>
        </w:rPr>
        <w:t>收入总额408.01万元,比2018年437.75万元减少29.74万元，减少了6.79%，原因主要是项目经费减少。</w:t>
      </w:r>
    </w:p>
    <w:p>
      <w:pPr>
        <w:snapToGrid w:val="0"/>
        <w:spacing w:line="560" w:lineRule="exact"/>
        <w:ind w:firstLine="640" w:firstLineChars="200"/>
        <w:rPr>
          <w:rFonts w:ascii="仿宋" w:hAnsi="仿宋" w:eastAsia="仿宋"/>
          <w:color w:val="000000"/>
          <w:sz w:val="32"/>
          <w:szCs w:val="32"/>
        </w:rPr>
      </w:pPr>
      <w:r>
        <w:rPr>
          <w:rFonts w:hint="eastAsia" w:ascii="仿宋_GB2312" w:hAnsi="仿宋" w:eastAsia="仿宋_GB2312"/>
          <w:sz w:val="32"/>
          <w:szCs w:val="32"/>
        </w:rPr>
        <w:t>2019年</w:t>
      </w:r>
      <w:r>
        <w:rPr>
          <w:rFonts w:hint="eastAsia" w:ascii="仿宋_GB2312" w:eastAsia="仿宋_GB2312"/>
          <w:color w:val="000000"/>
          <w:sz w:val="32"/>
          <w:szCs w:val="32"/>
        </w:rPr>
        <w:t>财政拨款</w:t>
      </w:r>
      <w:r>
        <w:rPr>
          <w:rFonts w:hint="eastAsia" w:ascii="仿宋_GB2312" w:hAnsi="仿宋" w:eastAsia="仿宋_GB2312"/>
          <w:sz w:val="32"/>
          <w:szCs w:val="32"/>
        </w:rPr>
        <w:t>支出</w:t>
      </w:r>
      <w:r>
        <w:rPr>
          <w:rFonts w:hint="eastAsia" w:ascii="仿宋_GB2312" w:eastAsia="仿宋_GB2312"/>
          <w:color w:val="000000"/>
          <w:sz w:val="32"/>
          <w:szCs w:val="32"/>
        </w:rPr>
        <w:t>总额</w:t>
      </w:r>
      <w:r>
        <w:rPr>
          <w:rFonts w:hint="eastAsia" w:ascii="仿宋_GB2312" w:hAnsi="仿宋" w:eastAsia="仿宋_GB2312"/>
          <w:sz w:val="32"/>
          <w:szCs w:val="32"/>
        </w:rPr>
        <w:t>391.16万元，比2018年399.03万元减少7.87万元，减少了1.97%，原因主要是项目经费支出减少。</w:t>
      </w:r>
    </w:p>
    <w:p>
      <w:pPr>
        <w:spacing w:line="600" w:lineRule="exact"/>
        <w:ind w:firstLine="640"/>
        <w:rPr>
          <w:rFonts w:ascii="仿宋" w:hAnsi="仿宋" w:eastAsia="仿宋"/>
          <w:b/>
          <w:color w:val="00B050"/>
          <w:sz w:val="32"/>
          <w:szCs w:val="32"/>
        </w:rPr>
      </w:pPr>
      <w:r>
        <w:rPr>
          <w:rFonts w:hint="eastAsia" w:ascii="仿宋" w:hAnsi="仿宋" w:eastAsia="仿宋"/>
          <w:color w:val="000000" w:themeColor="text1"/>
          <w:sz w:val="32"/>
          <w:szCs w:val="32"/>
          <w:highlight w:val="yellow"/>
          <w14:textFill>
            <w14:solidFill>
              <w14:schemeClr w14:val="tx1"/>
            </w14:solidFill>
          </w14:textFill>
        </w:rPr>
        <w:drawing>
          <wp:anchor distT="0" distB="0" distL="114300" distR="114300" simplePos="0" relativeHeight="251667456" behindDoc="0" locked="0" layoutInCell="1" allowOverlap="1">
            <wp:simplePos x="0" y="0"/>
            <wp:positionH relativeFrom="column">
              <wp:posOffset>342900</wp:posOffset>
            </wp:positionH>
            <wp:positionV relativeFrom="paragraph">
              <wp:posOffset>305435</wp:posOffset>
            </wp:positionV>
            <wp:extent cx="4556760" cy="2809875"/>
            <wp:effectExtent l="4445" t="4445" r="10795" b="50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rPr>
          <w:rFonts w:ascii="仿宋" w:hAnsi="仿宋" w:eastAsia="仿宋"/>
          <w:b/>
          <w:color w:val="00B050"/>
          <w:sz w:val="32"/>
          <w:szCs w:val="32"/>
        </w:rPr>
      </w:pPr>
    </w:p>
    <w:p>
      <w:pPr>
        <w:spacing w:line="600" w:lineRule="exact"/>
        <w:ind w:firstLine="640" w:firstLineChars="200"/>
        <w:outlineLvl w:val="1"/>
        <w:rPr>
          <w:rStyle w:val="13"/>
          <w:rFonts w:ascii="黑体" w:hAnsi="黑体" w:eastAsia="黑体"/>
          <w:b w:val="0"/>
        </w:rPr>
      </w:pPr>
      <w:bookmarkStart w:id="65" w:name="_Toc21007"/>
      <w:bookmarkStart w:id="66" w:name="_Toc15377209"/>
      <w:bookmarkStart w:id="67" w:name="_Toc5265"/>
      <w:bookmarkStart w:id="68" w:name="_Toc15396607"/>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3"/>
          <w:rFonts w:hint="eastAsia" w:ascii="黑体" w:hAnsi="黑体" w:eastAsia="黑体"/>
          <w:b w:val="0"/>
        </w:rPr>
        <w:t>般公共预算财政拨款支出决算情况说明</w:t>
      </w:r>
      <w:bookmarkEnd w:id="65"/>
      <w:bookmarkEnd w:id="66"/>
      <w:bookmarkEnd w:id="67"/>
      <w:bookmarkEnd w:id="68"/>
    </w:p>
    <w:p>
      <w:pPr>
        <w:spacing w:line="600" w:lineRule="exact"/>
        <w:ind w:firstLine="643" w:firstLineChars="200"/>
        <w:outlineLvl w:val="2"/>
        <w:rPr>
          <w:rFonts w:ascii="仿宋" w:hAnsi="仿宋" w:eastAsia="仿宋"/>
          <w:b/>
          <w:color w:val="000000"/>
          <w:sz w:val="32"/>
          <w:szCs w:val="32"/>
        </w:rPr>
      </w:pPr>
      <w:bookmarkStart w:id="69" w:name="_Toc15377210"/>
      <w:bookmarkStart w:id="70" w:name="_Toc7310"/>
      <w:bookmarkStart w:id="71" w:name="_Toc151"/>
      <w:r>
        <w:rPr>
          <w:rFonts w:hint="eastAsia" w:ascii="仿宋" w:hAnsi="仿宋" w:eastAsia="仿宋"/>
          <w:b/>
          <w:color w:val="000000"/>
          <w:sz w:val="32"/>
          <w:szCs w:val="32"/>
        </w:rPr>
        <w:t>（一）一般公共预算财政拨款支出决算总体情况</w:t>
      </w:r>
      <w:bookmarkEnd w:id="69"/>
      <w:bookmarkEnd w:id="70"/>
      <w:bookmarkEnd w:id="71"/>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2019年一般公共预算财政拨款支出391.16万元，占本年支出合计的91.48%。与2018年相比，一般公共预算财政拨款减少7.87万元，下降1.97%。主要变动原因是项目经费支出减少。</w:t>
      </w:r>
    </w:p>
    <w:p>
      <w:pPr>
        <w:spacing w:line="600" w:lineRule="exact"/>
        <w:ind w:firstLine="640" w:firstLineChars="200"/>
        <w:rPr>
          <w:rFonts w:ascii="仿宋_GB2312" w:eastAsia="仿宋_GB2312"/>
          <w:color w:val="000000"/>
          <w:sz w:val="32"/>
          <w:szCs w:val="32"/>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highlight w:val="yellow"/>
          <w14:textFill>
            <w14:solidFill>
              <w14:schemeClr w14:val="tx1"/>
            </w14:solidFill>
          </w14:textFill>
        </w:rPr>
        <w:drawing>
          <wp:anchor distT="0" distB="0" distL="114300" distR="114300" simplePos="0" relativeHeight="251675648" behindDoc="0" locked="0" layoutInCell="1" allowOverlap="1">
            <wp:simplePos x="0" y="0"/>
            <wp:positionH relativeFrom="column">
              <wp:posOffset>609600</wp:posOffset>
            </wp:positionH>
            <wp:positionV relativeFrom="paragraph">
              <wp:posOffset>95250</wp:posOffset>
            </wp:positionV>
            <wp:extent cx="4509135" cy="3001010"/>
            <wp:effectExtent l="4445" t="4445" r="20320" b="23495"/>
            <wp:wrapNone/>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0" w:firstLineChars="200"/>
        <w:rPr>
          <w:rFonts w:ascii="仿宋" w:hAnsi="仿宋" w:eastAsia="仿宋"/>
          <w:color w:val="000000" w:themeColor="text1"/>
          <w:sz w:val="32"/>
          <w:szCs w:val="32"/>
          <w14:textFill>
            <w14:solidFill>
              <w14:schemeClr w14:val="tx1"/>
            </w14:solidFill>
          </w14:textFill>
        </w:rPr>
      </w:pPr>
    </w:p>
    <w:p>
      <w:pPr>
        <w:spacing w:line="600" w:lineRule="exact"/>
        <w:ind w:firstLine="643" w:firstLineChars="200"/>
        <w:outlineLvl w:val="2"/>
        <w:rPr>
          <w:rFonts w:ascii="仿宋" w:hAnsi="仿宋" w:eastAsia="仿宋"/>
          <w:b/>
          <w:color w:val="000000"/>
          <w:sz w:val="32"/>
          <w:szCs w:val="32"/>
        </w:rPr>
      </w:pPr>
      <w:bookmarkStart w:id="72" w:name="_Toc15377211"/>
      <w:bookmarkStart w:id="73" w:name="_Toc24395"/>
      <w:bookmarkStart w:id="74" w:name="_Toc31627"/>
      <w:r>
        <w:rPr>
          <w:rFonts w:hint="eastAsia" w:ascii="仿宋" w:hAnsi="仿宋" w:eastAsia="仿宋"/>
          <w:b/>
          <w:color w:val="000000"/>
          <w:sz w:val="32"/>
          <w:szCs w:val="32"/>
        </w:rPr>
        <w:t>（二）一般公共预算财政拨款支出决算结构情况</w:t>
      </w:r>
      <w:bookmarkEnd w:id="72"/>
      <w:bookmarkEnd w:id="73"/>
      <w:bookmarkEnd w:id="74"/>
    </w:p>
    <w:p>
      <w:pPr>
        <w:spacing w:line="600" w:lineRule="exact"/>
        <w:ind w:firstLine="640"/>
        <w:rPr>
          <w:rFonts w:ascii="仿宋" w:hAnsi="仿宋" w:eastAsia="仿宋"/>
          <w:color w:val="000000" w:themeColor="text1"/>
          <w:sz w:val="32"/>
          <w:szCs w:val="32"/>
          <w14:textFill>
            <w14:solidFill>
              <w14:schemeClr w14:val="tx1"/>
            </w14:solidFill>
          </w14:textFill>
        </w:rPr>
      </w:pPr>
      <w:r>
        <w:rPr>
          <w:rFonts w:hint="eastAsia" w:ascii="仿宋_GB2312" w:eastAsia="仿宋_GB2312"/>
          <w:color w:val="000000"/>
          <w:sz w:val="32"/>
          <w:szCs w:val="32"/>
        </w:rPr>
        <w:t>2019年一般公共预算财政拨款支出391.16万元，主要用于以下方面:</w:t>
      </w:r>
      <w:r>
        <w:rPr>
          <w:rFonts w:hint="eastAsia" w:ascii="仿宋_GB2312" w:eastAsia="仿宋_GB2312"/>
          <w:b/>
          <w:bCs/>
          <w:color w:val="000000"/>
          <w:sz w:val="32"/>
          <w:szCs w:val="32"/>
        </w:rPr>
        <w:t>社会保障和就业（类）支出</w:t>
      </w:r>
      <w:r>
        <w:rPr>
          <w:rFonts w:hint="eastAsia" w:ascii="仿宋_GB2312" w:eastAsia="仿宋_GB2312"/>
          <w:color w:val="000000"/>
          <w:sz w:val="32"/>
          <w:szCs w:val="32"/>
        </w:rPr>
        <w:t>371.20万元，占94.90%；</w:t>
      </w:r>
      <w:r>
        <w:rPr>
          <w:rFonts w:hint="eastAsia" w:ascii="仿宋_GB2312" w:eastAsia="仿宋_GB2312"/>
          <w:b/>
          <w:bCs/>
          <w:color w:val="000000"/>
          <w:sz w:val="32"/>
          <w:szCs w:val="32"/>
        </w:rPr>
        <w:t>卫生健康支出</w:t>
      </w:r>
      <w:r>
        <w:rPr>
          <w:rFonts w:hint="eastAsia" w:ascii="仿宋_GB2312" w:eastAsia="仿宋_GB2312"/>
          <w:color w:val="000000"/>
          <w:sz w:val="32"/>
          <w:szCs w:val="32"/>
        </w:rPr>
        <w:t>2.86万元，占0.73%；</w:t>
      </w:r>
      <w:r>
        <w:rPr>
          <w:rFonts w:hint="eastAsia" w:ascii="仿宋_GB2312" w:eastAsia="仿宋_GB2312"/>
          <w:b/>
          <w:bCs/>
          <w:color w:val="000000"/>
          <w:sz w:val="32"/>
          <w:szCs w:val="32"/>
        </w:rPr>
        <w:t>农林水支出</w:t>
      </w:r>
      <w:r>
        <w:rPr>
          <w:rFonts w:hint="eastAsia" w:ascii="仿宋_GB2312" w:eastAsia="仿宋_GB2312"/>
          <w:color w:val="000000"/>
          <w:sz w:val="32"/>
          <w:szCs w:val="32"/>
        </w:rPr>
        <w:t>7.77万元，占1.98%；</w:t>
      </w:r>
      <w:r>
        <w:rPr>
          <w:rFonts w:hint="eastAsia" w:ascii="仿宋_GB2312" w:eastAsia="仿宋_GB2312"/>
          <w:b/>
          <w:bCs/>
          <w:color w:val="000000"/>
          <w:sz w:val="32"/>
          <w:szCs w:val="32"/>
        </w:rPr>
        <w:t>住房保障支出</w:t>
      </w:r>
      <w:r>
        <w:rPr>
          <w:rFonts w:hint="eastAsia" w:ascii="仿宋_GB2312" w:eastAsia="仿宋_GB2312"/>
          <w:color w:val="000000"/>
          <w:sz w:val="32"/>
          <w:szCs w:val="32"/>
        </w:rPr>
        <w:t>9.33万元，占2.39%。</w:t>
      </w:r>
    </w:p>
    <w:p>
      <w:pPr>
        <w:spacing w:line="600" w:lineRule="exact"/>
        <w:ind w:firstLine="640" w:firstLineChars="200"/>
        <w:rPr>
          <w:rFonts w:ascii="仿宋" w:hAnsi="仿宋" w:eastAsia="仿宋"/>
          <w:b/>
          <w:bCs/>
          <w:color w:val="000000"/>
          <w:sz w:val="32"/>
          <w:szCs w:val="32"/>
          <w:highlight w:val="yellow"/>
        </w:rPr>
      </w:pPr>
      <w:r>
        <w:rPr>
          <w:rFonts w:hint="eastAsia" w:ascii="仿宋_GB2312" w:eastAsia="仿宋_GB2312"/>
          <w:color w:val="FF0000"/>
          <w:sz w:val="32"/>
          <w:szCs w:val="32"/>
        </w:rPr>
        <w:drawing>
          <wp:anchor distT="0" distB="0" distL="114300" distR="114300" simplePos="0" relativeHeight="251686912" behindDoc="0" locked="0" layoutInCell="1" allowOverlap="1">
            <wp:simplePos x="0" y="0"/>
            <wp:positionH relativeFrom="column">
              <wp:posOffset>590550</wp:posOffset>
            </wp:positionH>
            <wp:positionV relativeFrom="paragraph">
              <wp:posOffset>285750</wp:posOffset>
            </wp:positionV>
            <wp:extent cx="4385310" cy="2838450"/>
            <wp:effectExtent l="4445" t="5080" r="10795" b="13970"/>
            <wp:wrapNone/>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pPr>
        <w:spacing w:line="600" w:lineRule="exact"/>
        <w:ind w:firstLine="643" w:firstLineChars="200"/>
        <w:rPr>
          <w:rFonts w:ascii="仿宋" w:hAnsi="仿宋" w:eastAsia="仿宋"/>
          <w:b/>
          <w:bCs/>
          <w:color w:val="000000"/>
          <w:sz w:val="32"/>
          <w:szCs w:val="32"/>
          <w:highlight w:val="yellow"/>
        </w:rPr>
      </w:pPr>
    </w:p>
    <w:p>
      <w:pPr>
        <w:spacing w:line="600" w:lineRule="exact"/>
        <w:ind w:firstLine="643" w:firstLineChars="200"/>
        <w:rPr>
          <w:rFonts w:ascii="仿宋" w:hAnsi="仿宋" w:eastAsia="仿宋"/>
          <w:b/>
          <w:bCs/>
          <w:color w:val="000000"/>
          <w:sz w:val="32"/>
          <w:szCs w:val="32"/>
          <w:highlight w:val="yellow"/>
        </w:rPr>
      </w:pPr>
    </w:p>
    <w:p>
      <w:pPr>
        <w:spacing w:line="600" w:lineRule="exact"/>
        <w:ind w:firstLine="643" w:firstLineChars="200"/>
        <w:rPr>
          <w:rFonts w:ascii="仿宋" w:hAnsi="仿宋" w:eastAsia="仿宋"/>
          <w:b/>
          <w:bCs/>
          <w:color w:val="000000"/>
          <w:sz w:val="32"/>
          <w:szCs w:val="32"/>
          <w:highlight w:val="yellow"/>
        </w:rPr>
      </w:pPr>
    </w:p>
    <w:p>
      <w:pPr>
        <w:spacing w:line="600" w:lineRule="exact"/>
        <w:ind w:firstLine="643" w:firstLineChars="200"/>
        <w:rPr>
          <w:rFonts w:ascii="仿宋" w:hAnsi="仿宋" w:eastAsia="仿宋"/>
          <w:b/>
          <w:bCs/>
          <w:color w:val="000000"/>
          <w:sz w:val="32"/>
          <w:szCs w:val="32"/>
          <w:highlight w:val="yellow"/>
        </w:rPr>
      </w:pPr>
    </w:p>
    <w:p>
      <w:pPr>
        <w:spacing w:line="600" w:lineRule="exact"/>
        <w:ind w:firstLine="643" w:firstLineChars="200"/>
        <w:rPr>
          <w:rFonts w:ascii="仿宋" w:hAnsi="仿宋" w:eastAsia="仿宋"/>
          <w:b/>
          <w:bCs/>
          <w:color w:val="000000"/>
          <w:sz w:val="32"/>
          <w:szCs w:val="32"/>
          <w:highlight w:val="yellow"/>
        </w:rPr>
      </w:pPr>
    </w:p>
    <w:p>
      <w:pPr>
        <w:spacing w:line="600" w:lineRule="exact"/>
        <w:ind w:firstLine="643" w:firstLineChars="200"/>
        <w:rPr>
          <w:rFonts w:ascii="仿宋" w:hAnsi="仿宋" w:eastAsia="仿宋"/>
          <w:b/>
          <w:bCs/>
          <w:color w:val="000000"/>
          <w:sz w:val="32"/>
          <w:szCs w:val="32"/>
          <w:highlight w:val="yellow"/>
        </w:rPr>
      </w:pPr>
    </w:p>
    <w:p>
      <w:pPr>
        <w:spacing w:line="600" w:lineRule="exact"/>
        <w:ind w:firstLine="643" w:firstLineChars="200"/>
        <w:rPr>
          <w:rFonts w:ascii="仿宋" w:hAnsi="仿宋" w:eastAsia="仿宋"/>
          <w:b/>
          <w:bCs/>
          <w:color w:val="000000"/>
          <w:sz w:val="32"/>
          <w:szCs w:val="32"/>
          <w:highlight w:val="yellow"/>
        </w:rPr>
      </w:pPr>
    </w:p>
    <w:p>
      <w:pPr>
        <w:spacing w:line="600" w:lineRule="exact"/>
        <w:ind w:firstLine="643" w:firstLineChars="200"/>
        <w:rPr>
          <w:rFonts w:ascii="仿宋" w:hAnsi="仿宋" w:eastAsia="仿宋"/>
          <w:b/>
          <w:bCs/>
          <w:color w:val="000000"/>
          <w:sz w:val="32"/>
          <w:szCs w:val="32"/>
          <w:highlight w:val="yellow"/>
        </w:rPr>
      </w:pPr>
    </w:p>
    <w:p>
      <w:pPr>
        <w:spacing w:line="600" w:lineRule="exact"/>
        <w:ind w:firstLine="643" w:firstLineChars="200"/>
        <w:outlineLvl w:val="2"/>
        <w:rPr>
          <w:rFonts w:ascii="仿宋" w:hAnsi="仿宋" w:eastAsia="仿宋"/>
          <w:b/>
          <w:color w:val="000000"/>
          <w:sz w:val="32"/>
          <w:szCs w:val="32"/>
        </w:rPr>
      </w:pPr>
      <w:bookmarkStart w:id="75" w:name="_Toc25563"/>
      <w:bookmarkStart w:id="76" w:name="_Toc27625"/>
      <w:bookmarkStart w:id="77" w:name="_Toc15377212"/>
      <w:r>
        <w:rPr>
          <w:rFonts w:hint="eastAsia" w:ascii="仿宋" w:hAnsi="仿宋" w:eastAsia="仿宋"/>
          <w:b/>
          <w:color w:val="000000"/>
          <w:sz w:val="32"/>
          <w:szCs w:val="32"/>
        </w:rPr>
        <w:t>（三）一般公共预算财政拨款支出决算具体情况</w:t>
      </w:r>
      <w:bookmarkEnd w:id="75"/>
      <w:bookmarkEnd w:id="76"/>
      <w:bookmarkEnd w:id="77"/>
    </w:p>
    <w:p>
      <w:pPr>
        <w:spacing w:line="600" w:lineRule="exact"/>
        <w:ind w:firstLine="643" w:firstLineChars="200"/>
        <w:outlineLvl w:val="2"/>
        <w:rPr>
          <w:rFonts w:ascii="仿宋" w:hAnsi="仿宋" w:eastAsia="仿宋"/>
          <w:color w:val="FF0000"/>
          <w:sz w:val="32"/>
          <w:szCs w:val="32"/>
        </w:rPr>
      </w:pPr>
      <w:bookmarkStart w:id="78" w:name="_Toc15377213"/>
      <w:bookmarkStart w:id="79" w:name="_Toc15377444"/>
      <w:bookmarkStart w:id="80" w:name="_Toc15952"/>
      <w:bookmarkStart w:id="81" w:name="_Toc15378460"/>
      <w:bookmarkStart w:id="82" w:name="_Toc6406"/>
      <w:r>
        <w:rPr>
          <w:rFonts w:hint="eastAsia" w:ascii="仿宋" w:hAnsi="仿宋" w:eastAsia="仿宋"/>
          <w:b/>
          <w:color w:val="000000" w:themeColor="text1"/>
          <w:sz w:val="32"/>
          <w:szCs w:val="32"/>
          <w14:textFill>
            <w14:solidFill>
              <w14:schemeClr w14:val="tx1"/>
            </w14:solidFill>
          </w14:textFill>
        </w:rPr>
        <w:t>2019年般公共预算支出决算数为</w:t>
      </w:r>
      <w:r>
        <w:rPr>
          <w:rFonts w:hint="eastAsia" w:ascii="仿宋" w:hAnsi="仿宋" w:eastAsia="仿宋"/>
          <w:color w:val="000000" w:themeColor="text1"/>
          <w:sz w:val="32"/>
          <w:szCs w:val="32"/>
          <w14:textFill>
            <w14:solidFill>
              <w14:schemeClr w14:val="tx1"/>
            </w14:solidFill>
          </w14:textFill>
        </w:rPr>
        <w:t>391.16万元，</w:t>
      </w:r>
      <w:r>
        <w:rPr>
          <w:rStyle w:val="11"/>
          <w:rFonts w:hint="eastAsia" w:ascii="仿宋" w:hAnsi="仿宋" w:eastAsia="仿宋"/>
          <w:bCs/>
          <w:color w:val="000000" w:themeColor="text1"/>
          <w:sz w:val="32"/>
          <w:szCs w:val="32"/>
          <w14:textFill>
            <w14:solidFill>
              <w14:schemeClr w14:val="tx1"/>
            </w14:solidFill>
          </w14:textFill>
        </w:rPr>
        <w:t>完成</w:t>
      </w:r>
      <w:r>
        <w:rPr>
          <w:rStyle w:val="11"/>
          <w:rFonts w:hint="eastAsia" w:ascii="仿宋" w:hAnsi="仿宋" w:eastAsia="仿宋"/>
          <w:bCs/>
          <w:color w:val="000000"/>
          <w:sz w:val="32"/>
          <w:szCs w:val="32"/>
        </w:rPr>
        <w:t>预算100</w:t>
      </w:r>
      <w:r>
        <w:rPr>
          <w:rStyle w:val="11"/>
          <w:rFonts w:ascii="仿宋" w:hAnsi="仿宋" w:eastAsia="仿宋"/>
          <w:bCs/>
          <w:color w:val="000000"/>
          <w:sz w:val="32"/>
          <w:szCs w:val="32"/>
        </w:rPr>
        <w:t>%</w:t>
      </w:r>
      <w:r>
        <w:rPr>
          <w:rStyle w:val="11"/>
          <w:rFonts w:hint="eastAsia" w:ascii="仿宋" w:hAnsi="仿宋" w:eastAsia="仿宋"/>
          <w:bCs/>
          <w:color w:val="000000"/>
          <w:sz w:val="32"/>
          <w:szCs w:val="32"/>
        </w:rPr>
        <w:t>。其中：</w:t>
      </w:r>
      <w:bookmarkEnd w:id="78"/>
      <w:bookmarkEnd w:id="79"/>
      <w:bookmarkEnd w:id="80"/>
      <w:bookmarkEnd w:id="81"/>
      <w:bookmarkEnd w:id="82"/>
    </w:p>
    <w:p>
      <w:pPr>
        <w:spacing w:line="600" w:lineRule="exact"/>
        <w:ind w:firstLine="643" w:firstLineChars="200"/>
        <w:rPr>
          <w:rFonts w:ascii="仿宋_GB2312" w:eastAsia="仿宋_GB2312"/>
          <w:color w:val="000000"/>
          <w:sz w:val="32"/>
          <w:szCs w:val="32"/>
        </w:rPr>
      </w:pPr>
      <w:r>
        <w:rPr>
          <w:rStyle w:val="11"/>
          <w:rFonts w:hint="eastAsia" w:ascii="仿宋" w:hAnsi="仿宋" w:eastAsia="仿宋"/>
          <w:bCs/>
          <w:color w:val="000000"/>
          <w:sz w:val="32"/>
          <w:szCs w:val="32"/>
        </w:rPr>
        <w:t>1</w:t>
      </w:r>
      <w:r>
        <w:rPr>
          <w:rStyle w:val="11"/>
          <w:rFonts w:ascii="仿宋" w:hAnsi="仿宋" w:eastAsia="仿宋"/>
          <w:bCs/>
          <w:color w:val="000000"/>
          <w:sz w:val="32"/>
          <w:szCs w:val="32"/>
        </w:rPr>
        <w:t>.</w:t>
      </w:r>
      <w:r>
        <w:rPr>
          <w:rStyle w:val="11"/>
          <w:rFonts w:hint="eastAsia" w:ascii="仿宋" w:hAnsi="仿宋" w:eastAsia="仿宋"/>
          <w:bCs/>
          <w:color w:val="000000"/>
          <w:sz w:val="32"/>
          <w:szCs w:val="32"/>
        </w:rPr>
        <w:t>2080505-</w:t>
      </w:r>
      <w:r>
        <w:rPr>
          <w:rFonts w:hint="eastAsia" w:ascii="仿宋" w:hAnsi="仿宋" w:eastAsia="仿宋"/>
          <w:b/>
          <w:color w:val="000000" w:themeColor="text1"/>
          <w:sz w:val="32"/>
          <w:szCs w:val="32"/>
          <w14:textFill>
            <w14:solidFill>
              <w14:schemeClr w14:val="tx1"/>
            </w14:solidFill>
          </w14:textFill>
        </w:rPr>
        <w:t>机关事业单位基本养老保险缴费支出</w:t>
      </w:r>
      <w:r>
        <w:rPr>
          <w:rStyle w:val="11"/>
          <w:rFonts w:ascii="仿宋" w:hAnsi="仿宋" w:eastAsia="仿宋"/>
          <w:bCs/>
          <w:color w:val="000000"/>
          <w:sz w:val="32"/>
          <w:szCs w:val="32"/>
        </w:rPr>
        <w:t>:</w:t>
      </w:r>
      <w:r>
        <w:rPr>
          <w:rFonts w:hint="eastAsia" w:ascii="仿宋_GB2312" w:eastAsia="仿宋_GB2312"/>
          <w:color w:val="000000"/>
          <w:sz w:val="32"/>
          <w:szCs w:val="32"/>
        </w:rPr>
        <w:t>支出决算为8.25万元，完成预算100%。</w:t>
      </w:r>
    </w:p>
    <w:p>
      <w:pPr>
        <w:spacing w:line="600" w:lineRule="exact"/>
        <w:ind w:firstLine="643" w:firstLineChars="200"/>
        <w:rPr>
          <w:rFonts w:ascii="仿宋_GB2312" w:eastAsia="仿宋_GB2312"/>
          <w:color w:val="000000"/>
          <w:sz w:val="32"/>
          <w:szCs w:val="32"/>
        </w:rPr>
      </w:pPr>
      <w:r>
        <w:rPr>
          <w:rStyle w:val="11"/>
          <w:rFonts w:hint="eastAsia" w:ascii="仿宋" w:hAnsi="仿宋" w:eastAsia="仿宋"/>
          <w:color w:val="000000"/>
          <w:sz w:val="32"/>
          <w:szCs w:val="32"/>
        </w:rPr>
        <w:t>2</w:t>
      </w:r>
      <w:r>
        <w:rPr>
          <w:rStyle w:val="11"/>
          <w:rFonts w:hint="eastAsia" w:ascii="仿宋" w:hAnsi="仿宋" w:eastAsia="仿宋"/>
          <w:b w:val="0"/>
          <w:bCs/>
          <w:color w:val="000000"/>
          <w:sz w:val="32"/>
          <w:szCs w:val="32"/>
        </w:rPr>
        <w:t>、</w:t>
      </w:r>
      <w:r>
        <w:rPr>
          <w:rStyle w:val="11"/>
          <w:rFonts w:hint="eastAsia" w:ascii="仿宋" w:hAnsi="仿宋" w:eastAsia="仿宋"/>
          <w:bCs/>
          <w:color w:val="000000"/>
          <w:sz w:val="32"/>
          <w:szCs w:val="32"/>
        </w:rPr>
        <w:t>2080506-</w:t>
      </w:r>
      <w:r>
        <w:rPr>
          <w:rFonts w:hint="eastAsia" w:ascii="仿宋" w:hAnsi="仿宋" w:eastAsia="仿宋"/>
          <w:b/>
          <w:color w:val="000000" w:themeColor="text1"/>
          <w:sz w:val="32"/>
          <w:szCs w:val="32"/>
          <w14:textFill>
            <w14:solidFill>
              <w14:schemeClr w14:val="tx1"/>
            </w14:solidFill>
          </w14:textFill>
        </w:rPr>
        <w:t>机关事业单位职业年金缴费支出</w:t>
      </w:r>
      <w:r>
        <w:rPr>
          <w:rFonts w:hint="eastAsia" w:ascii="宋体" w:hAnsi="宋体" w:cs="宋体"/>
          <w:color w:val="000000"/>
          <w:kern w:val="0"/>
          <w:sz w:val="22"/>
        </w:rPr>
        <w:t>：</w:t>
      </w:r>
      <w:r>
        <w:rPr>
          <w:rFonts w:hint="eastAsia" w:ascii="仿宋_GB2312" w:eastAsia="仿宋_GB2312"/>
          <w:color w:val="000000"/>
          <w:sz w:val="32"/>
          <w:szCs w:val="32"/>
        </w:rPr>
        <w:t>支出决算为3.81万元，完成预算100%。</w:t>
      </w:r>
    </w:p>
    <w:p>
      <w:pPr>
        <w:spacing w:line="600" w:lineRule="exact"/>
        <w:ind w:firstLine="643" w:firstLineChars="200"/>
        <w:rPr>
          <w:rStyle w:val="11"/>
          <w:rFonts w:ascii="仿宋" w:hAnsi="仿宋" w:eastAsia="仿宋"/>
          <w:b w:val="0"/>
          <w:bCs/>
          <w:color w:val="000000"/>
          <w:sz w:val="32"/>
          <w:szCs w:val="32"/>
        </w:rPr>
      </w:pPr>
      <w:r>
        <w:rPr>
          <w:rStyle w:val="11"/>
          <w:rFonts w:hint="eastAsia" w:ascii="仿宋" w:hAnsi="仿宋" w:eastAsia="仿宋"/>
          <w:color w:val="000000"/>
          <w:sz w:val="32"/>
          <w:szCs w:val="32"/>
        </w:rPr>
        <w:t>3</w:t>
      </w:r>
      <w:r>
        <w:rPr>
          <w:rStyle w:val="11"/>
          <w:rFonts w:hint="eastAsia" w:ascii="仿宋" w:hAnsi="仿宋" w:eastAsia="仿宋"/>
          <w:b w:val="0"/>
          <w:bCs/>
          <w:color w:val="000000"/>
          <w:sz w:val="32"/>
          <w:szCs w:val="32"/>
        </w:rPr>
        <w:t>、</w:t>
      </w:r>
      <w:r>
        <w:rPr>
          <w:rStyle w:val="11"/>
          <w:rFonts w:hint="eastAsia" w:ascii="仿宋" w:hAnsi="仿宋" w:eastAsia="仿宋"/>
          <w:bCs/>
          <w:color w:val="000000"/>
          <w:sz w:val="32"/>
          <w:szCs w:val="32"/>
        </w:rPr>
        <w:t>2080599-</w:t>
      </w:r>
      <w:r>
        <w:rPr>
          <w:rFonts w:hint="eastAsia" w:ascii="仿宋" w:hAnsi="仿宋" w:eastAsia="仿宋"/>
          <w:b/>
          <w:color w:val="000000" w:themeColor="text1"/>
          <w:sz w:val="32"/>
          <w:szCs w:val="32"/>
          <w14:textFill>
            <w14:solidFill>
              <w14:schemeClr w14:val="tx1"/>
            </w14:solidFill>
          </w14:textFill>
        </w:rPr>
        <w:t>其他行政事业单位离退休支出：</w:t>
      </w:r>
      <w:r>
        <w:rPr>
          <w:rFonts w:hint="eastAsia" w:ascii="仿宋" w:hAnsi="仿宋" w:eastAsia="仿宋"/>
          <w:bCs/>
          <w:color w:val="000000" w:themeColor="text1"/>
          <w:sz w:val="32"/>
          <w:szCs w:val="32"/>
          <w14:textFill>
            <w14:solidFill>
              <w14:schemeClr w14:val="tx1"/>
            </w14:solidFill>
          </w14:textFill>
        </w:rPr>
        <w:t>支出</w:t>
      </w:r>
      <w:r>
        <w:rPr>
          <w:rStyle w:val="11"/>
          <w:rFonts w:hint="eastAsia" w:ascii="仿宋" w:hAnsi="仿宋" w:eastAsia="仿宋"/>
          <w:b w:val="0"/>
          <w:bCs/>
          <w:color w:val="000000"/>
          <w:sz w:val="32"/>
          <w:szCs w:val="32"/>
        </w:rPr>
        <w:t>决算为0.9万元，完成预算100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w:t>
      </w:r>
    </w:p>
    <w:p>
      <w:pPr>
        <w:spacing w:line="600" w:lineRule="exact"/>
        <w:ind w:firstLine="640" w:firstLineChars="200"/>
        <w:rPr>
          <w:rFonts w:ascii="仿宋_GB2312" w:eastAsia="仿宋_GB2312"/>
          <w:color w:val="000000"/>
          <w:sz w:val="32"/>
          <w:szCs w:val="32"/>
        </w:rPr>
      </w:pPr>
      <w:r>
        <w:rPr>
          <w:rStyle w:val="11"/>
          <w:rFonts w:hint="eastAsia" w:ascii="仿宋" w:hAnsi="仿宋" w:eastAsia="仿宋"/>
          <w:b w:val="0"/>
          <w:bCs/>
          <w:color w:val="000000"/>
          <w:sz w:val="32"/>
          <w:szCs w:val="32"/>
        </w:rPr>
        <w:t>4、</w:t>
      </w:r>
      <w:r>
        <w:rPr>
          <w:rStyle w:val="11"/>
          <w:rFonts w:hint="eastAsia" w:ascii="仿宋" w:hAnsi="仿宋" w:eastAsia="仿宋"/>
          <w:bCs/>
          <w:color w:val="000000"/>
          <w:sz w:val="32"/>
          <w:szCs w:val="32"/>
        </w:rPr>
        <w:t>2081101-行政运行</w:t>
      </w:r>
      <w:r>
        <w:rPr>
          <w:rFonts w:hint="eastAsia" w:ascii="宋体" w:hAnsi="宋体" w:cs="宋体"/>
          <w:color w:val="000000"/>
          <w:kern w:val="0"/>
          <w:sz w:val="22"/>
        </w:rPr>
        <w:t>；</w:t>
      </w:r>
      <w:r>
        <w:rPr>
          <w:rFonts w:hint="eastAsia" w:ascii="仿宋_GB2312" w:eastAsia="仿宋_GB2312"/>
          <w:color w:val="000000"/>
          <w:sz w:val="32"/>
          <w:szCs w:val="32"/>
        </w:rPr>
        <w:t>支出决算为86.07万元，完成预算100%。</w:t>
      </w:r>
    </w:p>
    <w:p>
      <w:pPr>
        <w:spacing w:line="600" w:lineRule="exact"/>
        <w:ind w:firstLine="643" w:firstLineChars="200"/>
        <w:rPr>
          <w:rFonts w:ascii="仿宋_GB2312" w:eastAsia="仿宋_GB2312"/>
          <w:color w:val="000000"/>
          <w:sz w:val="32"/>
          <w:szCs w:val="32"/>
        </w:rPr>
      </w:pPr>
      <w:r>
        <w:rPr>
          <w:rStyle w:val="11"/>
          <w:rFonts w:hint="eastAsia" w:ascii="仿宋" w:hAnsi="仿宋" w:eastAsia="仿宋"/>
          <w:color w:val="000000"/>
          <w:sz w:val="32"/>
          <w:szCs w:val="32"/>
        </w:rPr>
        <w:t>5、</w:t>
      </w:r>
      <w:r>
        <w:rPr>
          <w:rStyle w:val="11"/>
          <w:rFonts w:hint="eastAsia" w:ascii="仿宋" w:hAnsi="仿宋" w:eastAsia="仿宋"/>
          <w:bCs/>
          <w:color w:val="000000"/>
          <w:sz w:val="32"/>
          <w:szCs w:val="32"/>
        </w:rPr>
        <w:t>2081104-残疾人康复</w:t>
      </w:r>
      <w:r>
        <w:rPr>
          <w:rFonts w:hint="eastAsia" w:ascii="宋体" w:hAnsi="宋体" w:cs="宋体"/>
          <w:color w:val="000000"/>
          <w:kern w:val="0"/>
          <w:sz w:val="22"/>
        </w:rPr>
        <w:t>；</w:t>
      </w:r>
      <w:r>
        <w:rPr>
          <w:rFonts w:hint="eastAsia" w:ascii="仿宋_GB2312" w:eastAsia="仿宋_GB2312"/>
          <w:color w:val="000000"/>
          <w:sz w:val="32"/>
          <w:szCs w:val="32"/>
        </w:rPr>
        <w:t>支出决算为19.34万元，完成预算100%。</w:t>
      </w:r>
    </w:p>
    <w:p>
      <w:pPr>
        <w:spacing w:line="600" w:lineRule="exact"/>
        <w:ind w:firstLine="643" w:firstLineChars="200"/>
        <w:rPr>
          <w:rFonts w:ascii="仿宋_GB2312" w:eastAsia="仿宋_GB2312"/>
          <w:color w:val="000000"/>
          <w:sz w:val="32"/>
          <w:szCs w:val="32"/>
        </w:rPr>
      </w:pPr>
      <w:r>
        <w:rPr>
          <w:rStyle w:val="11"/>
          <w:rFonts w:hint="eastAsia" w:ascii="仿宋" w:hAnsi="仿宋" w:eastAsia="仿宋"/>
          <w:color w:val="000000"/>
          <w:sz w:val="32"/>
          <w:szCs w:val="32"/>
        </w:rPr>
        <w:t>6</w:t>
      </w:r>
      <w:r>
        <w:rPr>
          <w:rStyle w:val="11"/>
          <w:rFonts w:hint="eastAsia" w:ascii="仿宋" w:hAnsi="仿宋" w:eastAsia="仿宋"/>
          <w:b w:val="0"/>
          <w:bCs/>
          <w:color w:val="000000"/>
          <w:sz w:val="32"/>
          <w:szCs w:val="32"/>
        </w:rPr>
        <w:t>、</w:t>
      </w:r>
      <w:r>
        <w:rPr>
          <w:rStyle w:val="11"/>
          <w:rFonts w:hint="eastAsia" w:ascii="仿宋" w:hAnsi="仿宋" w:eastAsia="仿宋"/>
          <w:bCs/>
          <w:color w:val="000000"/>
          <w:sz w:val="32"/>
          <w:szCs w:val="32"/>
        </w:rPr>
        <w:t>2081105-残疾人就业和扶贫</w:t>
      </w:r>
      <w:r>
        <w:rPr>
          <w:rFonts w:hint="eastAsia" w:ascii="宋体" w:hAnsi="宋体" w:cs="宋体"/>
          <w:color w:val="000000"/>
          <w:kern w:val="0"/>
          <w:sz w:val="22"/>
        </w:rPr>
        <w:t>；</w:t>
      </w:r>
      <w:r>
        <w:rPr>
          <w:rFonts w:hint="eastAsia" w:ascii="仿宋_GB2312" w:eastAsia="仿宋_GB2312"/>
          <w:color w:val="000000"/>
          <w:sz w:val="32"/>
          <w:szCs w:val="32"/>
        </w:rPr>
        <w:t>支出决算为55.78万元，完成预算100%。</w:t>
      </w:r>
    </w:p>
    <w:p>
      <w:pPr>
        <w:spacing w:line="600" w:lineRule="exact"/>
        <w:ind w:firstLine="643" w:firstLineChars="200"/>
        <w:rPr>
          <w:rFonts w:ascii="仿宋_GB2312" w:eastAsia="仿宋_GB2312"/>
          <w:color w:val="000000"/>
          <w:sz w:val="32"/>
          <w:szCs w:val="32"/>
        </w:rPr>
      </w:pPr>
      <w:r>
        <w:rPr>
          <w:rStyle w:val="11"/>
          <w:rFonts w:hint="eastAsia" w:ascii="仿宋" w:hAnsi="仿宋" w:eastAsia="仿宋"/>
          <w:color w:val="000000"/>
          <w:sz w:val="32"/>
          <w:szCs w:val="32"/>
        </w:rPr>
        <w:t>7</w:t>
      </w:r>
      <w:r>
        <w:rPr>
          <w:rStyle w:val="11"/>
          <w:rFonts w:hint="eastAsia" w:ascii="仿宋" w:hAnsi="仿宋" w:eastAsia="仿宋"/>
          <w:b w:val="0"/>
          <w:bCs/>
          <w:color w:val="000000"/>
          <w:sz w:val="32"/>
          <w:szCs w:val="32"/>
        </w:rPr>
        <w:t>、</w:t>
      </w:r>
      <w:r>
        <w:rPr>
          <w:rStyle w:val="11"/>
          <w:rFonts w:hint="eastAsia" w:ascii="仿宋" w:hAnsi="仿宋" w:eastAsia="仿宋"/>
          <w:bCs/>
          <w:color w:val="000000"/>
          <w:sz w:val="32"/>
          <w:szCs w:val="32"/>
        </w:rPr>
        <w:t>2081107-残疾人生活和护理补贴</w:t>
      </w:r>
      <w:r>
        <w:rPr>
          <w:rFonts w:hint="eastAsia" w:ascii="宋体" w:hAnsi="宋体" w:cs="宋体"/>
          <w:color w:val="000000"/>
          <w:kern w:val="0"/>
          <w:sz w:val="22"/>
        </w:rPr>
        <w:t>；</w:t>
      </w:r>
      <w:r>
        <w:rPr>
          <w:rFonts w:hint="eastAsia" w:ascii="仿宋_GB2312" w:eastAsia="仿宋_GB2312"/>
          <w:color w:val="000000"/>
          <w:sz w:val="32"/>
          <w:szCs w:val="32"/>
        </w:rPr>
        <w:t>支出决算为7.15万元，完成预算100%。</w:t>
      </w:r>
    </w:p>
    <w:p>
      <w:pPr>
        <w:spacing w:line="600" w:lineRule="exact"/>
        <w:ind w:firstLine="643" w:firstLineChars="200"/>
        <w:rPr>
          <w:rFonts w:ascii="仿宋_GB2312" w:eastAsia="仿宋_GB2312"/>
          <w:color w:val="000000"/>
          <w:sz w:val="32"/>
          <w:szCs w:val="32"/>
        </w:rPr>
      </w:pPr>
      <w:r>
        <w:rPr>
          <w:rStyle w:val="11"/>
          <w:rFonts w:hint="eastAsia" w:ascii="仿宋" w:hAnsi="仿宋" w:eastAsia="仿宋"/>
          <w:color w:val="000000"/>
          <w:sz w:val="32"/>
          <w:szCs w:val="32"/>
        </w:rPr>
        <w:t>8</w:t>
      </w:r>
      <w:r>
        <w:rPr>
          <w:rStyle w:val="11"/>
          <w:rFonts w:hint="eastAsia" w:ascii="仿宋" w:hAnsi="仿宋" w:eastAsia="仿宋"/>
          <w:b w:val="0"/>
          <w:bCs/>
          <w:color w:val="000000"/>
          <w:sz w:val="32"/>
          <w:szCs w:val="32"/>
        </w:rPr>
        <w:t>、</w:t>
      </w:r>
      <w:r>
        <w:rPr>
          <w:rStyle w:val="11"/>
          <w:rFonts w:hint="eastAsia" w:ascii="仿宋" w:hAnsi="仿宋" w:eastAsia="仿宋"/>
          <w:bCs/>
          <w:color w:val="000000"/>
          <w:sz w:val="32"/>
          <w:szCs w:val="32"/>
        </w:rPr>
        <w:t>2081199-其他残疾人事业支出</w:t>
      </w:r>
      <w:r>
        <w:rPr>
          <w:rFonts w:hint="eastAsia" w:ascii="宋体" w:hAnsi="宋体" w:cs="宋体"/>
          <w:color w:val="000000"/>
          <w:kern w:val="0"/>
          <w:sz w:val="22"/>
        </w:rPr>
        <w:t>：</w:t>
      </w:r>
      <w:r>
        <w:rPr>
          <w:rFonts w:hint="eastAsia" w:ascii="仿宋_GB2312" w:eastAsia="仿宋_GB2312"/>
          <w:color w:val="000000"/>
          <w:sz w:val="32"/>
          <w:szCs w:val="32"/>
        </w:rPr>
        <w:t>支出决算为195.82万元，完成预算100%。</w:t>
      </w:r>
    </w:p>
    <w:p>
      <w:pPr>
        <w:spacing w:line="600" w:lineRule="exact"/>
        <w:ind w:firstLine="643" w:firstLineChars="200"/>
        <w:rPr>
          <w:rFonts w:ascii="仿宋_GB2312" w:eastAsia="仿宋_GB2312"/>
          <w:color w:val="000000"/>
          <w:sz w:val="32"/>
          <w:szCs w:val="32"/>
        </w:rPr>
      </w:pPr>
      <w:r>
        <w:rPr>
          <w:rStyle w:val="11"/>
          <w:rFonts w:hint="eastAsia" w:ascii="仿宋" w:hAnsi="仿宋" w:eastAsia="仿宋"/>
          <w:color w:val="000000"/>
          <w:sz w:val="32"/>
          <w:szCs w:val="32"/>
        </w:rPr>
        <w:t>9、2101101-行政单位医疗：</w:t>
      </w:r>
      <w:r>
        <w:rPr>
          <w:rFonts w:hint="eastAsia" w:ascii="仿宋_GB2312" w:eastAsia="仿宋_GB2312"/>
          <w:color w:val="000000"/>
          <w:sz w:val="32"/>
          <w:szCs w:val="32"/>
        </w:rPr>
        <w:t>支出决算为2.42万元，完成预算100%。</w:t>
      </w:r>
    </w:p>
    <w:p>
      <w:pPr>
        <w:spacing w:line="600" w:lineRule="exact"/>
        <w:ind w:firstLine="640" w:firstLineChars="200"/>
        <w:rPr>
          <w:rFonts w:ascii="仿宋_GB2312" w:eastAsia="仿宋_GB2312"/>
          <w:color w:val="000000"/>
          <w:sz w:val="32"/>
          <w:szCs w:val="32"/>
        </w:rPr>
      </w:pPr>
      <w:r>
        <w:rPr>
          <w:rStyle w:val="11"/>
          <w:rFonts w:hint="eastAsia" w:ascii="仿宋" w:hAnsi="仿宋"/>
          <w:b w:val="0"/>
          <w:bCs/>
          <w:color w:val="000000"/>
          <w:sz w:val="32"/>
          <w:szCs w:val="32"/>
        </w:rPr>
        <w:t>10、</w:t>
      </w:r>
      <w:r>
        <w:rPr>
          <w:rStyle w:val="11"/>
          <w:rFonts w:hint="eastAsia" w:ascii="仿宋" w:hAnsi="仿宋" w:eastAsia="仿宋"/>
          <w:color w:val="000000"/>
          <w:sz w:val="32"/>
          <w:szCs w:val="32"/>
        </w:rPr>
        <w:t>2101102-事业单位医疗：</w:t>
      </w:r>
      <w:r>
        <w:rPr>
          <w:rFonts w:hint="eastAsia" w:ascii="仿宋_GB2312" w:eastAsia="仿宋_GB2312"/>
          <w:color w:val="000000"/>
          <w:sz w:val="32"/>
          <w:szCs w:val="32"/>
        </w:rPr>
        <w:t>支出决算为0.44万元，完成预算100%。</w:t>
      </w:r>
    </w:p>
    <w:p>
      <w:pPr>
        <w:spacing w:line="600" w:lineRule="exact"/>
        <w:ind w:firstLine="640"/>
        <w:rPr>
          <w:rFonts w:ascii="仿宋_GB2312" w:eastAsia="仿宋_GB2312"/>
          <w:color w:val="000000"/>
          <w:sz w:val="32"/>
          <w:szCs w:val="32"/>
        </w:rPr>
      </w:pPr>
      <w:r>
        <w:rPr>
          <w:rStyle w:val="11"/>
          <w:rFonts w:hint="eastAsia" w:ascii="仿宋" w:hAnsi="仿宋"/>
          <w:b w:val="0"/>
          <w:bCs/>
          <w:color w:val="000000"/>
          <w:sz w:val="32"/>
          <w:szCs w:val="32"/>
        </w:rPr>
        <w:t>11、</w:t>
      </w:r>
      <w:r>
        <w:rPr>
          <w:rStyle w:val="11"/>
          <w:rFonts w:hint="eastAsia" w:ascii="仿宋" w:hAnsi="仿宋" w:eastAsia="仿宋"/>
          <w:color w:val="000000"/>
          <w:sz w:val="32"/>
          <w:szCs w:val="32"/>
        </w:rPr>
        <w:t>2210201- 住房公积金：</w:t>
      </w:r>
      <w:r>
        <w:rPr>
          <w:rFonts w:hint="eastAsia" w:ascii="仿宋" w:hAnsi="仿宋" w:eastAsia="仿宋"/>
          <w:bCs/>
          <w:color w:val="000000" w:themeColor="text1"/>
          <w:sz w:val="32"/>
          <w:szCs w:val="32"/>
          <w14:textFill>
            <w14:solidFill>
              <w14:schemeClr w14:val="tx1"/>
            </w14:solidFill>
          </w14:textFill>
        </w:rPr>
        <w:t>支</w:t>
      </w:r>
      <w:r>
        <w:rPr>
          <w:rFonts w:hint="eastAsia" w:ascii="仿宋_GB2312" w:eastAsia="仿宋_GB2312"/>
          <w:color w:val="000000"/>
          <w:sz w:val="32"/>
          <w:szCs w:val="32"/>
        </w:rPr>
        <w:t>出决算为9.33万元，完成预算100%。</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（注：数据来源于财决Z01-1表，罗列全部功能分类科目至项级。上述“预算”口径为调整预算数。增减变动原因为决算数&lt;项级&gt;和调整预算数&lt;项级&gt;比较，与预算数持平可以不写原因。）</w:t>
      </w:r>
    </w:p>
    <w:p>
      <w:pPr>
        <w:tabs>
          <w:tab w:val="right" w:pos="8306"/>
        </w:tabs>
        <w:spacing w:line="600" w:lineRule="exact"/>
        <w:ind w:firstLine="640"/>
        <w:outlineLvl w:val="1"/>
        <w:rPr>
          <w:rStyle w:val="13"/>
        </w:rPr>
      </w:pPr>
      <w:bookmarkStart w:id="83" w:name="_Toc23756"/>
      <w:bookmarkStart w:id="84" w:name="_Toc30050"/>
      <w:bookmarkStart w:id="85" w:name="_Toc15396608"/>
      <w:bookmarkStart w:id="86"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3"/>
          <w:rFonts w:hint="eastAsia" w:ascii="黑体" w:hAnsi="黑体" w:eastAsia="黑体"/>
          <w:b w:val="0"/>
        </w:rPr>
        <w:t>般公共预算财政拨款基本支出决算情况说明</w:t>
      </w:r>
      <w:bookmarkEnd w:id="83"/>
      <w:bookmarkEnd w:id="84"/>
      <w:bookmarkEnd w:id="85"/>
      <w:bookmarkEnd w:id="86"/>
      <w:r>
        <w:rPr>
          <w:rStyle w:val="13"/>
          <w:rFonts w:ascii="黑体" w:hAnsi="黑体" w:eastAsia="黑体"/>
          <w:b w:val="0"/>
        </w:rPr>
        <w:tab/>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2019年一般公共预算财政拨款基本支出111.73万元，其中：</w:t>
      </w:r>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人员经费98.11万元，主要包括：主要包括：基本工资、津贴补贴、奖金、伙食补助费、绩效工资、机关事业单位基本养老保险缴费、职业年金缴费、其他社会保障缴费、其他工资福利支出、离休费、退休费、抚恤金、生活补助、医疗费、奖励金、住房公积金、提租补贴、购房补贴、其他对个人和家庭的补助支出等。</w:t>
      </w:r>
      <w:r>
        <w:rPr>
          <w:rFonts w:hint="eastAsia" w:ascii="仿宋_GB2312" w:eastAsia="仿宋_GB2312"/>
          <w:color w:val="000000"/>
          <w:sz w:val="32"/>
          <w:szCs w:val="32"/>
        </w:rPr>
        <w:br w:type="textWrapping"/>
      </w:r>
      <w:r>
        <w:rPr>
          <w:rFonts w:hint="eastAsia" w:ascii="仿宋_GB2312" w:eastAsia="仿宋_GB2312"/>
          <w:color w:val="000000"/>
          <w:sz w:val="32"/>
          <w:szCs w:val="32"/>
        </w:rPr>
        <w:t xml:space="preserve">    日常公用经费13.62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13"/>
          <w:rFonts w:ascii="黑体" w:hAnsi="黑体" w:eastAsia="黑体"/>
          <w:b w:val="0"/>
        </w:rPr>
      </w:pPr>
      <w:bookmarkStart w:id="87" w:name="_Toc15377215"/>
      <w:bookmarkStart w:id="88" w:name="_Toc15396609"/>
      <w:bookmarkStart w:id="89" w:name="_Toc23079"/>
      <w:bookmarkStart w:id="90" w:name="_Toc5800"/>
      <w:r>
        <w:rPr>
          <w:rFonts w:hint="eastAsia" w:ascii="黑体" w:eastAsia="黑体"/>
          <w:sz w:val="32"/>
          <w:szCs w:val="32"/>
        </w:rPr>
        <w:t>七、</w:t>
      </w:r>
      <w:r>
        <w:rPr>
          <w:rStyle w:val="13"/>
          <w:rFonts w:hint="eastAsia" w:ascii="黑体" w:hAnsi="黑体" w:eastAsia="黑体"/>
        </w:rPr>
        <w:t>“</w:t>
      </w:r>
      <w:r>
        <w:rPr>
          <w:rStyle w:val="13"/>
          <w:rFonts w:hint="eastAsia" w:ascii="黑体" w:hAnsi="黑体" w:eastAsia="黑体"/>
          <w:b w:val="0"/>
        </w:rPr>
        <w:t>三公”经费财政拨款支出决算情况说明</w:t>
      </w:r>
      <w:bookmarkEnd w:id="87"/>
      <w:bookmarkEnd w:id="88"/>
      <w:bookmarkEnd w:id="89"/>
      <w:bookmarkEnd w:id="90"/>
    </w:p>
    <w:p>
      <w:pPr>
        <w:spacing w:line="600" w:lineRule="exact"/>
        <w:ind w:firstLine="640"/>
        <w:outlineLvl w:val="2"/>
        <w:rPr>
          <w:rFonts w:ascii="仿宋" w:hAnsi="仿宋" w:eastAsia="仿宋"/>
          <w:b/>
          <w:sz w:val="32"/>
          <w:szCs w:val="32"/>
        </w:rPr>
      </w:pPr>
      <w:bookmarkStart w:id="91" w:name="_Toc15377216"/>
      <w:bookmarkStart w:id="92" w:name="_Toc2652"/>
      <w:bookmarkStart w:id="93" w:name="_Toc13818"/>
      <w:r>
        <w:rPr>
          <w:rFonts w:hint="eastAsia" w:ascii="仿宋" w:hAnsi="仿宋" w:eastAsia="仿宋"/>
          <w:b/>
          <w:sz w:val="32"/>
          <w:szCs w:val="32"/>
        </w:rPr>
        <w:t>（一）“三公”经费财政拨款支出决算总体情况说明</w:t>
      </w:r>
      <w:bookmarkEnd w:id="91"/>
      <w:bookmarkEnd w:id="92"/>
      <w:bookmarkEnd w:id="93"/>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2019年“三公”经费财政拨款支出决算为2.95万元，完成预算100%。</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（注：上述“预算”口径为调整预算数，包括政府性基金支出决算情况。）</w:t>
      </w:r>
    </w:p>
    <w:p>
      <w:pPr>
        <w:spacing w:line="600" w:lineRule="exact"/>
        <w:ind w:firstLine="640"/>
        <w:outlineLvl w:val="2"/>
        <w:rPr>
          <w:rFonts w:ascii="仿宋" w:hAnsi="仿宋" w:eastAsia="仿宋"/>
          <w:b/>
          <w:color w:val="000000"/>
          <w:sz w:val="32"/>
          <w:szCs w:val="32"/>
        </w:rPr>
      </w:pPr>
      <w:bookmarkStart w:id="94" w:name="_Toc26472"/>
      <w:bookmarkStart w:id="95" w:name="_Toc15377217"/>
      <w:bookmarkStart w:id="96" w:name="_Toc23820"/>
      <w:r>
        <w:rPr>
          <w:rFonts w:hint="eastAsia" w:ascii="仿宋" w:hAnsi="仿宋" w:eastAsia="仿宋"/>
          <w:b/>
          <w:color w:val="000000"/>
          <w:sz w:val="32"/>
          <w:szCs w:val="32"/>
        </w:rPr>
        <w:t>（二）“三公”经费财政拨款支出决算具体情况说明</w:t>
      </w:r>
      <w:bookmarkEnd w:id="94"/>
      <w:bookmarkEnd w:id="95"/>
      <w:bookmarkEnd w:id="96"/>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2019年“三公”经费财政拨款支出决算中，因公出国（境）费支出决算0万元，占0%；公务用车购置及运行维护费支出决算2.08万元，占70.51%；公务接待费支出决算0.87万元，占29.49%。具体情况如下：</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drawing>
          <wp:anchor distT="0" distB="0" distL="114300" distR="114300" simplePos="0" relativeHeight="251700224" behindDoc="0" locked="0" layoutInCell="1" allowOverlap="1">
            <wp:simplePos x="0" y="0"/>
            <wp:positionH relativeFrom="column">
              <wp:posOffset>533400</wp:posOffset>
            </wp:positionH>
            <wp:positionV relativeFrom="paragraph">
              <wp:posOffset>219075</wp:posOffset>
            </wp:positionV>
            <wp:extent cx="4213860" cy="2764155"/>
            <wp:effectExtent l="4445" t="4445" r="10795" b="12700"/>
            <wp:wrapNone/>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pPr>
        <w:spacing w:line="600" w:lineRule="exact"/>
        <w:ind w:firstLine="640"/>
        <w:rPr>
          <w:rFonts w:ascii="仿宋" w:hAnsi="仿宋" w:eastAsia="仿宋"/>
          <w:sz w:val="32"/>
          <w:szCs w:val="32"/>
          <w:highlight w:val="yellow"/>
        </w:rPr>
      </w:pPr>
    </w:p>
    <w:p>
      <w:pPr>
        <w:spacing w:line="600" w:lineRule="exact"/>
        <w:ind w:firstLine="640"/>
        <w:rPr>
          <w:rFonts w:ascii="仿宋" w:hAnsi="仿宋" w:eastAsia="仿宋"/>
          <w:sz w:val="32"/>
          <w:szCs w:val="32"/>
          <w:highlight w:val="yellow"/>
        </w:rPr>
      </w:pPr>
    </w:p>
    <w:p>
      <w:pPr>
        <w:spacing w:line="600" w:lineRule="exact"/>
        <w:ind w:firstLine="640"/>
        <w:rPr>
          <w:rFonts w:ascii="仿宋" w:hAnsi="仿宋" w:eastAsia="仿宋"/>
          <w:sz w:val="32"/>
          <w:szCs w:val="32"/>
          <w:highlight w:val="yellow"/>
        </w:rPr>
      </w:pPr>
    </w:p>
    <w:p>
      <w:pPr>
        <w:spacing w:line="600" w:lineRule="exact"/>
        <w:ind w:firstLine="640"/>
        <w:rPr>
          <w:rFonts w:ascii="仿宋" w:hAnsi="仿宋" w:eastAsia="仿宋"/>
          <w:sz w:val="32"/>
          <w:szCs w:val="32"/>
          <w:highlight w:val="yellow"/>
        </w:rPr>
      </w:pPr>
    </w:p>
    <w:p>
      <w:pPr>
        <w:spacing w:line="600" w:lineRule="exact"/>
        <w:ind w:firstLine="640"/>
        <w:rPr>
          <w:rFonts w:ascii="仿宋" w:hAnsi="仿宋" w:eastAsia="仿宋"/>
          <w:sz w:val="32"/>
          <w:szCs w:val="32"/>
          <w:highlight w:val="yellow"/>
        </w:rPr>
      </w:pPr>
    </w:p>
    <w:p>
      <w:pPr>
        <w:spacing w:line="600" w:lineRule="exact"/>
        <w:ind w:firstLine="640"/>
        <w:rPr>
          <w:rFonts w:ascii="仿宋" w:hAnsi="仿宋" w:eastAsia="仿宋"/>
          <w:sz w:val="32"/>
          <w:szCs w:val="32"/>
          <w:highlight w:val="yellow"/>
        </w:rPr>
      </w:pPr>
    </w:p>
    <w:p>
      <w:pPr>
        <w:spacing w:line="600" w:lineRule="exact"/>
        <w:ind w:firstLine="640"/>
        <w:rPr>
          <w:rFonts w:ascii="仿宋" w:hAnsi="仿宋" w:eastAsia="仿宋"/>
          <w:sz w:val="32"/>
          <w:szCs w:val="32"/>
          <w:highlight w:val="yellow"/>
        </w:rPr>
      </w:pPr>
    </w:p>
    <w:p>
      <w:pPr>
        <w:numPr>
          <w:ilvl w:val="0"/>
          <w:numId w:val="2"/>
        </w:num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因公出国（境）经费支出</w:t>
      </w:r>
      <w:r>
        <w:rPr>
          <w:rFonts w:hint="eastAsia" w:ascii="仿宋_GB2312" w:eastAsia="仿宋_GB2312"/>
          <w:color w:val="000000"/>
          <w:sz w:val="32"/>
          <w:szCs w:val="32"/>
        </w:rPr>
        <w:t>0万元，完成预算0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w:t>
      </w:r>
      <w:r>
        <w:rPr>
          <w:rFonts w:hint="eastAsia" w:ascii="仿宋_GB2312" w:eastAsia="仿宋_GB2312"/>
          <w:color w:val="000000"/>
          <w:sz w:val="32"/>
          <w:szCs w:val="32"/>
        </w:rPr>
        <w:t>因公出国（境）支出决算与</w:t>
      </w:r>
      <w:r>
        <w:rPr>
          <w:rFonts w:ascii="仿宋_GB2312" w:eastAsia="仿宋_GB2312"/>
          <w:color w:val="000000"/>
          <w:sz w:val="32"/>
          <w:szCs w:val="32"/>
        </w:rPr>
        <w:t>201</w:t>
      </w:r>
      <w:r>
        <w:rPr>
          <w:rFonts w:hint="eastAsia" w:ascii="仿宋_GB2312" w:eastAsia="仿宋_GB2312"/>
          <w:color w:val="000000"/>
          <w:sz w:val="32"/>
          <w:szCs w:val="32"/>
        </w:rPr>
        <w:t>8年持平。</w:t>
      </w:r>
    </w:p>
    <w:p>
      <w:pPr>
        <w:spacing w:line="600" w:lineRule="exact"/>
        <w:ind w:firstLine="643" w:firstLineChars="200"/>
        <w:rPr>
          <w:rFonts w:ascii="仿宋_GB2312" w:eastAsia="仿宋_GB2312"/>
          <w:b/>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color w:val="000000"/>
          <w:sz w:val="32"/>
          <w:szCs w:val="32"/>
        </w:rPr>
        <w:t>2.08万元,完成预算100%。公务用车购置及运行维护费支出决算比2018年增加0.54万元，增长35.06</w:t>
      </w:r>
      <w:r>
        <w:rPr>
          <w:rFonts w:ascii="仿宋_GB2312" w:eastAsia="仿宋_GB2312"/>
          <w:color w:val="000000"/>
          <w:sz w:val="32"/>
          <w:szCs w:val="32"/>
        </w:rPr>
        <w:t>%</w:t>
      </w:r>
      <w:r>
        <w:rPr>
          <w:rFonts w:hint="eastAsia" w:ascii="仿宋_GB2312" w:eastAsia="仿宋_GB2312"/>
          <w:color w:val="000000"/>
          <w:sz w:val="32"/>
          <w:szCs w:val="32"/>
        </w:rPr>
        <w:t>。主要原因一是脱贫攻坚下乡次数多，二是公务用车维护费增加。</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其中：</w:t>
      </w:r>
      <w:r>
        <w:rPr>
          <w:rFonts w:hint="eastAsia" w:ascii="仿宋_GB2312" w:eastAsia="仿宋_GB2312"/>
          <w:b/>
          <w:color w:val="000000"/>
          <w:sz w:val="32"/>
          <w:szCs w:val="32"/>
        </w:rPr>
        <w:t>公务用车购置支出</w:t>
      </w:r>
      <w:r>
        <w:rPr>
          <w:rFonts w:hint="eastAsia" w:ascii="仿宋_GB2312" w:eastAsia="仿宋_GB2312"/>
          <w:color w:val="000000"/>
          <w:sz w:val="32"/>
          <w:szCs w:val="32"/>
        </w:rPr>
        <w:t>0万元。全年按规定更新购置公务用车0辆，金额0</w:t>
      </w:r>
      <w:r>
        <w:rPr>
          <w:rFonts w:ascii="仿宋_GB2312" w:eastAsia="仿宋_GB2312"/>
          <w:color w:val="000000"/>
          <w:sz w:val="32"/>
          <w:szCs w:val="32"/>
        </w:rPr>
        <w:t>元。</w:t>
      </w: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月底，单位共有公务用车1辆，其中：轿车1辆。</w:t>
      </w:r>
    </w:p>
    <w:p>
      <w:pPr>
        <w:spacing w:line="600" w:lineRule="exact"/>
        <w:ind w:firstLine="640"/>
        <w:rPr>
          <w:rFonts w:ascii="仿宋_GB2312" w:eastAsia="仿宋_GB2312"/>
          <w:color w:val="000000"/>
          <w:sz w:val="32"/>
          <w:szCs w:val="32"/>
        </w:rPr>
      </w:pPr>
      <w:r>
        <w:rPr>
          <w:rFonts w:hint="eastAsia" w:ascii="仿宋_GB2312" w:eastAsia="仿宋_GB2312"/>
          <w:b/>
          <w:color w:val="000000"/>
          <w:sz w:val="32"/>
          <w:szCs w:val="32"/>
        </w:rPr>
        <w:t>公务用车运行维护费支出</w:t>
      </w:r>
      <w:r>
        <w:rPr>
          <w:rFonts w:hint="eastAsia" w:ascii="仿宋_GB2312" w:eastAsia="仿宋_GB2312"/>
          <w:color w:val="000000"/>
          <w:sz w:val="32"/>
          <w:szCs w:val="32"/>
        </w:rPr>
        <w:t>2.08万元。主要用于下乡、出差等所需的公务用车燃料费、维修费、过路过桥费、保险费等支出。</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color w:val="000000"/>
          <w:sz w:val="32"/>
          <w:szCs w:val="32"/>
        </w:rPr>
        <w:t>0.87万元，完成预算</w:t>
      </w:r>
      <w:r>
        <w:rPr>
          <w:rStyle w:val="11"/>
          <w:rFonts w:hint="eastAsia" w:ascii="仿宋" w:hAnsi="仿宋" w:eastAsia="仿宋"/>
          <w:b w:val="0"/>
          <w:bCs/>
          <w:color w:val="000000"/>
          <w:sz w:val="32"/>
          <w:szCs w:val="32"/>
        </w:rPr>
        <w:t>100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w:t>
      </w:r>
      <w:r>
        <w:rPr>
          <w:rFonts w:hint="eastAsia" w:ascii="仿宋_GB2312" w:eastAsia="仿宋_GB2312"/>
          <w:color w:val="000000"/>
          <w:sz w:val="32"/>
          <w:szCs w:val="32"/>
        </w:rPr>
        <w:t>公务接待费支出决算比</w:t>
      </w:r>
      <w:r>
        <w:rPr>
          <w:rFonts w:ascii="仿宋_GB2312" w:eastAsia="仿宋_GB2312"/>
          <w:color w:val="000000"/>
          <w:sz w:val="32"/>
          <w:szCs w:val="32"/>
        </w:rPr>
        <w:t>201</w:t>
      </w:r>
      <w:r>
        <w:rPr>
          <w:rFonts w:hint="eastAsia" w:ascii="仿宋_GB2312" w:eastAsia="仿宋_GB2312"/>
          <w:color w:val="000000"/>
          <w:sz w:val="32"/>
          <w:szCs w:val="32"/>
        </w:rPr>
        <w:t>8年增加0.8万元，增长1142.85</w:t>
      </w:r>
      <w:r>
        <w:rPr>
          <w:rFonts w:ascii="仿宋_GB2312" w:eastAsia="仿宋_GB2312"/>
          <w:color w:val="000000"/>
          <w:sz w:val="32"/>
          <w:szCs w:val="32"/>
        </w:rPr>
        <w:t>%</w:t>
      </w:r>
      <w:r>
        <w:rPr>
          <w:rFonts w:hint="eastAsia" w:ascii="仿宋_GB2312" w:eastAsia="仿宋_GB2312"/>
          <w:color w:val="000000"/>
          <w:sz w:val="32"/>
          <w:szCs w:val="32"/>
        </w:rPr>
        <w:t>。主要原因是公务接待增加，其中：</w:t>
      </w:r>
    </w:p>
    <w:p>
      <w:pPr>
        <w:spacing w:line="600" w:lineRule="exact"/>
        <w:ind w:firstLine="640"/>
        <w:rPr>
          <w:rFonts w:ascii="仿宋_GB2312" w:eastAsia="仿宋_GB2312"/>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0.87</w:t>
      </w:r>
      <w:r>
        <w:rPr>
          <w:rFonts w:hint="eastAsia" w:ascii="仿宋_GB2312" w:eastAsia="仿宋_GB2312"/>
          <w:color w:val="000000"/>
          <w:sz w:val="32"/>
          <w:szCs w:val="32"/>
        </w:rPr>
        <w:t>万元，主要用于执行公务、开展业务活动开支的用餐费等。国内公务接待12批次，89人次（不包括陪同人员），共计支出0.87万元，具体内容包括上级机关来区检查指导残疾人事业工作。</w:t>
      </w:r>
    </w:p>
    <w:p>
      <w:pPr>
        <w:spacing w:line="600" w:lineRule="exact"/>
        <w:ind w:firstLine="643" w:firstLineChars="200"/>
        <w:rPr>
          <w:rFonts w:ascii="仿宋_GB2312" w:eastAsia="仿宋_GB2312"/>
          <w:color w:val="000000" w:themeColor="text1"/>
          <w:sz w:val="32"/>
          <w:szCs w:val="32"/>
          <w14:textFill>
            <w14:solidFill>
              <w14:schemeClr w14:val="tx1"/>
            </w14:solidFill>
          </w14:textFill>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w:t>
      </w:r>
      <w:r>
        <w:rPr>
          <w:rFonts w:hint="eastAsia" w:ascii="仿宋_GB2312" w:eastAsia="仿宋_GB2312"/>
          <w:color w:val="000000"/>
          <w:sz w:val="32"/>
          <w:szCs w:val="32"/>
        </w:rPr>
        <w:t>万元</w:t>
      </w:r>
      <w:r>
        <w:rPr>
          <w:rFonts w:hint="eastAsia" w:ascii="仿宋_GB2312" w:eastAsia="仿宋_GB2312"/>
          <w:color w:val="000000" w:themeColor="text1"/>
          <w:sz w:val="32"/>
          <w:szCs w:val="32"/>
          <w14:textFill>
            <w14:solidFill>
              <w14:schemeClr w14:val="tx1"/>
            </w14:solidFill>
          </w14:textFill>
        </w:rPr>
        <w:t>.</w:t>
      </w:r>
    </w:p>
    <w:p>
      <w:pPr>
        <w:spacing w:line="600" w:lineRule="exact"/>
        <w:ind w:firstLine="640"/>
        <w:outlineLvl w:val="1"/>
        <w:rPr>
          <w:rStyle w:val="13"/>
          <w:rFonts w:ascii="黑体" w:hAnsi="黑体" w:eastAsia="黑体"/>
        </w:rPr>
      </w:pPr>
      <w:bookmarkStart w:id="97" w:name="_Toc9623"/>
      <w:bookmarkStart w:id="98" w:name="_Toc15377218"/>
      <w:bookmarkStart w:id="99" w:name="_Toc28004"/>
      <w:bookmarkStart w:id="100" w:name="_Toc15396610"/>
      <w:r>
        <w:rPr>
          <w:rFonts w:hint="eastAsia" w:ascii="黑体" w:eastAsia="黑体"/>
          <w:color w:val="000000"/>
          <w:sz w:val="32"/>
          <w:szCs w:val="32"/>
        </w:rPr>
        <w:t>八、</w:t>
      </w:r>
      <w:r>
        <w:rPr>
          <w:rStyle w:val="13"/>
          <w:rFonts w:hint="eastAsia" w:ascii="黑体" w:hAnsi="黑体" w:eastAsia="黑体"/>
          <w:b w:val="0"/>
        </w:rPr>
        <w:t>政府性基金预算支出决算情况说明</w:t>
      </w:r>
      <w:bookmarkEnd w:id="97"/>
      <w:bookmarkEnd w:id="98"/>
      <w:bookmarkEnd w:id="99"/>
      <w:bookmarkEnd w:id="10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9年政府性基金预算拨款支出36.42万元。</w:t>
      </w:r>
    </w:p>
    <w:p>
      <w:pPr>
        <w:numPr>
          <w:ilvl w:val="0"/>
          <w:numId w:val="3"/>
        </w:numPr>
        <w:spacing w:line="600" w:lineRule="exact"/>
        <w:ind w:firstLine="640"/>
        <w:outlineLvl w:val="1"/>
        <w:rPr>
          <w:rStyle w:val="13"/>
          <w:rFonts w:ascii="黑体" w:hAnsi="黑体" w:eastAsia="黑体"/>
          <w:b w:val="0"/>
        </w:rPr>
      </w:pPr>
      <w:bookmarkStart w:id="101" w:name="_Toc9907"/>
      <w:bookmarkStart w:id="102" w:name="_Toc15396611"/>
      <w:bookmarkStart w:id="103" w:name="_Toc15377219"/>
      <w:bookmarkStart w:id="104" w:name="_Toc19493"/>
      <w:r>
        <w:rPr>
          <w:rStyle w:val="13"/>
          <w:rFonts w:hint="eastAsia" w:ascii="黑体" w:hAnsi="黑体" w:eastAsia="黑体"/>
          <w:b w:val="0"/>
        </w:rPr>
        <w:t>国有资本经营预算支出决算情况说明</w:t>
      </w:r>
      <w:bookmarkEnd w:id="101"/>
      <w:bookmarkEnd w:id="102"/>
      <w:bookmarkEnd w:id="103"/>
      <w:bookmarkEnd w:id="104"/>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color w:val="000000"/>
          <w:sz w:val="32"/>
          <w:szCs w:val="32"/>
        </w:rPr>
        <w:t>201</w:t>
      </w:r>
      <w:r>
        <w:rPr>
          <w:rFonts w:hint="eastAsia" w:ascii="仿宋_GB2312" w:eastAsia="仿宋_GB2312"/>
          <w:color w:val="000000"/>
          <w:sz w:val="32"/>
          <w:szCs w:val="32"/>
        </w:rPr>
        <w:t>9年国有资本经营预算拨款支出0万元。</w:t>
      </w:r>
    </w:p>
    <w:p>
      <w:pPr>
        <w:numPr>
          <w:ilvl w:val="0"/>
          <w:numId w:val="3"/>
        </w:numPr>
        <w:spacing w:line="600" w:lineRule="exact"/>
        <w:ind w:firstLine="640"/>
        <w:outlineLvl w:val="1"/>
        <w:rPr>
          <w:rStyle w:val="13"/>
          <w:rFonts w:ascii="黑体" w:hAnsi="黑体" w:eastAsia="黑体"/>
          <w:b w:val="0"/>
        </w:rPr>
      </w:pPr>
      <w:bookmarkStart w:id="105" w:name="_Toc24378"/>
      <w:bookmarkStart w:id="106" w:name="_Toc15396612"/>
      <w:bookmarkStart w:id="107" w:name="_Toc15377221"/>
      <w:bookmarkStart w:id="108" w:name="_Toc12114"/>
      <w:r>
        <w:rPr>
          <w:rStyle w:val="13"/>
          <w:rFonts w:hint="eastAsia" w:ascii="黑体" w:hAnsi="黑体" w:eastAsia="黑体"/>
          <w:b w:val="0"/>
        </w:rPr>
        <w:t>其他重要事项的情况说明</w:t>
      </w:r>
      <w:bookmarkEnd w:id="105"/>
      <w:bookmarkEnd w:id="106"/>
      <w:bookmarkEnd w:id="107"/>
      <w:bookmarkEnd w:id="108"/>
    </w:p>
    <w:p>
      <w:pPr>
        <w:spacing w:line="600" w:lineRule="exact"/>
        <w:ind w:firstLine="640"/>
        <w:rPr>
          <w:rFonts w:ascii="仿宋_GB2312" w:eastAsia="仿宋_GB2312"/>
          <w:color w:val="000000"/>
          <w:sz w:val="32"/>
          <w:szCs w:val="32"/>
        </w:rPr>
      </w:pPr>
      <w:r>
        <w:rPr>
          <w:rFonts w:hint="eastAsia" w:ascii="仿宋_GB2312" w:eastAsia="仿宋_GB2312"/>
          <w:color w:val="000000"/>
          <w:sz w:val="32"/>
          <w:szCs w:val="32"/>
        </w:rPr>
        <w:t>(无）</w:t>
      </w:r>
    </w:p>
    <w:p>
      <w:pPr>
        <w:spacing w:line="600" w:lineRule="exact"/>
        <w:ind w:firstLine="643" w:firstLineChars="200"/>
        <w:outlineLvl w:val="2"/>
        <w:rPr>
          <w:rFonts w:ascii="仿宋" w:hAnsi="仿宋" w:eastAsia="仿宋"/>
          <w:color w:val="000000"/>
          <w:sz w:val="32"/>
          <w:szCs w:val="32"/>
        </w:rPr>
      </w:pPr>
      <w:bookmarkStart w:id="109" w:name="_Toc15377222"/>
      <w:bookmarkStart w:id="110" w:name="_Toc17850"/>
      <w:bookmarkStart w:id="111" w:name="_Toc15330"/>
      <w:r>
        <w:rPr>
          <w:rFonts w:hint="eastAsia" w:ascii="仿宋" w:hAnsi="仿宋" w:eastAsia="仿宋"/>
          <w:b/>
          <w:color w:val="000000"/>
          <w:sz w:val="32"/>
          <w:szCs w:val="32"/>
        </w:rPr>
        <w:t>（一）机关运行经费支出情况</w:t>
      </w:r>
      <w:bookmarkEnd w:id="109"/>
      <w:bookmarkEnd w:id="110"/>
      <w:bookmarkEnd w:id="111"/>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color w:val="000000"/>
          <w:sz w:val="32"/>
          <w:szCs w:val="32"/>
        </w:rPr>
        <w:t>201</w:t>
      </w:r>
      <w:r>
        <w:rPr>
          <w:rFonts w:hint="eastAsia" w:ascii="仿宋_GB2312" w:eastAsia="仿宋_GB2312"/>
          <w:color w:val="000000"/>
          <w:sz w:val="32"/>
          <w:szCs w:val="32"/>
        </w:rPr>
        <w:t>9年，区残联机关运行经费支出13.62万元，比</w:t>
      </w:r>
      <w:r>
        <w:rPr>
          <w:rFonts w:ascii="仿宋_GB2312" w:eastAsia="仿宋_GB2312"/>
          <w:color w:val="000000"/>
          <w:sz w:val="32"/>
          <w:szCs w:val="32"/>
        </w:rPr>
        <w:t>201</w:t>
      </w:r>
      <w:r>
        <w:rPr>
          <w:rFonts w:hint="eastAsia" w:ascii="仿宋_GB2312" w:eastAsia="仿宋_GB2312"/>
          <w:color w:val="000000"/>
          <w:sz w:val="32"/>
          <w:szCs w:val="32"/>
        </w:rPr>
        <w:t>8年增加3.75万元，增长37.99</w:t>
      </w:r>
      <w:r>
        <w:rPr>
          <w:rFonts w:ascii="仿宋_GB2312" w:eastAsia="仿宋_GB2312"/>
          <w:color w:val="000000"/>
          <w:sz w:val="32"/>
          <w:szCs w:val="32"/>
        </w:rPr>
        <w:t>%</w:t>
      </w:r>
      <w:r>
        <w:rPr>
          <w:rFonts w:hint="eastAsia" w:ascii="仿宋_GB2312" w:eastAsia="仿宋_GB2312"/>
          <w:color w:val="000000"/>
          <w:sz w:val="32"/>
          <w:szCs w:val="32"/>
        </w:rPr>
        <w:t>。</w:t>
      </w:r>
      <w:r>
        <w:rPr>
          <w:rFonts w:hint="eastAsia" w:ascii="仿宋_GB2312" w:eastAsia="仿宋_GB2312"/>
          <w:color w:val="000000" w:themeColor="text1"/>
          <w:sz w:val="32"/>
          <w:szCs w:val="32"/>
          <w14:textFill>
            <w14:solidFill>
              <w14:schemeClr w14:val="tx1"/>
            </w14:solidFill>
          </w14:textFill>
        </w:rPr>
        <w:t>主要原因是按实际业务情况安排支出。</w:t>
      </w:r>
    </w:p>
    <w:p>
      <w:pPr>
        <w:spacing w:line="60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（注：数据来源于财决附03表）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12" w:name="_Toc15377223"/>
      <w:bookmarkStart w:id="113" w:name="_Toc14434"/>
      <w:bookmarkStart w:id="114" w:name="_Toc5988"/>
      <w:r>
        <w:rPr>
          <w:rFonts w:hint="eastAsia" w:ascii="仿宋" w:hAnsi="仿宋" w:eastAsia="仿宋"/>
          <w:b/>
          <w:color w:val="000000"/>
          <w:sz w:val="32"/>
          <w:szCs w:val="32"/>
        </w:rPr>
        <w:t>（二）政府采购支出情况</w:t>
      </w:r>
      <w:bookmarkEnd w:id="112"/>
      <w:bookmarkEnd w:id="113"/>
      <w:bookmarkEnd w:id="114"/>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9年，区残联政府采购支出总额4.68万元，其中：政府采购货物支出4.68万元、政府采购工程支出0万元、政府采购服务支出0万元。主要用于办公设备采购。授予中小企业合同金额4.68万元，占政府采购支出总额的100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，其中：授予小微企业合同金额4.68万元，占政府采购支出总额的100</w:t>
      </w:r>
      <w:r>
        <w:rPr>
          <w:rFonts w:ascii="仿宋_GB2312" w:eastAsia="仿宋_GB2312"/>
          <w:color w:val="000000"/>
          <w:sz w:val="32"/>
          <w:szCs w:val="32"/>
        </w:rPr>
        <w:t>%</w:t>
      </w:r>
      <w:r>
        <w:rPr>
          <w:rFonts w:hint="eastAsia" w:ascii="仿宋_GB2312" w:eastAsia="仿宋_GB2312"/>
          <w:color w:val="000000"/>
          <w:sz w:val="32"/>
          <w:szCs w:val="32"/>
        </w:rPr>
        <w:t>。</w:t>
      </w:r>
    </w:p>
    <w:p>
      <w:pPr>
        <w:spacing w:line="600" w:lineRule="exact"/>
        <w:ind w:firstLine="643" w:firstLineChars="200"/>
        <w:rPr>
          <w:rFonts w:ascii="仿宋" w:hAnsi="仿宋" w:eastAsia="仿宋"/>
          <w:b/>
          <w:sz w:val="32"/>
          <w:szCs w:val="32"/>
        </w:rPr>
      </w:pPr>
      <w:r>
        <w:rPr>
          <w:rFonts w:hint="eastAsia" w:ascii="仿宋" w:hAnsi="仿宋" w:eastAsia="仿宋"/>
          <w:b/>
          <w:sz w:val="32"/>
          <w:szCs w:val="32"/>
        </w:rPr>
        <w:t>（注：数据来源于财决附</w:t>
      </w:r>
      <w:r>
        <w:rPr>
          <w:rFonts w:ascii="仿宋" w:hAnsi="仿宋" w:eastAsia="仿宋"/>
          <w:b/>
          <w:sz w:val="32"/>
          <w:szCs w:val="32"/>
        </w:rPr>
        <w:t>03</w:t>
      </w:r>
      <w:r>
        <w:rPr>
          <w:rFonts w:hint="eastAsia" w:ascii="仿宋" w:hAnsi="仿宋" w:eastAsia="仿宋"/>
          <w:b/>
          <w:sz w:val="32"/>
          <w:szCs w:val="32"/>
        </w:rPr>
        <w:t>表）</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15" w:name="_Toc20196"/>
      <w:bookmarkStart w:id="116" w:name="_Toc10920"/>
      <w:bookmarkStart w:id="117" w:name="_Toc15377224"/>
      <w:r>
        <w:rPr>
          <w:rFonts w:hint="eastAsia" w:ascii="仿宋" w:hAnsi="仿宋" w:eastAsia="仿宋"/>
          <w:b/>
          <w:color w:val="000000"/>
          <w:sz w:val="32"/>
          <w:szCs w:val="32"/>
        </w:rPr>
        <w:t>（三）国有资产占有使用情况</w:t>
      </w:r>
      <w:bookmarkEnd w:id="115"/>
      <w:bookmarkEnd w:id="116"/>
      <w:bookmarkEnd w:id="117"/>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9年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日，区残联共有车辆1辆，其中：主要领导干部用车0辆、机要通信用车0辆、应急保障用车1辆、其他用车0辆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3" w:firstLineChars="200"/>
        <w:jc w:val="left"/>
        <w:rPr>
          <w:rFonts w:ascii="仿宋" w:hAnsi="仿宋" w:eastAsia="仿宋"/>
          <w:b/>
          <w:color w:val="FF0000"/>
          <w:sz w:val="32"/>
          <w:szCs w:val="32"/>
        </w:rPr>
      </w:pPr>
      <w:r>
        <w:rPr>
          <w:rFonts w:hint="eastAsia" w:ascii="仿宋" w:hAnsi="仿宋" w:eastAsia="仿宋"/>
          <w:b/>
          <w:sz w:val="32"/>
          <w:szCs w:val="32"/>
        </w:rPr>
        <w:t>（注：数据来源财决附</w:t>
      </w:r>
      <w:r>
        <w:rPr>
          <w:rFonts w:ascii="仿宋" w:hAnsi="仿宋" w:eastAsia="仿宋"/>
          <w:b/>
          <w:sz w:val="32"/>
          <w:szCs w:val="32"/>
        </w:rPr>
        <w:t>03</w:t>
      </w:r>
      <w:r>
        <w:rPr>
          <w:rFonts w:hint="eastAsia" w:ascii="仿宋" w:hAnsi="仿宋" w:eastAsia="仿宋"/>
          <w:b/>
          <w:sz w:val="32"/>
          <w:szCs w:val="32"/>
        </w:rPr>
        <w:t>表，按部门决算报表填报数据罗列车辆情况。）</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118" w:name="_Toc5191"/>
      <w:bookmarkStart w:id="119" w:name="_Toc23817"/>
      <w:r>
        <w:rPr>
          <w:rFonts w:hint="eastAsia" w:ascii="仿宋" w:hAnsi="仿宋" w:eastAsia="仿宋"/>
          <w:b/>
          <w:color w:val="000000"/>
          <w:sz w:val="32"/>
          <w:szCs w:val="32"/>
        </w:rPr>
        <w:t>（四）预算绩效管理情况。</w:t>
      </w:r>
      <w:bookmarkEnd w:id="118"/>
      <w:bookmarkEnd w:id="119"/>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会在年初预算编制阶段，组织对5个项目开展了预算事前绩效评估，对5个项目编制了绩效目标，预算执行过程中，选取5个项目开展绩效监控，年终执行完毕后，对5个项目开展了绩效目标完成情况梳理填报。</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本部门按要求对2019年部门整体支出开展绩效自评，从评价情况来看</w:t>
      </w:r>
      <w:r>
        <w:rPr>
          <w:rFonts w:ascii="仿宋_GB2312" w:hAnsi="仿宋_GB2312" w:eastAsia="仿宋_GB2312" w:cs="仿宋_GB2312"/>
          <w:sz w:val="32"/>
          <w:szCs w:val="32"/>
        </w:rPr>
        <w:t>，绩效目标全面完成，取得了一定的经济和社会效益，单位财务制度健全，管理规范，得到有效执行。本部门还自行组织了</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个项目绩效评价，从评价情况来看，项目实施严格按照实施方案执行，完成情况良好，取得较好的经济效益和社会效益。</w:t>
      </w:r>
    </w:p>
    <w:p>
      <w:pPr>
        <w:spacing w:line="58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1.项目绩效目标完成情况。</w:t>
      </w:r>
      <w:r>
        <w:rPr>
          <w:rFonts w:hint="eastAsia" w:ascii="楷体_GB2312" w:hAnsi="楷体_GB2312" w:eastAsia="楷体_GB2312" w:cs="楷体_GB2312"/>
          <w:sz w:val="32"/>
          <w:szCs w:val="32"/>
        </w:rPr>
        <w:br w:type="textWrapping"/>
      </w:r>
      <w:r>
        <w:rPr>
          <w:rFonts w:hint="eastAsia" w:ascii="仿宋_GB2312" w:hAnsi="仿宋_GB2312" w:eastAsia="仿宋_GB2312" w:cs="仿宋_GB2312"/>
          <w:sz w:val="32"/>
          <w:szCs w:val="32"/>
        </w:rPr>
        <w:t xml:space="preserve">    本部门在2019年度部门决算中反映“城乡残疾人居家灵活就业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“扶持农村贫困残疾人发展生产</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残疾人家庭无障碍改造”等5个项目绩效目标实际完成情况。（本单位部门项目绩效目标个数在5个以上的，选取5个项目进行公开，目标个数在5个以下的，全部进行公开，公开内容包括选取的全部项目完成情况综述和完成情况表）。</w:t>
      </w:r>
    </w:p>
    <w:p>
      <w:pPr>
        <w:numPr>
          <w:ilvl w:val="0"/>
          <w:numId w:val="4"/>
        </w:numPr>
        <w:spacing w:line="58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个项目绩效目标完成情况综述。项目全年预算数61.71万元，执行数为94.21万元，完成预算的153%。通过项目实施，解决了残疾人反映最迫切的重点困难问题，坚持普惠特惠政策相结合，切实改善了农村贫困残疾人和重度残疾人生产生活状况。</w:t>
      </w:r>
    </w:p>
    <w:tbl>
      <w:tblPr>
        <w:tblStyle w:val="9"/>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noWrap/>
            <w:tcMar>
              <w:top w:w="15" w:type="dxa"/>
              <w:left w:w="15" w:type="dxa"/>
              <w:bottom w:w="0" w:type="dxa"/>
              <w:right w:w="15" w:type="dxa"/>
            </w:tcMar>
            <w:vAlign w:val="center"/>
          </w:tcPr>
          <w:p>
            <w:pPr>
              <w:pStyle w:val="14"/>
              <w:widowControl/>
              <w:ind w:left="4173" w:leftChars="1310" w:hanging="1422" w:hangingChars="395"/>
              <w:textAlignment w:val="center"/>
              <w:rPr>
                <w:rFonts w:ascii="黑体" w:hAnsi="黑体" w:eastAsia="黑体" w:cs="宋体"/>
                <w:bCs/>
                <w:color w:val="000000"/>
                <w:kern w:val="0"/>
                <w:sz w:val="36"/>
                <w:szCs w:val="36"/>
              </w:rPr>
            </w:pPr>
          </w:p>
          <w:p>
            <w:pPr>
              <w:pStyle w:val="14"/>
              <w:widowControl/>
              <w:ind w:left="4173" w:leftChars="1310" w:hanging="1422" w:hangingChars="395"/>
              <w:textAlignment w:val="center"/>
              <w:rPr>
                <w:rFonts w:ascii="黑体" w:hAnsi="黑体" w:eastAsia="黑体" w:cs="宋体"/>
                <w:bCs/>
                <w:color w:val="000000"/>
                <w:kern w:val="0"/>
                <w:sz w:val="36"/>
                <w:szCs w:val="36"/>
              </w:rPr>
            </w:pPr>
          </w:p>
          <w:p>
            <w:pPr>
              <w:pStyle w:val="14"/>
              <w:widowControl/>
              <w:ind w:left="4173" w:leftChars="1310" w:hanging="1422" w:hangingChars="395"/>
              <w:textAlignment w:val="center"/>
              <w:rPr>
                <w:rFonts w:ascii="黑体" w:hAnsi="黑体" w:eastAsia="黑体" w:cs="宋体"/>
                <w:bCs/>
                <w:color w:val="000000"/>
                <w:kern w:val="0"/>
                <w:sz w:val="36"/>
                <w:szCs w:val="36"/>
              </w:rPr>
            </w:pPr>
          </w:p>
          <w:p>
            <w:pPr>
              <w:pStyle w:val="14"/>
              <w:widowControl/>
              <w:ind w:left="4173" w:leftChars="1310" w:hanging="1422" w:hangingChars="395"/>
              <w:textAlignment w:val="center"/>
              <w:rPr>
                <w:rFonts w:ascii="黑体" w:hAnsi="黑体" w:eastAsia="黑体" w:cs="宋体"/>
                <w:bCs/>
                <w:color w:val="000000"/>
                <w:kern w:val="0"/>
                <w:sz w:val="36"/>
                <w:szCs w:val="36"/>
              </w:rPr>
            </w:pPr>
          </w:p>
          <w:p>
            <w:pPr>
              <w:pStyle w:val="14"/>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(2019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ind w:firstLine="480" w:firstLineChars="200"/>
              <w:jc w:val="left"/>
              <w:textAlignment w:val="center"/>
              <w:rPr>
                <w:rFonts w:ascii="宋体" w:hAnsi="宋体" w:cs="宋体"/>
                <w:color w:val="000000"/>
                <w:sz w:val="24"/>
              </w:rPr>
            </w:pPr>
            <w:r>
              <w:rPr>
                <w:rFonts w:hint="eastAsia" w:ascii="宋体" w:hAnsi="宋体" w:cs="宋体"/>
                <w:color w:val="000000"/>
                <w:sz w:val="24"/>
              </w:rPr>
              <w:t>城乡残疾人居家灵活就业、扶持农村贫困残疾人发展生产、为贫困家庭脑瘫儿童提供康复救助、救助贫困家庭听力残疾儿童、残疾人家庭无障碍改造。</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乐山市金口河区残疾人联合会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61.71</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94.21</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94.21</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94.21</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计划对1269名残疾人实施扶持政策，投入资金61.71万元。</w:t>
            </w:r>
          </w:p>
        </w:tc>
        <w:tc>
          <w:tcPr>
            <w:tcW w:w="4786" w:type="dxa"/>
            <w:gridSpan w:val="2"/>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实际完成了对1186名残疾人实施扶持政策，投入资金94.21万元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jc w:val="center"/>
              <w:textAlignment w:val="center"/>
              <w:rPr>
                <w:rFonts w:ascii="宋体" w:hAnsi="宋体" w:cs="宋体"/>
                <w:color w:val="000000"/>
                <w:sz w:val="24"/>
              </w:rPr>
            </w:pPr>
            <w:r>
              <w:rPr>
                <w:rFonts w:hint="eastAsia" w:ascii="宋体" w:hAnsi="宋体" w:cs="宋体"/>
                <w:color w:val="000000"/>
                <w:sz w:val="24"/>
              </w:rPr>
              <w:t>绩效指标完成情</w:t>
            </w: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auto" w:sz="4" w:space="0"/>
              <w:right w:val="single" w:color="auto" w:sz="4" w:space="0"/>
            </w:tcBorders>
            <w:noWrap/>
            <w:vAlign w:val="center"/>
          </w:tcPr>
          <w:p>
            <w:pPr>
              <w:widowControl/>
              <w:jc w:val="left"/>
              <w:rPr>
                <w:rFonts w:ascii="宋体" w:hAnsi="宋体" w:cs="宋体"/>
                <w:color w:val="000000"/>
                <w:sz w:val="24"/>
              </w:rPr>
            </w:pPr>
          </w:p>
        </w:tc>
        <w:tc>
          <w:tcPr>
            <w:tcW w:w="1367" w:type="dxa"/>
            <w:tcBorders>
              <w:top w:val="single" w:color="000000"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项目完成  指标</w:t>
            </w:r>
          </w:p>
          <w:p>
            <w:pPr>
              <w:widowControl/>
              <w:jc w:val="center"/>
              <w:textAlignment w:val="center"/>
              <w:rPr>
                <w:rFonts w:ascii="宋体" w:hAnsi="宋体" w:cs="宋体"/>
                <w:color w:val="000000"/>
                <w:sz w:val="24"/>
              </w:rPr>
            </w:pPr>
          </w:p>
        </w:tc>
        <w:tc>
          <w:tcPr>
            <w:tcW w:w="1025"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发放就业补贴</w:t>
            </w:r>
          </w:p>
        </w:tc>
        <w:tc>
          <w:tcPr>
            <w:tcW w:w="2394"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370人</w:t>
            </w:r>
          </w:p>
        </w:tc>
        <w:tc>
          <w:tcPr>
            <w:tcW w:w="2392" w:type="dxa"/>
            <w:tcBorders>
              <w:top w:val="single" w:color="000000"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370人</w:t>
            </w:r>
          </w:p>
        </w:tc>
      </w:tr>
      <w:tr>
        <w:tblPrEx>
          <w:tblCellMar>
            <w:top w:w="0" w:type="dxa"/>
            <w:left w:w="0" w:type="dxa"/>
            <w:bottom w:w="0" w:type="dxa"/>
            <w:right w:w="0" w:type="dxa"/>
          </w:tblCellMar>
        </w:tblPrEx>
        <w:trPr>
          <w:trHeight w:val="1297" w:hRule="atLeast"/>
        </w:trPr>
        <w:tc>
          <w:tcPr>
            <w:tcW w:w="390" w:type="dxa"/>
            <w:vMerge w:val="restart"/>
            <w:tcBorders>
              <w:top w:val="single" w:color="auto" w:sz="4" w:space="0"/>
              <w:left w:val="single" w:color="000000" w:sz="4" w:space="0"/>
              <w:bottom w:val="single" w:color="000000" w:sz="4" w:space="0"/>
              <w:right w:val="single" w:color="auto" w:sz="4" w:space="0"/>
            </w:tcBorders>
            <w:noWrap/>
            <w:vAlign w:val="center"/>
          </w:tcPr>
          <w:p>
            <w:pPr>
              <w:jc w:val="center"/>
              <w:textAlignment w:val="center"/>
              <w:rPr>
                <w:rFonts w:ascii="宋体" w:hAnsi="宋体" w:cs="宋体"/>
                <w:color w:val="000000"/>
                <w:sz w:val="24"/>
              </w:rPr>
            </w:pPr>
            <w:r>
              <w:rPr>
                <w:rFonts w:hint="eastAsia" w:ascii="宋体" w:hAnsi="宋体" w:cs="宋体"/>
                <w:color w:val="000000"/>
                <w:sz w:val="24"/>
              </w:rPr>
              <w:t>况</w:t>
            </w:r>
          </w:p>
        </w:tc>
        <w:tc>
          <w:tcPr>
            <w:tcW w:w="1367" w:type="dxa"/>
            <w:vMerge w:val="restart"/>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1025" w:type="dxa"/>
            <w:vMerge w:val="restart"/>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发放实物扶持</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84人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85人</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noWrap/>
            <w:vAlign w:val="center"/>
          </w:tcPr>
          <w:p>
            <w:pPr>
              <w:widowControl/>
              <w:jc w:val="left"/>
              <w:rPr>
                <w:rFonts w:ascii="宋体" w:hAnsi="宋体" w:cs="宋体"/>
                <w:color w:val="000000"/>
                <w:sz w:val="24"/>
              </w:rPr>
            </w:pPr>
          </w:p>
        </w:tc>
        <w:tc>
          <w:tcPr>
            <w:tcW w:w="1367" w:type="dxa"/>
            <w:vMerge w:val="continue"/>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脑瘫手术或康复训练</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3人</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auto" w:sz="4" w:space="0"/>
            </w:tcBorders>
            <w:noWrap/>
            <w:vAlign w:val="center"/>
          </w:tcPr>
          <w:p>
            <w:pPr>
              <w:widowControl/>
              <w:jc w:val="left"/>
              <w:rPr>
                <w:rFonts w:ascii="宋体" w:hAnsi="宋体" w:cs="宋体"/>
                <w:color w:val="000000"/>
                <w:sz w:val="24"/>
              </w:rPr>
            </w:pPr>
          </w:p>
        </w:tc>
        <w:tc>
          <w:tcPr>
            <w:tcW w:w="1367" w:type="dxa"/>
            <w:vMerge w:val="continue"/>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一、二级重度残疾人医疗保险补助</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791人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658人</w:t>
            </w:r>
          </w:p>
        </w:tc>
      </w:tr>
      <w:tr>
        <w:tblPrEx>
          <w:tblCellMar>
            <w:top w:w="0" w:type="dxa"/>
            <w:left w:w="0" w:type="dxa"/>
            <w:bottom w:w="0" w:type="dxa"/>
            <w:right w:w="0" w:type="dxa"/>
          </w:tblCellMar>
        </w:tblPrEx>
        <w:trPr>
          <w:trHeight w:val="757" w:hRule="atLeast"/>
        </w:trPr>
        <w:tc>
          <w:tcPr>
            <w:tcW w:w="390" w:type="dxa"/>
            <w:vMerge w:val="continue"/>
            <w:tcBorders>
              <w:top w:val="single" w:color="000000" w:sz="4" w:space="0"/>
              <w:left w:val="single" w:color="000000" w:sz="4" w:space="0"/>
              <w:bottom w:val="single" w:color="000000" w:sz="4" w:space="0"/>
              <w:right w:val="single" w:color="auto" w:sz="4" w:space="0"/>
            </w:tcBorders>
            <w:noWrap/>
            <w:vAlign w:val="center"/>
          </w:tcPr>
          <w:p>
            <w:pPr>
              <w:widowControl/>
              <w:jc w:val="left"/>
              <w:rPr>
                <w:rFonts w:ascii="宋体" w:hAnsi="宋体" w:cs="宋体"/>
                <w:color w:val="000000"/>
                <w:sz w:val="24"/>
              </w:rPr>
            </w:pPr>
          </w:p>
        </w:tc>
        <w:tc>
          <w:tcPr>
            <w:tcW w:w="1367" w:type="dxa"/>
            <w:vMerge w:val="continue"/>
            <w:tcBorders>
              <w:top w:val="single" w:color="auto" w:sz="4" w:space="0"/>
              <w:left w:val="single" w:color="auto"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1025" w:type="dxa"/>
            <w:vMerge w:val="continue"/>
            <w:tcBorders>
              <w:top w:val="single" w:color="auto" w:sz="4" w:space="0"/>
              <w:left w:val="single" w:color="000000" w:sz="4" w:space="0"/>
              <w:bottom w:val="single" w:color="auto"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实施无障碍改造</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21人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70人</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sz w:val="24"/>
              </w:rPr>
            </w:pPr>
          </w:p>
        </w:tc>
        <w:tc>
          <w:tcPr>
            <w:tcW w:w="1367"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auto"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经济效益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发放实物扶持</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85人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通过发放实物进行养殖扶持,并通过技术培训和指导,残疾人切实掌握了养殖技术,残疾人家庭经济收入得了到明显提高。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sz w:val="24"/>
              </w:rPr>
            </w:pPr>
          </w:p>
        </w:tc>
        <w:tc>
          <w:tcPr>
            <w:tcW w:w="1367" w:type="dxa"/>
            <w:vMerge w:val="restart"/>
            <w:tcBorders>
              <w:top w:val="single" w:color="000000" w:sz="4" w:space="0"/>
              <w:left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效益指标</w:t>
            </w:r>
          </w:p>
          <w:p>
            <w:pPr>
              <w:widowControl/>
              <w:jc w:val="center"/>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残疾人扶贫攻坚</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1101人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通过不同扶贫方式,缩小了贫富差距，残疾人实现了真脱贫脱真贫，残疾人的幸福指数得到不断提高。</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sz w:val="24"/>
              </w:rPr>
            </w:pPr>
          </w:p>
        </w:tc>
        <w:tc>
          <w:tcPr>
            <w:tcW w:w="1367" w:type="dxa"/>
            <w:vMerge w:val="continue"/>
            <w:tcBorders>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kern w:val="0"/>
                <w:sz w:val="24"/>
              </w:rPr>
            </w:pP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生态效益</w:t>
            </w:r>
          </w:p>
          <w:p>
            <w:pPr>
              <w:widowControl/>
              <w:jc w:val="center"/>
              <w:textAlignment w:val="center"/>
              <w:rPr>
                <w:rFonts w:ascii="宋体" w:hAnsi="宋体" w:cs="宋体"/>
                <w:color w:val="000000"/>
                <w:sz w:val="24"/>
              </w:rPr>
            </w:pPr>
            <w:r>
              <w:rPr>
                <w:rFonts w:hint="eastAsia" w:ascii="宋体" w:hAnsi="宋体" w:cs="宋体"/>
                <w:color w:val="000000"/>
                <w:sz w:val="24"/>
              </w:rPr>
              <w:t>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绿色服务</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1101人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将绿色发展要求贯穿残疾人的管理和服务全过程，畅通服务渠道，着力建设成为了资源节约、生态环保、节能高效、服务提升的绿色型服务机构。</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服务对象</w:t>
            </w:r>
          </w:p>
          <w:p>
            <w:pPr>
              <w:widowControl/>
              <w:jc w:val="center"/>
              <w:textAlignment w:val="center"/>
              <w:rPr>
                <w:rFonts w:ascii="宋体" w:hAnsi="宋体" w:cs="宋体"/>
                <w:color w:val="000000"/>
                <w:sz w:val="24"/>
              </w:rPr>
            </w:pPr>
            <w:r>
              <w:rPr>
                <w:rFonts w:hint="eastAsia" w:ascii="宋体" w:hAnsi="宋体" w:cs="宋体"/>
                <w:color w:val="000000"/>
                <w:sz w:val="24"/>
              </w:rPr>
              <w:t>满意度指标</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残疾人满意度</w:t>
            </w:r>
          </w:p>
        </w:tc>
        <w:tc>
          <w:tcPr>
            <w:tcW w:w="2394"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1186人</w:t>
            </w:r>
          </w:p>
        </w:tc>
        <w:tc>
          <w:tcPr>
            <w:tcW w:w="2392"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r>
    </w:tbl>
    <w:p>
      <w:pPr>
        <w:spacing w:line="580" w:lineRule="exact"/>
        <w:rPr>
          <w:rFonts w:ascii="仿宋_GB2312" w:hAnsi="仿宋_GB2312" w:eastAsia="仿宋_GB2312" w:cs="仿宋_GB2312"/>
          <w:sz w:val="32"/>
          <w:szCs w:val="32"/>
        </w:rPr>
      </w:pPr>
    </w:p>
    <w:p>
      <w:pPr>
        <w:spacing w:line="580" w:lineRule="exact"/>
        <w:ind w:left="630"/>
        <w:rPr>
          <w:rFonts w:ascii="仿宋_GB2312" w:hAnsi="仿宋_GB2312" w:eastAsia="仿宋_GB2312" w:cs="仿宋_GB2312"/>
          <w:sz w:val="32"/>
          <w:szCs w:val="32"/>
        </w:rPr>
      </w:pPr>
      <w:r>
        <w:rPr>
          <w:rFonts w:hint="eastAsia" w:ascii="楷体_GB2312" w:hAnsi="楷体_GB2312" w:eastAsia="楷体_GB2312" w:cs="楷体_GB2312"/>
          <w:sz w:val="32"/>
          <w:szCs w:val="32"/>
        </w:rPr>
        <w:t>2.部门绩效评价结果。</w:t>
      </w:r>
    </w:p>
    <w:p>
      <w:pPr>
        <w:spacing w:line="58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本部门按要求对2019年部门整体支出绩效评价情况开展自评，《乐山市金口河区残疾人联合会2019年部门整体支出绩效评价报告》见附件（附件1）。</w:t>
      </w:r>
    </w:p>
    <w:p>
      <w:pPr>
        <w:spacing w:line="580" w:lineRule="exact"/>
        <w:ind w:firstLine="640" w:firstLineChars="200"/>
        <w:jc w:val="left"/>
        <w:rPr>
          <w:rFonts w:ascii="仿宋_GB2312" w:eastAsia="仿宋_GB2312"/>
          <w:b/>
          <w:color w:val="000000"/>
          <w:sz w:val="32"/>
          <w:szCs w:val="32"/>
        </w:rPr>
      </w:pPr>
      <w:r>
        <w:rPr>
          <w:rFonts w:hint="eastAsia" w:ascii="仿宋_GB2312" w:hAnsi="仿宋_GB2312" w:eastAsia="仿宋_GB2312" w:cs="仿宋_GB2312"/>
          <w:sz w:val="32"/>
          <w:szCs w:val="32"/>
        </w:rPr>
        <w:t>本部门自行组织对发放就业补贴等项目开展了绩效评价，《2019年发放就业补贴项目绩效评价报告》见附件（附件2）。</w:t>
      </w:r>
    </w:p>
    <w:p>
      <w:pPr>
        <w:widowControl/>
        <w:jc w:val="left"/>
        <w:rPr>
          <w:rFonts w:ascii="仿宋_GB2312" w:eastAsia="仿宋_GB2312"/>
          <w:b/>
          <w:color w:val="000000"/>
          <w:sz w:val="32"/>
          <w:szCs w:val="32"/>
        </w:rPr>
      </w:pPr>
      <w:r>
        <w:rPr>
          <w:rFonts w:ascii="仿宋_GB2312" w:eastAsia="仿宋_GB2312"/>
          <w:b/>
          <w:color w:val="000000"/>
          <w:sz w:val="32"/>
          <w:szCs w:val="32"/>
        </w:rPr>
        <w:br w:type="page"/>
      </w:r>
    </w:p>
    <w:p>
      <w:pPr>
        <w:numPr>
          <w:ilvl w:val="0"/>
          <w:numId w:val="5"/>
        </w:numPr>
        <w:spacing w:line="600" w:lineRule="exact"/>
        <w:ind w:firstLine="660" w:firstLineChars="150"/>
        <w:jc w:val="center"/>
        <w:outlineLvl w:val="0"/>
        <w:rPr>
          <w:rStyle w:val="12"/>
          <w:rFonts w:ascii="黑体" w:hAnsi="黑体" w:eastAsia="黑体"/>
          <w:b w:val="0"/>
        </w:rPr>
      </w:pPr>
      <w:bookmarkStart w:id="120" w:name="_Toc15377225"/>
      <w:bookmarkStart w:id="121" w:name="_Toc7306"/>
      <w:bookmarkStart w:id="122" w:name="_Toc28813"/>
      <w:bookmarkStart w:id="123" w:name="_Toc15396613"/>
      <w:r>
        <w:rPr>
          <w:rFonts w:hint="eastAsia" w:ascii="黑体" w:hAnsi="黑体" w:eastAsia="黑体"/>
          <w:color w:val="000000"/>
          <w:sz w:val="44"/>
          <w:szCs w:val="44"/>
        </w:rPr>
        <w:t>名</w:t>
      </w:r>
      <w:r>
        <w:rPr>
          <w:rStyle w:val="12"/>
          <w:rFonts w:hint="eastAsia" w:ascii="黑体" w:hAnsi="黑体" w:eastAsia="黑体"/>
          <w:b w:val="0"/>
        </w:rPr>
        <w:t>词解释</w:t>
      </w:r>
      <w:bookmarkEnd w:id="120"/>
      <w:bookmarkEnd w:id="121"/>
      <w:bookmarkEnd w:id="122"/>
      <w:bookmarkEnd w:id="123"/>
    </w:p>
    <w:p>
      <w:pPr>
        <w:spacing w:line="600" w:lineRule="exact"/>
        <w:jc w:val="left"/>
        <w:rPr>
          <w:rFonts w:ascii="宋体"/>
          <w:b/>
          <w:color w:val="000000"/>
          <w:sz w:val="44"/>
          <w:szCs w:val="44"/>
        </w:rPr>
      </w:pPr>
    </w:p>
    <w:p>
      <w:pPr>
        <w:pStyle w:val="1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1.财政拨款收入：指单位从同级财政部门取得的财政预算资金。</w:t>
      </w:r>
    </w:p>
    <w:p>
      <w:pPr>
        <w:pStyle w:val="1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2.事业收入：指事业单位开展专业业务活动及辅助活动取得的收入。如…（二级预算单位事业收入情况）等。</w:t>
      </w:r>
    </w:p>
    <w:p>
      <w:pPr>
        <w:pStyle w:val="1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3.经营收入：指事业单位在专业业务活动及其辅助活动之外开展非独立核算经营活动取得的收入。如…（二级预算单位经营收入情况）等。</w:t>
      </w:r>
    </w:p>
    <w:p>
      <w:pPr>
        <w:pStyle w:val="1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4.其他收入：指单位取得的除上述收入以外的各项收入。主要是…（收入类型）等。 </w:t>
      </w:r>
    </w:p>
    <w:p>
      <w:pPr>
        <w:pStyle w:val="1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5.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 </w:t>
      </w:r>
    </w:p>
    <w:p>
      <w:pPr>
        <w:pStyle w:val="1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 xml:space="preserve">6.年初结转和结余：指以前年度尚未完成、结转到本年按有关规定继续使用的资金。 </w:t>
      </w:r>
    </w:p>
    <w:p>
      <w:pPr>
        <w:pStyle w:val="1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7.结余分配：指事业单位按照事业单位会计制度的规定从非财政补助结余中分配的事业基金和职工福利基金等。</w:t>
      </w:r>
    </w:p>
    <w:p>
      <w:pPr>
        <w:pStyle w:val="1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8、年末结转和结余：指单位按有关规定结转到下年或以后年度继续使用的资金。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9.社会保障和就业：</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2080505（机关事业单位基本养老保险缴费支出）：反映机关事业单位实施养老保险制度由单位缴纳的基本养老保险支出。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2080506（机关事业单位职业年金缴费支出）：反映机关事业单位实施养老保险制度由单位缴纳的职业年金支出。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2080599（其他行政事业单位离退休支出）：反映出上述项目以外其他用于行政事业单位离退休方面的支出。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2081101（行政运行）：指反映行政单位（包括实行公务员管理的事业单位）的基本支出。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2081104（残疾人康复）：指反映残疾人联合会用于残疾人康复方面的支出。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2081105（残疾人就业和扶贫）：指反映残疾人联合会用于残疾人职业介绍、培训和服务，以及残疾人扶贫等方面的支出。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2081106（残疾人体育）：指反映残疾人联合会用于残疾人体育方面的支出。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2081107（</w:t>
      </w:r>
      <w:r>
        <w:rPr>
          <w:rFonts w:hint="eastAsia" w:ascii="仿宋_GB2312" w:eastAsia="仿宋_GB2312"/>
          <w:color w:val="000000"/>
          <w:sz w:val="32"/>
          <w:szCs w:val="32"/>
        </w:rPr>
        <w:tab/>
      </w:r>
      <w:r>
        <w:rPr>
          <w:rFonts w:hint="eastAsia" w:ascii="仿宋_GB2312" w:eastAsia="仿宋_GB2312"/>
          <w:color w:val="000000"/>
          <w:sz w:val="32"/>
          <w:szCs w:val="32"/>
        </w:rPr>
        <w:t>残疾人生活和护理补贴）：指反映困难残疾人生活补贴和重度残疾人护理补贴支出。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2081199（其他残疾人事业支出）：指反映除上述项目以外其他用于残疾人事业方面的支出。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6.医疗卫生与计划生育：</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2101101（行政单位医疗支出）：反映财政部门集中安排的行政单位基本医疗保险缴费经费。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2101102（事业单位医疗支出）：指反映财政部门集中安排的事业单位基本医疗保险缴费经费，未参加医疗保险的事业单位的公费医疗经费，按国家规定享受离休人员待遇的医疗经费。</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7.农林水支出</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2130599（其他扶贫支出）：反映除上述项目以外其他用于扶贫方面的支出。。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8.住房保障支出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2210201（住房公积金）：指反映行政事业单位按人力和社会保障部、财政部规定的基本工资和津贴补贴以及规定比例为职工缴纳的住房公积金。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10.项目支出：指在基本支出之外为完成特定行政任务和事业发展目标所发生的支出。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11.经营支出：指事业单位在专业业务活动及其辅助活动之外开展非独立核算经营活动发生的支出。</w:t>
      </w:r>
    </w:p>
    <w:p>
      <w:pPr>
        <w:pStyle w:val="1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11.“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5"/>
        <w:spacing w:line="560" w:lineRule="exact"/>
        <w:ind w:firstLine="640" w:firstLineChars="200"/>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12.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（名词解释部分请根据各部门实际列支情况罗列，并根据本部门职责职能增减名词解释内容。）</w:t>
      </w:r>
    </w:p>
    <w:p>
      <w:pPr>
        <w:spacing w:line="600" w:lineRule="exact"/>
        <w:jc w:val="center"/>
        <w:outlineLvl w:val="0"/>
        <w:rPr>
          <w:rStyle w:val="12"/>
          <w:rFonts w:ascii="黑体" w:hAnsi="黑体" w:eastAsia="黑体"/>
          <w:b w:val="0"/>
        </w:rPr>
      </w:pPr>
      <w:bookmarkStart w:id="124" w:name="_Toc15377226"/>
      <w:r>
        <w:rPr>
          <w:rFonts w:ascii="宋体"/>
          <w:b/>
          <w:color w:val="000000"/>
          <w:sz w:val="44"/>
          <w:szCs w:val="44"/>
        </w:rPr>
        <w:br w:type="page"/>
      </w:r>
      <w:bookmarkStart w:id="125" w:name="_Toc24264"/>
      <w:bookmarkStart w:id="126" w:name="_Toc15396614"/>
      <w:bookmarkStart w:id="127" w:name="_Toc17258"/>
      <w:r>
        <w:rPr>
          <w:rFonts w:hint="eastAsia" w:ascii="黑体" w:hAnsi="黑体" w:eastAsia="黑体"/>
          <w:color w:val="000000"/>
          <w:sz w:val="44"/>
          <w:szCs w:val="44"/>
        </w:rPr>
        <w:t>第</w:t>
      </w:r>
      <w:r>
        <w:rPr>
          <w:rStyle w:val="12"/>
          <w:rFonts w:hint="eastAsia" w:ascii="黑体" w:hAnsi="黑体" w:eastAsia="黑体"/>
          <w:b w:val="0"/>
        </w:rPr>
        <w:t>四部分 附件</w:t>
      </w:r>
      <w:bookmarkEnd w:id="125"/>
      <w:bookmarkEnd w:id="126"/>
      <w:bookmarkEnd w:id="127"/>
    </w:p>
    <w:p>
      <w:pPr>
        <w:pStyle w:val="3"/>
      </w:pPr>
      <w:bookmarkStart w:id="128" w:name="_Toc29893"/>
      <w:bookmarkStart w:id="129" w:name="_Toc29969"/>
      <w:r>
        <w:rPr>
          <w:rFonts w:hint="eastAsia"/>
        </w:rPr>
        <w:t>附件1</w:t>
      </w:r>
      <w:bookmarkEnd w:id="128"/>
      <w:bookmarkEnd w:id="129"/>
    </w:p>
    <w:p>
      <w:pPr>
        <w:spacing w:line="580" w:lineRule="exact"/>
        <w:jc w:val="center"/>
        <w:rPr>
          <w:rFonts w:ascii="方正小标宋简体" w:hAnsi="宋体" w:eastAsia="方正小标宋简体"/>
          <w:color w:val="000000"/>
          <w:kern w:val="0"/>
          <w:sz w:val="40"/>
          <w:szCs w:val="44"/>
        </w:rPr>
      </w:pPr>
    </w:p>
    <w:p>
      <w:pPr>
        <w:spacing w:line="580" w:lineRule="exact"/>
        <w:jc w:val="center"/>
        <w:rPr>
          <w:rFonts w:ascii="方正小标宋简体" w:hAnsi="方正小标宋简体" w:eastAsia="方正小标宋简体" w:cs="方正小标宋简体"/>
          <w:sz w:val="44"/>
          <w:szCs w:val="44"/>
        </w:rPr>
      </w:pPr>
      <w:r>
        <w:rPr>
          <w:rFonts w:hint="eastAsia" w:ascii="方正小标宋简体" w:hAnsi="宋体" w:eastAsia="方正小标宋简体"/>
          <w:color w:val="000000"/>
          <w:kern w:val="0"/>
          <w:sz w:val="40"/>
          <w:szCs w:val="44"/>
        </w:rPr>
        <w:t>乐山市金口河区残疾人联合会</w:t>
      </w:r>
    </w:p>
    <w:p>
      <w:pPr>
        <w:spacing w:line="600" w:lineRule="exact"/>
        <w:jc w:val="center"/>
        <w:rPr>
          <w:rFonts w:ascii="方正小标宋简体" w:hAnsi="宋体" w:eastAsia="方正小标宋简体"/>
          <w:color w:val="000000"/>
          <w:kern w:val="0"/>
          <w:sz w:val="40"/>
          <w:szCs w:val="44"/>
          <w:lang w:val="zh-CN"/>
        </w:rPr>
      </w:pPr>
      <w:r>
        <w:rPr>
          <w:rFonts w:ascii="方正小标宋简体" w:hAnsi="宋体" w:eastAsia="方正小标宋简体"/>
          <w:color w:val="000000"/>
          <w:kern w:val="0"/>
          <w:sz w:val="40"/>
          <w:szCs w:val="44"/>
        </w:rPr>
        <w:t>2019年部门</w:t>
      </w:r>
      <w:r>
        <w:rPr>
          <w:rFonts w:hint="eastAsia" w:ascii="方正小标宋简体" w:hAnsi="宋体" w:eastAsia="方正小标宋简体"/>
          <w:color w:val="000000"/>
          <w:kern w:val="0"/>
          <w:sz w:val="40"/>
          <w:szCs w:val="44"/>
          <w:lang w:val="zh-CN"/>
        </w:rPr>
        <w:t>整体支出绩效评价报告</w:t>
      </w:r>
    </w:p>
    <w:p>
      <w:pPr>
        <w:widowControl/>
        <w:adjustRightInd w:val="0"/>
        <w:snapToGrid w:val="0"/>
        <w:spacing w:line="580" w:lineRule="exact"/>
        <w:ind w:firstLine="480" w:firstLineChars="200"/>
        <w:contextualSpacing/>
        <w:jc w:val="left"/>
        <w:rPr>
          <w:rFonts w:ascii="黑体" w:hAnsi="宋体" w:eastAsia="黑体" w:cs="宋体"/>
          <w:color w:val="000000"/>
          <w:kern w:val="0"/>
          <w:sz w:val="24"/>
          <w:szCs w:val="32"/>
          <w:shd w:val="clear" w:color="auto" w:fill="FFFFFF"/>
        </w:rPr>
      </w:pP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ind w:firstLine="640" w:firstLineChars="200"/>
        <w:rPr>
          <w:rFonts w:ascii="仿宋_GB2312" w:eastAsia="仿宋_GB2312"/>
          <w:color w:val="000000"/>
          <w:sz w:val="32"/>
          <w:szCs w:val="32"/>
          <w:lang w:val="zh-CN"/>
        </w:rPr>
      </w:pPr>
      <w:r>
        <w:rPr>
          <w:rFonts w:hint="eastAsia" w:ascii="仿宋_GB2312" w:eastAsia="仿宋_GB2312"/>
          <w:color w:val="000000"/>
          <w:sz w:val="32"/>
          <w:szCs w:val="32"/>
          <w:lang w:val="zh-CN"/>
        </w:rPr>
        <w:t>（一）机构组成。</w:t>
      </w:r>
    </w:p>
    <w:p>
      <w:pPr>
        <w:ind w:firstLine="640" w:firstLineChars="200"/>
        <w:rPr>
          <w:rFonts w:ascii="仿宋_GB2312" w:eastAsia="仿宋_GB2312"/>
          <w:color w:val="000000"/>
          <w:sz w:val="32"/>
          <w:szCs w:val="32"/>
          <w:lang w:val="zh-CN"/>
        </w:rPr>
      </w:pPr>
      <w:r>
        <w:rPr>
          <w:rFonts w:hint="eastAsia" w:ascii="仿宋_GB2312" w:eastAsia="仿宋_GB2312"/>
          <w:color w:val="000000"/>
          <w:sz w:val="32"/>
          <w:szCs w:val="32"/>
        </w:rPr>
        <w:t>区残联属参照公务员法管理的人民群众团体组织机构，无二级机构。</w:t>
      </w:r>
    </w:p>
    <w:p>
      <w:pPr>
        <w:pStyle w:val="8"/>
        <w:numPr>
          <w:ilvl w:val="0"/>
          <w:numId w:val="6"/>
        </w:numPr>
        <w:shd w:val="clear" w:color="auto" w:fill="FFFFFF"/>
        <w:spacing w:before="0" w:beforeAutospacing="0" w:after="0" w:afterAutospacing="0" w:line="540" w:lineRule="atLeast"/>
        <w:ind w:firstLine="645"/>
        <w:rPr>
          <w:rFonts w:ascii="仿宋_GB2312" w:eastAsia="仿宋_GB2312"/>
          <w:color w:val="000000"/>
          <w:sz w:val="32"/>
          <w:szCs w:val="32"/>
          <w:shd w:val="clear" w:color="auto" w:fill="FFFFFF"/>
          <w:lang w:val="zh-CN"/>
        </w:rPr>
      </w:pPr>
      <w:r>
        <w:rPr>
          <w:rFonts w:hint="eastAsia" w:ascii="仿宋_GB2312" w:eastAsia="仿宋_GB2312"/>
          <w:color w:val="000000"/>
          <w:sz w:val="32"/>
          <w:szCs w:val="32"/>
          <w:shd w:val="clear" w:color="auto" w:fill="FFFFFF"/>
          <w:lang w:val="zh-CN"/>
        </w:rPr>
        <w:t>机构职能。</w:t>
      </w:r>
    </w:p>
    <w:p>
      <w:pPr>
        <w:pStyle w:val="8"/>
        <w:shd w:val="clear" w:color="auto" w:fill="FFFFFF"/>
        <w:spacing w:before="0" w:beforeAutospacing="0" w:after="0" w:afterAutospacing="0" w:line="540" w:lineRule="atLeast"/>
        <w:ind w:firstLine="640" w:firstLineChars="200"/>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（1）听取残疾人意见，反映残疾人需求，维护残疾人权益，为残疾人服务。</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（2）团结、教育残疾人遵守法律，履行应尽的义务，发扬乐观进取精神，自尊、自信、自强、自立，为社会主义建设贡献力量。</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（3）弘扬人道主义，宣传残疾人事业，沟通政府、社会与残疾人之间的联系，动员社会理解、尊重、关心、帮助残疾人。</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（4）开展残疾人康复、扶贫、教育、劳动就业、文化、体育、科研、用品用具、福利、社会服务、无障碍设施和残疾预防等工作。创造良好的环境和条件，扶助残疾人平等参与社会生活。</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（5）协助政府研究，制定和实施残疾人事业政策、规划和计划，起草有关保障残疾人权益的法规草案，调查和掌握残疾人状况，向政府提出决策建议，对有关业务领域进行指导和管理。</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（6）协助乡、镇、彝族乡党委考察残联干部及管理培训工作。</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（7）承担区政府残疾人工作委员会的日常工作，做好综合、组织、协调和服务。</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（8）组织实施残疾人分散按比例就业工作，指导监督和宏观管理残疾人社会福利企业，会同有关部门实施残疾人社会福利生产的扶持保护政策。</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（9）指导和管理残疾人开展各项活动。</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（10）统筹开展为残疾人事业募捐活动。</w:t>
      </w:r>
    </w:p>
    <w:p>
      <w:pPr>
        <w:pStyle w:val="8"/>
        <w:shd w:val="clear" w:color="auto" w:fill="FFFFFF"/>
        <w:spacing w:before="0" w:beforeAutospacing="0" w:after="0" w:afterAutospacing="0" w:line="540" w:lineRule="atLeast"/>
        <w:ind w:firstLine="645"/>
        <w:rPr>
          <w:rFonts w:ascii="仿宋_GB2312" w:hAnsi="Times New Roman" w:eastAsia="仿宋_GB2312" w:cs="Times New Roman"/>
          <w:color w:val="000000"/>
          <w:kern w:val="2"/>
          <w:sz w:val="32"/>
          <w:szCs w:val="32"/>
        </w:rPr>
      </w:pPr>
      <w:r>
        <w:rPr>
          <w:rFonts w:hint="eastAsia" w:ascii="仿宋_GB2312" w:hAnsi="Times New Roman" w:eastAsia="仿宋_GB2312" w:cs="Times New Roman"/>
          <w:color w:val="000000"/>
          <w:kern w:val="2"/>
          <w:sz w:val="32"/>
          <w:szCs w:val="32"/>
        </w:rPr>
        <w:t>（11）开展残疾人事业的对外交流与合作。</w:t>
      </w:r>
    </w:p>
    <w:p>
      <w:pPr>
        <w:widowControl/>
        <w:adjustRightInd w:val="0"/>
        <w:snapToGrid w:val="0"/>
        <w:spacing w:line="580" w:lineRule="exact"/>
        <w:ind w:firstLine="640" w:firstLineChars="200"/>
        <w:contextualSpacing/>
        <w:jc w:val="left"/>
        <w:rPr>
          <w:rFonts w:ascii="仿宋_GB2312" w:eastAsia="仿宋_GB2312"/>
          <w:color w:val="000000"/>
          <w:sz w:val="32"/>
          <w:szCs w:val="32"/>
          <w:lang w:val="zh-CN"/>
        </w:rPr>
      </w:pPr>
      <w:r>
        <w:rPr>
          <w:rFonts w:hint="eastAsia" w:ascii="仿宋_GB2312" w:eastAsia="仿宋_GB2312"/>
          <w:color w:val="000000"/>
          <w:sz w:val="32"/>
          <w:szCs w:val="32"/>
        </w:rPr>
        <w:t>（12）承办区政府和市残联交办的其它工作。</w:t>
      </w:r>
    </w:p>
    <w:p>
      <w:pPr>
        <w:snapToGrid w:val="0"/>
        <w:spacing w:line="520" w:lineRule="exact"/>
        <w:ind w:firstLine="640" w:firstLineChars="200"/>
        <w:rPr>
          <w:rFonts w:ascii="仿宋_GB2312" w:eastAsia="仿宋_GB2312"/>
          <w:color w:val="000000"/>
          <w:sz w:val="32"/>
          <w:szCs w:val="32"/>
          <w:lang w:val="zh-CN"/>
        </w:rPr>
      </w:pPr>
      <w:r>
        <w:rPr>
          <w:rFonts w:hint="eastAsia" w:ascii="仿宋_GB2312" w:eastAsia="仿宋_GB2312"/>
          <w:color w:val="000000"/>
          <w:sz w:val="32"/>
          <w:szCs w:val="32"/>
          <w:lang w:val="zh-CN"/>
        </w:rPr>
        <w:t>（三）人员概况。</w:t>
      </w:r>
    </w:p>
    <w:p>
      <w:pPr>
        <w:snapToGrid w:val="0"/>
        <w:spacing w:line="520" w:lineRule="exact"/>
        <w:ind w:firstLine="640" w:firstLineChars="200"/>
        <w:rPr>
          <w:rFonts w:ascii="仿宋_GB2312" w:eastAsia="仿宋_GB2312"/>
          <w:color w:val="000000"/>
          <w:sz w:val="32"/>
          <w:szCs w:val="32"/>
          <w:lang w:val="zh-CN"/>
        </w:rPr>
      </w:pPr>
      <w:r>
        <w:rPr>
          <w:rFonts w:hint="eastAsia" w:ascii="仿宋_GB2312" w:eastAsia="仿宋_GB2312"/>
          <w:color w:val="000000"/>
          <w:sz w:val="32"/>
          <w:szCs w:val="32"/>
        </w:rPr>
        <w:t>本年度在职人员6人，其中：公务员2人，参公人员1人,工勤人员2名，事业管理人员1人。</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80" w:lineRule="exact"/>
        <w:ind w:firstLine="640" w:firstLineChars="200"/>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snapToGrid w:val="0"/>
        <w:spacing w:line="560" w:lineRule="exact"/>
        <w:ind w:firstLine="640" w:firstLineChars="200"/>
        <w:rPr>
          <w:rFonts w:ascii="仿宋_GB2312" w:hAnsi="宋体" w:eastAsia="仿宋_GB2312" w:cs="宋体"/>
          <w:color w:val="000000"/>
          <w:kern w:val="0"/>
          <w:sz w:val="32"/>
          <w:szCs w:val="32"/>
          <w:shd w:val="clear" w:color="auto" w:fill="FFFFFF"/>
          <w:lang w:val="zh-CN"/>
        </w:rPr>
      </w:pPr>
      <w:r>
        <w:rPr>
          <w:rFonts w:hint="eastAsia" w:ascii="仿宋_GB2312" w:hAnsi="仿宋" w:eastAsia="仿宋_GB2312"/>
          <w:sz w:val="32"/>
          <w:szCs w:val="32"/>
        </w:rPr>
        <w:t>2019年</w:t>
      </w:r>
      <w:r>
        <w:rPr>
          <w:rFonts w:hint="eastAsia" w:ascii="仿宋_GB2312" w:hAnsi="宋体" w:eastAsia="仿宋_GB2312" w:cs="宋体"/>
          <w:color w:val="000000"/>
          <w:kern w:val="0"/>
          <w:sz w:val="32"/>
          <w:szCs w:val="32"/>
          <w:shd w:val="clear" w:color="auto" w:fill="FFFFFF"/>
          <w:lang w:val="zh-CN"/>
        </w:rPr>
        <w:t>财政资金</w:t>
      </w:r>
      <w:r>
        <w:rPr>
          <w:rFonts w:hint="eastAsia" w:ascii="仿宋_GB2312" w:hAnsi="仿宋" w:eastAsia="仿宋_GB2312"/>
          <w:sz w:val="32"/>
          <w:szCs w:val="32"/>
        </w:rPr>
        <w:t>收入总额为</w:t>
      </w:r>
      <w:r>
        <w:rPr>
          <w:rFonts w:ascii="仿宋_GB2312" w:eastAsia="仿宋_GB2312"/>
          <w:sz w:val="30"/>
          <w:szCs w:val="30"/>
        </w:rPr>
        <w:t>434.55</w:t>
      </w:r>
      <w:r>
        <w:rPr>
          <w:rFonts w:hint="eastAsia" w:ascii="仿宋_GB2312" w:hAnsi="仿宋" w:eastAsia="仿宋_GB2312"/>
          <w:sz w:val="32"/>
          <w:szCs w:val="32"/>
        </w:rPr>
        <w:t>万元。</w:t>
      </w:r>
    </w:p>
    <w:p>
      <w:pPr>
        <w:widowControl/>
        <w:numPr>
          <w:ilvl w:val="0"/>
          <w:numId w:val="6"/>
        </w:numPr>
        <w:adjustRightInd w:val="0"/>
        <w:snapToGrid w:val="0"/>
        <w:spacing w:line="580" w:lineRule="exact"/>
        <w:ind w:firstLine="645"/>
        <w:contextualSpacing/>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部门财政资金支出情况。</w:t>
      </w:r>
    </w:p>
    <w:p>
      <w:pPr>
        <w:ind w:firstLine="600" w:firstLineChars="200"/>
        <w:jc w:val="left"/>
        <w:rPr>
          <w:rFonts w:ascii="仿宋_GB2312" w:hAnsi="宋体" w:eastAsia="仿宋_GB2312" w:cs="宋体"/>
          <w:color w:val="000000"/>
          <w:kern w:val="0"/>
          <w:sz w:val="32"/>
          <w:szCs w:val="32"/>
          <w:shd w:val="clear" w:color="auto" w:fill="FFFFFF"/>
          <w:lang w:val="zh-CN"/>
        </w:rPr>
      </w:pPr>
      <w:r>
        <w:rPr>
          <w:rFonts w:hint="eastAsia" w:ascii="仿宋_GB2312" w:eastAsia="仿宋_GB2312"/>
          <w:sz w:val="30"/>
          <w:szCs w:val="30"/>
        </w:rPr>
        <w:t>本年支出总额</w:t>
      </w:r>
      <w:r>
        <w:rPr>
          <w:rFonts w:ascii="仿宋_GB2312" w:eastAsia="仿宋_GB2312"/>
          <w:sz w:val="30"/>
          <w:szCs w:val="30"/>
        </w:rPr>
        <w:t>427.58</w:t>
      </w:r>
      <w:r>
        <w:rPr>
          <w:rFonts w:hint="eastAsia" w:ascii="仿宋_GB2312" w:eastAsia="仿宋_GB2312"/>
          <w:sz w:val="30"/>
          <w:szCs w:val="30"/>
        </w:rPr>
        <w:t>万元，其中基本支出</w:t>
      </w:r>
      <w:r>
        <w:rPr>
          <w:rFonts w:ascii="仿宋_GB2312" w:eastAsia="仿宋_GB2312"/>
          <w:sz w:val="30"/>
          <w:szCs w:val="30"/>
        </w:rPr>
        <w:t>111.73</w:t>
      </w:r>
      <w:r>
        <w:rPr>
          <w:rFonts w:hint="eastAsia" w:ascii="仿宋_GB2312" w:eastAsia="仿宋_GB2312"/>
          <w:sz w:val="30"/>
          <w:szCs w:val="30"/>
        </w:rPr>
        <w:t>万元，占总支出的26.13%%，基本支出中人员支出</w:t>
      </w:r>
      <w:r>
        <w:rPr>
          <w:rFonts w:ascii="仿宋_GB2312" w:eastAsia="仿宋_GB2312"/>
          <w:sz w:val="30"/>
          <w:szCs w:val="30"/>
        </w:rPr>
        <w:t>98.11</w:t>
      </w:r>
      <w:r>
        <w:rPr>
          <w:rFonts w:hint="eastAsia" w:ascii="仿宋_GB2312" w:eastAsia="仿宋_GB2312"/>
          <w:sz w:val="30"/>
          <w:szCs w:val="30"/>
        </w:rPr>
        <w:t>万元，公用支出</w:t>
      </w:r>
      <w:r>
        <w:rPr>
          <w:rFonts w:ascii="仿宋_GB2312" w:eastAsia="仿宋_GB2312"/>
          <w:sz w:val="30"/>
          <w:szCs w:val="30"/>
        </w:rPr>
        <w:t>13.62</w:t>
      </w:r>
      <w:r>
        <w:rPr>
          <w:rFonts w:hint="eastAsia" w:ascii="仿宋_GB2312" w:eastAsia="仿宋_GB2312"/>
          <w:sz w:val="30"/>
          <w:szCs w:val="30"/>
        </w:rPr>
        <w:t>万元；项目支出</w:t>
      </w:r>
      <w:r>
        <w:rPr>
          <w:rFonts w:ascii="仿宋_GB2312" w:eastAsia="仿宋_GB2312"/>
          <w:sz w:val="30"/>
          <w:szCs w:val="30"/>
        </w:rPr>
        <w:t>315.86</w:t>
      </w:r>
      <w:r>
        <w:rPr>
          <w:rFonts w:hint="eastAsia" w:ascii="仿宋_GB2312" w:eastAsia="仿宋_GB2312"/>
          <w:sz w:val="30"/>
          <w:szCs w:val="30"/>
        </w:rPr>
        <w:t>万元，占总支出的73.87%。</w:t>
      </w:r>
    </w:p>
    <w:p>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三、部门整体预算绩效管理情况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（一）部门预算管理</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 xml:space="preserve">根据我会开展工作实际情况，合理的制定了绩效目标项目6个，资金预算编制基本准确，在项目资金管理和支出过程中，严格按财务制度实行专款专用，严格按项目的执行进度对资金进行支付，致使项目实施无违规违纪现象发生。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（二）专项预算管理</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专项预算项目通过召开会议研究决定，并根据我区残疾人实际情况进行科学合理规划项目，项目规划好后将任务及时分配到各乡镇，各乡镇按照任务和相关要求进行实施，区残联负责对项目实施进度进行监督、对项目资金实行监管，严格按照一支笔签字原则，层层把关审核，确保资金使用安全，实现了全年无违规记录现象，全面完成了预算绩效目标。</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通过客观公正的自我评价和目标公开，清晰的反映了项目规划实施的合理性，切实解决了残疾人的重点困难问题，充分提高资金使用效益，贫困残疾人得到了实惠，幸福指数得到了提高，从而进一步提升了残疾人的满意度。</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本部门开展项目绩效评价，得分为97分。</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w:t>
      </w:r>
      <w:r>
        <w:rPr>
          <w:rFonts w:ascii="仿宋" w:hAnsi="仿宋" w:eastAsia="仿宋" w:cs="仿宋_GB2312"/>
          <w:sz w:val="32"/>
          <w:szCs w:val="32"/>
        </w:rPr>
        <w:t>存在问题</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年初制定绩效目标任务项目内容不精准，导致符合实施条件的对象稀缺，资金预算过大，资金投入未完成即定目标。</w:t>
      </w:r>
    </w:p>
    <w:p>
      <w:pPr>
        <w:numPr>
          <w:ilvl w:val="0"/>
          <w:numId w:val="7"/>
        </w:num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改进建议</w:t>
      </w:r>
    </w:p>
    <w:p>
      <w:pPr>
        <w:pStyle w:val="14"/>
        <w:spacing w:line="580" w:lineRule="exact"/>
        <w:ind w:left="141" w:leftChars="67" w:firstLine="640"/>
        <w:rPr>
          <w:rFonts w:ascii="仿宋" w:hAnsi="仿宋" w:eastAsia="仿宋" w:cs="仿宋_GB2312"/>
          <w:sz w:val="32"/>
          <w:szCs w:val="32"/>
        </w:rPr>
      </w:pPr>
      <w:r>
        <w:rPr>
          <w:rFonts w:hint="eastAsia" w:ascii="仿宋" w:hAnsi="仿宋" w:eastAsia="仿宋" w:cs="仿宋"/>
          <w:color w:val="000000"/>
          <w:sz w:val="32"/>
          <w:szCs w:val="32"/>
        </w:rPr>
        <w:t>提前做好一二级重度残疾人医疗保险补助人员的筛查统计，尽量将年初预算项目资金精准落实到位，</w:t>
      </w:r>
      <w:r>
        <w:rPr>
          <w:rFonts w:hint="eastAsia" w:ascii="仿宋" w:hAnsi="仿宋" w:eastAsia="仿宋" w:cs="仿宋_GB2312"/>
          <w:sz w:val="32"/>
          <w:szCs w:val="32"/>
        </w:rPr>
        <w:t>确保目标任务的全面完成。</w:t>
      </w:r>
    </w:p>
    <w:p>
      <w:pPr>
        <w:pStyle w:val="14"/>
        <w:spacing w:line="580" w:lineRule="exact"/>
        <w:ind w:left="420" w:firstLine="0" w:firstLineChars="0"/>
        <w:rPr>
          <w:rFonts w:ascii="仿宋" w:hAnsi="仿宋" w:eastAsia="仿宋" w:cs="仿宋_GB2312"/>
          <w:sz w:val="32"/>
          <w:szCs w:val="32"/>
          <w:highlight w:val="yellow"/>
        </w:rPr>
      </w:pPr>
    </w:p>
    <w:p>
      <w:pPr>
        <w:spacing w:line="580" w:lineRule="exact"/>
        <w:ind w:left="420" w:leftChars="200"/>
        <w:rPr>
          <w:rFonts w:ascii="仿宋" w:hAnsi="仿宋" w:eastAsia="仿宋"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ind w:firstLine="640" w:firstLineChars="200"/>
        <w:rPr>
          <w:rFonts w:ascii="仿宋_GB2312" w:hAnsi="仿宋_GB2312" w:eastAsia="仿宋_GB2312" w:cs="仿宋_GB2312"/>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spacing w:line="580" w:lineRule="exact"/>
        <w:rPr>
          <w:rFonts w:ascii="黑体" w:hAnsi="黑体" w:eastAsia="黑体" w:cs="黑体"/>
          <w:sz w:val="32"/>
          <w:szCs w:val="32"/>
        </w:rPr>
      </w:pPr>
    </w:p>
    <w:p>
      <w:pPr>
        <w:pStyle w:val="3"/>
      </w:pPr>
      <w:bookmarkStart w:id="130" w:name="_Toc10742"/>
      <w:r>
        <w:rPr>
          <w:rFonts w:hint="eastAsia"/>
        </w:rPr>
        <w:t>附件2</w:t>
      </w:r>
      <w:bookmarkEnd w:id="130"/>
    </w:p>
    <w:p>
      <w:pPr>
        <w:spacing w:line="580" w:lineRule="exact"/>
        <w:ind w:firstLine="640" w:firstLineChars="200"/>
        <w:rPr>
          <w:rFonts w:ascii="仿宋_GB2312" w:hAnsi="仿宋_GB2312" w:eastAsia="仿宋_GB2312" w:cs="仿宋_GB2312"/>
          <w:sz w:val="32"/>
          <w:szCs w:val="32"/>
        </w:rPr>
      </w:pP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2019年发放就业补贴等项目</w:t>
      </w:r>
    </w:p>
    <w:p>
      <w:pPr>
        <w:spacing w:line="580" w:lineRule="exact"/>
        <w:jc w:val="center"/>
        <w:rPr>
          <w:rFonts w:ascii="黑体" w:hAnsi="黑体" w:eastAsia="黑体" w:cs="方正小标宋简体"/>
          <w:sz w:val="44"/>
          <w:szCs w:val="44"/>
        </w:rPr>
      </w:pPr>
      <w:r>
        <w:rPr>
          <w:rFonts w:hint="eastAsia" w:ascii="黑体" w:hAnsi="黑体" w:eastAsia="黑体" w:cs="方正小标宋简体"/>
          <w:sz w:val="44"/>
          <w:szCs w:val="44"/>
        </w:rPr>
        <w:t>支出绩效评价报告</w:t>
      </w:r>
    </w:p>
    <w:p>
      <w:pPr>
        <w:spacing w:line="580" w:lineRule="exact"/>
        <w:ind w:firstLine="640" w:firstLineChars="200"/>
        <w:rPr>
          <w:rFonts w:ascii="仿宋_GB2312" w:hAnsi="仿宋_GB2312" w:eastAsia="仿宋_GB2312" w:cs="仿宋_GB2312"/>
          <w:sz w:val="32"/>
          <w:szCs w:val="32"/>
        </w:rPr>
      </w:pPr>
    </w:p>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一</w:t>
      </w:r>
      <w:r>
        <w:rPr>
          <w:rFonts w:ascii="仿宋" w:hAnsi="仿宋" w:eastAsia="仿宋" w:cs="仿宋_GB2312"/>
          <w:b/>
          <w:sz w:val="32"/>
          <w:szCs w:val="32"/>
        </w:rPr>
        <w:t>、评价工作开展及项目情况</w:t>
      </w:r>
    </w:p>
    <w:p>
      <w:pPr>
        <w:spacing w:line="578" w:lineRule="exact"/>
        <w:ind w:firstLine="960" w:firstLineChars="300"/>
        <w:outlineLvl w:val="0"/>
        <w:rPr>
          <w:rFonts w:ascii="仿宋" w:hAnsi="仿宋" w:eastAsia="仿宋"/>
          <w:bCs/>
          <w:color w:val="000000"/>
          <w:sz w:val="32"/>
          <w:szCs w:val="32"/>
        </w:rPr>
      </w:pPr>
      <w:bookmarkStart w:id="131" w:name="_Toc14249"/>
      <w:bookmarkStart w:id="132" w:name="_Toc28017"/>
      <w:bookmarkStart w:id="133" w:name="_Toc18055"/>
      <w:r>
        <w:rPr>
          <w:rFonts w:hint="eastAsia" w:ascii="仿宋" w:hAnsi="仿宋" w:eastAsia="仿宋"/>
          <w:bCs/>
          <w:color w:val="000000"/>
          <w:sz w:val="32"/>
          <w:szCs w:val="32"/>
        </w:rPr>
        <w:t>一是制定了评价指标。二是年初进行项目绩效目标申报，并严格按绩效目标进行实施。三是对项目的实施，均按规定进行了招投标和比选程序，最后采取方案优、低价中标的方式，选取优质企业作为项目的实施主体，项目实施完后由企业将项目实施资料交予我会审核，同时由我会到实地进行验收，验收合格后便形成验收报告。2019年我会实施的所有项目整个程序合规，无违纪违规现象发生。</w:t>
      </w:r>
      <w:bookmarkEnd w:id="131"/>
      <w:bookmarkEnd w:id="132"/>
      <w:bookmarkEnd w:id="133"/>
    </w:p>
    <w:p>
      <w:pPr>
        <w:spacing w:line="578" w:lineRule="exact"/>
        <w:ind w:firstLine="420" w:firstLineChars="200"/>
        <w:outlineLvl w:val="0"/>
        <w:rPr>
          <w:bCs/>
          <w:color w:val="000000"/>
          <w:szCs w:val="32"/>
        </w:rPr>
      </w:pPr>
      <w:bookmarkStart w:id="134" w:name="_Toc11160"/>
      <w:bookmarkStart w:id="135" w:name="_Toc12019"/>
      <w:bookmarkStart w:id="136" w:name="_Toc32118"/>
      <w:r>
        <w:rPr>
          <w:rFonts w:hint="eastAsia"/>
          <w:bCs/>
          <w:color w:val="000000"/>
          <w:szCs w:val="32"/>
        </w:rPr>
        <w:t>制定评价指标：</w:t>
      </w:r>
      <w:bookmarkEnd w:id="134"/>
      <w:bookmarkEnd w:id="135"/>
      <w:bookmarkEnd w:id="136"/>
    </w:p>
    <w:tbl>
      <w:tblPr>
        <w:tblStyle w:val="9"/>
        <w:tblW w:w="9090" w:type="dxa"/>
        <w:tblInd w:w="0" w:type="dxa"/>
        <w:tblLayout w:type="fixed"/>
        <w:tblCellMar>
          <w:top w:w="0" w:type="dxa"/>
          <w:left w:w="0" w:type="dxa"/>
          <w:bottom w:w="0" w:type="dxa"/>
          <w:right w:w="0" w:type="dxa"/>
        </w:tblCellMar>
      </w:tblPr>
      <w:tblGrid>
        <w:gridCol w:w="840"/>
        <w:gridCol w:w="840"/>
        <w:gridCol w:w="1560"/>
        <w:gridCol w:w="3585"/>
        <w:gridCol w:w="1275"/>
        <w:gridCol w:w="990"/>
      </w:tblGrid>
      <w:tr>
        <w:tblPrEx>
          <w:tblCellMar>
            <w:top w:w="0" w:type="dxa"/>
            <w:left w:w="0" w:type="dxa"/>
            <w:bottom w:w="0" w:type="dxa"/>
            <w:right w:w="0" w:type="dxa"/>
          </w:tblCellMar>
        </w:tblPrEx>
        <w:trPr>
          <w:trHeight w:val="702" w:hRule="atLeast"/>
        </w:trPr>
        <w:tc>
          <w:tcPr>
            <w:tcW w:w="8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w:t>
            </w:r>
            <w:r>
              <w:rPr>
                <w:rFonts w:hint="eastAsia" w:ascii="宋体" w:hAnsi="宋体" w:cs="宋体"/>
                <w:color w:val="000000"/>
                <w:kern w:val="0"/>
                <w:sz w:val="24"/>
              </w:rPr>
              <w:br w:type="textWrapping"/>
            </w:r>
            <w:r>
              <w:rPr>
                <w:rFonts w:hint="eastAsia" w:ascii="宋体" w:hAnsi="宋体" w:cs="宋体"/>
                <w:color w:val="000000"/>
                <w:kern w:val="0"/>
                <w:sz w:val="24"/>
              </w:rPr>
              <w:t>度</w:t>
            </w:r>
            <w:r>
              <w:rPr>
                <w:rFonts w:hint="eastAsia" w:ascii="宋体" w:hAnsi="宋体" w:cs="宋体"/>
                <w:color w:val="000000"/>
                <w:kern w:val="0"/>
                <w:sz w:val="24"/>
              </w:rPr>
              <w:br w:type="textWrapping"/>
            </w:r>
            <w:r>
              <w:rPr>
                <w:rFonts w:hint="eastAsia" w:ascii="宋体" w:hAnsi="宋体" w:cs="宋体"/>
                <w:color w:val="000000"/>
                <w:kern w:val="0"/>
                <w:sz w:val="24"/>
              </w:rPr>
              <w:t>绩</w:t>
            </w:r>
            <w:r>
              <w:rPr>
                <w:rFonts w:hint="eastAsia" w:ascii="宋体" w:hAnsi="宋体" w:cs="宋体"/>
                <w:color w:val="000000"/>
                <w:kern w:val="0"/>
                <w:sz w:val="24"/>
              </w:rPr>
              <w:br w:type="textWrapping"/>
            </w:r>
            <w:r>
              <w:rPr>
                <w:rFonts w:hint="eastAsia" w:ascii="宋体" w:hAnsi="宋体" w:cs="宋体"/>
                <w:color w:val="000000"/>
                <w:kern w:val="0"/>
                <w:sz w:val="24"/>
              </w:rPr>
              <w:t>效</w:t>
            </w:r>
            <w:r>
              <w:rPr>
                <w:rFonts w:hint="eastAsia" w:ascii="宋体" w:hAnsi="宋体" w:cs="宋体"/>
                <w:color w:val="000000"/>
                <w:kern w:val="0"/>
                <w:sz w:val="24"/>
              </w:rPr>
              <w:br w:type="textWrapping"/>
            </w:r>
            <w:r>
              <w:rPr>
                <w:rFonts w:hint="eastAsia" w:ascii="宋体" w:hAnsi="宋体" w:cs="宋体"/>
                <w:color w:val="000000"/>
                <w:kern w:val="0"/>
                <w:sz w:val="24"/>
              </w:rPr>
              <w:t>指</w:t>
            </w:r>
            <w:r>
              <w:rPr>
                <w:rFonts w:hint="eastAsia" w:ascii="宋体" w:hAnsi="宋体" w:cs="宋体"/>
                <w:color w:val="000000"/>
                <w:kern w:val="0"/>
                <w:sz w:val="24"/>
              </w:rPr>
              <w:br w:type="textWrapping"/>
            </w:r>
            <w:r>
              <w:rPr>
                <w:rFonts w:hint="eastAsia" w:ascii="宋体" w:hAnsi="宋体" w:cs="宋体"/>
                <w:color w:val="000000"/>
                <w:kern w:val="0"/>
                <w:sz w:val="24"/>
              </w:rPr>
              <w:t>标</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560"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265" w:type="dxa"/>
            <w:gridSpan w:val="2"/>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指标值（包含数字及文字描述）</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完成指标</w:t>
            </w:r>
          </w:p>
        </w:tc>
        <w:tc>
          <w:tcPr>
            <w:tcW w:w="1560" w:type="dxa"/>
            <w:vMerge w:val="restart"/>
            <w:tcBorders>
              <w:top w:val="single" w:color="000000" w:sz="4" w:space="0"/>
              <w:left w:val="single" w:color="000000" w:sz="4" w:space="0"/>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数量指标</w:t>
            </w: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发放就业补贴</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370人</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发放实物扶持</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84人</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脑瘫手术或康复训练</w:t>
            </w:r>
          </w:p>
        </w:tc>
        <w:tc>
          <w:tcPr>
            <w:tcW w:w="127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3人</w:t>
            </w:r>
          </w:p>
        </w:tc>
        <w:tc>
          <w:tcPr>
            <w:tcW w:w="99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4"/>
              </w:rPr>
            </w:pP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一二级重度残疾人医疗保险补助</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791人</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nil"/>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实施无障碍改造</w:t>
            </w:r>
          </w:p>
        </w:tc>
        <w:tc>
          <w:tcPr>
            <w:tcW w:w="127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21人</w:t>
            </w:r>
          </w:p>
        </w:tc>
        <w:tc>
          <w:tcPr>
            <w:tcW w:w="990" w:type="dxa"/>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jc w:val="left"/>
              <w:rPr>
                <w:rFonts w:ascii="宋体" w:hAnsi="宋体" w:cs="宋体"/>
                <w:color w:val="000000"/>
                <w:sz w:val="24"/>
              </w:rPr>
            </w:pP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质量指标</w:t>
            </w: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发放就业补贴覆盖率</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发放实物扶持收入增加</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脑瘫手术或康复训练有效率</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≥90%</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一二级重度残疾人医疗保险补助</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实施无障碍改造有效率</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时效指标</w:t>
            </w: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重点项目按期完成率</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restart"/>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成本指标</w:t>
            </w: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发放就业补贴</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240元/人</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发放实物扶持</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1900元/人</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脑瘫手术或康复训练</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10000元/人</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一二级重度残疾人医疗保险补助</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240元/人</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vMerge w:val="continue"/>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jc w:val="center"/>
              <w:rPr>
                <w:rFonts w:ascii="宋体" w:hAnsi="宋体" w:cs="宋体"/>
                <w:color w:val="000000"/>
                <w:sz w:val="24"/>
              </w:rPr>
            </w:pP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实施无障碍改造</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2500元/人</w:t>
            </w:r>
          </w:p>
        </w:tc>
      </w:tr>
      <w:tr>
        <w:tblPrEx>
          <w:tblCellMar>
            <w:top w:w="0" w:type="dxa"/>
            <w:left w:w="0" w:type="dxa"/>
            <w:bottom w:w="0" w:type="dxa"/>
            <w:right w:w="0" w:type="dxa"/>
          </w:tblCellMar>
        </w:tblPrEx>
        <w:trPr>
          <w:trHeight w:val="1725"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经济效益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发放实物扶持</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通过发放实物进行养殖或种植扶持,并通过技术培训和指导,让残疾人切实掌握养殖或种植技术,使残疾人家庭经济收入得到明显提高。</w:t>
            </w:r>
          </w:p>
        </w:tc>
      </w:tr>
      <w:tr>
        <w:tblPrEx>
          <w:tblCellMar>
            <w:top w:w="0" w:type="dxa"/>
            <w:left w:w="0" w:type="dxa"/>
            <w:bottom w:w="0" w:type="dxa"/>
            <w:right w:w="0" w:type="dxa"/>
          </w:tblCellMar>
        </w:tblPrEx>
        <w:trPr>
          <w:trHeight w:val="1365"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社会效益指标</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残疾人扶贫攻坚</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通过不同扶贫方式,逐步缩小贫富差距,让残疾人实现真脱贫,使残疾人的幸福指数得到不断提高。</w:t>
            </w:r>
          </w:p>
        </w:tc>
      </w:tr>
      <w:tr>
        <w:tblPrEx>
          <w:tblCellMar>
            <w:top w:w="0" w:type="dxa"/>
            <w:left w:w="0" w:type="dxa"/>
            <w:bottom w:w="0" w:type="dxa"/>
            <w:right w:w="0" w:type="dxa"/>
          </w:tblCellMar>
        </w:tblPrEx>
        <w:trPr>
          <w:trHeight w:val="1620"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1560" w:type="dxa"/>
            <w:tcBorders>
              <w:top w:val="single" w:color="000000" w:sz="4" w:space="0"/>
              <w:left w:val="single" w:color="000000" w:sz="4" w:space="0"/>
              <w:bottom w:val="nil"/>
              <w:right w:val="nil"/>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生态效益</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358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绿色服务</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 xml:space="preserve">    将绿色发展要求贯穿残疾人的管理和服务全过程，畅通服务渠道，着力建设资源节约、生态环保、节能高效、服务提升的绿色型服务机构。</w:t>
            </w:r>
          </w:p>
        </w:tc>
      </w:tr>
      <w:tr>
        <w:tblPrEx>
          <w:tblCellMar>
            <w:top w:w="0" w:type="dxa"/>
            <w:left w:w="0" w:type="dxa"/>
            <w:bottom w:w="0" w:type="dxa"/>
            <w:right w:w="0" w:type="dxa"/>
          </w:tblCellMar>
        </w:tblPrEx>
        <w:trPr>
          <w:trHeight w:val="702" w:hRule="atLeast"/>
        </w:trPr>
        <w:tc>
          <w:tcPr>
            <w:tcW w:w="840"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ascii="宋体" w:hAnsi="宋体" w:cs="宋体"/>
                <w:color w:val="000000"/>
                <w:sz w:val="24"/>
              </w:rPr>
            </w:pP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w:t>
            </w:r>
            <w:r>
              <w:rPr>
                <w:rFonts w:hint="eastAsia" w:ascii="宋体" w:hAnsi="宋体" w:cs="宋体"/>
                <w:color w:val="000000"/>
                <w:kern w:val="0"/>
                <w:sz w:val="24"/>
              </w:rPr>
              <w:br w:type="textWrapping"/>
            </w:r>
            <w:r>
              <w:rPr>
                <w:rFonts w:hint="eastAsia" w:ascii="宋体" w:hAnsi="宋体" w:cs="宋体"/>
                <w:color w:val="000000"/>
                <w:kern w:val="0"/>
                <w:sz w:val="24"/>
              </w:rPr>
              <w:t>指标</w:t>
            </w:r>
          </w:p>
        </w:tc>
        <w:tc>
          <w:tcPr>
            <w:tcW w:w="156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服务对象</w:t>
            </w:r>
            <w:r>
              <w:rPr>
                <w:rFonts w:hint="eastAsia" w:ascii="宋体" w:hAnsi="宋体" w:cs="宋体"/>
                <w:color w:val="000000"/>
                <w:kern w:val="0"/>
                <w:sz w:val="24"/>
              </w:rPr>
              <w:br w:type="textWrapping"/>
            </w:r>
            <w:r>
              <w:rPr>
                <w:rFonts w:hint="eastAsia" w:ascii="宋体" w:hAnsi="宋体" w:cs="宋体"/>
                <w:color w:val="000000"/>
                <w:kern w:val="0"/>
                <w:sz w:val="24"/>
              </w:rPr>
              <w:t>满意度指标</w:t>
            </w:r>
          </w:p>
        </w:tc>
        <w:tc>
          <w:tcPr>
            <w:tcW w:w="358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残疾人满意度</w:t>
            </w:r>
          </w:p>
        </w:tc>
        <w:tc>
          <w:tcPr>
            <w:tcW w:w="2265"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rPr>
              <w:t>≥100%</w:t>
            </w:r>
          </w:p>
        </w:tc>
      </w:tr>
    </w:tbl>
    <w:p>
      <w:pPr>
        <w:spacing w:line="580" w:lineRule="exact"/>
        <w:ind w:firstLine="643" w:firstLineChars="200"/>
        <w:rPr>
          <w:rFonts w:ascii="仿宋" w:hAnsi="仿宋" w:eastAsia="仿宋" w:cs="仿宋_GB2312"/>
          <w:b/>
          <w:sz w:val="32"/>
          <w:szCs w:val="32"/>
        </w:rPr>
      </w:pPr>
      <w:r>
        <w:rPr>
          <w:rFonts w:hint="eastAsia" w:ascii="仿宋" w:hAnsi="仿宋" w:eastAsia="仿宋" w:cs="仿宋_GB2312"/>
          <w:b/>
          <w:sz w:val="32"/>
          <w:szCs w:val="32"/>
        </w:rPr>
        <w:t>二</w:t>
      </w:r>
      <w:r>
        <w:rPr>
          <w:rFonts w:ascii="仿宋" w:hAnsi="仿宋" w:eastAsia="仿宋" w:cs="仿宋_GB2312"/>
          <w:b/>
          <w:sz w:val="32"/>
          <w:szCs w:val="32"/>
        </w:rPr>
        <w:t>、评价结论及绩效分析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（一）评价结论</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本部门对5个项目开展了绩效评价，得分为97分。</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存在的问题：</w:t>
      </w:r>
      <w:r>
        <w:rPr>
          <w:rFonts w:hint="eastAsia" w:ascii="仿宋_GB2312" w:hAnsi="宋体" w:eastAsia="仿宋_GB2312" w:cs="宋体"/>
          <w:color w:val="000000"/>
          <w:sz w:val="32"/>
          <w:szCs w:val="32"/>
        </w:rPr>
        <w:t>一二级重度残疾人医疗保险补助</w:t>
      </w:r>
      <w:r>
        <w:rPr>
          <w:rFonts w:hint="eastAsia" w:ascii="仿宋_GB2312" w:eastAsia="仿宋_GB2312"/>
          <w:sz w:val="32"/>
          <w:szCs w:val="32"/>
        </w:rPr>
        <w:t>资金投入未达到预期目标。</w:t>
      </w:r>
    </w:p>
    <w:p>
      <w:pPr>
        <w:spacing w:line="580" w:lineRule="exact"/>
        <w:ind w:firstLine="640" w:firstLineChars="200"/>
        <w:rPr>
          <w:rFonts w:ascii="仿宋_GB2312" w:hAnsi="Verdana" w:eastAsia="仿宋_GB2312" w:cs="宋体"/>
          <w:kern w:val="0"/>
          <w:sz w:val="32"/>
          <w:szCs w:val="32"/>
        </w:rPr>
      </w:pPr>
      <w:r>
        <w:rPr>
          <w:rFonts w:hint="eastAsia" w:ascii="仿宋_GB2312" w:hAnsi="Verdana" w:eastAsia="仿宋_GB2312" w:cs="宋体"/>
          <w:kern w:val="0"/>
          <w:sz w:val="32"/>
          <w:szCs w:val="32"/>
        </w:rPr>
        <w:t>存在问题主要原因：</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一是有部分一二级重度残疾人自行购买了更高级别的医疗保险。二是有部分一二级重度残疾人残疾证到期进行了换证后残疾等级评定降低到二级以下，所以不符合享受补贴条件。</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整改措施：</w:t>
      </w:r>
    </w:p>
    <w:p>
      <w:pPr>
        <w:spacing w:line="580" w:lineRule="exact"/>
        <w:ind w:firstLine="640" w:firstLineChars="200"/>
        <w:rPr>
          <w:rFonts w:hint="eastAsia" w:ascii="仿宋_GB2312" w:hAnsi="仿宋" w:eastAsia="仿宋_GB2312" w:cs="仿宋_GB2312"/>
          <w:sz w:val="32"/>
          <w:szCs w:val="32"/>
        </w:rPr>
      </w:pPr>
      <w:r>
        <w:rPr>
          <w:rFonts w:hint="eastAsia" w:ascii="仿宋_GB2312" w:hAnsi="仿宋" w:eastAsia="仿宋_GB2312" w:cs="仿宋_GB2312"/>
          <w:sz w:val="32"/>
          <w:szCs w:val="32"/>
        </w:rPr>
        <w:t>提前做好</w:t>
      </w:r>
      <w:r>
        <w:rPr>
          <w:rFonts w:hint="eastAsia" w:ascii="仿宋_GB2312" w:hAnsi="仿宋" w:eastAsia="仿宋_GB2312" w:cs="仿宋"/>
          <w:color w:val="000000"/>
          <w:sz w:val="32"/>
          <w:szCs w:val="32"/>
        </w:rPr>
        <w:t>一二级重度残疾人医疗保险补助人员的筛查统计，尽量将年初预算项目资金精准落实到位，</w:t>
      </w:r>
      <w:r>
        <w:rPr>
          <w:rFonts w:hint="eastAsia" w:ascii="仿宋_GB2312" w:hAnsi="仿宋" w:eastAsia="仿宋_GB2312" w:cs="仿宋_GB2312"/>
          <w:sz w:val="32"/>
          <w:szCs w:val="32"/>
        </w:rPr>
        <w:t>确保目标任务的全面完成。</w:t>
      </w:r>
    </w:p>
    <w:p>
      <w:pPr>
        <w:spacing w:line="580" w:lineRule="exact"/>
        <w:ind w:firstLine="640" w:firstLineChars="200"/>
        <w:rPr>
          <w:rFonts w:hint="eastAsia" w:ascii="仿宋_GB2312" w:hAnsi="仿宋" w:eastAsia="仿宋_GB2312" w:cs="仿宋_GB2312"/>
          <w:sz w:val="32"/>
          <w:szCs w:val="32"/>
        </w:rPr>
      </w:pPr>
    </w:p>
    <w:p>
      <w:pPr>
        <w:jc w:val="center"/>
        <w:rPr>
          <w:rFonts w:ascii="黑体" w:hAnsi="黑体" w:eastAsia="黑体"/>
          <w:color w:val="000000"/>
          <w:sz w:val="32"/>
          <w:szCs w:val="32"/>
        </w:rPr>
      </w:pPr>
      <w:r>
        <w:rPr>
          <w:rFonts w:hint="eastAsia" w:ascii="黑体" w:hAnsi="黑体" w:eastAsia="黑体"/>
          <w:color w:val="000000"/>
          <w:sz w:val="32"/>
          <w:szCs w:val="32"/>
        </w:rPr>
        <w:t>项目支出绩效评价得分表</w:t>
      </w:r>
    </w:p>
    <w:tbl>
      <w:tblPr>
        <w:tblStyle w:val="9"/>
        <w:tblW w:w="98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2113"/>
        <w:gridCol w:w="3535"/>
        <w:gridCol w:w="1311"/>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1618" w:type="dxa"/>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单位名称/</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项目名称</w:t>
            </w:r>
          </w:p>
        </w:tc>
        <w:tc>
          <w:tcPr>
            <w:tcW w:w="8270" w:type="dxa"/>
            <w:gridSpan w:val="4"/>
            <w:noWrap/>
            <w:vAlign w:val="center"/>
          </w:tcPr>
          <w:p>
            <w:pPr>
              <w:widowControl/>
              <w:spacing w:line="260" w:lineRule="exact"/>
              <w:jc w:val="center"/>
              <w:rPr>
                <w:rFonts w:ascii="宋体" w:hAnsi="宋体" w:cs="宋体"/>
                <w:b/>
                <w:bCs/>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1618" w:type="dxa"/>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一级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2113" w:type="dxa"/>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二级</w:t>
            </w:r>
          </w:p>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指标</w:t>
            </w:r>
          </w:p>
        </w:tc>
        <w:tc>
          <w:tcPr>
            <w:tcW w:w="3535" w:type="dxa"/>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1311" w:type="dxa"/>
            <w:noWrap/>
            <w:vAlign w:val="center"/>
          </w:tcPr>
          <w:p>
            <w:pPr>
              <w:widowControl/>
              <w:spacing w:line="260" w:lineRule="exact"/>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1311" w:type="dxa"/>
            <w:noWrap/>
            <w:vAlign w:val="center"/>
          </w:tcPr>
          <w:p>
            <w:pPr>
              <w:widowControl/>
              <w:spacing w:line="26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vMerge w:val="restart"/>
            <w:noWrap/>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项目决策</w:t>
            </w:r>
          </w:p>
        </w:tc>
        <w:tc>
          <w:tcPr>
            <w:tcW w:w="2113" w:type="dxa"/>
            <w:vMerge w:val="restart"/>
            <w:noWrap/>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科学决策</w:t>
            </w: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必要性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（政策依据)</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vAlign w:val="center"/>
          </w:tcPr>
          <w:p>
            <w:pPr>
              <w:widowControl/>
              <w:spacing w:line="260" w:lineRule="exact"/>
              <w:jc w:val="left"/>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可行性</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（政策完善）</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restart"/>
            <w:noWrap/>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绩效目标    </w:t>
            </w: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明确性</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vAlign w:val="center"/>
          </w:tcPr>
          <w:p>
            <w:pPr>
              <w:widowControl/>
              <w:spacing w:line="260" w:lineRule="exact"/>
              <w:jc w:val="left"/>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合理性</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618" w:type="dxa"/>
            <w:vMerge w:val="restart"/>
            <w:noWrap/>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项目管理</w:t>
            </w:r>
          </w:p>
        </w:tc>
        <w:tc>
          <w:tcPr>
            <w:tcW w:w="2113" w:type="dxa"/>
            <w:vMerge w:val="restart"/>
            <w:noWrap/>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（7分）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资金管理</w:t>
            </w: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资金分配</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textDirection w:val="tbRlV"/>
            <w:vAlign w:val="center"/>
          </w:tcPr>
          <w:p>
            <w:pPr>
              <w:widowControl/>
              <w:spacing w:line="260" w:lineRule="exact"/>
              <w:jc w:val="center"/>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资金使用</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noWrap/>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项目执行</w:t>
            </w: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执行规范</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618" w:type="dxa"/>
            <w:vMerge w:val="restart"/>
            <w:noWrap/>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（特性指标70分）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 xml:space="preserve">项目绩效  </w:t>
            </w:r>
          </w:p>
        </w:tc>
        <w:tc>
          <w:tcPr>
            <w:tcW w:w="2113" w:type="dxa"/>
            <w:vMerge w:val="restart"/>
            <w:noWrap/>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（20）</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项目完成</w:t>
            </w: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完成数量</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vAlign w:val="center"/>
          </w:tcPr>
          <w:p>
            <w:pPr>
              <w:widowControl/>
              <w:spacing w:line="260" w:lineRule="exact"/>
              <w:jc w:val="left"/>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完成质量</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5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vAlign w:val="center"/>
          </w:tcPr>
          <w:p>
            <w:pPr>
              <w:widowControl/>
              <w:spacing w:line="260" w:lineRule="exact"/>
              <w:jc w:val="left"/>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完成时效</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vAlign w:val="center"/>
          </w:tcPr>
          <w:p>
            <w:pPr>
              <w:widowControl/>
              <w:spacing w:line="260" w:lineRule="exact"/>
              <w:jc w:val="left"/>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完成成本</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restart"/>
            <w:noWrap/>
            <w:textDirection w:val="tbRlV"/>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（50分）</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项目效益</w:t>
            </w: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经济效益（可选项）</w:t>
            </w:r>
          </w:p>
        </w:tc>
        <w:tc>
          <w:tcPr>
            <w:tcW w:w="1311" w:type="dxa"/>
            <w:vMerge w:val="restart"/>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40</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vAlign w:val="center"/>
          </w:tcPr>
          <w:p>
            <w:pPr>
              <w:widowControl/>
              <w:spacing w:line="260" w:lineRule="exact"/>
              <w:jc w:val="left"/>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社会效益（可选项）</w:t>
            </w:r>
          </w:p>
        </w:tc>
        <w:tc>
          <w:tcPr>
            <w:tcW w:w="1311" w:type="dxa"/>
            <w:vMerge w:val="continue"/>
            <w:noWrap/>
            <w:vAlign w:val="center"/>
          </w:tcPr>
          <w:p>
            <w:pPr>
              <w:widowControl/>
              <w:spacing w:line="260" w:lineRule="exact"/>
              <w:jc w:val="left"/>
              <w:rPr>
                <w:rFonts w:ascii="宋体" w:hAnsi="宋体" w:cs="宋体"/>
                <w:color w:val="000000"/>
                <w:kern w:val="0"/>
                <w:sz w:val="20"/>
                <w:szCs w:val="20"/>
              </w:rPr>
            </w:pP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vAlign w:val="center"/>
          </w:tcPr>
          <w:p>
            <w:pPr>
              <w:widowControl/>
              <w:spacing w:line="260" w:lineRule="exact"/>
              <w:jc w:val="left"/>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生态效益（可选项）</w:t>
            </w:r>
          </w:p>
        </w:tc>
        <w:tc>
          <w:tcPr>
            <w:tcW w:w="1311" w:type="dxa"/>
            <w:vMerge w:val="continue"/>
            <w:noWrap/>
            <w:vAlign w:val="center"/>
          </w:tcPr>
          <w:p>
            <w:pPr>
              <w:widowControl/>
              <w:spacing w:line="260" w:lineRule="exact"/>
              <w:jc w:val="left"/>
              <w:rPr>
                <w:rFonts w:ascii="宋体" w:hAnsi="宋体" w:cs="宋体"/>
                <w:color w:val="000000"/>
                <w:kern w:val="0"/>
                <w:sz w:val="20"/>
                <w:szCs w:val="20"/>
              </w:rPr>
            </w:pP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vAlign w:val="center"/>
          </w:tcPr>
          <w:p>
            <w:pPr>
              <w:widowControl/>
              <w:spacing w:line="260" w:lineRule="exact"/>
              <w:jc w:val="left"/>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可持续效益（可选项）</w:t>
            </w:r>
          </w:p>
        </w:tc>
        <w:tc>
          <w:tcPr>
            <w:tcW w:w="1311" w:type="dxa"/>
            <w:vMerge w:val="continue"/>
            <w:noWrap/>
            <w:vAlign w:val="center"/>
          </w:tcPr>
          <w:p>
            <w:pPr>
              <w:widowControl/>
              <w:spacing w:line="260" w:lineRule="exact"/>
              <w:jc w:val="left"/>
              <w:rPr>
                <w:rFonts w:ascii="宋体" w:hAnsi="宋体" w:cs="宋体"/>
                <w:color w:val="000000"/>
                <w:kern w:val="0"/>
                <w:sz w:val="20"/>
                <w:szCs w:val="20"/>
              </w:rPr>
            </w:pP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vAlign w:val="center"/>
          </w:tcPr>
          <w:p>
            <w:pPr>
              <w:widowControl/>
              <w:spacing w:line="260" w:lineRule="exact"/>
              <w:jc w:val="left"/>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公平效率（可选项）</w:t>
            </w:r>
          </w:p>
        </w:tc>
        <w:tc>
          <w:tcPr>
            <w:tcW w:w="1311" w:type="dxa"/>
            <w:vMerge w:val="continue"/>
            <w:noWrap/>
            <w:vAlign w:val="center"/>
          </w:tcPr>
          <w:p>
            <w:pPr>
              <w:widowControl/>
              <w:spacing w:line="260" w:lineRule="exact"/>
              <w:jc w:val="left"/>
              <w:rPr>
                <w:rFonts w:ascii="宋体" w:hAnsi="宋体" w:cs="宋体"/>
                <w:color w:val="000000"/>
                <w:kern w:val="0"/>
                <w:sz w:val="20"/>
                <w:szCs w:val="20"/>
              </w:rPr>
            </w:pPr>
          </w:p>
        </w:tc>
        <w:tc>
          <w:tcPr>
            <w:tcW w:w="1311" w:type="dxa"/>
            <w:noWrap/>
          </w:tcPr>
          <w:p>
            <w:pPr>
              <w:widowControl/>
              <w:spacing w:line="260" w:lineRule="exact"/>
              <w:jc w:val="center"/>
              <w:rPr>
                <w:rFonts w:ascii="宋体" w:hAnsi="宋体" w:cs="宋体"/>
                <w:color w:val="000000"/>
                <w:kern w:val="0"/>
                <w:sz w:val="20"/>
                <w:szCs w:val="20"/>
              </w:rPr>
            </w:pPr>
          </w:p>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vAlign w:val="center"/>
          </w:tcPr>
          <w:p>
            <w:pPr>
              <w:widowControl/>
              <w:spacing w:line="260" w:lineRule="exact"/>
              <w:jc w:val="left"/>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使用效率（可选项）</w:t>
            </w:r>
          </w:p>
        </w:tc>
        <w:tc>
          <w:tcPr>
            <w:tcW w:w="1311" w:type="dxa"/>
            <w:vMerge w:val="continue"/>
            <w:noWrap/>
            <w:vAlign w:val="center"/>
          </w:tcPr>
          <w:p>
            <w:pPr>
              <w:widowControl/>
              <w:spacing w:line="260" w:lineRule="exact"/>
              <w:jc w:val="left"/>
              <w:rPr>
                <w:rFonts w:ascii="宋体" w:hAnsi="宋体" w:cs="宋体"/>
                <w:color w:val="000000"/>
                <w:kern w:val="0"/>
                <w:sz w:val="20"/>
                <w:szCs w:val="20"/>
              </w:rPr>
            </w:pP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618" w:type="dxa"/>
            <w:vMerge w:val="continue"/>
            <w:noWrap/>
            <w:vAlign w:val="center"/>
          </w:tcPr>
          <w:p>
            <w:pPr>
              <w:widowControl/>
              <w:spacing w:line="260" w:lineRule="exact"/>
              <w:jc w:val="left"/>
              <w:rPr>
                <w:rFonts w:ascii="宋体" w:hAnsi="宋体" w:cs="宋体"/>
                <w:color w:val="000000"/>
                <w:kern w:val="0"/>
                <w:sz w:val="20"/>
                <w:szCs w:val="20"/>
              </w:rPr>
            </w:pPr>
          </w:p>
        </w:tc>
        <w:tc>
          <w:tcPr>
            <w:tcW w:w="2113" w:type="dxa"/>
            <w:vMerge w:val="continue"/>
            <w:noWrap/>
            <w:vAlign w:val="center"/>
          </w:tcPr>
          <w:p>
            <w:pPr>
              <w:widowControl/>
              <w:spacing w:line="260" w:lineRule="exact"/>
              <w:jc w:val="left"/>
              <w:rPr>
                <w:rFonts w:ascii="宋体" w:hAnsi="宋体" w:cs="宋体"/>
                <w:color w:val="000000"/>
                <w:kern w:val="0"/>
                <w:sz w:val="20"/>
                <w:szCs w:val="20"/>
              </w:rPr>
            </w:pPr>
          </w:p>
        </w:tc>
        <w:tc>
          <w:tcPr>
            <w:tcW w:w="3535"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 xml:space="preserve">服务对象满意度    </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311" w:type="dxa"/>
            <w:noWrap/>
            <w:vAlign w:val="center"/>
          </w:tcPr>
          <w:p>
            <w:pPr>
              <w:widowControl/>
              <w:spacing w:line="260" w:lineRule="exact"/>
              <w:jc w:val="center"/>
              <w:rPr>
                <w:rFonts w:ascii="宋体" w:hAnsi="宋体" w:cs="宋体"/>
                <w:color w:val="000000"/>
                <w:kern w:val="0"/>
                <w:sz w:val="20"/>
                <w:szCs w:val="20"/>
              </w:rPr>
            </w:pPr>
            <w:r>
              <w:rPr>
                <w:rFonts w:hint="eastAsia" w:ascii="宋体" w:hAnsi="宋体" w:cs="宋体"/>
                <w:color w:val="000000"/>
                <w:kern w:val="0"/>
                <w:sz w:val="20"/>
                <w:szCs w:val="20"/>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1618" w:type="dxa"/>
            <w:noWrap/>
            <w:vAlign w:val="center"/>
          </w:tcPr>
          <w:p>
            <w:pPr>
              <w:widowControl/>
              <w:spacing w:line="260" w:lineRule="exact"/>
              <w:jc w:val="left"/>
              <w:rPr>
                <w:rFonts w:ascii="宋体" w:hAnsi="宋体" w:cs="宋体"/>
                <w:color w:val="000000"/>
                <w:kern w:val="0"/>
                <w:sz w:val="20"/>
                <w:szCs w:val="20"/>
              </w:rPr>
            </w:pPr>
            <w:r>
              <w:rPr>
                <w:rFonts w:hint="eastAsia" w:ascii="宋体" w:hAnsi="宋体" w:cs="宋体"/>
                <w:color w:val="000000"/>
                <w:kern w:val="0"/>
                <w:sz w:val="20"/>
                <w:szCs w:val="20"/>
              </w:rPr>
              <w:t>总分</w:t>
            </w:r>
          </w:p>
        </w:tc>
        <w:tc>
          <w:tcPr>
            <w:tcW w:w="8270" w:type="dxa"/>
            <w:gridSpan w:val="4"/>
            <w:noWrap/>
            <w:vAlign w:val="center"/>
          </w:tcPr>
          <w:p>
            <w:pPr>
              <w:widowControl/>
              <w:spacing w:line="260" w:lineRule="exact"/>
              <w:jc w:val="center"/>
              <w:rPr>
                <w:rFonts w:ascii="宋体" w:hAnsi="宋体" w:cs="宋体"/>
                <w:color w:val="000000"/>
                <w:kern w:val="0"/>
                <w:sz w:val="15"/>
                <w:szCs w:val="15"/>
              </w:rPr>
            </w:pPr>
            <w:r>
              <w:rPr>
                <w:rFonts w:hint="eastAsia" w:ascii="宋体" w:hAnsi="宋体" w:cs="宋体"/>
                <w:color w:val="000000"/>
                <w:kern w:val="0"/>
                <w:sz w:val="20"/>
                <w:szCs w:val="20"/>
              </w:rPr>
              <w:t>97</w:t>
            </w:r>
          </w:p>
        </w:tc>
      </w:tr>
    </w:tbl>
    <w:p>
      <w:pPr>
        <w:spacing w:line="580" w:lineRule="exact"/>
        <w:ind w:firstLine="315" w:firstLineChars="98"/>
        <w:rPr>
          <w:rFonts w:ascii="仿宋" w:hAnsi="仿宋" w:eastAsia="仿宋" w:cs="仿宋_GB2312"/>
          <w:b/>
          <w:sz w:val="32"/>
          <w:szCs w:val="32"/>
        </w:rPr>
      </w:pPr>
      <w:r>
        <w:rPr>
          <w:rFonts w:ascii="仿宋" w:hAnsi="仿宋" w:eastAsia="仿宋" w:cs="仿宋_GB2312"/>
          <w:b/>
          <w:sz w:val="32"/>
          <w:szCs w:val="32"/>
        </w:rPr>
        <w:t>（二）绩效分析</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1、项目决策</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按照市委、市政府和市残联下达我区的项目实施目标任务，根据我区实际情况，召开会议集体研究决定项目实施内容，并按项目实施内容对残疾人的困难需求情况进行摸底调查，确定实施对象。我会所有项目的实施充分体现了目标任务明确、实施对象精准、项目实施合理。</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2、项目管理</w:t>
      </w:r>
    </w:p>
    <w:p>
      <w:pPr>
        <w:spacing w:line="578" w:lineRule="exact"/>
        <w:ind w:firstLine="640" w:firstLineChars="200"/>
        <w:outlineLvl w:val="0"/>
        <w:rPr>
          <w:rFonts w:eastAsia="仿宋"/>
          <w:bCs/>
          <w:color w:val="000000"/>
          <w:sz w:val="32"/>
          <w:szCs w:val="32"/>
        </w:rPr>
      </w:pPr>
      <w:bookmarkStart w:id="137" w:name="_Toc28841"/>
      <w:bookmarkStart w:id="138" w:name="_Toc21029"/>
      <w:bookmarkStart w:id="139" w:name="_Toc8566"/>
      <w:r>
        <w:rPr>
          <w:rFonts w:hint="eastAsia" w:ascii="仿宋" w:hAnsi="仿宋" w:eastAsia="仿宋"/>
          <w:bCs/>
          <w:color w:val="000000"/>
          <w:sz w:val="32"/>
          <w:szCs w:val="32"/>
        </w:rPr>
        <w:t>本</w:t>
      </w:r>
      <w:r>
        <w:rPr>
          <w:rFonts w:hint="eastAsia" w:ascii="仿宋" w:hAnsi="仿宋" w:eastAsia="仿宋"/>
          <w:color w:val="000000"/>
          <w:sz w:val="32"/>
          <w:szCs w:val="32"/>
        </w:rPr>
        <w:t>项目经费的使用严格依照财政支出有关规定执行，财务负责人对项目支出进行监督管理，确保了项目支出专款专用，不截留、不占用。</w:t>
      </w:r>
      <w:bookmarkEnd w:id="137"/>
      <w:bookmarkEnd w:id="138"/>
      <w:bookmarkEnd w:id="139"/>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根据项目实施内容，科学合理分配项目</w:t>
      </w:r>
      <w:r>
        <w:rPr>
          <w:rFonts w:ascii="仿宋" w:hAnsi="仿宋" w:eastAsia="仿宋" w:cs="仿宋_GB2312"/>
          <w:sz w:val="32"/>
          <w:szCs w:val="32"/>
        </w:rPr>
        <w:t>资金</w:t>
      </w:r>
      <w:r>
        <w:rPr>
          <w:rFonts w:hint="eastAsia" w:ascii="仿宋" w:hAnsi="仿宋" w:eastAsia="仿宋" w:cs="仿宋_GB2312"/>
          <w:sz w:val="32"/>
          <w:szCs w:val="32"/>
        </w:rPr>
        <w:t>，充分提高资金使用效益，实现残疾人享受优惠政策利益最大化。</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3、项目绩效</w:t>
      </w:r>
    </w:p>
    <w:p>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我会按照年初制定的</w:t>
      </w:r>
      <w:r>
        <w:rPr>
          <w:rFonts w:ascii="仿宋" w:hAnsi="仿宋" w:eastAsia="仿宋" w:cs="仿宋_GB2312"/>
          <w:sz w:val="32"/>
          <w:szCs w:val="32"/>
        </w:rPr>
        <w:t>项目目标</w:t>
      </w:r>
      <w:r>
        <w:rPr>
          <w:rFonts w:hint="eastAsia" w:ascii="仿宋" w:hAnsi="仿宋" w:eastAsia="仿宋" w:cs="仿宋_GB2312"/>
          <w:sz w:val="32"/>
          <w:szCs w:val="32"/>
        </w:rPr>
        <w:t>计划，坚持公开公平公正的原则，精心组织实施，严格按照规定的成本指标进行资金预算和支付，各项效益指标均达标，按时完成和超额完成了所有的目标任务。统筹资金进行科学合理分配，大大提高了资金使用效率，从而进一步扩大了残疾人受益面，在不断提高残疾人的幸福指数的同时，残疾人的满意度也得到明显提到</w:t>
      </w:r>
      <w:r>
        <w:rPr>
          <w:rFonts w:ascii="仿宋" w:hAnsi="仿宋" w:eastAsia="仿宋" w:cs="仿宋_GB2312"/>
          <w:sz w:val="32"/>
          <w:szCs w:val="32"/>
        </w:rPr>
        <w:t>。</w:t>
      </w:r>
    </w:p>
    <w:p>
      <w:pPr>
        <w:numPr>
          <w:ilvl w:val="0"/>
          <w:numId w:val="1"/>
        </w:numPr>
        <w:spacing w:line="580" w:lineRule="exact"/>
        <w:rPr>
          <w:rFonts w:ascii="黑体" w:hAnsi="黑体" w:eastAsia="黑体" w:cs="仿宋_GB2312"/>
          <w:sz w:val="32"/>
          <w:szCs w:val="32"/>
        </w:rPr>
      </w:pPr>
      <w:r>
        <w:rPr>
          <w:rFonts w:ascii="黑体" w:hAnsi="黑体" w:eastAsia="黑体" w:cs="仿宋_GB2312"/>
          <w:sz w:val="32"/>
          <w:szCs w:val="32"/>
        </w:rPr>
        <w:t>存在主要问题</w:t>
      </w:r>
    </w:p>
    <w:p>
      <w:pPr>
        <w:spacing w:line="580" w:lineRule="exact"/>
        <w:ind w:firstLine="640" w:firstLineChars="200"/>
        <w:rPr>
          <w:rFonts w:hint="eastAsia" w:ascii="仿宋_GB2312" w:eastAsia="仿宋_GB2312"/>
          <w:sz w:val="32"/>
          <w:szCs w:val="32"/>
        </w:rPr>
      </w:pPr>
      <w:r>
        <w:rPr>
          <w:rFonts w:hint="eastAsia" w:ascii="仿宋_GB2312" w:eastAsia="仿宋_GB2312"/>
          <w:sz w:val="32"/>
          <w:szCs w:val="32"/>
        </w:rPr>
        <w:t>1.有部分一二级重度残疾人自行购买了更高级别的医疗保险。2.有部分一二级重度残疾人残疾证到期进行了换证后残疾等级评定降低到二级以下，所以不符合享受补贴条件。</w:t>
      </w:r>
    </w:p>
    <w:p>
      <w:pPr>
        <w:pStyle w:val="14"/>
        <w:numPr>
          <w:ilvl w:val="0"/>
          <w:numId w:val="1"/>
        </w:numPr>
        <w:spacing w:line="580" w:lineRule="exact"/>
        <w:ind w:firstLineChars="0"/>
        <w:rPr>
          <w:rFonts w:ascii="仿宋" w:hAnsi="仿宋" w:eastAsia="仿宋" w:cs="仿宋_GB2312"/>
          <w:sz w:val="32"/>
          <w:szCs w:val="32"/>
        </w:rPr>
      </w:pPr>
      <w:r>
        <w:rPr>
          <w:rFonts w:ascii="仿宋" w:hAnsi="仿宋" w:eastAsia="仿宋" w:cs="仿宋_GB2312"/>
          <w:sz w:val="32"/>
          <w:szCs w:val="32"/>
        </w:rPr>
        <w:t>相关措施建议</w:t>
      </w:r>
    </w:p>
    <w:p>
      <w:pPr>
        <w:spacing w:line="580" w:lineRule="exact"/>
        <w:ind w:firstLine="640" w:firstLineChars="200"/>
        <w:rPr>
          <w:rFonts w:ascii="仿宋" w:hAnsi="仿宋" w:eastAsia="仿宋" w:cs="仿宋_GB2312"/>
          <w:sz w:val="32"/>
          <w:szCs w:val="32"/>
        </w:rPr>
      </w:pPr>
      <w:bookmarkStart w:id="140" w:name="_Toc15396618"/>
      <w:r>
        <w:rPr>
          <w:rFonts w:hint="eastAsia" w:ascii="仿宋" w:hAnsi="仿宋" w:eastAsia="仿宋" w:cs="仿宋_GB2312"/>
          <w:sz w:val="32"/>
          <w:szCs w:val="32"/>
        </w:rPr>
        <w:t>提前做好</w:t>
      </w:r>
      <w:r>
        <w:rPr>
          <w:rFonts w:hint="eastAsia" w:ascii="仿宋" w:hAnsi="仿宋" w:eastAsia="仿宋" w:cs="仿宋"/>
          <w:color w:val="000000"/>
          <w:sz w:val="32"/>
          <w:szCs w:val="32"/>
        </w:rPr>
        <w:t>一二级重度残疾人医疗保险补助人员的筛查统计，尽量将年初预算项目资金精准落实到位，</w:t>
      </w:r>
      <w:r>
        <w:rPr>
          <w:rFonts w:hint="eastAsia" w:ascii="仿宋" w:hAnsi="仿宋" w:eastAsia="仿宋" w:cs="仿宋_GB2312"/>
          <w:sz w:val="32"/>
          <w:szCs w:val="32"/>
        </w:rPr>
        <w:t>确保目标任务的全面完成。</w:t>
      </w:r>
    </w:p>
    <w:p>
      <w:pPr>
        <w:spacing w:line="600" w:lineRule="exact"/>
        <w:jc w:val="center"/>
        <w:rPr>
          <w:rFonts w:ascii="黑体" w:hAnsi="黑体" w:eastAsia="黑体"/>
          <w:color w:val="000000"/>
          <w:sz w:val="44"/>
          <w:szCs w:val="44"/>
        </w:rPr>
      </w:pPr>
    </w:p>
    <w:p>
      <w:pPr>
        <w:spacing w:line="600" w:lineRule="exact"/>
        <w:ind w:firstLine="2200" w:firstLineChars="500"/>
        <w:outlineLvl w:val="0"/>
        <w:rPr>
          <w:rStyle w:val="12"/>
          <w:rFonts w:ascii="黑体" w:hAnsi="黑体" w:eastAsia="黑体"/>
          <w:b w:val="0"/>
        </w:rPr>
      </w:pPr>
      <w:bookmarkStart w:id="141" w:name="_Toc12983"/>
      <w:bookmarkStart w:id="142" w:name="_Toc2849"/>
      <w:r>
        <w:rPr>
          <w:rFonts w:hint="eastAsia" w:ascii="黑体" w:hAnsi="黑体" w:eastAsia="黑体"/>
          <w:color w:val="000000"/>
          <w:sz w:val="44"/>
          <w:szCs w:val="44"/>
        </w:rPr>
        <w:t>第</w:t>
      </w:r>
      <w:r>
        <w:rPr>
          <w:rStyle w:val="12"/>
          <w:rFonts w:hint="eastAsia" w:ascii="黑体" w:hAnsi="黑体" w:eastAsia="黑体"/>
          <w:b w:val="0"/>
        </w:rPr>
        <w:t>五部分 附表</w:t>
      </w:r>
      <w:bookmarkEnd w:id="124"/>
      <w:bookmarkEnd w:id="140"/>
      <w:bookmarkEnd w:id="141"/>
      <w:bookmarkEnd w:id="142"/>
    </w:p>
    <w:p>
      <w:pPr>
        <w:pStyle w:val="3"/>
        <w:rPr>
          <w:rFonts w:ascii="仿宋_GB2312" w:hAnsi="Times New Roman" w:eastAsia="仿宋_GB2312" w:cs="Times New Roman"/>
          <w:b w:val="0"/>
          <w:bCs w:val="0"/>
          <w:color w:val="000000"/>
        </w:rPr>
      </w:pPr>
      <w:bookmarkStart w:id="143" w:name="_Toc23266"/>
      <w:bookmarkStart w:id="144" w:name="_Toc32560"/>
      <w:bookmarkStart w:id="145" w:name="_Toc15396619"/>
      <w:r>
        <w:rPr>
          <w:rFonts w:hint="eastAsia" w:ascii="仿宋_GB2312" w:hAnsi="Times New Roman" w:eastAsia="仿宋_GB2312" w:cs="Times New Roman"/>
          <w:b w:val="0"/>
          <w:bCs w:val="0"/>
          <w:color w:val="000000"/>
        </w:rPr>
        <w:t>一、收入支出决算总表</w:t>
      </w:r>
      <w:bookmarkEnd w:id="143"/>
      <w:bookmarkEnd w:id="144"/>
      <w:bookmarkEnd w:id="145"/>
    </w:p>
    <w:p>
      <w:pPr>
        <w:pStyle w:val="3"/>
        <w:rPr>
          <w:rFonts w:ascii="仿宋_GB2312" w:hAnsi="Times New Roman" w:eastAsia="仿宋_GB2312" w:cs="Times New Roman"/>
          <w:b w:val="0"/>
          <w:bCs w:val="0"/>
          <w:color w:val="000000"/>
        </w:rPr>
      </w:pPr>
      <w:bookmarkStart w:id="146" w:name="_Toc15396620"/>
      <w:bookmarkStart w:id="147" w:name="_Toc5005"/>
      <w:bookmarkStart w:id="148" w:name="_Toc5932"/>
      <w:r>
        <w:rPr>
          <w:rFonts w:hint="eastAsia" w:ascii="仿宋_GB2312" w:hAnsi="Times New Roman" w:eastAsia="仿宋_GB2312" w:cs="Times New Roman"/>
          <w:b w:val="0"/>
          <w:bCs w:val="0"/>
          <w:color w:val="000000"/>
        </w:rPr>
        <w:t>二、收入决算表</w:t>
      </w:r>
      <w:bookmarkEnd w:id="146"/>
      <w:bookmarkEnd w:id="147"/>
      <w:bookmarkEnd w:id="148"/>
    </w:p>
    <w:p>
      <w:pPr>
        <w:pStyle w:val="3"/>
        <w:rPr>
          <w:rFonts w:ascii="仿宋_GB2312" w:hAnsi="Times New Roman" w:eastAsia="仿宋_GB2312" w:cs="Times New Roman"/>
          <w:b w:val="0"/>
          <w:bCs w:val="0"/>
          <w:color w:val="000000"/>
        </w:rPr>
      </w:pPr>
      <w:bookmarkStart w:id="149" w:name="_Toc15396621"/>
      <w:bookmarkStart w:id="150" w:name="_Toc16175"/>
      <w:bookmarkStart w:id="151" w:name="_Toc18235"/>
      <w:r>
        <w:rPr>
          <w:rFonts w:hint="eastAsia" w:ascii="仿宋_GB2312" w:hAnsi="Times New Roman" w:eastAsia="仿宋_GB2312" w:cs="Times New Roman"/>
          <w:b w:val="0"/>
          <w:bCs w:val="0"/>
          <w:color w:val="000000"/>
        </w:rPr>
        <w:t>三、支出决算表</w:t>
      </w:r>
      <w:bookmarkEnd w:id="149"/>
      <w:bookmarkEnd w:id="150"/>
      <w:bookmarkEnd w:id="151"/>
    </w:p>
    <w:p>
      <w:pPr>
        <w:pStyle w:val="3"/>
        <w:rPr>
          <w:rFonts w:ascii="仿宋_GB2312" w:hAnsi="Times New Roman" w:eastAsia="仿宋_GB2312" w:cs="Times New Roman"/>
          <w:b w:val="0"/>
          <w:bCs w:val="0"/>
          <w:color w:val="000000"/>
        </w:rPr>
      </w:pPr>
      <w:bookmarkStart w:id="152" w:name="_Toc20976"/>
      <w:bookmarkStart w:id="153" w:name="_Toc32657"/>
      <w:bookmarkStart w:id="154" w:name="_Toc15396622"/>
      <w:r>
        <w:rPr>
          <w:rFonts w:hint="eastAsia" w:ascii="仿宋_GB2312" w:hAnsi="Times New Roman" w:eastAsia="仿宋_GB2312" w:cs="Times New Roman"/>
          <w:b w:val="0"/>
          <w:bCs w:val="0"/>
          <w:color w:val="000000"/>
        </w:rPr>
        <w:t>四、财政拨款收入支出决算总表</w:t>
      </w:r>
      <w:bookmarkEnd w:id="152"/>
      <w:bookmarkEnd w:id="153"/>
      <w:bookmarkEnd w:id="154"/>
    </w:p>
    <w:p>
      <w:pPr>
        <w:pStyle w:val="3"/>
        <w:rPr>
          <w:rFonts w:ascii="仿宋_GB2312" w:hAnsi="Times New Roman" w:eastAsia="仿宋_GB2312" w:cs="Times New Roman"/>
          <w:b w:val="0"/>
          <w:bCs w:val="0"/>
          <w:color w:val="000000"/>
        </w:rPr>
      </w:pPr>
      <w:bookmarkStart w:id="155" w:name="_Toc10555"/>
      <w:bookmarkStart w:id="156" w:name="_Toc22306"/>
      <w:bookmarkStart w:id="157" w:name="_Toc15396623"/>
      <w:r>
        <w:rPr>
          <w:rFonts w:hint="eastAsia" w:ascii="仿宋_GB2312" w:hAnsi="Times New Roman" w:eastAsia="仿宋_GB2312" w:cs="Times New Roman"/>
          <w:b w:val="0"/>
          <w:bCs w:val="0"/>
          <w:color w:val="000000"/>
        </w:rPr>
        <w:t>五、财政拨款支出决算明细表</w:t>
      </w:r>
      <w:bookmarkEnd w:id="155"/>
      <w:bookmarkEnd w:id="156"/>
      <w:bookmarkEnd w:id="157"/>
      <w:bookmarkStart w:id="158" w:name="_Toc15396624"/>
    </w:p>
    <w:p>
      <w:pPr>
        <w:pStyle w:val="3"/>
        <w:rPr>
          <w:rFonts w:ascii="仿宋_GB2312" w:hAnsi="Times New Roman" w:eastAsia="仿宋_GB2312" w:cs="Times New Roman"/>
          <w:b w:val="0"/>
          <w:bCs w:val="0"/>
          <w:color w:val="000000"/>
        </w:rPr>
      </w:pPr>
      <w:bookmarkStart w:id="159" w:name="_Toc9439"/>
      <w:bookmarkStart w:id="160" w:name="_Toc7846"/>
      <w:r>
        <w:rPr>
          <w:rFonts w:hint="eastAsia" w:ascii="仿宋_GB2312" w:hAnsi="Times New Roman" w:eastAsia="仿宋_GB2312" w:cs="Times New Roman"/>
          <w:b w:val="0"/>
          <w:bCs w:val="0"/>
          <w:color w:val="000000"/>
        </w:rPr>
        <w:t>六、一般公共预算财政拨款支出决算表</w:t>
      </w:r>
      <w:bookmarkEnd w:id="158"/>
      <w:bookmarkEnd w:id="159"/>
      <w:bookmarkEnd w:id="160"/>
    </w:p>
    <w:p>
      <w:pPr>
        <w:pStyle w:val="3"/>
        <w:rPr>
          <w:rFonts w:ascii="仿宋_GB2312" w:hAnsi="Times New Roman" w:eastAsia="仿宋_GB2312" w:cs="Times New Roman"/>
          <w:b w:val="0"/>
          <w:bCs w:val="0"/>
          <w:color w:val="000000"/>
        </w:rPr>
      </w:pPr>
      <w:bookmarkStart w:id="161" w:name="_Toc15396625"/>
      <w:bookmarkStart w:id="162" w:name="_Toc23764"/>
      <w:bookmarkStart w:id="163" w:name="_Toc11686"/>
      <w:r>
        <w:rPr>
          <w:rFonts w:hint="eastAsia" w:ascii="仿宋_GB2312" w:hAnsi="Times New Roman" w:eastAsia="仿宋_GB2312" w:cs="Times New Roman"/>
          <w:b w:val="0"/>
          <w:bCs w:val="0"/>
          <w:color w:val="000000"/>
        </w:rPr>
        <w:t>七、一般公共预算财政拨款支出决算明细表</w:t>
      </w:r>
      <w:bookmarkEnd w:id="161"/>
      <w:bookmarkEnd w:id="162"/>
      <w:bookmarkEnd w:id="163"/>
    </w:p>
    <w:p>
      <w:pPr>
        <w:pStyle w:val="3"/>
        <w:rPr>
          <w:rFonts w:ascii="仿宋_GB2312" w:hAnsi="Times New Roman" w:eastAsia="仿宋_GB2312" w:cs="Times New Roman"/>
          <w:b w:val="0"/>
          <w:bCs w:val="0"/>
          <w:color w:val="000000"/>
        </w:rPr>
      </w:pPr>
      <w:bookmarkStart w:id="164" w:name="_Toc8047"/>
      <w:bookmarkStart w:id="165" w:name="_Toc26116"/>
      <w:bookmarkStart w:id="166" w:name="_Toc15396626"/>
      <w:r>
        <w:rPr>
          <w:rFonts w:hint="eastAsia" w:ascii="仿宋_GB2312" w:hAnsi="Times New Roman" w:eastAsia="仿宋_GB2312" w:cs="Times New Roman"/>
          <w:b w:val="0"/>
          <w:bCs w:val="0"/>
          <w:color w:val="000000"/>
        </w:rPr>
        <w:t>八、一般公共预算财政拨款基本支出决算表</w:t>
      </w:r>
      <w:bookmarkEnd w:id="164"/>
      <w:bookmarkEnd w:id="165"/>
      <w:bookmarkEnd w:id="166"/>
    </w:p>
    <w:p>
      <w:pPr>
        <w:pStyle w:val="3"/>
        <w:rPr>
          <w:rFonts w:ascii="仿宋_GB2312" w:hAnsi="Times New Roman" w:eastAsia="仿宋_GB2312" w:cs="Times New Roman"/>
          <w:b w:val="0"/>
          <w:bCs w:val="0"/>
          <w:color w:val="000000"/>
        </w:rPr>
      </w:pPr>
      <w:bookmarkStart w:id="167" w:name="_Toc25146"/>
      <w:bookmarkStart w:id="168" w:name="_Toc16234"/>
      <w:bookmarkStart w:id="169" w:name="_Toc15396627"/>
      <w:r>
        <w:rPr>
          <w:rFonts w:hint="eastAsia" w:ascii="仿宋_GB2312" w:hAnsi="Times New Roman" w:eastAsia="仿宋_GB2312" w:cs="Times New Roman"/>
          <w:b w:val="0"/>
          <w:bCs w:val="0"/>
          <w:color w:val="000000"/>
        </w:rPr>
        <w:t>九、一般公共预算财政拨款项目支出决算表</w:t>
      </w:r>
      <w:bookmarkEnd w:id="167"/>
      <w:bookmarkEnd w:id="168"/>
      <w:bookmarkEnd w:id="169"/>
    </w:p>
    <w:p>
      <w:pPr>
        <w:pStyle w:val="3"/>
        <w:rPr>
          <w:rFonts w:ascii="仿宋_GB2312" w:hAnsi="Times New Roman" w:eastAsia="仿宋_GB2312" w:cs="Times New Roman"/>
          <w:b w:val="0"/>
          <w:bCs w:val="0"/>
          <w:color w:val="000000"/>
        </w:rPr>
      </w:pPr>
      <w:bookmarkStart w:id="170" w:name="_Toc15396628"/>
      <w:bookmarkStart w:id="171" w:name="_Toc25976"/>
      <w:bookmarkStart w:id="172" w:name="_Toc19047"/>
      <w:r>
        <w:rPr>
          <w:rFonts w:hint="eastAsia" w:ascii="仿宋_GB2312" w:hAnsi="Times New Roman" w:eastAsia="仿宋_GB2312" w:cs="Times New Roman"/>
          <w:b w:val="0"/>
          <w:bCs w:val="0"/>
          <w:color w:val="000000"/>
        </w:rPr>
        <w:t>十、一般公共预算财政拨款“三公”经费支出决算表</w:t>
      </w:r>
      <w:bookmarkEnd w:id="170"/>
      <w:bookmarkEnd w:id="171"/>
      <w:bookmarkEnd w:id="172"/>
    </w:p>
    <w:p>
      <w:pPr>
        <w:pStyle w:val="3"/>
        <w:rPr>
          <w:rFonts w:ascii="仿宋_GB2312" w:hAnsi="Times New Roman" w:eastAsia="仿宋_GB2312" w:cs="Times New Roman"/>
          <w:b w:val="0"/>
          <w:bCs w:val="0"/>
          <w:color w:val="000000"/>
        </w:rPr>
      </w:pPr>
      <w:bookmarkStart w:id="173" w:name="_Toc15396629"/>
      <w:bookmarkStart w:id="174" w:name="_Toc18389"/>
      <w:bookmarkStart w:id="175" w:name="_Toc30356"/>
      <w:r>
        <w:rPr>
          <w:rFonts w:hint="eastAsia" w:ascii="仿宋_GB2312" w:hAnsi="Times New Roman" w:eastAsia="仿宋_GB2312" w:cs="Times New Roman"/>
          <w:b w:val="0"/>
          <w:bCs w:val="0"/>
          <w:color w:val="000000"/>
        </w:rPr>
        <w:t>十一、政府性基金预算财政拨款收入支出决算表</w:t>
      </w:r>
      <w:bookmarkEnd w:id="173"/>
      <w:bookmarkEnd w:id="174"/>
      <w:bookmarkEnd w:id="175"/>
    </w:p>
    <w:p>
      <w:pPr>
        <w:pStyle w:val="3"/>
        <w:rPr>
          <w:rFonts w:ascii="仿宋_GB2312" w:hAnsi="Times New Roman" w:eastAsia="仿宋_GB2312" w:cs="Times New Roman"/>
          <w:b w:val="0"/>
          <w:bCs w:val="0"/>
          <w:color w:val="000000"/>
        </w:rPr>
      </w:pPr>
      <w:bookmarkStart w:id="176" w:name="_Toc5833"/>
      <w:bookmarkStart w:id="177" w:name="_Toc15396630"/>
      <w:bookmarkStart w:id="178" w:name="_Toc11116"/>
      <w:r>
        <w:rPr>
          <w:rFonts w:hint="eastAsia" w:ascii="仿宋_GB2312" w:hAnsi="Times New Roman" w:eastAsia="仿宋_GB2312" w:cs="Times New Roman"/>
          <w:b w:val="0"/>
          <w:bCs w:val="0"/>
          <w:color w:val="000000"/>
        </w:rPr>
        <w:t>十二、政府性基金预算财政拨款“三公”经费支出决算表</w:t>
      </w:r>
      <w:bookmarkEnd w:id="176"/>
      <w:bookmarkEnd w:id="177"/>
      <w:bookmarkEnd w:id="178"/>
    </w:p>
    <w:p>
      <w:pPr>
        <w:pStyle w:val="3"/>
        <w:rPr>
          <w:rFonts w:ascii="仿宋_GB2312" w:hAnsi="Times New Roman" w:eastAsia="仿宋_GB2312" w:cs="Times New Roman"/>
          <w:b w:val="0"/>
          <w:bCs w:val="0"/>
          <w:color w:val="000000"/>
        </w:rPr>
      </w:pPr>
      <w:bookmarkStart w:id="179" w:name="_Toc11489"/>
      <w:bookmarkStart w:id="180" w:name="_Toc15396631"/>
      <w:bookmarkStart w:id="181" w:name="_Toc27214"/>
      <w:r>
        <w:rPr>
          <w:rFonts w:hint="eastAsia" w:ascii="仿宋_GB2312" w:hAnsi="Times New Roman" w:eastAsia="仿宋_GB2312" w:cs="Times New Roman"/>
          <w:b w:val="0"/>
          <w:bCs w:val="0"/>
          <w:color w:val="000000"/>
        </w:rPr>
        <w:t>十三、国有资本经营预算支出决算表</w:t>
      </w:r>
      <w:bookmarkEnd w:id="179"/>
      <w:bookmarkEnd w:id="180"/>
      <w:bookmarkEnd w:id="181"/>
    </w:p>
    <w:p>
      <w:bookmarkStart w:id="182" w:name="_GoBack"/>
      <w:bookmarkEnd w:id="182"/>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4"/>
          <w:jc w:val="center"/>
        </w:pPr>
        <w:r>
          <w:fldChar w:fldCharType="begin"/>
        </w:r>
        <w:r>
          <w:instrText xml:space="preserve">PAGE   \* MERGEFORMAT</w:instrText>
        </w:r>
        <w:r>
          <w:fldChar w:fldCharType="separate"/>
        </w:r>
        <w:r>
          <w:rPr>
            <w:lang w:val="zh-CN"/>
          </w:rPr>
          <w:t>32</w:t>
        </w:r>
        <w:r>
          <w:rPr>
            <w:lang w:val="zh-CN"/>
          </w:rPr>
          <w:fldChar w:fldCharType="end"/>
        </w:r>
      </w:p>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1272550B"/>
    <w:multiLevelType w:val="multilevel"/>
    <w:tmpl w:val="1272550B"/>
    <w:lvl w:ilvl="0" w:tentative="0">
      <w:start w:val="1"/>
      <w:numFmt w:val="japaneseCounting"/>
      <w:lvlText w:val="%1、"/>
      <w:lvlJc w:val="left"/>
      <w:pPr>
        <w:ind w:left="1288"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22B8B7CF"/>
    <w:multiLevelType w:val="singleLevel"/>
    <w:tmpl w:val="22B8B7CF"/>
    <w:lvl w:ilvl="0" w:tentative="0">
      <w:start w:val="1"/>
      <w:numFmt w:val="decimal"/>
      <w:lvlText w:val="%1."/>
      <w:lvlJc w:val="left"/>
      <w:pPr>
        <w:tabs>
          <w:tab w:val="left" w:pos="312"/>
        </w:tabs>
      </w:pPr>
    </w:lvl>
  </w:abstractNum>
  <w:abstractNum w:abstractNumId="5">
    <w:nsid w:val="3FE3D99F"/>
    <w:multiLevelType w:val="singleLevel"/>
    <w:tmpl w:val="3FE3D99F"/>
    <w:lvl w:ilvl="0" w:tentative="0">
      <w:start w:val="2"/>
      <w:numFmt w:val="chineseCounting"/>
      <w:suff w:val="nothing"/>
      <w:lvlText w:val="（%1）"/>
      <w:lvlJc w:val="left"/>
      <w:rPr>
        <w:rFonts w:hint="eastAsia"/>
      </w:rPr>
    </w:lvl>
  </w:abstractNum>
  <w:abstractNum w:abstractNumId="6">
    <w:nsid w:val="59403E3A"/>
    <w:multiLevelType w:val="singleLevel"/>
    <w:tmpl w:val="59403E3A"/>
    <w:lvl w:ilvl="0" w:tentative="0">
      <w:start w:val="2"/>
      <w:numFmt w:val="chineseCounting"/>
      <w:suff w:val="nothing"/>
      <w:lvlText w:val="（%1）"/>
      <w:lvlJc w:val="left"/>
      <w:rPr>
        <w:rFonts w:hint="eastAsia"/>
        <w:lang w:val="en-US"/>
      </w:rPr>
    </w:lvl>
  </w:abstractNum>
  <w:num w:numId="1">
    <w:abstractNumId w:val="3"/>
  </w:num>
  <w:num w:numId="2">
    <w:abstractNumId w:val="4"/>
  </w:num>
  <w:num w:numId="3">
    <w:abstractNumId w:val="1"/>
  </w:num>
  <w:num w:numId="4">
    <w:abstractNumId w:val="0"/>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A15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4">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5">
    <w:name w:val="header"/>
    <w:basedOn w:val="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6">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7">
    <w:name w:val="toc 2"/>
    <w:basedOn w:val="1"/>
    <w:next w:val="1"/>
    <w:unhideWhenUsed/>
    <w:qFormat/>
    <w:uiPriority w:val="39"/>
    <w:pPr>
      <w:tabs>
        <w:tab w:val="right" w:leader="dot" w:pos="8296"/>
      </w:tabs>
      <w:ind w:left="420" w:leftChars="200"/>
    </w:p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99"/>
    <w:rPr>
      <w:b/>
    </w:rPr>
  </w:style>
  <w:style w:type="character" w:customStyle="1" w:styleId="12">
    <w:name w:val="标题 1 Char"/>
    <w:basedOn w:val="10"/>
    <w:link w:val="2"/>
    <w:qFormat/>
    <w:uiPriority w:val="9"/>
    <w:rPr>
      <w:b/>
      <w:bCs/>
      <w:kern w:val="44"/>
      <w:sz w:val="44"/>
      <w:szCs w:val="44"/>
    </w:rPr>
  </w:style>
  <w:style w:type="character" w:customStyle="1" w:styleId="13">
    <w:name w:val="标题 2 Char"/>
    <w:basedOn w:val="10"/>
    <w:link w:val="3"/>
    <w:qFormat/>
    <w:uiPriority w:val="9"/>
    <w:rPr>
      <w:rFonts w:asciiTheme="majorHAnsi" w:hAnsiTheme="majorHAnsi" w:eastAsiaTheme="majorEastAsia" w:cstheme="majorBidi"/>
      <w:b/>
      <w:bCs/>
      <w:sz w:val="32"/>
      <w:szCs w:val="32"/>
    </w:rPr>
  </w:style>
  <w:style w:type="paragraph" w:styleId="14">
    <w:name w:val="List Paragraph"/>
    <w:basedOn w:val="1"/>
    <w:qFormat/>
    <w:uiPriority w:val="34"/>
    <w:pPr>
      <w:ind w:firstLine="420" w:firstLineChars="200"/>
    </w:pPr>
  </w:style>
  <w:style w:type="paragraph" w:customStyle="1" w:styleId="1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收入、支出决算总计变动情况</a:t>
            </a:r>
          </a:p>
        </c:rich>
      </c:tx>
      <c:layout/>
      <c:overlay val="0"/>
      <c:spPr>
        <a:noFill/>
        <a:ln>
          <a:noFill/>
        </a:ln>
        <a:effectLst/>
      </c:spPr>
    </c:title>
    <c:autoTitleDeleted val="0"/>
    <c:plotArea>
      <c:layout>
        <c:manualLayout>
          <c:layoutTarget val="inner"/>
          <c:xMode val="edge"/>
          <c:yMode val="edge"/>
          <c:x val="0.0888467014712862"/>
          <c:y val="0.192653855509608"/>
          <c:w val="0.90640721404841"/>
          <c:h val="0.580004864996351"/>
        </c:manualLayout>
      </c:layout>
      <c:barChart>
        <c:barDir val="col"/>
        <c:grouping val="clustered"/>
        <c:varyColors val="0"/>
        <c:ser>
          <c:idx val="0"/>
          <c:order val="0"/>
          <c:tx>
            <c:strRef>
              <c:f>Sheet1!$B$1</c:f>
              <c:strCache>
                <c:ptCount val="1"/>
                <c:pt idx="0">
                  <c:v>2018年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Sheet1!$B$2:$B$3</c:f>
              <c:numCache>
                <c:formatCode>General</c:formatCode>
                <c:ptCount val="2"/>
                <c:pt idx="0">
                  <c:v>486.24</c:v>
                </c:pt>
                <c:pt idx="1">
                  <c:v>405.95</c:v>
                </c:pt>
              </c:numCache>
            </c:numRef>
          </c:val>
        </c:ser>
        <c:ser>
          <c:idx val="1"/>
          <c:order val="1"/>
          <c:tx>
            <c:strRef>
              <c:f>Sheet1!$C$1</c:f>
              <c:strCache>
                <c:ptCount val="1"/>
                <c:pt idx="0">
                  <c:v>2019年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Sheet1!$C$2:$C$3</c:f>
              <c:numCache>
                <c:formatCode>General</c:formatCode>
                <c:ptCount val="2"/>
                <c:pt idx="0">
                  <c:v>434.55</c:v>
                </c:pt>
                <c:pt idx="1">
                  <c:v>427.58</c:v>
                </c:pt>
              </c:numCache>
            </c:numRef>
          </c:val>
        </c:ser>
        <c:ser>
          <c:idx val="2"/>
          <c:order val="2"/>
          <c:tx>
            <c:strRef>
              <c:f>Sheet1!#REF!</c:f>
              <c:strCache>
                <c:ptCount val="1"/>
                <c:pt idx="0">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收入</c:v>
                </c:pt>
                <c:pt idx="1">
                  <c:v>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00"/>
        <c:overlap val="-24"/>
        <c:axId val="121799040"/>
        <c:axId val="121824000"/>
      </c:barChart>
      <c:catAx>
        <c:axId val="121799040"/>
        <c:scaling>
          <c:orientation val="minMax"/>
        </c:scaling>
        <c:delete val="0"/>
        <c:axPos val="b"/>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1824000"/>
        <c:crosses val="autoZero"/>
        <c:auto val="1"/>
        <c:lblAlgn val="ctr"/>
        <c:lblOffset val="100"/>
        <c:noMultiLvlLbl val="0"/>
      </c:catAx>
      <c:valAx>
        <c:axId val="12182400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179904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收入决算结构图</a:t>
            </a:r>
          </a:p>
        </c:rich>
      </c:tx>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Pt>
            <c:idx val="5"/>
            <c:bubble3D val="0"/>
            <c:spPr>
              <a:solidFill>
                <a:schemeClr val="accent6"/>
              </a:solidFill>
              <a:ln>
                <a:noFill/>
              </a:ln>
              <a:effectLst>
                <a:outerShdw blurRad="317500" algn="ctr" rotWithShape="0">
                  <a:prstClr val="black">
                    <a:alpha val="25000"/>
                  </a:prstClr>
                </a:outerShdw>
              </a:effectLst>
            </c:spPr>
          </c:dPt>
          <c:dPt>
            <c:idx val="6"/>
            <c:bubble3D val="0"/>
            <c:spPr>
              <a:solidFill>
                <a:schemeClr val="accent1">
                  <a:lumMod val="60000"/>
                </a:schemeClr>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408.01</c:v>
                </c:pt>
                <c:pt idx="1">
                  <c:v>26.54</c:v>
                </c:pt>
                <c:pt idx="2">
                  <c:v>0</c:v>
                </c:pt>
                <c:pt idx="3">
                  <c:v>0</c:v>
                </c:pt>
                <c:pt idx="4">
                  <c:v>0</c:v>
                </c:pt>
                <c:pt idx="5">
                  <c:v>0</c:v>
                </c:pt>
                <c:pt idx="6">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zh-CN" sz="1800" b="1" i="0" u="none" strike="noStrike" kern="1200" baseline="0">
              <a:solidFill>
                <a:schemeClr val="dk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Pt>
            <c:idx val="4"/>
            <c:bubble3D val="0"/>
            <c:spPr>
              <a:solidFill>
                <a:schemeClr val="accent5"/>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111.73</c:v>
                </c:pt>
                <c:pt idx="1">
                  <c:v>315.86</c:v>
                </c:pt>
                <c:pt idx="2">
                  <c:v>0</c:v>
                </c:pt>
                <c:pt idx="3">
                  <c:v>0</c:v>
                </c:pt>
                <c:pt idx="4">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财政拨款收入、支出决算总计变动情况</a:t>
            </a:r>
          </a:p>
        </c:rich>
      </c:tx>
      <c:layout>
        <c:manualLayout>
          <c:xMode val="edge"/>
          <c:yMode val="edge"/>
          <c:x val="0.13776915287899"/>
          <c:y val="0.0452860028286242"/>
        </c:manualLayout>
      </c:layout>
      <c:overlay val="0"/>
      <c:spPr>
        <a:noFill/>
        <a:ln>
          <a:noFill/>
        </a:ln>
        <a:effectLst/>
      </c:spPr>
    </c:title>
    <c:autoTitleDeleted val="0"/>
    <c:plotArea>
      <c:layout>
        <c:manualLayout>
          <c:layoutTarget val="inner"/>
          <c:xMode val="edge"/>
          <c:yMode val="edge"/>
          <c:x val="0.0888467014712862"/>
          <c:y val="0.192653855509608"/>
          <c:w val="0.90640721404841"/>
          <c:h val="0.580004864996351"/>
        </c:manualLayout>
      </c:layout>
      <c:barChart>
        <c:barDir val="col"/>
        <c:grouping val="clustered"/>
        <c:varyColors val="0"/>
        <c:ser>
          <c:idx val="0"/>
          <c:order val="0"/>
          <c:tx>
            <c:strRef>
              <c:f>Sheet1!$B$1</c:f>
              <c:strCache>
                <c:ptCount val="1"/>
                <c:pt idx="0">
                  <c:v>2018年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Sheet1!$B$2:$B$3</c:f>
              <c:numCache>
                <c:formatCode>General</c:formatCode>
                <c:ptCount val="2"/>
                <c:pt idx="0">
                  <c:v>437.75</c:v>
                </c:pt>
                <c:pt idx="1">
                  <c:v>399.03</c:v>
                </c:pt>
              </c:numCache>
            </c:numRef>
          </c:val>
        </c:ser>
        <c:ser>
          <c:idx val="1"/>
          <c:order val="1"/>
          <c:tx>
            <c:strRef>
              <c:f>Sheet1!$C$1</c:f>
              <c:strCache>
                <c:ptCount val="1"/>
                <c:pt idx="0">
                  <c:v>2019年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Sheet1!$C$2:$C$3</c:f>
              <c:numCache>
                <c:formatCode>General</c:formatCode>
                <c:ptCount val="2"/>
                <c:pt idx="0">
                  <c:v>408.01</c:v>
                </c:pt>
                <c:pt idx="1">
                  <c:v>391.16</c:v>
                </c:pt>
              </c:numCache>
            </c:numRef>
          </c:val>
        </c:ser>
        <c:ser>
          <c:idx val="2"/>
          <c:order val="2"/>
          <c:tx>
            <c:strRef>
              <c:f>Sheet1!#REF!</c:f>
              <c:strCache>
                <c:ptCount val="1"/>
                <c:pt idx="0">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Lbl>
              <c:idx val="0"/>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Sheet1!$A$2:$A$3</c:f>
              <c:strCache>
                <c:ptCount val="2"/>
                <c:pt idx="0">
                  <c:v>财政拨款收入</c:v>
                </c:pt>
                <c:pt idx="1">
                  <c:v>财政拨款支出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00"/>
        <c:overlap val="-24"/>
        <c:axId val="270321920"/>
        <c:axId val="270348288"/>
      </c:barChart>
      <c:catAx>
        <c:axId val="270321920"/>
        <c:scaling>
          <c:orientation val="minMax"/>
        </c:scaling>
        <c:delete val="0"/>
        <c:axPos val="b"/>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348288"/>
        <c:crosses val="autoZero"/>
        <c:auto val="1"/>
        <c:lblAlgn val="ctr"/>
        <c:lblOffset val="100"/>
        <c:noMultiLvlLbl val="0"/>
      </c:catAx>
      <c:valAx>
        <c:axId val="27034828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32192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65000"/>
                    <a:lumOff val="35000"/>
                  </a:schemeClr>
                </a:solidFill>
                <a:latin typeface="+mn-lt"/>
                <a:ea typeface="+mn-ea"/>
                <a:cs typeface="+mn-cs"/>
              </a:defRPr>
            </a:pPr>
            <a:r>
              <a:t>一般公共预算财政拨款支出决算变动情况</a:t>
            </a:r>
          </a:p>
        </c:rich>
      </c:tx>
      <c:layout>
        <c:manualLayout>
          <c:xMode val="edge"/>
          <c:yMode val="edge"/>
          <c:x val="0.112496538686804"/>
          <c:y val="0.00642948992713245"/>
        </c:manualLayout>
      </c:layout>
      <c:overlay val="0"/>
      <c:spPr>
        <a:noFill/>
        <a:ln>
          <a:noFill/>
        </a:ln>
        <a:effectLst/>
      </c:spPr>
    </c:title>
    <c:autoTitleDeleted val="0"/>
    <c:plotArea>
      <c:layout>
        <c:manualLayout>
          <c:layoutTarget val="inner"/>
          <c:xMode val="edge"/>
          <c:yMode val="edge"/>
          <c:x val="0.0888467014712862"/>
          <c:y val="0.192653855509608"/>
          <c:w val="0.90640721404841"/>
          <c:h val="0.580004864996351"/>
        </c:manualLayout>
      </c:layout>
      <c:barChart>
        <c:barDir val="col"/>
        <c:grouping val="clustered"/>
        <c:varyColors val="0"/>
        <c:ser>
          <c:idx val="0"/>
          <c:order val="0"/>
          <c:tx>
            <c:strRef>
              <c:f>Sheet1!$B$1</c:f>
              <c:strCache>
                <c:ptCount val="1"/>
                <c:pt idx="0">
                  <c:v>2018年</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财政拨款支出</c:v>
                </c:pt>
              </c:strCache>
            </c:strRef>
          </c:cat>
          <c:val>
            <c:numRef>
              <c:f>Sheet1!$B$2</c:f>
              <c:numCache>
                <c:formatCode>General</c:formatCode>
                <c:ptCount val="1"/>
                <c:pt idx="0">
                  <c:v>399.03</c:v>
                </c:pt>
              </c:numCache>
            </c:numRef>
          </c:val>
        </c:ser>
        <c:ser>
          <c:idx val="1"/>
          <c:order val="1"/>
          <c:tx>
            <c:strRef>
              <c:f>Sheet1!$C$1</c:f>
              <c:strCache>
                <c:ptCount val="1"/>
                <c:pt idx="0">
                  <c:v>2019年</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c:f>
              <c:strCache>
                <c:ptCount val="1"/>
                <c:pt idx="0">
                  <c:v>财政拨款支出</c:v>
                </c:pt>
              </c:strCache>
            </c:strRef>
          </c:cat>
          <c:val>
            <c:numRef>
              <c:f>Sheet1!$C$2</c:f>
              <c:numCache>
                <c:formatCode>General</c:formatCode>
                <c:ptCount val="1"/>
                <c:pt idx="0">
                  <c:v>391.16</c:v>
                </c:pt>
              </c:numCache>
            </c:numRef>
          </c:val>
        </c:ser>
        <c:ser>
          <c:idx val="2"/>
          <c:order val="2"/>
          <c:tx>
            <c:strRef>
              <c:f>Sheet1!#REF!</c:f>
              <c:strCache>
                <c:ptCount val="1"/>
                <c:pt idx="0">
                  <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dLbls>
            <c:delete val="1"/>
          </c:dLbls>
          <c:cat>
            <c:strRef>
              <c:f>Sheet1!$A$2</c:f>
              <c:strCache>
                <c:ptCount val="1"/>
                <c:pt idx="0">
                  <c:v>财政拨款支出</c:v>
                </c:pt>
              </c:strCache>
            </c:strRef>
          </c:cat>
          <c:val>
            <c:numRef>
              <c:f>Sheet1!#REF!</c:f>
              <c:numCache>
                <c:formatCode>General</c:formatCode>
                <c:ptCount val="1"/>
                <c:pt idx="0">
                  <c:v>1</c:v>
                </c:pt>
              </c:numCache>
            </c:numRef>
          </c:val>
        </c:ser>
        <c:dLbls>
          <c:showLegendKey val="0"/>
          <c:showVal val="1"/>
          <c:showCatName val="0"/>
          <c:showSerName val="0"/>
          <c:showPercent val="0"/>
          <c:showBubbleSize val="0"/>
        </c:dLbls>
        <c:gapWidth val="100"/>
        <c:overlap val="-24"/>
        <c:axId val="270779904"/>
        <c:axId val="270823808"/>
      </c:barChart>
      <c:catAx>
        <c:axId val="270779904"/>
        <c:scaling>
          <c:orientation val="minMax"/>
        </c:scaling>
        <c:delete val="0"/>
        <c:axPos val="b"/>
        <c:majorTickMark val="none"/>
        <c:minorTickMark val="none"/>
        <c:tickLblPos val="nextTo"/>
        <c:spPr>
          <a:noFill/>
          <a:ln w="12700"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823808"/>
        <c:crosses val="autoZero"/>
        <c:auto val="1"/>
        <c:lblAlgn val="ctr"/>
        <c:lblOffset val="100"/>
        <c:noMultiLvlLbl val="0"/>
      </c:catAx>
      <c:valAx>
        <c:axId val="27082380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0779904"/>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t>一般公共预算财政拨款支出决算结构图</a:t>
            </a: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Pt>
            <c:idx val="3"/>
            <c:bubble3D val="0"/>
            <c:spPr>
              <a:solidFill>
                <a:schemeClr val="accent4"/>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Sheet1!$A$2:$A$5</c:f>
              <c:strCache>
                <c:ptCount val="4"/>
                <c:pt idx="0">
                  <c:v>社会保障和就业（类）支出</c:v>
                </c:pt>
                <c:pt idx="1">
                  <c:v>卫生健康支出</c:v>
                </c:pt>
                <c:pt idx="2">
                  <c:v>农林水支出</c:v>
                </c:pt>
                <c:pt idx="3">
                  <c:v>住房保障支出</c:v>
                </c:pt>
              </c:strCache>
            </c:strRef>
          </c:cat>
          <c:val>
            <c:numRef>
              <c:f>Sheet1!$B$2:$B$5</c:f>
              <c:numCache>
                <c:formatCode>General</c:formatCode>
                <c:ptCount val="4"/>
                <c:pt idx="0">
                  <c:v>371.2</c:v>
                </c:pt>
                <c:pt idx="1">
                  <c:v>2.86</c:v>
                </c:pt>
                <c:pt idx="2">
                  <c:v>7.77</c:v>
                </c:pt>
                <c:pt idx="3">
                  <c:v>9.33</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800" b="1" i="0" u="none" strike="noStrike" kern="1200" baseline="0">
                <a:solidFill>
                  <a:schemeClr val="dk1">
                    <a:lumMod val="65000"/>
                    <a:lumOff val="35000"/>
                  </a:schemeClr>
                </a:solidFill>
                <a:latin typeface="+mn-lt"/>
                <a:ea typeface="+mn-ea"/>
                <a:cs typeface="+mn-cs"/>
              </a:defRPr>
            </a:pPr>
            <a:r>
              <a:rPr lang="en-US" altLang="zh-CN"/>
              <a:t>“</a:t>
            </a:r>
            <a:r>
              <a:rPr altLang="en-US"/>
              <a:t>三公</a:t>
            </a:r>
            <a:r>
              <a:rPr lang="en-US" altLang="zh-CN"/>
              <a:t>”</a:t>
            </a:r>
            <a:r>
              <a:rPr altLang="en-US"/>
              <a:t>经费财政拨款支出</a:t>
            </a:r>
            <a:r>
              <a:t>结构图</a:t>
            </a:r>
          </a:p>
        </c:rich>
      </c:tx>
      <c:layout>
        <c:manualLayout>
          <c:xMode val="edge"/>
          <c:yMode val="edge"/>
          <c:x val="0.140918415654095"/>
          <c:y val="0.0349922239502333"/>
        </c:manualLayout>
      </c:layout>
      <c:overlay val="0"/>
      <c:spPr>
        <a:noFill/>
        <a:ln>
          <a:noFill/>
        </a:ln>
        <a:effectLst/>
      </c:spPr>
    </c:title>
    <c:autoTitleDeleted val="0"/>
    <c:plotArea>
      <c:layout/>
      <c:pieChart>
        <c:varyColors val="1"/>
        <c:ser>
          <c:idx val="0"/>
          <c:order val="0"/>
          <c:tx>
            <c:strRef>
              <c:f>Sheet1!$B$1</c:f>
              <c:strCache>
                <c:ptCount val="1"/>
                <c:pt idx="0">
                  <c:v>销售额</c:v>
                </c:pt>
              </c:strCache>
            </c:strRef>
          </c:tx>
          <c:explosion val="0"/>
          <c:dPt>
            <c:idx val="0"/>
            <c:bubble3D val="0"/>
            <c:spPr>
              <a:solidFill>
                <a:schemeClr val="accent1"/>
              </a:solidFill>
              <a:ln>
                <a:noFill/>
              </a:ln>
              <a:effectLst>
                <a:outerShdw blurRad="317500" algn="ctr" rotWithShape="0">
                  <a:prstClr val="black">
                    <a:alpha val="25000"/>
                  </a:prstClr>
                </a:outerShdw>
              </a:effectLst>
            </c:spPr>
          </c:dPt>
          <c:dPt>
            <c:idx val="1"/>
            <c:bubble3D val="0"/>
            <c:spPr>
              <a:solidFill>
                <a:schemeClr val="accent2"/>
              </a:solidFill>
              <a:ln>
                <a:noFill/>
              </a:ln>
              <a:effectLst>
                <a:outerShdw blurRad="317500" algn="ctr" rotWithShape="0">
                  <a:prstClr val="black">
                    <a:alpha val="25000"/>
                  </a:prstClr>
                </a:outerShdw>
              </a:effectLst>
            </c:spPr>
          </c:dPt>
          <c:dPt>
            <c:idx val="2"/>
            <c:bubble3D val="0"/>
            <c:spPr>
              <a:solidFill>
                <a:schemeClr val="accent3"/>
              </a:solidFill>
              <a:ln>
                <a:noFill/>
              </a:ln>
              <a:effectLst>
                <a:outerShdw blurRad="317500" algn="ctr" rotWithShape="0">
                  <a:prstClr val="black">
                    <a:alpha val="25000"/>
                  </a:prstClr>
                </a:outerShdw>
              </a:effectLst>
            </c:spPr>
          </c:dPt>
          <c:dLbls>
            <c:spPr>
              <a:noFill/>
              <a:ln>
                <a:noFill/>
              </a:ln>
              <a:effectLst/>
            </c:spPr>
            <c:txPr>
              <a:bodyPr rot="0" spcFirstLastPara="0" vertOverflow="ellipsis" vert="horz" wrap="square" lIns="38100" tIns="19050" rIns="38100" bIns="19050" anchor="ctr" anchorCtr="1"/>
              <a:lstStyle/>
              <a:p>
                <a:pPr>
                  <a:defRPr lang="zh-CN" sz="900" b="1" i="0" u="none" strike="noStrike" kern="1200" baseline="0">
                    <a:solidFill>
                      <a:schemeClr val="lt1"/>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prstDash val="solid"/>
                      <a:round/>
                    </a:ln>
                    <a:effectLst/>
                  </c:spPr>
                </c15:leaderLines>
              </c:ext>
            </c:extLst>
          </c:dLbls>
          <c:cat>
            <c:strRef>
              <c:f>Sheet1!$A$2:$A$4</c:f>
              <c:strCache>
                <c:ptCount val="3"/>
                <c:pt idx="0">
                  <c:v>因公出国（境）费支出</c:v>
                </c:pt>
                <c:pt idx="1">
                  <c:v>公务用车购置及运行维护费支出</c:v>
                </c:pt>
                <c:pt idx="2">
                  <c:v>公务接待费支出</c:v>
                </c:pt>
              </c:strCache>
            </c:strRef>
          </c:cat>
          <c:val>
            <c:numRef>
              <c:f>Sheet1!$B$2:$B$4</c:f>
              <c:numCache>
                <c:formatCode>General</c:formatCode>
                <c:ptCount val="3"/>
                <c:pt idx="0">
                  <c:v>0</c:v>
                </c:pt>
                <c:pt idx="1">
                  <c:v>2.08</c:v>
                </c:pt>
                <c:pt idx="2">
                  <c:v>0.87</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manualLayout>
          <c:xMode val="edge"/>
          <c:yMode val="edge"/>
          <c:x val="0.103834622060912"/>
          <c:y val="0.774753758424054"/>
          <c:w val="0.891273473252328"/>
          <c:h val="0.0839813374805599"/>
        </c:manualLayout>
      </c:layout>
      <c:overlay val="0"/>
      <c:spPr>
        <a:solidFill>
          <a:schemeClr val="lt1">
            <a:alpha val="78000"/>
          </a:schemeClr>
        </a:solidFill>
        <a:ln>
          <a:noFill/>
        </a:ln>
        <a:effectLst/>
      </c:spPr>
      <c:txPr>
        <a:bodyPr rot="0" spcFirstLastPara="0"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p>
      </c:txPr>
    </c:legend>
    <c:plotVisOnly val="1"/>
    <c:dispBlanksAs val="zero"/>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墨尔本的晴空</cp:lastModifiedBy>
  <dcterms:modified xsi:type="dcterms:W3CDTF">2020-09-25T02:35:45Z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