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ascii="方正黑体_GBK" w:hAnsi="宋体" w:eastAsia="方正黑体_GBK"/>
          <w:sz w:val="33"/>
          <w:szCs w:val="33"/>
          <w:lang w:val="zh-CN"/>
        </w:rPr>
      </w:pPr>
      <w:r>
        <w:rPr>
          <w:rFonts w:hint="eastAsia" w:ascii="方正黑体_GBK" w:hAnsi="宋体" w:eastAsia="方正黑体_GBK"/>
          <w:sz w:val="33"/>
          <w:szCs w:val="33"/>
          <w:lang w:val="zh-CN"/>
        </w:rPr>
        <w:t>附件</w:t>
      </w:r>
      <w:r>
        <w:rPr>
          <w:rFonts w:hint="eastAsia" w:eastAsia="方正黑体_GBK"/>
          <w:sz w:val="33"/>
          <w:szCs w:val="33"/>
        </w:rPr>
        <w:t>2</w:t>
      </w:r>
    </w:p>
    <w:p>
      <w:pPr>
        <w:widowControl/>
        <w:spacing w:line="580" w:lineRule="exact"/>
        <w:contextualSpacing/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/>
          <w:sz w:val="44"/>
          <w:szCs w:val="44"/>
          <w:shd w:val="clear" w:color="auto" w:fill="FFFFFF"/>
          <w:lang w:eastAsia="zh-CN"/>
        </w:rPr>
        <w:t>信访局</w:t>
      </w:r>
      <w:r>
        <w:rPr>
          <w:rFonts w:hint="eastAsia" w:ascii="方正小标宋简体" w:hAnsi="宋体" w:eastAsia="方正小标宋简体"/>
          <w:sz w:val="44"/>
          <w:szCs w:val="44"/>
          <w:shd w:val="clear" w:color="auto" w:fill="FFFFFF"/>
        </w:rPr>
        <w:t>部门整体支出绩效自评报告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ascii="黑体" w:hAnsi="黑体" w:eastAsia="黑体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黑体" w:hAnsi="黑体" w:eastAsia="黑体" w:cs="宋体"/>
          <w:color w:val="000000"/>
          <w:kern w:val="0"/>
          <w:szCs w:val="32"/>
          <w:shd w:val="clear" w:color="auto" w:fill="FFFFFF"/>
        </w:rPr>
        <w:t>一、</w:t>
      </w:r>
      <w:r>
        <w:rPr>
          <w:rFonts w:hint="eastAsia" w:ascii="黑体" w:hAnsi="黑体" w:eastAsia="黑体" w:cs="宋体"/>
          <w:color w:val="000000"/>
          <w:kern w:val="0"/>
          <w:szCs w:val="32"/>
          <w:shd w:val="clear" w:color="auto" w:fill="FFFFFF"/>
          <w:lang w:val="zh-CN"/>
        </w:rPr>
        <w:t>部门（单位）概况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1．主要职能。</w:t>
      </w:r>
    </w:p>
    <w:p>
      <w:pPr>
        <w:pStyle w:val="7"/>
        <w:widowControl/>
        <w:spacing w:before="150" w:after="150" w:line="600" w:lineRule="atLeast"/>
        <w:ind w:firstLine="645"/>
      </w:pPr>
      <w:r>
        <w:rPr>
          <w:rFonts w:hint="eastAsia" w:ascii="仿宋_GB2312" w:hAnsi="仿宋" w:eastAsia="仿宋_GB2312"/>
          <w:kern w:val="2"/>
          <w:sz w:val="32"/>
          <w:szCs w:val="32"/>
        </w:rPr>
        <w:t>负责处理金口河区内外群众给金口河区委、区人民政府的来信，接待群众来访，保证信访渠道畅通，及时、准确地向金口河区委、区人民政府领导反映来信来访中提出的重要建议、意见和问题，综合分析信访信息，开展调查研究，提出完善政策的建议；承办上级党委、政府和金口河区委、区政府交办的信访事项，督促检查指导有关信访指示的落实情况，向各乡（彝族乡）、镇和区级各部门交办信访事项，督促检查重要信访事项的处理和落实；协调处理跨乡、镇和部门的重要信访问题，协调处理群众集体到京、省、市、区及有关部门的上访和异常、突发信访事件，检查、指导、协调区级各部门和乡（彝族乡）、镇党政机关的信访工作；总结推广各乡（彝族乡）、镇、各部门信访工作的经验，提出改进和加强信访工作的意见和建议，通报重大信访问题和信访事件；了解掌握金口河区信访工作队伍建设情况，组织信访干部的培训，指导做好全区信访办公自动化建设；负责信访工作的宣传和信息发布，协调信访工作对外交流和联络。完成区委、区政府交办的其他任务</w:t>
      </w:r>
      <w:r>
        <w:rPr>
          <w:rFonts w:hint="eastAsia" w:ascii="宋体" w:hAnsi="宋体" w:cs="宋体"/>
          <w:color w:val="000000"/>
        </w:rPr>
        <w:t>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2．机构情况，包括当年变动情况及原因。</w:t>
      </w:r>
    </w:p>
    <w:p>
      <w:pPr>
        <w:pStyle w:val="7"/>
        <w:widowControl/>
        <w:spacing w:before="150" w:after="150" w:line="420" w:lineRule="atLeast"/>
        <w:ind w:firstLine="645"/>
        <w:rPr>
          <w:rFonts w:hint="eastAsia"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区信访局属区人民政府序列正科级工作部门，行政编制5名，下属二级预算单位0个，下设群众来访接待中心为财政全额拨款股级事业单位1个，事业编制4名。我局内设2个职能部门，分别是办公室、信访股。与上年无变化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3．人员情况，包括当年变动情况及原因。</w:t>
      </w:r>
    </w:p>
    <w:p>
      <w:pPr>
        <w:pStyle w:val="7"/>
        <w:widowControl/>
        <w:spacing w:before="150" w:after="150" w:line="420" w:lineRule="atLeast"/>
        <w:ind w:firstLine="645"/>
        <w:rPr>
          <w:rFonts w:hint="eastAsia"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年末实有人数10人，与上年持平。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ascii="黑体" w:hAnsi="黑体" w:eastAsia="黑体" w:cs="宋体"/>
          <w:color w:val="000000"/>
          <w:kern w:val="0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Cs w:val="32"/>
          <w:shd w:val="clear" w:color="auto" w:fill="FFFFFF"/>
        </w:rPr>
        <w:t>二、部门财政资金收支情况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楷体_GB2312" w:hAnsi="宋体" w:eastAsia="仿宋_GB2312" w:cs="宋体"/>
          <w:color w:val="000000"/>
          <w:kern w:val="0"/>
          <w:szCs w:val="32"/>
          <w:shd w:val="clear" w:color="auto" w:fill="FFFFFF"/>
          <w:lang w:val="zh-CN" w:eastAsia="zh-CN"/>
        </w:rPr>
      </w:pPr>
      <w:r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  <w:t>（一）部门财政资金收入情况。</w:t>
      </w:r>
      <w:r>
        <w:rPr>
          <w:rFonts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</w:rPr>
        <w:t>1年财政拨款收228.94万元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占总收入的100%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与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20年相比，财政拨款收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入</w:t>
      </w:r>
      <w:r>
        <w:rPr>
          <w:rFonts w:hint="eastAsia" w:ascii="仿宋_GB2312" w:hAnsi="仿宋" w:eastAsia="仿宋_GB2312"/>
          <w:sz w:val="32"/>
          <w:szCs w:val="32"/>
        </w:rPr>
        <w:t>减少76.77万元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。主要原因是压减项目经费。</w:t>
      </w:r>
    </w:p>
    <w:p>
      <w:pPr>
        <w:widowControl/>
        <w:numPr>
          <w:ilvl w:val="0"/>
          <w:numId w:val="2"/>
        </w:numPr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  <w:t>部门财政资金支出情况。</w:t>
      </w:r>
    </w:p>
    <w:p>
      <w:pPr>
        <w:spacing w:line="60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</w:rPr>
        <w:t>1年财政拨款支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出</w:t>
      </w:r>
      <w:r>
        <w:rPr>
          <w:rFonts w:hint="eastAsia" w:ascii="仿宋_GB2312" w:hAnsi="仿宋" w:eastAsia="仿宋_GB2312"/>
          <w:sz w:val="32"/>
          <w:szCs w:val="32"/>
        </w:rPr>
        <w:t>228.94万元，占总支出的100%。与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20年相比，财政拨款支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出</w:t>
      </w:r>
      <w:r>
        <w:rPr>
          <w:rFonts w:hint="eastAsia" w:ascii="仿宋_GB2312" w:hAnsi="仿宋" w:eastAsia="仿宋_GB2312"/>
          <w:sz w:val="32"/>
          <w:szCs w:val="32"/>
        </w:rPr>
        <w:t>减少76.77万元，下降25.11</w:t>
      </w:r>
      <w:r>
        <w:rPr>
          <w:rFonts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</w:rPr>
        <w:t>。主要变动原因是项目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支出</w:t>
      </w:r>
      <w:r>
        <w:rPr>
          <w:rFonts w:hint="eastAsia" w:ascii="仿宋_GB2312" w:hAnsi="仿宋" w:eastAsia="仿宋_GB2312"/>
          <w:sz w:val="32"/>
          <w:szCs w:val="32"/>
        </w:rPr>
        <w:t>减少，且当年人员调动，人员经费减少。</w:t>
      </w:r>
    </w:p>
    <w:p>
      <w:pPr>
        <w:spacing w:line="60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</w:rPr>
        <w:t>1年一般公共预算财政拨款基本支出200.05万元，占总支出87.38%。其中：</w:t>
      </w:r>
    </w:p>
    <w:p>
      <w:pPr>
        <w:spacing w:line="600" w:lineRule="exact"/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人员经费184.22万元，主要包括：基本工资、津贴补贴、奖金、伙食补助费、绩效工资、机关事业单位基本养老保险缴费、职业年金缴费、其他社会保障缴费、其他工资福利支出、离休费、退休费、抚恤金、生活补助、医疗费补助、奖励金、住房公积金、其他对个人和家庭的补助支出等。</w:t>
      </w:r>
      <w:r>
        <w:rPr>
          <w:rFonts w:ascii="仿宋_GB2312" w:hAnsi="仿宋" w:eastAsia="仿宋_GB2312"/>
          <w:sz w:val="32"/>
          <w:szCs w:val="32"/>
        </w:rPr>
        <w:br w:type="textWrapping"/>
      </w:r>
      <w:r>
        <w:rPr>
          <w:rFonts w:hint="eastAsia" w:ascii="仿宋_GB2312" w:hAnsi="仿宋" w:eastAsia="仿宋_GB2312"/>
          <w:sz w:val="32"/>
          <w:szCs w:val="32"/>
        </w:rPr>
        <w:t>　　日常公用经费15.83万元，主要包括：办公费、印刷费、咨询费、手续费、水费、电费、邮电费、物业管理费、差旅费、因公出国（境）费用、维修（护）费、租赁费、会议费、培训费、公务接待费、劳务费、委托业务费、工会经费、福利费、公务用车运行维护费、其他交通费、税金及附加费用、其他商品和服务支出、办公设备购置、专用设备购置、信息网络及软件购置更新、其他资本性支出等。</w:t>
      </w:r>
    </w:p>
    <w:p>
      <w:pPr>
        <w:spacing w:line="600" w:lineRule="exact"/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</w:rPr>
        <w:t>1年一般公共预算财政拨款项目支出28.89万元，占总支出12.62%。总的来说单位支出主要用于人员经费开支。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contextualSpacing/>
        <w:jc w:val="left"/>
        <w:rPr>
          <w:rFonts w:hint="eastAsia" w:ascii="仿宋_GB2312" w:hAnsi="仿宋" w:eastAsia="仿宋_GB2312"/>
          <w:sz w:val="32"/>
          <w:szCs w:val="32"/>
          <w:lang w:val="zh-CN" w:eastAsia="zh-CN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ascii="黑体" w:hAnsi="黑体" w:eastAsia="黑体" w:cs="宋体"/>
          <w:color w:val="000000"/>
          <w:kern w:val="0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Cs w:val="32"/>
          <w:shd w:val="clear" w:color="auto" w:fill="FFFFFF"/>
        </w:rPr>
        <w:t>三、部门整体预算绩效管理情况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  <w:t>（一）部门预算管理。</w:t>
      </w:r>
    </w:p>
    <w:p>
      <w:pPr>
        <w:spacing w:line="60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概述项目绩效目标完成情况。</w:t>
      </w:r>
    </w:p>
    <w:p>
      <w:pPr>
        <w:spacing w:line="600" w:lineRule="exact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2021年一般公共预算项目支出开展了绩效目标管理，共编制绩效目标3个，涉及财政资金28.89万元，覆盖率达到100%。绩效目标全面完成，取得了一定经济和社会效益。单位财务制度健全，管理规范，得到有效执行。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</w:pPr>
      <w:bookmarkStart w:id="0" w:name="_GoBack"/>
      <w:bookmarkEnd w:id="0"/>
      <w:r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  <w:t>（二）项目预算管理。（有项目预算的部门需要阐述此部分）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ascii="方正仿宋_GBK" w:hAnsi="宋体" w:eastAsia="方正仿宋_GBK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color w:val="000000"/>
          <w:kern w:val="0"/>
          <w:szCs w:val="32"/>
          <w:shd w:val="clear" w:color="auto" w:fill="FFFFFF"/>
          <w:lang w:val="zh-CN"/>
        </w:rPr>
        <w:t>包括项目基本情况、项目目标完成情况、项目效果情况等。</w:t>
      </w:r>
    </w:p>
    <w:p>
      <w:pPr>
        <w:widowControl/>
        <w:numPr>
          <w:ilvl w:val="0"/>
          <w:numId w:val="2"/>
        </w:numPr>
        <w:adjustRightInd w:val="0"/>
        <w:snapToGrid w:val="0"/>
        <w:spacing w:line="580" w:lineRule="exact"/>
        <w:ind w:left="0" w:leftChars="0" w:firstLine="640" w:firstLineChars="200"/>
        <w:contextualSpacing/>
        <w:jc w:val="left"/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  <w:t>结果应用情况。</w:t>
      </w:r>
    </w:p>
    <w:p>
      <w:pPr>
        <w:pStyle w:val="19"/>
        <w:numPr>
          <w:numId w:val="0"/>
        </w:numPr>
        <w:ind w:left="640" w:leftChars="0"/>
        <w:rPr>
          <w:rFonts w:hint="eastAsia"/>
        </w:rPr>
      </w:pPr>
      <w:r>
        <w:rPr>
          <w:rFonts w:hint="eastAsia" w:ascii="仿宋_GB2312" w:eastAsia="仿宋_GB2312"/>
          <w:lang w:eastAsia="zh-CN"/>
        </w:rPr>
        <w:t>区信访局</w:t>
      </w:r>
      <w:r>
        <w:rPr>
          <w:rFonts w:hint="eastAsia" w:ascii="仿宋_GB2312" w:eastAsia="仿宋_GB2312"/>
        </w:rPr>
        <w:t>严格遵守国家财经法律法规，严格按照内控制度、资产管理、政府采购等方面管理规定，依照经费开支范围、相关规定和程序进行开支，项目资金做到了挂辅助进行单独核算，信息做到了及时全面公开，按要求开展了绩效评价工作，积极配合依法接受了财政监督。</w:t>
      </w:r>
    </w:p>
    <w:p>
      <w:pPr>
        <w:pStyle w:val="2"/>
        <w:numPr>
          <w:numId w:val="0"/>
        </w:numPr>
        <w:ind w:leftChars="200"/>
        <w:jc w:val="both"/>
        <w:rPr>
          <w:lang w:val="zh-CN"/>
        </w:rPr>
      </w:pP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ascii="黑体" w:hAnsi="黑体" w:eastAsia="黑体" w:cs="宋体"/>
          <w:color w:val="000000"/>
          <w:kern w:val="0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Cs w:val="32"/>
          <w:shd w:val="clear" w:color="auto" w:fill="FFFFFF"/>
        </w:rPr>
        <w:t>四、评价结论及建议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  <w:t>（一）评价结论。</w:t>
      </w:r>
    </w:p>
    <w:p>
      <w:pPr>
        <w:widowControl/>
        <w:adjustRightInd w:val="0"/>
        <w:snapToGrid w:val="0"/>
        <w:spacing w:line="580" w:lineRule="exact"/>
        <w:ind w:firstLine="640" w:firstLineChars="200"/>
        <w:contextualSpacing/>
        <w:jc w:val="left"/>
        <w:rPr>
          <w:rFonts w:hint="eastAsia" w:ascii="仿宋_GB2312" w:hAnsi="Calibri" w:eastAsia="仿宋_GB2312" w:cs="Times New Roman"/>
          <w:kern w:val="2"/>
          <w:sz w:val="32"/>
          <w:szCs w:val="21"/>
          <w:lang w:val="zh-CN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1"/>
          <w:lang w:val="zh-CN" w:eastAsia="zh-CN" w:bidi="ar-SA"/>
        </w:rPr>
        <w:t>区信访局20</w:t>
      </w:r>
      <w:r>
        <w:rPr>
          <w:rFonts w:hint="eastAsia" w:ascii="仿宋_GB2312" w:hAnsi="Calibri" w:eastAsia="仿宋_GB2312" w:cs="Times New Roman"/>
          <w:kern w:val="2"/>
          <w:sz w:val="32"/>
          <w:szCs w:val="21"/>
          <w:lang w:val="en-US" w:eastAsia="zh-CN" w:bidi="ar-SA"/>
        </w:rPr>
        <w:t>21</w:t>
      </w:r>
      <w:r>
        <w:rPr>
          <w:rFonts w:hint="eastAsia" w:ascii="仿宋_GB2312" w:hAnsi="Calibri" w:eastAsia="仿宋_GB2312" w:cs="Times New Roman"/>
          <w:kern w:val="2"/>
          <w:sz w:val="32"/>
          <w:szCs w:val="21"/>
          <w:lang w:val="zh-CN" w:eastAsia="zh-CN" w:bidi="ar-SA"/>
        </w:rPr>
        <w:t>年的部门整体支出做到了使用规范、程序透明、达到预期绩效目标确保了机关的正常运行和信访职能的正常履行，财务管理健全规范，没有发生违法违规现象，保证了目标任务的圆满完成。评价得分9</w:t>
      </w:r>
      <w:r>
        <w:rPr>
          <w:rFonts w:hint="eastAsia" w:ascii="仿宋_GB2312" w:hAnsi="Calibri" w:eastAsia="仿宋_GB2312" w:cs="Times New Roman"/>
          <w:kern w:val="2"/>
          <w:sz w:val="32"/>
          <w:szCs w:val="21"/>
          <w:lang w:val="en-US" w:eastAsia="zh-CN" w:bidi="ar-SA"/>
        </w:rPr>
        <w:t>3</w:t>
      </w:r>
      <w:r>
        <w:rPr>
          <w:rFonts w:hint="eastAsia" w:ascii="仿宋_GB2312" w:hAnsi="Calibri" w:eastAsia="仿宋_GB2312" w:cs="Times New Roman"/>
          <w:kern w:val="2"/>
          <w:sz w:val="32"/>
          <w:szCs w:val="21"/>
          <w:lang w:val="zh-CN" w:eastAsia="zh-CN" w:bidi="ar-SA"/>
        </w:rPr>
        <w:t>分。</w:t>
      </w:r>
    </w:p>
    <w:p>
      <w:pPr>
        <w:widowControl/>
        <w:numPr>
          <w:ilvl w:val="0"/>
          <w:numId w:val="2"/>
        </w:numPr>
        <w:adjustRightInd w:val="0"/>
        <w:snapToGrid w:val="0"/>
        <w:spacing w:line="580" w:lineRule="exact"/>
        <w:ind w:left="0" w:leftChars="0" w:firstLine="640" w:firstLineChars="200"/>
        <w:contextualSpacing/>
        <w:jc w:val="left"/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  <w:t>存在问题。</w:t>
      </w:r>
    </w:p>
    <w:p>
      <w:pPr>
        <w:pStyle w:val="19"/>
        <w:numPr>
          <w:ilvl w:val="0"/>
          <w:numId w:val="0"/>
        </w:numPr>
        <w:ind w:firstLine="627" w:firstLineChars="196"/>
        <w:rPr>
          <w:rFonts w:hint="eastAsia" w:ascii="仿宋_GB2312" w:eastAsia="仿宋_GB2312"/>
          <w:shd w:val="clear" w:color="auto" w:fill="FFFFFF"/>
        </w:rPr>
      </w:pPr>
      <w:r>
        <w:rPr>
          <w:rFonts w:hint="eastAsia" w:ascii="仿宋_GB2312" w:eastAsia="仿宋_GB2312"/>
          <w:shd w:val="clear" w:color="auto" w:fill="FFFFFF"/>
        </w:rPr>
        <w:t>一是资金存在结余情况；二是内控管理有待进一步完善；三是财务人员政策和业务水平有待提高。</w:t>
      </w:r>
    </w:p>
    <w:p>
      <w:pPr>
        <w:widowControl/>
        <w:numPr>
          <w:numId w:val="0"/>
        </w:numPr>
        <w:adjustRightInd w:val="0"/>
        <w:snapToGrid w:val="0"/>
        <w:spacing w:line="580" w:lineRule="exact"/>
        <w:ind w:leftChars="200"/>
        <w:contextualSpacing/>
        <w:jc w:val="left"/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</w:pPr>
    </w:p>
    <w:p>
      <w:pPr>
        <w:widowControl/>
        <w:numPr>
          <w:ilvl w:val="0"/>
          <w:numId w:val="2"/>
        </w:numPr>
        <w:adjustRightInd w:val="0"/>
        <w:snapToGrid w:val="0"/>
        <w:spacing w:line="580" w:lineRule="exact"/>
        <w:ind w:left="0" w:leftChars="0" w:firstLine="640" w:firstLineChars="200"/>
        <w:contextualSpacing/>
        <w:jc w:val="left"/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  <w:t>改进建议。</w:t>
      </w:r>
    </w:p>
    <w:p>
      <w:pPr>
        <w:pStyle w:val="19"/>
        <w:numPr>
          <w:numId w:val="0"/>
        </w:numPr>
        <w:ind w:left="640" w:leftChars="0"/>
        <w:rPr>
          <w:rFonts w:hint="eastAsia" w:ascii="仿宋_GB2312" w:eastAsia="仿宋_GB2312"/>
          <w:shd w:val="clear" w:color="auto" w:fill="FFFFFF"/>
          <w:lang w:eastAsia="zh-CN"/>
        </w:rPr>
      </w:pPr>
      <w:r>
        <w:rPr>
          <w:rFonts w:hint="eastAsia" w:ascii="仿宋_GB2312" w:eastAsia="仿宋_GB2312"/>
          <w:shd w:val="clear" w:color="auto" w:fill="FFFFFF"/>
        </w:rPr>
        <w:t>一是进一步规范和完善内控制度</w:t>
      </w:r>
      <w:r>
        <w:rPr>
          <w:rFonts w:hint="eastAsia" w:ascii="仿宋_GB2312" w:eastAsia="仿宋_GB2312"/>
          <w:shd w:val="clear" w:color="auto" w:fill="FFFFFF"/>
          <w:lang w:eastAsia="zh-CN"/>
        </w:rPr>
        <w:t>。</w:t>
      </w:r>
    </w:p>
    <w:p>
      <w:pPr>
        <w:pStyle w:val="19"/>
        <w:numPr>
          <w:numId w:val="0"/>
        </w:numPr>
        <w:ind w:left="640" w:leftChars="0"/>
        <w:rPr>
          <w:rFonts w:hint="eastAsia" w:ascii="仿宋_GB2312" w:eastAsia="仿宋_GB2312"/>
          <w:shd w:val="clear" w:color="auto" w:fill="FFFFFF"/>
        </w:rPr>
      </w:pPr>
      <w:r>
        <w:rPr>
          <w:rFonts w:hint="eastAsia" w:ascii="仿宋_GB2312" w:eastAsia="仿宋_GB2312"/>
          <w:shd w:val="clear" w:color="auto" w:fill="FFFFFF"/>
        </w:rPr>
        <w:t>二是加大财务人员相关法律规章和业务知识的学习培训力度。</w:t>
      </w:r>
    </w:p>
    <w:p>
      <w:pPr>
        <w:pStyle w:val="2"/>
        <w:numPr>
          <w:numId w:val="0"/>
        </w:numPr>
        <w:ind w:leftChars="200"/>
        <w:jc w:val="both"/>
        <w:rPr>
          <w:lang w:val="zh-CN"/>
        </w:rPr>
      </w:pPr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tabs>
        <w:tab w:val="right" w:pos="9184"/>
        <w:tab w:val="clear" w:pos="4153"/>
        <w:tab w:val="clear" w:pos="8306"/>
      </w:tabs>
      <w:rPr>
        <w:rFonts w:asci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6CFE3"/>
    <w:multiLevelType w:val="singleLevel"/>
    <w:tmpl w:val="3456CFE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EE55BF3"/>
    <w:multiLevelType w:val="multilevel"/>
    <w:tmpl w:val="7EE55BF3"/>
    <w:lvl w:ilvl="0" w:tentative="0">
      <w:start w:val="1"/>
      <w:numFmt w:val="chineseCountingThousand"/>
      <w:pStyle w:val="19"/>
      <w:suff w:val="nothing"/>
      <w:lvlText w:val="（%1）"/>
      <w:lvlJc w:val="left"/>
      <w:pPr>
        <w:ind w:left="5" w:firstLine="635"/>
      </w:pPr>
      <w:rPr>
        <w:rFonts w:hint="eastAsia"/>
        <w:b/>
      </w:rPr>
    </w:lvl>
    <w:lvl w:ilvl="1" w:tentative="0">
      <w:start w:val="1"/>
      <w:numFmt w:val="decimal"/>
      <w:lvlText w:val="%2."/>
      <w:lvlJc w:val="left"/>
      <w:pPr>
        <w:ind w:left="985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465" w:hanging="420"/>
      </w:pPr>
    </w:lvl>
    <w:lvl w:ilvl="3" w:tentative="0">
      <w:start w:val="1"/>
      <w:numFmt w:val="decimal"/>
      <w:lvlText w:val="%4."/>
      <w:lvlJc w:val="left"/>
      <w:pPr>
        <w:ind w:left="1885" w:hanging="420"/>
      </w:pPr>
    </w:lvl>
    <w:lvl w:ilvl="4" w:tentative="0">
      <w:start w:val="1"/>
      <w:numFmt w:val="lowerLetter"/>
      <w:lvlText w:val="%5)"/>
      <w:lvlJc w:val="left"/>
      <w:pPr>
        <w:ind w:left="2305" w:hanging="420"/>
      </w:pPr>
    </w:lvl>
    <w:lvl w:ilvl="5" w:tentative="0">
      <w:start w:val="1"/>
      <w:numFmt w:val="lowerRoman"/>
      <w:lvlText w:val="%6."/>
      <w:lvlJc w:val="right"/>
      <w:pPr>
        <w:ind w:left="2725" w:hanging="420"/>
      </w:pPr>
    </w:lvl>
    <w:lvl w:ilvl="6" w:tentative="0">
      <w:start w:val="1"/>
      <w:numFmt w:val="decimal"/>
      <w:lvlText w:val="%7."/>
      <w:lvlJc w:val="left"/>
      <w:pPr>
        <w:ind w:left="3145" w:hanging="420"/>
      </w:pPr>
    </w:lvl>
    <w:lvl w:ilvl="7" w:tentative="0">
      <w:start w:val="1"/>
      <w:numFmt w:val="lowerLetter"/>
      <w:lvlText w:val="%8)"/>
      <w:lvlJc w:val="left"/>
      <w:pPr>
        <w:ind w:left="3565" w:hanging="420"/>
      </w:pPr>
    </w:lvl>
    <w:lvl w:ilvl="8" w:tentative="0">
      <w:start w:val="1"/>
      <w:numFmt w:val="lowerRoman"/>
      <w:lvlText w:val="%9."/>
      <w:lvlJc w:val="right"/>
      <w:pPr>
        <w:ind w:left="39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174"/>
    <w:rsid w:val="00006E4D"/>
    <w:rsid w:val="00021652"/>
    <w:rsid w:val="00030311"/>
    <w:rsid w:val="00030782"/>
    <w:rsid w:val="00030B66"/>
    <w:rsid w:val="0006068D"/>
    <w:rsid w:val="0006102A"/>
    <w:rsid w:val="00065B0F"/>
    <w:rsid w:val="00065E7E"/>
    <w:rsid w:val="000820BB"/>
    <w:rsid w:val="0008241B"/>
    <w:rsid w:val="00092280"/>
    <w:rsid w:val="00097FAE"/>
    <w:rsid w:val="000A3233"/>
    <w:rsid w:val="000A7486"/>
    <w:rsid w:val="000A7CE3"/>
    <w:rsid w:val="000B04D6"/>
    <w:rsid w:val="000B15CE"/>
    <w:rsid w:val="000C40C6"/>
    <w:rsid w:val="000C79C1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54C87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37E4E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52164"/>
    <w:rsid w:val="00361C85"/>
    <w:rsid w:val="00371352"/>
    <w:rsid w:val="00376753"/>
    <w:rsid w:val="0038541D"/>
    <w:rsid w:val="00387818"/>
    <w:rsid w:val="00391A13"/>
    <w:rsid w:val="00391FD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01C7A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37DB9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A67BD"/>
    <w:rsid w:val="005C17C8"/>
    <w:rsid w:val="005C2098"/>
    <w:rsid w:val="005C2E6C"/>
    <w:rsid w:val="005D0CCF"/>
    <w:rsid w:val="005D1C01"/>
    <w:rsid w:val="005D5BEE"/>
    <w:rsid w:val="005E297D"/>
    <w:rsid w:val="005E3F12"/>
    <w:rsid w:val="005F627E"/>
    <w:rsid w:val="0061652E"/>
    <w:rsid w:val="006205E9"/>
    <w:rsid w:val="00622D0B"/>
    <w:rsid w:val="006270DA"/>
    <w:rsid w:val="00630B75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37684"/>
    <w:rsid w:val="007732A1"/>
    <w:rsid w:val="007739D4"/>
    <w:rsid w:val="00774C4A"/>
    <w:rsid w:val="00782BBB"/>
    <w:rsid w:val="007A0690"/>
    <w:rsid w:val="007A078F"/>
    <w:rsid w:val="007B34D4"/>
    <w:rsid w:val="007C0633"/>
    <w:rsid w:val="007D086C"/>
    <w:rsid w:val="007F1BE1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30A05"/>
    <w:rsid w:val="0083462A"/>
    <w:rsid w:val="008468EA"/>
    <w:rsid w:val="00865915"/>
    <w:rsid w:val="00867140"/>
    <w:rsid w:val="00881134"/>
    <w:rsid w:val="008904F0"/>
    <w:rsid w:val="008B2F27"/>
    <w:rsid w:val="008B4A72"/>
    <w:rsid w:val="008B585E"/>
    <w:rsid w:val="008E6C0C"/>
    <w:rsid w:val="008F1E63"/>
    <w:rsid w:val="008F3052"/>
    <w:rsid w:val="008F6536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D7047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1851"/>
    <w:rsid w:val="00C53721"/>
    <w:rsid w:val="00C64D2E"/>
    <w:rsid w:val="00C70F97"/>
    <w:rsid w:val="00C7497C"/>
    <w:rsid w:val="00C757A2"/>
    <w:rsid w:val="00C75966"/>
    <w:rsid w:val="00C76577"/>
    <w:rsid w:val="00C80225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49F5"/>
    <w:rsid w:val="00D355B5"/>
    <w:rsid w:val="00D43DC3"/>
    <w:rsid w:val="00D51791"/>
    <w:rsid w:val="00D5281E"/>
    <w:rsid w:val="00D6531B"/>
    <w:rsid w:val="00D6612D"/>
    <w:rsid w:val="00D71AD9"/>
    <w:rsid w:val="00D73C02"/>
    <w:rsid w:val="00D77D81"/>
    <w:rsid w:val="00D8170D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D12DB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0BEA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3946B2A"/>
    <w:rsid w:val="19927F78"/>
    <w:rsid w:val="21AE59D8"/>
    <w:rsid w:val="286F56EA"/>
    <w:rsid w:val="2D527252"/>
    <w:rsid w:val="2F773ADA"/>
    <w:rsid w:val="329102D6"/>
    <w:rsid w:val="3A9520B3"/>
    <w:rsid w:val="3DE562B7"/>
    <w:rsid w:val="3E6507EA"/>
    <w:rsid w:val="45093995"/>
    <w:rsid w:val="47550EBA"/>
    <w:rsid w:val="4A3D0EBF"/>
    <w:rsid w:val="50BB3388"/>
    <w:rsid w:val="53BE7CF0"/>
    <w:rsid w:val="6636451A"/>
    <w:rsid w:val="67342CA6"/>
    <w:rsid w:val="6BE94116"/>
    <w:rsid w:val="78916378"/>
    <w:rsid w:val="7BC20073"/>
    <w:rsid w:val="7C631402"/>
    <w:rsid w:val="7DCC0F6E"/>
    <w:rsid w:val="7E140770"/>
    <w:rsid w:val="9B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semiHidden="0" w:name="Document Map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99"/>
    <w:pPr>
      <w:widowControl w:val="0"/>
      <w:spacing w:before="240" w:after="60"/>
      <w:jc w:val="center"/>
      <w:outlineLvl w:val="0"/>
    </w:pPr>
    <w:rPr>
      <w:rFonts w:ascii="Arial" w:hAnsi="Arial" w:eastAsia="宋体" w:cs="Arial"/>
      <w:bCs/>
      <w:kern w:val="2"/>
      <w:sz w:val="21"/>
      <w:szCs w:val="21"/>
      <w:lang w:val="en-US" w:eastAsia="zh-CN" w:bidi="ar-SA"/>
    </w:rPr>
  </w:style>
  <w:style w:type="paragraph" w:styleId="3">
    <w:name w:val="Document Map"/>
    <w:basedOn w:val="1"/>
    <w:link w:val="12"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13"/>
    <w:semiHidden/>
    <w:qFormat/>
    <w:uiPriority w:val="99"/>
    <w:rPr>
      <w:kern w:val="0"/>
      <w:sz w:val="2"/>
      <w:szCs w:val="20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Normal (Web)"/>
    <w:basedOn w:val="1"/>
    <w:qFormat/>
    <w:locked/>
    <w:uiPriority w:val="0"/>
    <w:pPr>
      <w:jc w:val="left"/>
    </w:pPr>
    <w:rPr>
      <w:rFonts w:ascii="Calibri" w:hAnsi="Calibri"/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customStyle="1" w:styleId="12">
    <w:name w:val="文档结构图 Char"/>
    <w:link w:val="3"/>
    <w:qFormat/>
    <w:locked/>
    <w:uiPriority w:val="99"/>
    <w:rPr>
      <w:rFonts w:ascii="宋体" w:cs="Times New Roman"/>
      <w:kern w:val="2"/>
      <w:sz w:val="18"/>
      <w:szCs w:val="18"/>
    </w:rPr>
  </w:style>
  <w:style w:type="character" w:customStyle="1" w:styleId="13">
    <w:name w:val="批注框文本 Char"/>
    <w:link w:val="4"/>
    <w:semiHidden/>
    <w:qFormat/>
    <w:locked/>
    <w:uiPriority w:val="99"/>
    <w:rPr>
      <w:rFonts w:cs="Times New Roman"/>
      <w:sz w:val="2"/>
    </w:rPr>
  </w:style>
  <w:style w:type="character" w:customStyle="1" w:styleId="14">
    <w:name w:val="页脚 Char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四号正文"/>
    <w:basedOn w:val="1"/>
    <w:link w:val="17"/>
    <w:qFormat/>
    <w:uiPriority w:val="99"/>
    <w:pPr>
      <w:spacing w:line="360" w:lineRule="auto"/>
    </w:pPr>
    <w:rPr>
      <w:rFonts w:ascii="??" w:hAnsi="??" w:cs="宋体"/>
      <w:color w:val="000000"/>
      <w:kern w:val="0"/>
      <w:sz w:val="21"/>
      <w:szCs w:val="21"/>
    </w:rPr>
  </w:style>
  <w:style w:type="character" w:customStyle="1" w:styleId="17">
    <w:name w:val="四号正文 Char"/>
    <w:link w:val="16"/>
    <w:qFormat/>
    <w:locked/>
    <w:uiPriority w:val="99"/>
    <w:rPr>
      <w:rFonts w:ascii="??" w:hAnsi="??" w:eastAsia="宋体" w:cs="宋体"/>
      <w:color w:val="000000"/>
      <w:sz w:val="21"/>
      <w:szCs w:val="21"/>
      <w:lang w:val="en-US" w:eastAsia="zh-CN" w:bidi="ar-SA"/>
    </w:rPr>
  </w:style>
  <w:style w:type="paragraph" w:customStyle="1" w:styleId="18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〖B02〗二级标题"/>
    <w:next w:val="1"/>
    <w:qFormat/>
    <w:uiPriority w:val="0"/>
    <w:pPr>
      <w:widowControl w:val="0"/>
      <w:numPr>
        <w:ilvl w:val="0"/>
        <w:numId w:val="1"/>
      </w:numPr>
      <w:spacing w:line="600" w:lineRule="exact"/>
      <w:outlineLvl w:val="1"/>
    </w:pPr>
    <w:rPr>
      <w:rFonts w:ascii="楷体_GB2312" w:hAnsi="Calibri" w:eastAsia="楷体_GB2312" w:cs="Times New Roman"/>
      <w:kern w:val="2"/>
      <w:sz w:val="32"/>
      <w:szCs w:val="21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PSZX</Company>
  <Pages>1</Pages>
  <Words>49</Words>
  <Characters>280</Characters>
  <Lines>2</Lines>
  <Paragraphs>1</Paragraphs>
  <TotalTime>5</TotalTime>
  <ScaleCrop>false</ScaleCrop>
  <LinksUpToDate>false</LinksUpToDate>
  <CharactersWithSpaces>328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2020-05-28T09:28:00Z</dcterms:created>
  <dc:creator>陈萍</dc:creator>
  <cp:lastModifiedBy>adm</cp:lastModifiedBy>
  <cp:lastPrinted>2022-03-15T02:17:00Z</cp:lastPrinted>
  <dcterms:modified xsi:type="dcterms:W3CDTF">2022-06-29T02:42:00Z</dcterms:modified>
  <dc:title>区域性就业培训基地建设项目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