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9E9B" w14:textId="77777777" w:rsidR="00B47226" w:rsidRDefault="00000000">
      <w:pPr>
        <w:widowControl/>
        <w:spacing w:line="600" w:lineRule="exact"/>
        <w:ind w:firstLineChars="200" w:firstLine="880"/>
        <w:contextualSpacing/>
        <w:jc w:val="center"/>
        <w:rPr>
          <w:rFonts w:ascii="方正小标宋简体" w:eastAsia="方正小标宋简体" w:hAnsi="宋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sz w:val="44"/>
          <w:szCs w:val="44"/>
          <w:shd w:val="clear" w:color="auto" w:fill="FFFFFF"/>
        </w:rPr>
        <w:t>中共乐山市金口河区委组织部</w:t>
      </w:r>
    </w:p>
    <w:p w14:paraId="4DDD8589" w14:textId="77777777" w:rsidR="00B47226" w:rsidRDefault="00000000">
      <w:pPr>
        <w:widowControl/>
        <w:spacing w:line="600" w:lineRule="exact"/>
        <w:ind w:firstLineChars="200" w:firstLine="880"/>
        <w:contextualSpacing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sz w:val="44"/>
          <w:szCs w:val="44"/>
          <w:shd w:val="clear" w:color="auto" w:fill="FFFFFF"/>
        </w:rPr>
        <w:t>部门整体支出绩效自评报告</w:t>
      </w:r>
    </w:p>
    <w:p w14:paraId="4658C1D2" w14:textId="77777777" w:rsidR="00B47226" w:rsidRDefault="00B47226">
      <w:pPr>
        <w:widowControl/>
        <w:adjustRightInd w:val="0"/>
        <w:snapToGrid w:val="0"/>
        <w:spacing w:line="600" w:lineRule="exact"/>
        <w:ind w:firstLineChars="200" w:firstLine="660"/>
        <w:contextualSpacing/>
        <w:jc w:val="left"/>
        <w:rPr>
          <w:rFonts w:ascii="方正仿宋_GBK" w:eastAsia="方正仿宋_GBK" w:hAnsi="宋体" w:cs="宋体"/>
          <w:color w:val="000000"/>
          <w:kern w:val="0"/>
          <w:sz w:val="33"/>
          <w:szCs w:val="33"/>
          <w:shd w:val="clear" w:color="auto" w:fill="FFFFFF"/>
        </w:rPr>
      </w:pPr>
    </w:p>
    <w:p w14:paraId="56106217" w14:textId="77777777" w:rsidR="00B47226" w:rsidRDefault="00B47226">
      <w:pPr>
        <w:widowControl/>
        <w:adjustRightInd w:val="0"/>
        <w:snapToGrid w:val="0"/>
        <w:spacing w:line="600" w:lineRule="exact"/>
        <w:ind w:firstLineChars="200" w:firstLine="660"/>
        <w:contextualSpacing/>
        <w:jc w:val="left"/>
        <w:rPr>
          <w:rFonts w:ascii="方正仿宋_GBK" w:eastAsia="方正仿宋_GBK" w:hAnsi="宋体" w:cs="宋体"/>
          <w:color w:val="000000"/>
          <w:kern w:val="0"/>
          <w:sz w:val="33"/>
          <w:szCs w:val="33"/>
          <w:shd w:val="clear" w:color="auto" w:fill="FFFFFF"/>
        </w:rPr>
      </w:pPr>
    </w:p>
    <w:p w14:paraId="4D8FED2A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一、</w:t>
      </w: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  <w:lang w:val="zh-CN"/>
        </w:rPr>
        <w:t>部门（单位）概况</w:t>
      </w: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 xml:space="preserve">  </w:t>
      </w:r>
    </w:p>
    <w:p w14:paraId="258A31CF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 w14:paraId="41A5ABF7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中共乐山市金口河区委组织部属于党政机关单位，其中有归口管理行政单位4个，</w:t>
      </w:r>
      <w:proofErr w:type="gramStart"/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参公事业单位</w:t>
      </w:r>
      <w:proofErr w:type="gramEnd"/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1个、事业单位1个。主要包括：区直属机关工委、区委老干部局、区委非公有制经济组织和社会组织党工委、区公务员局、区委党员教育中心、区老干部活动中心。除区委组织部外，其他单位均非预算单位。</w:t>
      </w:r>
    </w:p>
    <w:p w14:paraId="0BC2ED70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（二）机构职能。</w:t>
      </w:r>
    </w:p>
    <w:p w14:paraId="501B98D6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（1）贯彻落实党的干部路线、方针、政策，制定或参与干部人事工作的有关规定和干部人事制度改革建议方案；研究制定选拔、考核干部的规定和程序；负责全区干部工作的宏观管理。</w:t>
      </w:r>
    </w:p>
    <w:p w14:paraId="4DC31798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2）对区委管理和区委委托管理的领导班子和领导干部进行考察了解，提出调整配备的意见和建议；抓好领导班子的思想作风建设；负责办理区委向区人大推荐干部的工作；办理区委管理和区委委托管理干部的任免、审批手续；承办干部调动事宜；组织实施公开选拔领导干部工作和区管干部年度考核工作；负责部分干部的交流工作；办理干部出国出境审批手续。</w:t>
      </w:r>
    </w:p>
    <w:p w14:paraId="506CF17E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（3）制定全区干部队伍发展规划，负责后备干部队伍建设</w:t>
      </w: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lastRenderedPageBreak/>
        <w:t>和培养选拔年轻干部的指导、管理工作。</w:t>
      </w:r>
    </w:p>
    <w:p w14:paraId="7E794F5A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4）贯彻落实党的组织工作的路线、方针和政策；对全区各级党的组织建设进行调查研究，提出意见、建议；研究制定加强党的组织建设的措施，并进行宏观指导、督促检查；负责全区党员的管理、教育和发展工作；负责组织员队伍建设。</w:t>
      </w:r>
    </w:p>
    <w:p w14:paraId="0EE63512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（5）承办区党代会、人代会、政协会的有关工作及各级代表（委员）的推选考察工作。</w:t>
      </w:r>
    </w:p>
    <w:p w14:paraId="308EB34E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（6）对全区干部教育培训工作进行规划指导，对党政干部和企业经营管理者、科技人员教育培训工作进行协调、督促和检查，并具体组织领导干部和组织、人事干部的培训。</w:t>
      </w:r>
    </w:p>
    <w:p w14:paraId="6D8180EA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（7）指导全区知识分子工作，推动和促进社会各类人才成长、开发和合理配置，负责选拔和管理有突出贡献专家、专门人才和新世纪科技带头人。</w:t>
      </w:r>
    </w:p>
    <w:p w14:paraId="1C3B7916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（8）负责确定干部建国前参加革命工作时间、建国</w:t>
      </w:r>
      <w:proofErr w:type="gramStart"/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前党员</w:t>
      </w:r>
      <w:proofErr w:type="gramEnd"/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党籍党龄和落实干部政策的宏观指导与案件审理。参与制定干部监督工作的政策规定，督促检查贯彻落实《党政领导干部选拔任用工作条例》，负责对领导班子和领导干部的监督，受理群众举报干部选拔任用工作和领导干部政治、思想、作风、廉政、品德等方面的问题。</w:t>
      </w:r>
    </w:p>
    <w:p w14:paraId="30A10002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（9）负责区级党委、人大、政协、民主党派、群众团体机关参照《国家公务员暂行条例》管理工作和全区参照管理工作的指导。</w:t>
      </w:r>
    </w:p>
    <w:p w14:paraId="2B8A1D5A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lastRenderedPageBreak/>
        <w:t>（10）负责党员、干部的来信来访工作。</w:t>
      </w:r>
    </w:p>
    <w:p w14:paraId="6C94CA41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（11）负责党员和干部的统计工作；负责区管干部的档案管理，并指导全区干部档案管理工作；负责全区党史资料的收集、编写和出版工作。</w:t>
      </w:r>
    </w:p>
    <w:p w14:paraId="2320012C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（12）指导、检查各级党组织的工作，及时向区委和市委组织部报告全区党的组织、干部工作情况。</w:t>
      </w:r>
    </w:p>
    <w:p w14:paraId="1DD9BBA5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（13）负责离退休干部工作的宏观指导；办理区管干部的离退休审批手续；管理区委老干部工作局。</w:t>
      </w:r>
    </w:p>
    <w:p w14:paraId="4500676E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32"/>
          <w:lang w:val="zh-CN"/>
        </w:rPr>
        <w:t>（14）完成区委和市委组织部交办的其他任务。</w:t>
      </w:r>
    </w:p>
    <w:p w14:paraId="3B8CD388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（三）人员概况。</w:t>
      </w:r>
    </w:p>
    <w:p w14:paraId="249BE9D1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宋体" w:cs="宋体"/>
          <w:kern w:val="0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在编人数16人。其中行政编制13人（党员教育中心3人），事业编制3人（机关工勤1人，老干部活动中心2人）。2022年末，实有人数16人，其中行政13人，事业3人。</w:t>
      </w:r>
    </w:p>
    <w:p w14:paraId="0C65AF80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二、部门财政资金收支情况</w:t>
      </w:r>
    </w:p>
    <w:p w14:paraId="340A7A4C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</w:p>
    <w:p w14:paraId="11028350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2022年收入总额926万元。其中一般公共预算财政拨款收入  925万元,</w:t>
      </w:r>
      <w:r>
        <w:rPr>
          <w:rFonts w:ascii="仿宋_GB2312" w:eastAsia="仿宋_GB2312" w:hAnsi="仿宋" w:hint="eastAsia"/>
          <w:szCs w:val="32"/>
        </w:rPr>
        <w:t>占总收入99.92%，</w:t>
      </w:r>
      <w:r>
        <w:rPr>
          <w:rFonts w:ascii="仿宋_GB2312" w:eastAsia="仿宋_GB2312" w:hAnsi="仿宋_GB2312" w:cs="仿宋_GB2312" w:hint="eastAsia"/>
          <w:kern w:val="0"/>
          <w:szCs w:val="32"/>
        </w:rPr>
        <w:t>年初结转和结余收入0.74万元，</w:t>
      </w:r>
      <w:r>
        <w:rPr>
          <w:rFonts w:ascii="仿宋_GB2312" w:eastAsia="仿宋_GB2312" w:hAnsi="仿宋" w:hint="eastAsia"/>
          <w:szCs w:val="32"/>
        </w:rPr>
        <w:t>占总收入0.08%</w:t>
      </w:r>
      <w:r>
        <w:rPr>
          <w:rFonts w:ascii="仿宋_GB2312" w:eastAsia="仿宋_GB2312" w:hAnsi="仿宋_GB2312" w:cs="仿宋_GB2312" w:hint="eastAsia"/>
          <w:kern w:val="0"/>
          <w:szCs w:val="32"/>
        </w:rPr>
        <w:t>。</w:t>
      </w:r>
    </w:p>
    <w:p w14:paraId="28745567" w14:textId="77777777" w:rsidR="00B47226" w:rsidRDefault="00000000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（二）部门财政资金支出情况。</w:t>
      </w:r>
    </w:p>
    <w:p w14:paraId="11FD12E2" w14:textId="77777777" w:rsidR="00B47226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2022年支出总额1086万元。其中:一般公共服务支出476万元；社会保障和就业支出121万元；卫生健康支出7.7万元；农林水支出459万元；住房保障支出21.8万元。</w:t>
      </w:r>
    </w:p>
    <w:p w14:paraId="34CA2000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lastRenderedPageBreak/>
        <w:t>三、部门整体预算绩效管理情况</w:t>
      </w:r>
    </w:p>
    <w:p w14:paraId="493A66CF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（一）部门预算管理。</w:t>
      </w:r>
    </w:p>
    <w:p w14:paraId="6086DFA0" w14:textId="77777777" w:rsidR="00B47226" w:rsidRDefault="00000000">
      <w:pPr>
        <w:spacing w:line="600" w:lineRule="exact"/>
        <w:ind w:firstLineChars="200" w:firstLine="640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按照区财政局部门预算编制通知要求，按时完成部门年初预算编制工作。在编制过程中，认真核实单位实际财政供养人数和单位实有编制情况，正确编制人员经费和公用经费等，做到尽量细化项目资金支出预算范围和科目，及时上报预算股进行审核，对所编制的预算予以调整通过。</w:t>
      </w:r>
    </w:p>
    <w:p w14:paraId="313DE175" w14:textId="77777777" w:rsidR="00B47226" w:rsidRDefault="00000000">
      <w:pPr>
        <w:spacing w:line="600" w:lineRule="exact"/>
        <w:ind w:firstLineChars="200" w:firstLine="640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为真实、准确反应单位年度财务收、支情况，根据区财政局的要求，认真开展部门年度决算报表编制工作。按照政府收支分类科目和财务报表支出情况编制部门决算，决算收入、支出口径与财政局财政大平台及我办财务账、会计帐核对无误，报表编制无差错。</w:t>
      </w:r>
    </w:p>
    <w:p w14:paraId="2DFF014C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（二）项目预算管理。</w:t>
      </w:r>
    </w:p>
    <w:p w14:paraId="2AE19880" w14:textId="77777777" w:rsidR="00B47226" w:rsidRDefault="00000000">
      <w:pPr>
        <w:pStyle w:val="C01"/>
        <w:ind w:firstLine="640"/>
        <w:rPr>
          <w:rFonts w:hAnsi="仿宋"/>
        </w:rPr>
      </w:pPr>
      <w:r>
        <w:rPr>
          <w:rFonts w:hAnsi="仿宋" w:hint="eastAsia"/>
        </w:rPr>
        <w:t>严格按照上级主管部门下达的年初目标任务，结合单位实际，进一步完善了财务管理制度，严格按照批复的预算，用款计划的要求以及工作进度申请支付资金，使财政收支预算执行得到良好的制度保障和实施效果。同时，根据区财政局的安排部署，及时进行了项目事前绩效评估和绩效运行监控管理，通过评估各项工作有序推进，资金使用随工作进度有序安排，保证了各项工作顺利进行，杜绝了违规违法事件的发生。</w:t>
      </w:r>
    </w:p>
    <w:p w14:paraId="2BA442D0" w14:textId="522195E5" w:rsidR="00B47226" w:rsidRDefault="00000000">
      <w:pPr>
        <w:pStyle w:val="C01"/>
        <w:ind w:firstLine="640"/>
        <w:rPr>
          <w:rFonts w:ascii="方正仿宋_GBK" w:eastAsia="方正仿宋_GBK" w:hAnsi="宋体" w:cs="宋体"/>
          <w:color w:val="000000"/>
          <w:kern w:val="0"/>
          <w:shd w:val="clear" w:color="auto" w:fill="FFFFFF"/>
          <w:lang w:val="zh-CN"/>
        </w:rPr>
      </w:pPr>
      <w:r>
        <w:rPr>
          <w:rFonts w:hAnsi="仿宋" w:hint="eastAsia"/>
        </w:rPr>
        <w:t>我部财务管理严格依法依规依程序，尽量做到公开公平公正。在严格执行财政</w:t>
      </w:r>
      <w:proofErr w:type="gramStart"/>
      <w:r>
        <w:rPr>
          <w:rFonts w:hAnsi="仿宋" w:hint="eastAsia"/>
        </w:rPr>
        <w:t>财纪有关</w:t>
      </w:r>
      <w:proofErr w:type="gramEnd"/>
      <w:r>
        <w:rPr>
          <w:rFonts w:hAnsi="仿宋" w:hint="eastAsia"/>
        </w:rPr>
        <w:t>法律法规的同时，严格按照政府采购、</w:t>
      </w:r>
      <w:r>
        <w:rPr>
          <w:rFonts w:hAnsi="仿宋" w:hint="eastAsia"/>
        </w:rPr>
        <w:lastRenderedPageBreak/>
        <w:t>内部资产管理、信息公开、绩效评价及依法接受财政监督情况等有关规范执行。一是按照区财政局关于单位预决算信息公开的时间，在规定时间内完成本单位的信息公开。二是建立健全有效的内控制度，采取定期公开</w:t>
      </w:r>
      <w:r w:rsidR="008F715D">
        <w:rPr>
          <w:rFonts w:hAnsi="仿宋" w:hint="eastAsia"/>
        </w:rPr>
        <w:t>的</w:t>
      </w:r>
      <w:r>
        <w:rPr>
          <w:rFonts w:hAnsi="仿宋" w:hint="eastAsia"/>
        </w:rPr>
        <w:t>财务管理制度，严格执行财务管理制度，强化项目资金管理和使用。同时严格遵守国家、省、市、区财务管理法律法规，本着勤俭节约原则，管理好用好每笔资金。杜绝违规违法事件的发生。三是所有资产必须实现资产归口管理和明确使用责任，细化到人，每半年对办内资产进行清查盘点，对账实不符的情况及时进行处理；严格按照规定处置资产。</w:t>
      </w:r>
    </w:p>
    <w:p w14:paraId="57A3F702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（三）结果应用情况。</w:t>
      </w:r>
    </w:p>
    <w:p w14:paraId="4847F293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2022年绩效目标全面完成，取得了一定经济和社会效益。单位财务制度健全，管理规范，得到有效执行。通过加强绩效预算，使用财政资金得到有效使用，行政效率得到提高，促进了各项工作顺得利开展。</w:t>
      </w:r>
    </w:p>
    <w:p w14:paraId="0B31CBFF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四、评价结论及建议</w:t>
      </w:r>
    </w:p>
    <w:p w14:paraId="106B99E8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（一）评价结论。</w:t>
      </w:r>
    </w:p>
    <w:p w14:paraId="0AFC0977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0"/>
          <w:szCs w:val="32"/>
          <w:shd w:val="clear" w:color="auto" w:fill="FFFFFF"/>
          <w:lang w:val="zh-CN"/>
        </w:rPr>
        <w:t>年各项年初绩效目标基本实现，经济和社会效益有所提高，项目组织管理和财务管理基本健全规范，未发生违法违规问题。</w:t>
      </w:r>
    </w:p>
    <w:p w14:paraId="0203C5D8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（二）存在问题。</w:t>
      </w:r>
    </w:p>
    <w:p w14:paraId="65C99801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  <w:shd w:val="clear" w:color="auto" w:fill="FFFFFF"/>
          <w:lang w:val="zh-CN"/>
        </w:rPr>
        <w:t>决算收入比年初预算增加,主要是因为人员经费增加和上级专项增加等原因造成的</w:t>
      </w: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 w14:paraId="01D94279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lastRenderedPageBreak/>
        <w:t>（三）改进建议。</w:t>
      </w:r>
    </w:p>
    <w:p w14:paraId="06D7D9DA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  <w:shd w:val="clear" w:color="auto" w:fill="FFFFFF"/>
          <w:lang w:val="zh-CN"/>
        </w:rPr>
        <w:t>进一步健全和完善财务管理制度及内部控制制度，科学合理编制预算，严格执行预算。在规范财务收支和控制经费增长上，创新管理手段，用新思路、新方法，改进完善财务管理方法。按照财政支出绩效管理的要求，建立科学的财政资金效益考评制度体系，牢固树立行政成本意识，不断提高财政资金使用管理的水平和效率。</w:t>
      </w:r>
    </w:p>
    <w:p w14:paraId="21CD3506" w14:textId="77777777" w:rsidR="00B47226" w:rsidRDefault="00B47226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/>
          <w:kern w:val="0"/>
          <w:szCs w:val="32"/>
          <w:shd w:val="clear" w:color="auto" w:fill="FFFFFF"/>
          <w:lang w:val="zh-CN"/>
        </w:rPr>
      </w:pPr>
    </w:p>
    <w:p w14:paraId="5877F3D2" w14:textId="77777777" w:rsidR="00B47226" w:rsidRDefault="00B47226">
      <w:pPr>
        <w:widowControl/>
        <w:adjustRightInd w:val="0"/>
        <w:snapToGrid w:val="0"/>
        <w:spacing w:line="6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/>
          <w:kern w:val="0"/>
          <w:szCs w:val="32"/>
          <w:shd w:val="clear" w:color="auto" w:fill="FFFFFF"/>
          <w:lang w:val="zh-CN"/>
        </w:rPr>
      </w:pPr>
    </w:p>
    <w:p w14:paraId="0CD1A947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right"/>
        <w:rPr>
          <w:rFonts w:ascii="仿宋_GB2312" w:eastAsia="仿宋_GB2312" w:hAnsi="仿宋_GB2312" w:cs="仿宋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  <w:shd w:val="clear" w:color="auto" w:fill="FFFFFF"/>
          <w:lang w:val="zh-CN"/>
        </w:rPr>
        <w:t>中共乐山市金口河区委组织部</w:t>
      </w:r>
    </w:p>
    <w:p w14:paraId="6257CCD3" w14:textId="77777777" w:rsidR="00B47226" w:rsidRDefault="00000000">
      <w:pPr>
        <w:widowControl/>
        <w:adjustRightInd w:val="0"/>
        <w:snapToGrid w:val="0"/>
        <w:spacing w:line="600" w:lineRule="exact"/>
        <w:ind w:firstLineChars="200" w:firstLine="640"/>
        <w:contextualSpacing/>
        <w:jc w:val="center"/>
        <w:rPr>
          <w:rFonts w:ascii="仿宋_GB2312" w:eastAsia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  <w:shd w:val="clear" w:color="auto" w:fill="FFFFFF"/>
        </w:rPr>
        <w:t xml:space="preserve">                            2023年5月8日</w:t>
      </w:r>
    </w:p>
    <w:p w14:paraId="5D59B828" w14:textId="77777777" w:rsidR="00B47226" w:rsidRDefault="00B47226">
      <w:pPr>
        <w:spacing w:line="600" w:lineRule="exact"/>
        <w:ind w:firstLineChars="200" w:firstLine="640"/>
        <w:rPr>
          <w:lang w:val="zh-CN"/>
        </w:rPr>
      </w:pPr>
    </w:p>
    <w:sectPr w:rsidR="00B47226">
      <w:headerReference w:type="default" r:id="rId7"/>
      <w:footerReference w:type="even" r:id="rId8"/>
      <w:pgSz w:w="11906" w:h="16838"/>
      <w:pgMar w:top="2041" w:right="1468" w:bottom="1587" w:left="1468" w:header="851" w:footer="992" w:gutter="0"/>
      <w:pgNumType w:fmt="numberInDash" w:start="12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E6B6" w14:textId="77777777" w:rsidR="00E922AE" w:rsidRDefault="00E922AE">
      <w:r>
        <w:separator/>
      </w:r>
    </w:p>
  </w:endnote>
  <w:endnote w:type="continuationSeparator" w:id="0">
    <w:p w14:paraId="420F45A1" w14:textId="77777777" w:rsidR="00E922AE" w:rsidRDefault="00E9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F6A8" w14:textId="77777777" w:rsidR="00B47226" w:rsidRDefault="00000000">
    <w:pPr>
      <w:pStyle w:val="a7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14:paraId="6AC3653E" w14:textId="77777777" w:rsidR="00B47226" w:rsidRDefault="00B47226">
    <w:pPr>
      <w:pStyle w:val="a7"/>
      <w:tabs>
        <w:tab w:val="clear" w:pos="4153"/>
        <w:tab w:val="clear" w:pos="8306"/>
        <w:tab w:val="right" w:pos="9184"/>
      </w:tabs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6FAC" w14:textId="77777777" w:rsidR="00E922AE" w:rsidRDefault="00E922AE">
      <w:r>
        <w:separator/>
      </w:r>
    </w:p>
  </w:footnote>
  <w:footnote w:type="continuationSeparator" w:id="0">
    <w:p w14:paraId="0A0838E1" w14:textId="77777777" w:rsidR="00E922AE" w:rsidRDefault="00E9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D87E" w14:textId="77777777" w:rsidR="00B47226" w:rsidRDefault="00B4722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0NDlkZjczZmExNzkwNmQ5NjNmNDNmMzVmMDE4MDEifQ=="/>
  </w:docVars>
  <w:rsids>
    <w:rsidRoot w:val="00EC0174"/>
    <w:rsid w:val="9BFF62CB"/>
    <w:rsid w:val="00006E4D"/>
    <w:rsid w:val="00021652"/>
    <w:rsid w:val="00030311"/>
    <w:rsid w:val="00030782"/>
    <w:rsid w:val="00030B66"/>
    <w:rsid w:val="0006068D"/>
    <w:rsid w:val="0006102A"/>
    <w:rsid w:val="00065B0F"/>
    <w:rsid w:val="00065E7E"/>
    <w:rsid w:val="000820BB"/>
    <w:rsid w:val="0008241B"/>
    <w:rsid w:val="00092280"/>
    <w:rsid w:val="00097FAE"/>
    <w:rsid w:val="000A3233"/>
    <w:rsid w:val="000A7486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54C87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37E4E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52164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01C7A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37DB9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A67BD"/>
    <w:rsid w:val="005C17C8"/>
    <w:rsid w:val="005C2098"/>
    <w:rsid w:val="005C2E6C"/>
    <w:rsid w:val="005D0CCF"/>
    <w:rsid w:val="005D1C01"/>
    <w:rsid w:val="005D5BEE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37684"/>
    <w:rsid w:val="007732A1"/>
    <w:rsid w:val="007739D4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30A05"/>
    <w:rsid w:val="0083462A"/>
    <w:rsid w:val="008468EA"/>
    <w:rsid w:val="00865915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8F6536"/>
    <w:rsid w:val="008F715D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47226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D7047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1851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49F5"/>
    <w:rsid w:val="00D355B5"/>
    <w:rsid w:val="00D43DC3"/>
    <w:rsid w:val="00D51791"/>
    <w:rsid w:val="00D5281E"/>
    <w:rsid w:val="00D6531B"/>
    <w:rsid w:val="00D6612D"/>
    <w:rsid w:val="00D71AD9"/>
    <w:rsid w:val="00D73C02"/>
    <w:rsid w:val="00D77D81"/>
    <w:rsid w:val="00D8170D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D12DB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0BEA"/>
    <w:rsid w:val="00E72773"/>
    <w:rsid w:val="00E76739"/>
    <w:rsid w:val="00E81946"/>
    <w:rsid w:val="00E82BB7"/>
    <w:rsid w:val="00E86D13"/>
    <w:rsid w:val="00E922AE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946B2A"/>
    <w:rsid w:val="095E32CA"/>
    <w:rsid w:val="13560B54"/>
    <w:rsid w:val="19927F78"/>
    <w:rsid w:val="21AE59D8"/>
    <w:rsid w:val="286F56EA"/>
    <w:rsid w:val="2D527252"/>
    <w:rsid w:val="329102D6"/>
    <w:rsid w:val="3A9520B3"/>
    <w:rsid w:val="3DE562B7"/>
    <w:rsid w:val="3E6507EA"/>
    <w:rsid w:val="473A0013"/>
    <w:rsid w:val="47550EBA"/>
    <w:rsid w:val="50BB3388"/>
    <w:rsid w:val="597E10BB"/>
    <w:rsid w:val="6636451A"/>
    <w:rsid w:val="6BE94116"/>
    <w:rsid w:val="78916378"/>
    <w:rsid w:val="7BC20073"/>
    <w:rsid w:val="7C631402"/>
    <w:rsid w:val="7DCC0F6E"/>
    <w:rsid w:val="7E14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39699"/>
  <w15:docId w15:val="{D7FF23A8-8008-4470-BFD9-1F0569E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qFormat/>
    <w:rPr>
      <w:kern w:val="0"/>
      <w:sz w:val="2"/>
      <w:szCs w:val="20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qFormat/>
    <w:rPr>
      <w:rFonts w:cs="Times New Roman"/>
    </w:rPr>
  </w:style>
  <w:style w:type="character" w:customStyle="1" w:styleId="a4">
    <w:name w:val="文档结构图 字符"/>
    <w:link w:val="a3"/>
    <w:uiPriority w:val="99"/>
    <w:qFormat/>
    <w:locked/>
    <w:rPr>
      <w:rFonts w:ascii="宋体" w:cs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2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  <w:szCs w:val="18"/>
    </w:rPr>
  </w:style>
  <w:style w:type="paragraph" w:customStyle="1" w:styleId="ad">
    <w:name w:val="四号正文"/>
    <w:basedOn w:val="a"/>
    <w:link w:val="Char"/>
    <w:uiPriority w:val="99"/>
    <w:qFormat/>
    <w:pPr>
      <w:spacing w:line="360" w:lineRule="auto"/>
    </w:pPr>
    <w:rPr>
      <w:rFonts w:ascii="??" w:hAnsi="??" w:cs="宋体"/>
      <w:color w:val="000000"/>
      <w:kern w:val="0"/>
      <w:sz w:val="21"/>
      <w:szCs w:val="21"/>
    </w:rPr>
  </w:style>
  <w:style w:type="character" w:customStyle="1" w:styleId="Char">
    <w:name w:val="四号正文 Char"/>
    <w:link w:val="ad"/>
    <w:uiPriority w:val="99"/>
    <w:qFormat/>
    <w:locked/>
    <w:rPr>
      <w:rFonts w:ascii="??" w:eastAsia="宋体" w:hAnsi="??" w:cs="宋体"/>
      <w:color w:val="000000"/>
      <w:sz w:val="21"/>
      <w:szCs w:val="21"/>
      <w:lang w:val="en-US" w:eastAsia="zh-CN" w:bidi="ar-SA"/>
    </w:rPr>
  </w:style>
  <w:style w:type="paragraph" w:customStyle="1" w:styleId="ae">
    <w:name w:val="a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01">
    <w:name w:val="〖C01〗正文"/>
    <w:qFormat/>
    <w:pPr>
      <w:widowControl w:val="0"/>
      <w:topLinePunct/>
      <w:spacing w:line="600" w:lineRule="exact"/>
      <w:ind w:firstLineChars="200" w:firstLine="637"/>
    </w:pPr>
    <w:rPr>
      <w:rFonts w:ascii="仿宋_GB2312" w:eastAsia="仿宋_GB2312" w:hAnsi="Calibr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399</Words>
  <Characters>2279</Characters>
  <Application>Microsoft Office Word</Application>
  <DocSecurity>0</DocSecurity>
  <Lines>18</Lines>
  <Paragraphs>5</Paragraphs>
  <ScaleCrop>false</ScaleCrop>
  <Company>PSZX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区域性就业培训基地建设项目</dc:title>
  <dc:creator>陈萍</dc:creator>
  <cp:lastModifiedBy>zhong xue</cp:lastModifiedBy>
  <cp:revision>10</cp:revision>
  <cp:lastPrinted>2023-05-08T01:13:00Z</cp:lastPrinted>
  <dcterms:created xsi:type="dcterms:W3CDTF">2020-05-28T09:28:00Z</dcterms:created>
  <dcterms:modified xsi:type="dcterms:W3CDTF">2023-08-02T06:29:00Z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58E846006ADD4501A27CA8329A45D0B6</vt:lpwstr>
  </property>
</Properties>
</file>