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jc w:val="center"/>
        <w:rPr>
          <w:rFonts w:hint="eastAsia" w:ascii="方正小标宋简体" w:hAnsi="宋体" w:eastAsia="方正小标宋简体"/>
          <w:sz w:val="44"/>
          <w:szCs w:val="44"/>
          <w:shd w:val="clear" w:color="auto" w:fill="FFFFFF"/>
          <w:lang w:val="en-US" w:eastAsia="zh-CN"/>
        </w:rPr>
      </w:pPr>
    </w:p>
    <w:p>
      <w:pPr>
        <w:widowControl/>
        <w:spacing w:line="580" w:lineRule="exact"/>
        <w:contextualSpacing/>
        <w:jc w:val="center"/>
        <w:rPr>
          <w:rFonts w:ascii="宋体"/>
          <w:b/>
          <w:sz w:val="44"/>
          <w:szCs w:val="44"/>
          <w:shd w:val="clear" w:color="auto" w:fill="FFFFFF"/>
        </w:rPr>
      </w:pPr>
      <w:r>
        <w:rPr>
          <w:rFonts w:hint="eastAsia" w:ascii="方正小标宋简体" w:hAnsi="宋体" w:eastAsia="方正小标宋简体"/>
          <w:sz w:val="44"/>
          <w:szCs w:val="44"/>
          <w:shd w:val="clear" w:color="auto" w:fill="FFFFFF"/>
          <w:lang w:val="en-US" w:eastAsia="zh-CN"/>
        </w:rPr>
        <w:t>乐山市金口河区文化旅游开发服务中心</w:t>
      </w:r>
    </w:p>
    <w:p>
      <w:pPr>
        <w:widowControl/>
        <w:spacing w:line="580" w:lineRule="exact"/>
        <w:contextualSpacing/>
        <w:jc w:val="center"/>
        <w:rPr>
          <w:rFonts w:ascii="方正小标宋简体" w:eastAsia="方正小标宋简体"/>
          <w:sz w:val="44"/>
          <w:szCs w:val="44"/>
          <w:shd w:val="clear" w:color="auto" w:fill="FFFFFF"/>
        </w:rPr>
      </w:pPr>
      <w:r>
        <w:rPr>
          <w:rFonts w:hint="eastAsia" w:ascii="方正小标宋简体" w:hAnsi="宋体" w:eastAsia="方正小标宋简体"/>
          <w:sz w:val="44"/>
          <w:szCs w:val="44"/>
          <w:shd w:val="clear" w:color="auto" w:fill="FFFFFF"/>
        </w:rPr>
        <w:t>部门整体支出绩效自评报告</w:t>
      </w:r>
    </w:p>
    <w:p>
      <w:pPr>
        <w:widowControl/>
        <w:adjustRightInd w:val="0"/>
        <w:snapToGrid w:val="0"/>
        <w:spacing w:line="580" w:lineRule="exact"/>
        <w:ind w:firstLine="660" w:firstLineChars="200"/>
        <w:contextualSpacing/>
        <w:jc w:val="left"/>
        <w:rPr>
          <w:rFonts w:hint="default" w:ascii="方正仿宋_GBK" w:hAnsi="宋体" w:eastAsia="方正仿宋_GBK" w:cs="宋体"/>
          <w:color w:val="000000"/>
          <w:kern w:val="0"/>
          <w:sz w:val="33"/>
          <w:szCs w:val="33"/>
          <w:shd w:val="clear" w:color="auto" w:fill="FFFFFF"/>
          <w:lang w:val="en-US" w:eastAsia="zh-CN"/>
        </w:rPr>
      </w:pP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lang w:val="zh-CN"/>
        </w:rPr>
      </w:pPr>
      <w:r>
        <w:rPr>
          <w:rFonts w:hint="eastAsia" w:ascii="黑体" w:hAnsi="黑体" w:eastAsia="黑体" w:cs="宋体"/>
          <w:color w:val="000000"/>
          <w:kern w:val="0"/>
          <w:szCs w:val="32"/>
          <w:shd w:val="clear" w:color="auto" w:fill="FFFFFF"/>
        </w:rPr>
        <w:t>一、</w:t>
      </w:r>
      <w:r>
        <w:rPr>
          <w:rFonts w:hint="eastAsia" w:ascii="黑体" w:hAnsi="黑体" w:eastAsia="黑体" w:cs="宋体"/>
          <w:color w:val="000000"/>
          <w:kern w:val="0"/>
          <w:szCs w:val="32"/>
          <w:shd w:val="clear" w:color="auto" w:fill="FFFFFF"/>
          <w:lang w:val="zh-CN"/>
        </w:rPr>
        <w:t>部门（单位）概况</w:t>
      </w:r>
    </w:p>
    <w:p>
      <w:pPr>
        <w:keepNext w:val="0"/>
        <w:keepLines w:val="0"/>
        <w:pageBreakBefore w:val="0"/>
        <w:kinsoku/>
        <w:wordWrap/>
        <w:overflowPunct/>
        <w:topLinePunct w:val="0"/>
        <w:autoSpaceDE/>
        <w:autoSpaceDN/>
        <w:bidi w:val="0"/>
        <w:snapToGrid w:val="0"/>
        <w:spacing w:line="560" w:lineRule="exact"/>
        <w:ind w:firstLine="467" w:firstLineChars="146"/>
        <w:textAlignment w:val="auto"/>
        <w:rPr>
          <w:rFonts w:hint="eastAsia" w:ascii="仿宋_GB2312" w:hAnsi="仿宋_GB2312" w:eastAsia="仿宋_GB2312" w:cs="仿宋_GB2312"/>
          <w:color w:val="000000"/>
          <w:kern w:val="0"/>
          <w:szCs w:val="32"/>
        </w:rPr>
      </w:pPr>
      <w:r>
        <w:rPr>
          <w:rFonts w:hint="eastAsia" w:ascii="楷体_GB2312" w:hAnsi="楷体_GB2312" w:eastAsia="楷体_GB2312" w:cs="楷体_GB2312"/>
          <w:b w:val="0"/>
          <w:bCs/>
          <w:color w:val="000000"/>
          <w:kern w:val="0"/>
          <w:szCs w:val="32"/>
        </w:rPr>
        <w:t>（一）机构组成。</w:t>
      </w:r>
      <w:r>
        <w:rPr>
          <w:rFonts w:hint="eastAsia" w:ascii="仿宋_GB2312" w:hAnsi="仿宋_GB2312" w:eastAsia="仿宋_GB2312" w:cs="仿宋_GB2312"/>
          <w:color w:val="000000"/>
          <w:kern w:val="0"/>
          <w:szCs w:val="32"/>
          <w:lang w:eastAsia="zh-CN"/>
        </w:rPr>
        <w:t>乐山市金口河区文化旅游开发服务中心</w:t>
      </w:r>
      <w:r>
        <w:rPr>
          <w:rFonts w:hint="eastAsia" w:ascii="仿宋_GB2312" w:hAnsi="仿宋_GB2312" w:eastAsia="仿宋_GB2312" w:cs="仿宋_GB2312"/>
          <w:color w:val="000000"/>
          <w:kern w:val="0"/>
          <w:szCs w:val="32"/>
        </w:rPr>
        <w:t>属独立编制、独立核算的机构，机构数1个，机构数较去年相比没有增减。</w:t>
      </w:r>
    </w:p>
    <w:p>
      <w:pPr>
        <w:keepNext w:val="0"/>
        <w:keepLines w:val="0"/>
        <w:pageBreakBefore w:val="0"/>
        <w:widowControl/>
        <w:kinsoku/>
        <w:wordWrap/>
        <w:overflowPunct/>
        <w:topLinePunct w:val="0"/>
        <w:autoSpaceDE/>
        <w:autoSpaceDN/>
        <w:bidi w:val="0"/>
        <w:spacing w:line="560" w:lineRule="exact"/>
        <w:ind w:firstLine="470" w:firstLineChars="147"/>
        <w:jc w:val="left"/>
        <w:textAlignment w:val="auto"/>
        <w:rPr>
          <w:rFonts w:hint="eastAsia" w:ascii="仿宋_GB2312" w:hAnsi="仿宋_GB2312" w:eastAsia="仿宋_GB2312" w:cs="仿宋_GB2312"/>
          <w:color w:val="000000"/>
          <w:kern w:val="0"/>
          <w:szCs w:val="32"/>
        </w:rPr>
      </w:pPr>
      <w:r>
        <w:rPr>
          <w:rFonts w:hint="eastAsia" w:ascii="楷体_GB2312" w:hAnsi="楷体_GB2312" w:eastAsia="楷体_GB2312" w:cs="楷体_GB2312"/>
          <w:b w:val="0"/>
          <w:bCs/>
          <w:color w:val="000000"/>
          <w:kern w:val="0"/>
          <w:szCs w:val="32"/>
        </w:rPr>
        <w:t>（二）机构职能。</w:t>
      </w:r>
      <w:r>
        <w:rPr>
          <w:rFonts w:hint="eastAsia" w:ascii="仿宋_GB2312" w:hAnsi="仿宋_GB2312" w:eastAsia="仿宋_GB2312" w:cs="仿宋_GB2312"/>
          <w:color w:val="000000"/>
          <w:kern w:val="0"/>
          <w:szCs w:val="32"/>
        </w:rPr>
        <w:t>乐山市金口河区文化旅游开发服务中心是由财政全额拨款的事业单位，担负着贯彻执行国家、省、市有关旅游、文化、文物管理与保护等有关法律、法规和政策，负责严格执行和组织实施全区旅游景区总体和详细规划，牵头组织相关部门负责实施旅游景区的道路、通讯、电力、供排水、垃圾处理等基础设施与旅游公共设施的建设，负责全区旅游景区的项目开发、招商引资、宣传营销等工作，依法制定景区内的各项管理办法和制度等职能。</w:t>
      </w:r>
    </w:p>
    <w:p>
      <w:pPr>
        <w:keepNext w:val="0"/>
        <w:keepLines w:val="0"/>
        <w:pageBreakBefore w:val="0"/>
        <w:widowControl/>
        <w:kinsoku/>
        <w:wordWrap/>
        <w:overflowPunct/>
        <w:topLinePunct w:val="0"/>
        <w:autoSpaceDE/>
        <w:autoSpaceDN/>
        <w:bidi w:val="0"/>
        <w:spacing w:line="560" w:lineRule="exact"/>
        <w:ind w:firstLine="470" w:firstLineChars="147"/>
        <w:jc w:val="left"/>
        <w:textAlignment w:val="auto"/>
        <w:rPr>
          <w:rFonts w:ascii="楷体_GB2312" w:hAnsi="宋体" w:eastAsia="楷体_GB2312" w:cs="宋体"/>
          <w:color w:val="000000"/>
          <w:kern w:val="0"/>
          <w:szCs w:val="32"/>
          <w:shd w:val="clear" w:color="auto" w:fill="FFFFFF"/>
          <w:lang w:val="zh-CN"/>
        </w:rPr>
      </w:pPr>
      <w:r>
        <w:rPr>
          <w:rFonts w:hint="eastAsia" w:ascii="楷体_GB2312" w:hAnsi="楷体_GB2312" w:eastAsia="楷体_GB2312" w:cs="楷体_GB2312"/>
          <w:b w:val="0"/>
          <w:bCs/>
          <w:color w:val="000000"/>
          <w:kern w:val="0"/>
          <w:szCs w:val="32"/>
        </w:rPr>
        <w:t>（三）人员概况。</w:t>
      </w:r>
      <w:r>
        <w:rPr>
          <w:rFonts w:hint="eastAsia" w:ascii="仿宋_GB2312" w:hAnsi="仿宋_GB2312" w:eastAsia="仿宋_GB2312" w:cs="仿宋_GB2312"/>
          <w:color w:val="000000"/>
          <w:kern w:val="0"/>
          <w:szCs w:val="32"/>
        </w:rPr>
        <w:t>20</w:t>
      </w:r>
      <w:r>
        <w:rPr>
          <w:rFonts w:hint="eastAsia" w:ascii="仿宋_GB2312" w:hAnsi="仿宋_GB2312" w:eastAsia="仿宋_GB2312" w:cs="仿宋_GB2312"/>
          <w:color w:val="000000"/>
          <w:kern w:val="0"/>
          <w:szCs w:val="32"/>
          <w:lang w:val="en-US" w:eastAsia="zh-CN"/>
        </w:rPr>
        <w:t>22</w:t>
      </w:r>
      <w:r>
        <w:rPr>
          <w:rFonts w:hint="eastAsia" w:ascii="仿宋_GB2312" w:hAnsi="仿宋_GB2312" w:eastAsia="仿宋_GB2312" w:cs="仿宋_GB2312"/>
          <w:color w:val="000000"/>
          <w:kern w:val="0"/>
          <w:szCs w:val="32"/>
        </w:rPr>
        <w:t>年末共有财政供养人数</w:t>
      </w:r>
      <w:r>
        <w:rPr>
          <w:rFonts w:hint="eastAsia" w:ascii="仿宋_GB2312" w:hAnsi="仿宋_GB2312" w:eastAsia="仿宋_GB2312" w:cs="仿宋_GB2312"/>
          <w:color w:val="000000"/>
          <w:kern w:val="0"/>
          <w:szCs w:val="32"/>
          <w:lang w:val="en-US" w:eastAsia="zh-CN"/>
        </w:rPr>
        <w:t>7</w:t>
      </w:r>
      <w:r>
        <w:rPr>
          <w:rFonts w:hint="eastAsia" w:ascii="仿宋_GB2312" w:hAnsi="仿宋_GB2312" w:eastAsia="仿宋_GB2312" w:cs="仿宋_GB2312"/>
          <w:color w:val="000000"/>
          <w:kern w:val="0"/>
          <w:szCs w:val="32"/>
        </w:rPr>
        <w:t>人，其中在职人员</w:t>
      </w:r>
      <w:r>
        <w:rPr>
          <w:rFonts w:hint="eastAsia" w:ascii="仿宋_GB2312" w:hAnsi="仿宋_GB2312" w:eastAsia="仿宋_GB2312" w:cs="仿宋_GB2312"/>
          <w:color w:val="000000"/>
          <w:kern w:val="0"/>
          <w:szCs w:val="32"/>
          <w:lang w:val="en-US" w:eastAsia="zh-CN"/>
        </w:rPr>
        <w:t>7</w:t>
      </w:r>
      <w:r>
        <w:rPr>
          <w:rFonts w:hint="eastAsia" w:ascii="仿宋_GB2312" w:hAnsi="仿宋_GB2312" w:eastAsia="仿宋_GB2312" w:cs="仿宋_GB2312"/>
          <w:color w:val="000000"/>
          <w:kern w:val="0"/>
          <w:szCs w:val="32"/>
        </w:rPr>
        <w:t>人，事业编制</w:t>
      </w:r>
      <w:r>
        <w:rPr>
          <w:rFonts w:hint="eastAsia" w:ascii="仿宋_GB2312" w:hAnsi="仿宋_GB2312" w:eastAsia="仿宋_GB2312" w:cs="仿宋_GB2312"/>
          <w:color w:val="000000"/>
          <w:kern w:val="0"/>
          <w:szCs w:val="32"/>
          <w:lang w:val="en-US" w:eastAsia="zh-CN"/>
        </w:rPr>
        <w:t>7</w:t>
      </w:r>
      <w:r>
        <w:rPr>
          <w:rFonts w:hint="eastAsia" w:ascii="仿宋_GB2312" w:hAnsi="仿宋_GB2312" w:eastAsia="仿宋_GB2312" w:cs="仿宋_GB2312"/>
          <w:color w:val="000000"/>
          <w:kern w:val="0"/>
          <w:szCs w:val="32"/>
        </w:rPr>
        <w:t>人。</w:t>
      </w:r>
      <w:r>
        <w:rPr>
          <w:rFonts w:ascii="楷体_GB2312" w:hAnsi="宋体" w:eastAsia="楷体_GB2312" w:cs="宋体"/>
          <w:color w:val="000000"/>
          <w:kern w:val="0"/>
          <w:szCs w:val="32"/>
          <w:shd w:val="clear" w:color="auto" w:fill="FFFFFF"/>
          <w:lang w:val="zh-CN"/>
        </w:rPr>
        <w:tab/>
      </w: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spacing w:line="560" w:lineRule="exact"/>
        <w:ind w:firstLine="470" w:firstLineChars="147"/>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楷体_GB2312" w:hAnsi="宋体" w:eastAsia="楷体_GB2312" w:cs="宋体"/>
          <w:color w:val="000000"/>
          <w:kern w:val="0"/>
          <w:szCs w:val="32"/>
          <w:shd w:val="clear" w:color="auto" w:fill="FFFFFF"/>
          <w:lang w:val="zh-CN"/>
        </w:rPr>
      </w:pPr>
      <w:r>
        <w:rPr>
          <w:rFonts w:hint="eastAsia" w:ascii="仿宋_GB2312" w:hAnsi="仿宋_GB2312" w:eastAsia="仿宋_GB2312" w:cs="仿宋_GB2312"/>
          <w:color w:val="000000"/>
          <w:kern w:val="0"/>
          <w:szCs w:val="32"/>
          <w:lang w:val="en-US" w:eastAsia="zh-CN"/>
        </w:rPr>
        <w:t>2022年本年收入合计</w:t>
      </w:r>
      <w:r>
        <w:rPr>
          <w:rFonts w:hint="eastAsia" w:ascii="仿宋_GB2312" w:hAnsi="仿宋" w:eastAsia="仿宋_GB2312"/>
          <w:sz w:val="32"/>
          <w:szCs w:val="32"/>
        </w:rPr>
        <w:t>5,735.40</w:t>
      </w:r>
      <w:r>
        <w:rPr>
          <w:rFonts w:hint="eastAsia" w:ascii="仿宋_GB2312" w:hAnsi="仿宋_GB2312" w:eastAsia="仿宋_GB2312" w:cs="仿宋_GB2312"/>
          <w:color w:val="000000"/>
          <w:kern w:val="0"/>
          <w:szCs w:val="32"/>
          <w:lang w:val="en-US" w:eastAsia="zh-CN"/>
        </w:rPr>
        <w:t>万元，其中：一般公共预算财政拨款收入</w:t>
      </w:r>
      <w:r>
        <w:rPr>
          <w:rFonts w:hint="eastAsia" w:ascii="仿宋_GB2312" w:hAnsi="仿宋" w:eastAsia="仿宋_GB2312"/>
          <w:sz w:val="32"/>
          <w:szCs w:val="32"/>
        </w:rPr>
        <w:t>235.40</w:t>
      </w:r>
      <w:r>
        <w:rPr>
          <w:rFonts w:hint="eastAsia" w:ascii="仿宋_GB2312" w:hAnsi="仿宋_GB2312" w:eastAsia="仿宋_GB2312" w:cs="仿宋_GB2312"/>
          <w:color w:val="000000"/>
          <w:kern w:val="0"/>
          <w:szCs w:val="32"/>
          <w:lang w:val="en-US" w:eastAsia="zh-CN"/>
        </w:rPr>
        <w:t>万元，占4.1%；政府性基金预算财政拨款收入5500万元，占95.9%；上级补助收入0万元，占0%；事业收入0万元，占0%；经营收入0万元，占0%；附属单位上缴收入0万元，占0%；其他收入0万元，占0%。</w:t>
      </w:r>
    </w:p>
    <w:p>
      <w:pPr>
        <w:keepNext w:val="0"/>
        <w:keepLines w:val="0"/>
        <w:pageBreakBefore w:val="0"/>
        <w:widowControl/>
        <w:numPr>
          <w:ilvl w:val="0"/>
          <w:numId w:val="1"/>
        </w:numPr>
        <w:kinsoku/>
        <w:wordWrap/>
        <w:overflowPunct/>
        <w:topLinePunct w:val="0"/>
        <w:autoSpaceDE/>
        <w:autoSpaceDN/>
        <w:bidi w:val="0"/>
        <w:spacing w:line="560" w:lineRule="exact"/>
        <w:ind w:firstLine="470" w:firstLineChars="147"/>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部门财政资金支出情况。</w:t>
      </w:r>
    </w:p>
    <w:p>
      <w:pPr>
        <w:keepNext w:val="0"/>
        <w:keepLines w:val="0"/>
        <w:pageBreakBefore w:val="0"/>
        <w:widowControl/>
        <w:numPr>
          <w:numId w:val="0"/>
        </w:numPr>
        <w:kinsoku/>
        <w:wordWrap/>
        <w:overflowPunct/>
        <w:topLinePunct w:val="0"/>
        <w:autoSpaceDE/>
        <w:autoSpaceDN/>
        <w:bidi w:val="0"/>
        <w:spacing w:line="560" w:lineRule="exact"/>
        <w:ind w:firstLine="640" w:firstLineChars="200"/>
        <w:jc w:val="left"/>
        <w:textAlignment w:val="auto"/>
        <w:rPr>
          <w:rFonts w:ascii="楷体_GB2312" w:hAnsi="宋体" w:eastAsia="楷体_GB2312" w:cs="宋体"/>
          <w:color w:val="000000"/>
          <w:kern w:val="0"/>
          <w:szCs w:val="32"/>
          <w:shd w:val="clear" w:color="auto" w:fill="FFFFFF"/>
          <w:lang w:val="zh-CN"/>
        </w:rPr>
      </w:pPr>
      <w:r>
        <w:rPr>
          <w:rFonts w:hint="eastAsia" w:ascii="仿宋_GB2312" w:hAnsi="仿宋_GB2312" w:eastAsia="仿宋_GB2312" w:cs="仿宋_GB2312"/>
          <w:color w:val="000000"/>
          <w:kern w:val="0"/>
          <w:szCs w:val="32"/>
          <w:lang w:val="en-US" w:eastAsia="zh-CN"/>
        </w:rPr>
        <w:t>2022年本年支出合计</w:t>
      </w:r>
      <w:r>
        <w:rPr>
          <w:rFonts w:hint="eastAsia" w:ascii="仿宋_GB2312" w:hAnsi="仿宋" w:eastAsia="仿宋_GB2312"/>
          <w:sz w:val="32"/>
          <w:szCs w:val="32"/>
        </w:rPr>
        <w:t>5,765.40</w:t>
      </w:r>
      <w:r>
        <w:rPr>
          <w:rFonts w:hint="eastAsia" w:ascii="仿宋_GB2312" w:hAnsi="仿宋_GB2312" w:eastAsia="仿宋_GB2312" w:cs="仿宋_GB2312"/>
          <w:color w:val="000000"/>
          <w:kern w:val="0"/>
          <w:szCs w:val="32"/>
          <w:lang w:val="en-US" w:eastAsia="zh-CN"/>
        </w:rPr>
        <w:t>万元，其中：基本支出</w:t>
      </w:r>
      <w:r>
        <w:rPr>
          <w:rFonts w:hint="eastAsia" w:ascii="仿宋_GB2312" w:hAnsi="仿宋" w:eastAsia="仿宋_GB2312"/>
          <w:sz w:val="32"/>
          <w:szCs w:val="32"/>
        </w:rPr>
        <w:t>153.95</w:t>
      </w:r>
      <w:r>
        <w:rPr>
          <w:rFonts w:hint="eastAsia" w:ascii="仿宋_GB2312" w:hAnsi="仿宋_GB2312" w:eastAsia="仿宋_GB2312" w:cs="仿宋_GB2312"/>
          <w:color w:val="000000"/>
          <w:kern w:val="0"/>
          <w:szCs w:val="32"/>
          <w:lang w:val="en-US" w:eastAsia="zh-CN"/>
        </w:rPr>
        <w:t>万元，占</w:t>
      </w:r>
      <w:r>
        <w:rPr>
          <w:rFonts w:hint="eastAsia" w:ascii="仿宋_GB2312" w:hAnsi="仿宋" w:eastAsia="仿宋_GB2312"/>
          <w:sz w:val="32"/>
          <w:szCs w:val="32"/>
        </w:rPr>
        <w:t>2.67</w:t>
      </w:r>
      <w:r>
        <w:rPr>
          <w:rFonts w:hint="eastAsia" w:ascii="仿宋_GB2312" w:hAnsi="仿宋_GB2312" w:eastAsia="仿宋_GB2312" w:cs="仿宋_GB2312"/>
          <w:color w:val="000000"/>
          <w:kern w:val="0"/>
          <w:szCs w:val="32"/>
          <w:lang w:val="en-US" w:eastAsia="zh-CN"/>
        </w:rPr>
        <w:t>%；项目支出</w:t>
      </w:r>
      <w:r>
        <w:rPr>
          <w:rFonts w:hint="eastAsia" w:ascii="仿宋_GB2312" w:hAnsi="仿宋" w:eastAsia="仿宋_GB2312"/>
          <w:sz w:val="32"/>
          <w:szCs w:val="32"/>
        </w:rPr>
        <w:t>5,611.46</w:t>
      </w:r>
      <w:r>
        <w:rPr>
          <w:rFonts w:hint="eastAsia" w:ascii="仿宋_GB2312" w:hAnsi="仿宋_GB2312" w:eastAsia="仿宋_GB2312" w:cs="仿宋_GB2312"/>
          <w:color w:val="000000"/>
          <w:kern w:val="0"/>
          <w:szCs w:val="32"/>
          <w:lang w:val="en-US" w:eastAsia="zh-CN"/>
        </w:rPr>
        <w:t>万元，占</w:t>
      </w:r>
      <w:r>
        <w:rPr>
          <w:rFonts w:hint="eastAsia" w:ascii="仿宋_GB2312" w:hAnsi="仿宋" w:eastAsia="仿宋_GB2312"/>
          <w:sz w:val="32"/>
          <w:szCs w:val="32"/>
        </w:rPr>
        <w:t>97.33</w:t>
      </w:r>
      <w:r>
        <w:rPr>
          <w:rFonts w:hint="eastAsia" w:ascii="仿宋_GB2312" w:hAnsi="仿宋_GB2312" w:eastAsia="仿宋_GB2312" w:cs="仿宋_GB2312"/>
          <w:color w:val="000000"/>
          <w:kern w:val="0"/>
          <w:szCs w:val="32"/>
          <w:lang w:val="en-US" w:eastAsia="zh-CN"/>
        </w:rPr>
        <w:t>%；上缴上级支出0万元，占0%；经营支出0万元，占0%；对附属单位补助支出0万元，占0%。</w:t>
      </w: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（一）部门预算管理。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我中心严格按照新《预算法》及其实施条例的相关规定，结合上一年度预算执行情况和本年度预算收支变化因素，科学、合理地编制本年预算，避免项目支出与基本支出划分不准或预算支出与实际执行出现较大偏差的情况，执行中确需调剂预算的，按规定程序报经批准。同时预算及时在相关网站上公开进行公开。</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（二）项目预算管理。</w:t>
      </w:r>
      <w:bookmarkStart w:id="0" w:name="_GoBack"/>
      <w:bookmarkEnd w:id="0"/>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Cs w:val="32"/>
          <w:shd w:val="clear" w:color="auto" w:fill="FFFFFF"/>
          <w:lang w:val="zh-CN"/>
        </w:rPr>
      </w:pPr>
      <w:r>
        <w:rPr>
          <w:rFonts w:hint="eastAsia" w:ascii="仿宋_GB2312" w:hAnsi="宋体" w:eastAsia="仿宋_GB2312" w:cs="宋体"/>
          <w:color w:val="000000"/>
          <w:kern w:val="0"/>
          <w:szCs w:val="32"/>
          <w:shd w:val="clear" w:color="auto" w:fill="FFFFFF"/>
          <w:lang w:val="zh-CN"/>
        </w:rPr>
        <w:t>完成大瓦山旅游扶贫项目（第一期）第一批次，第二批次、第三次批次正在加快推进。完成</w:t>
      </w:r>
      <w:r>
        <w:rPr>
          <w:rFonts w:hint="eastAsia" w:ascii="仿宋_GB2312" w:hAnsi="宋体" w:eastAsia="仿宋_GB2312" w:cs="宋体"/>
          <w:color w:val="000000"/>
          <w:kern w:val="0"/>
          <w:szCs w:val="32"/>
          <w:shd w:val="clear" w:color="auto" w:fill="FFFFFF"/>
          <w:lang w:val="en-US" w:eastAsia="zh-CN"/>
        </w:rPr>
        <w:t>大峡谷景区扩容项目（</w:t>
      </w:r>
      <w:r>
        <w:rPr>
          <w:rFonts w:hint="eastAsia" w:ascii="仿宋_GB2312" w:hAnsi="宋体" w:eastAsia="仿宋_GB2312" w:cs="宋体"/>
          <w:color w:val="000000"/>
          <w:kern w:val="0"/>
          <w:szCs w:val="32"/>
          <w:shd w:val="clear" w:color="auto" w:fill="FFFFFF"/>
          <w:lang w:val="zh-CN"/>
        </w:rPr>
        <w:t>铁道兵博物馆改造提升工程）原馆撤除及部分展陈区绘画等工作，铁道兵博物馆正式纳入免费开放名录，争取免费开发资金50万元。收集整理各类文献资料100余册，影音资料20余份。</w:t>
      </w:r>
      <w:r>
        <w:rPr>
          <w:rFonts w:hint="eastAsia" w:ascii="仿宋_GB2312" w:hAnsi="仿宋" w:eastAsia="仿宋_GB2312"/>
          <w:sz w:val="32"/>
          <w:szCs w:val="32"/>
        </w:rPr>
        <w:t>大峡谷景区截止11月共接待游客30.82万人次，其中“大峡谷号”游船共运营461趟，共接待游客11563人，营业收入922464.8元。铁道兵博物馆共接待4.3万人次。</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（三）结果应用情况。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中心在资金使用上严格按照国家财经法规、相关财务管理制度规定以及有关专项资金管理办法的规定收支，资金拨付有完整的审批程序和手续，按照财经制度的有关要求，做到专款专用，专人保管，单位领导对专项资金的使用进行全程监督，保证资金使用的合规性。资金使用无截留、挤占、挪用、虚列支出等情况。相关发票由财务室审核后，报分管财务领导签字，再由单位负责人签字同意报帐后到财务室结算。单位办公物资的采购，严格按照采购管理规定，通过政府采购，坚持应采尽采的原则。预决算信息公开性，按照规定的内容、时间公开预算信息，做到基础数据信息和会计资料真实、完整、准确。</w:t>
      </w: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四、评价结论及建议</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
          <w:color w:val="000000"/>
          <w:szCs w:val="32"/>
        </w:rPr>
      </w:pPr>
      <w:r>
        <w:rPr>
          <w:rFonts w:hint="eastAsia" w:ascii="楷体_GB2312" w:hAnsi="宋体" w:eastAsia="楷体_GB2312" w:cs="宋体"/>
          <w:color w:val="000000"/>
          <w:kern w:val="0"/>
          <w:szCs w:val="32"/>
          <w:shd w:val="clear" w:color="auto" w:fill="FFFFFF"/>
          <w:lang w:val="zh-CN"/>
        </w:rPr>
        <w:t>（一）评价结论。</w:t>
      </w:r>
      <w:r>
        <w:rPr>
          <w:rFonts w:hint="eastAsia" w:ascii="仿宋_GB2312" w:hAnsi="仿宋_GB2312" w:eastAsia="仿宋_GB2312" w:cs="仿宋_GB2312"/>
          <w:color w:val="auto"/>
          <w:sz w:val="32"/>
          <w:szCs w:val="32"/>
          <w:lang w:val="en-US" w:eastAsia="zh-CN"/>
        </w:rPr>
        <w:t>2022年度，我中心部门预算支出达到了预期成果，确保了财务工作的有序推进。全年财政支出合理、规范、有效，符合相关规定要求，绩效执行情况良好。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000000"/>
          <w:kern w:val="0"/>
          <w:szCs w:val="32"/>
        </w:rPr>
        <w:t>（二）存在问题。</w:t>
      </w:r>
      <w:r>
        <w:rPr>
          <w:rFonts w:hint="eastAsia" w:ascii="仿宋_GB2312" w:hAnsi="仿宋_GB2312" w:eastAsia="仿宋_GB2312" w:cs="仿宋_GB2312"/>
          <w:color w:val="auto"/>
          <w:sz w:val="32"/>
          <w:szCs w:val="32"/>
          <w:lang w:val="en-US" w:eastAsia="zh-CN"/>
        </w:rPr>
        <w:t>对预算执行缺乏有效的内部分析监督和考核机制。原因是：资金来源多元化，使得其在对于预算执行的分析和监督方面不够重视，未建立起内部预算分析机制。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000000"/>
          <w:kern w:val="0"/>
          <w:szCs w:val="32"/>
        </w:rPr>
        <w:t>（三）改进建议。</w:t>
      </w:r>
      <w:r>
        <w:rPr>
          <w:rFonts w:hint="eastAsia" w:ascii="仿宋_GB2312" w:hAnsi="仿宋_GB2312" w:eastAsia="仿宋_GB2312" w:cs="仿宋_GB2312"/>
          <w:color w:val="auto"/>
          <w:sz w:val="32"/>
          <w:szCs w:val="32"/>
          <w:lang w:val="en-US" w:eastAsia="zh-CN"/>
        </w:rPr>
        <w:t>在今后的工作中，我中心将严格按照中央、省、市、区的相关要求，加强对“中央八项规定”和财经法律法规的学习，重点加强对《预算法》、《事业单位会计规则》等财经法规的学习，严格遵守财经法律法规，严格执行年初预算，以收定支，领导把关控制“三公”经费的支出，加强财务会计和出纳的管理工作，切实提升工作效能，按相关法律法规的要求认真负责的将财务工作做到实处。</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cs="宋体"/>
          <w:color w:val="000000"/>
          <w:kern w:val="0"/>
          <w:szCs w:val="32"/>
          <w:shd w:val="clear" w:color="auto" w:fill="FFFFFF"/>
          <w:lang w:val="en-US" w:eastAsia="zh-CN"/>
        </w:rPr>
        <w:t xml:space="preserve">                </w:t>
      </w:r>
      <w:r>
        <w:rPr>
          <w:rFonts w:hint="eastAsia" w:ascii="仿宋_GB2312" w:hAnsi="仿宋_GB2312" w:eastAsia="仿宋_GB2312" w:cs="仿宋_GB2312"/>
          <w:color w:val="auto"/>
          <w:sz w:val="32"/>
          <w:szCs w:val="32"/>
          <w:lang w:val="en-US" w:eastAsia="zh-CN"/>
        </w:rPr>
        <w:t>乐山市金口河区文化旅游开发服务中心</w:t>
      </w: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2022年4月28日</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5"/>
      <w:tabs>
        <w:tab w:val="right" w:pos="9184"/>
        <w:tab w:val="clear" w:pos="4153"/>
        <w:tab w:val="clear" w:pos="8306"/>
      </w:tabs>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7066D"/>
    <w:multiLevelType w:val="singleLevel"/>
    <w:tmpl w:val="119706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mY3MDY2ZmQ5YjQxODljN2EwOWFiNmY3ODgwMzIifQ=="/>
  </w:docVars>
  <w:rsids>
    <w:rsidRoot w:val="00EC0174"/>
    <w:rsid w:val="00006E4D"/>
    <w:rsid w:val="00021652"/>
    <w:rsid w:val="00030311"/>
    <w:rsid w:val="00030782"/>
    <w:rsid w:val="00030B66"/>
    <w:rsid w:val="0006068D"/>
    <w:rsid w:val="0006102A"/>
    <w:rsid w:val="00065B0F"/>
    <w:rsid w:val="00065E7E"/>
    <w:rsid w:val="000820BB"/>
    <w:rsid w:val="0008241B"/>
    <w:rsid w:val="00092280"/>
    <w:rsid w:val="00097FAE"/>
    <w:rsid w:val="000A3233"/>
    <w:rsid w:val="000A7486"/>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54C87"/>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37E4E"/>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52164"/>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01C7A"/>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37DB9"/>
    <w:rsid w:val="00542AB7"/>
    <w:rsid w:val="0055358D"/>
    <w:rsid w:val="005540C8"/>
    <w:rsid w:val="00555809"/>
    <w:rsid w:val="00562165"/>
    <w:rsid w:val="005756AF"/>
    <w:rsid w:val="00575A4A"/>
    <w:rsid w:val="00591B6F"/>
    <w:rsid w:val="005A1DAF"/>
    <w:rsid w:val="005A67BD"/>
    <w:rsid w:val="005C17C8"/>
    <w:rsid w:val="005C2098"/>
    <w:rsid w:val="005C2E6C"/>
    <w:rsid w:val="005D0CCF"/>
    <w:rsid w:val="005D1C01"/>
    <w:rsid w:val="005D5BEE"/>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37684"/>
    <w:rsid w:val="007732A1"/>
    <w:rsid w:val="007739D4"/>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30A05"/>
    <w:rsid w:val="0083462A"/>
    <w:rsid w:val="008468EA"/>
    <w:rsid w:val="00865915"/>
    <w:rsid w:val="00867140"/>
    <w:rsid w:val="00881134"/>
    <w:rsid w:val="008904F0"/>
    <w:rsid w:val="008B2F27"/>
    <w:rsid w:val="008B4A72"/>
    <w:rsid w:val="008B585E"/>
    <w:rsid w:val="008E6C0C"/>
    <w:rsid w:val="008F1E63"/>
    <w:rsid w:val="008F3052"/>
    <w:rsid w:val="008F6536"/>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D7047"/>
    <w:rsid w:val="00BE0305"/>
    <w:rsid w:val="00BF15F0"/>
    <w:rsid w:val="00BF7DF9"/>
    <w:rsid w:val="00C03559"/>
    <w:rsid w:val="00C05395"/>
    <w:rsid w:val="00C22AD7"/>
    <w:rsid w:val="00C272C1"/>
    <w:rsid w:val="00C32A68"/>
    <w:rsid w:val="00C34282"/>
    <w:rsid w:val="00C35350"/>
    <w:rsid w:val="00C3564B"/>
    <w:rsid w:val="00C41851"/>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49F5"/>
    <w:rsid w:val="00D355B5"/>
    <w:rsid w:val="00D43DC3"/>
    <w:rsid w:val="00D51791"/>
    <w:rsid w:val="00D5281E"/>
    <w:rsid w:val="00D6531B"/>
    <w:rsid w:val="00D6612D"/>
    <w:rsid w:val="00D71AD9"/>
    <w:rsid w:val="00D73C02"/>
    <w:rsid w:val="00D77D81"/>
    <w:rsid w:val="00D8170D"/>
    <w:rsid w:val="00D872ED"/>
    <w:rsid w:val="00D913C6"/>
    <w:rsid w:val="00DA0236"/>
    <w:rsid w:val="00DA5D51"/>
    <w:rsid w:val="00DA5E29"/>
    <w:rsid w:val="00DA61CA"/>
    <w:rsid w:val="00DB66BB"/>
    <w:rsid w:val="00DB73AF"/>
    <w:rsid w:val="00DC2865"/>
    <w:rsid w:val="00DD0894"/>
    <w:rsid w:val="00DD12DB"/>
    <w:rsid w:val="00DE1888"/>
    <w:rsid w:val="00DF1250"/>
    <w:rsid w:val="00DF6EF7"/>
    <w:rsid w:val="00E05454"/>
    <w:rsid w:val="00E074C3"/>
    <w:rsid w:val="00E23329"/>
    <w:rsid w:val="00E24D6D"/>
    <w:rsid w:val="00E341B2"/>
    <w:rsid w:val="00E42633"/>
    <w:rsid w:val="00E5699E"/>
    <w:rsid w:val="00E570E1"/>
    <w:rsid w:val="00E70BEA"/>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946B2A"/>
    <w:rsid w:val="13560B54"/>
    <w:rsid w:val="13F56A68"/>
    <w:rsid w:val="19927F78"/>
    <w:rsid w:val="21AE59D8"/>
    <w:rsid w:val="286F56EA"/>
    <w:rsid w:val="2D527252"/>
    <w:rsid w:val="329102D6"/>
    <w:rsid w:val="3A9520B3"/>
    <w:rsid w:val="3DE562B7"/>
    <w:rsid w:val="3E6507EA"/>
    <w:rsid w:val="47550EBA"/>
    <w:rsid w:val="50BB3388"/>
    <w:rsid w:val="6636451A"/>
    <w:rsid w:val="6BE94116"/>
    <w:rsid w:val="78916378"/>
    <w:rsid w:val="7BC20073"/>
    <w:rsid w:val="7C631402"/>
    <w:rsid w:val="7DCC0F6E"/>
    <w:rsid w:val="7E140770"/>
    <w:rsid w:val="9BFF62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99"/>
    <w:pPr>
      <w:spacing w:beforeLines="30"/>
    </w:pPr>
    <w:rPr>
      <w:rFonts w:ascii="仿宋_GB2312" w:eastAsia="仿宋_GB2312"/>
      <w:kern w:val="0"/>
      <w:sz w:val="30"/>
    </w:rPr>
  </w:style>
  <w:style w:type="paragraph" w:styleId="3">
    <w:name w:val="Document Map"/>
    <w:basedOn w:val="1"/>
    <w:link w:val="11"/>
    <w:qFormat/>
    <w:uiPriority w:val="99"/>
    <w:rPr>
      <w:rFonts w:ascii="宋体"/>
      <w:sz w:val="18"/>
      <w:szCs w:val="18"/>
    </w:rPr>
  </w:style>
  <w:style w:type="paragraph" w:styleId="4">
    <w:name w:val="Balloon Text"/>
    <w:basedOn w:val="1"/>
    <w:link w:val="12"/>
    <w:semiHidden/>
    <w:qFormat/>
    <w:uiPriority w:val="99"/>
    <w:rPr>
      <w:kern w:val="0"/>
      <w:sz w:val="2"/>
      <w:szCs w:val="20"/>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cs="Times New Roman"/>
    </w:rPr>
  </w:style>
  <w:style w:type="character" w:customStyle="1" w:styleId="11">
    <w:name w:val="文档结构图 Char"/>
    <w:link w:val="3"/>
    <w:qFormat/>
    <w:locked/>
    <w:uiPriority w:val="99"/>
    <w:rPr>
      <w:rFonts w:ascii="宋体" w:cs="Times New Roman"/>
      <w:kern w:val="2"/>
      <w:sz w:val="18"/>
      <w:szCs w:val="18"/>
    </w:rPr>
  </w:style>
  <w:style w:type="character" w:customStyle="1" w:styleId="12">
    <w:name w:val="批注框文本 Char"/>
    <w:link w:val="4"/>
    <w:semiHidden/>
    <w:qFormat/>
    <w:locked/>
    <w:uiPriority w:val="99"/>
    <w:rPr>
      <w:rFonts w:cs="Times New Roman"/>
      <w:sz w:val="2"/>
    </w:rPr>
  </w:style>
  <w:style w:type="character" w:customStyle="1" w:styleId="13">
    <w:name w:val="页脚 Char"/>
    <w:link w:val="5"/>
    <w:qFormat/>
    <w:locked/>
    <w:uiPriority w:val="99"/>
    <w:rPr>
      <w:rFonts w:cs="Times New Roman"/>
      <w:kern w:val="2"/>
      <w:sz w:val="18"/>
      <w:szCs w:val="18"/>
    </w:rPr>
  </w:style>
  <w:style w:type="character" w:customStyle="1" w:styleId="14">
    <w:name w:val="页眉 Char"/>
    <w:link w:val="6"/>
    <w:semiHidden/>
    <w:qFormat/>
    <w:locked/>
    <w:uiPriority w:val="99"/>
    <w:rPr>
      <w:rFonts w:cs="Times New Roman"/>
      <w:sz w:val="18"/>
      <w:szCs w:val="18"/>
    </w:rPr>
  </w:style>
  <w:style w:type="paragraph" w:customStyle="1" w:styleId="15">
    <w:name w:val="四号正文"/>
    <w:basedOn w:val="1"/>
    <w:link w:val="16"/>
    <w:qFormat/>
    <w:uiPriority w:val="99"/>
    <w:pPr>
      <w:spacing w:line="360" w:lineRule="auto"/>
    </w:pPr>
    <w:rPr>
      <w:rFonts w:ascii="??" w:hAnsi="??" w:cs="宋体"/>
      <w:color w:val="000000"/>
      <w:kern w:val="0"/>
      <w:sz w:val="21"/>
      <w:szCs w:val="21"/>
    </w:rPr>
  </w:style>
  <w:style w:type="character" w:customStyle="1" w:styleId="16">
    <w:name w:val="四号正文 Char"/>
    <w:link w:val="15"/>
    <w:qFormat/>
    <w:locked/>
    <w:uiPriority w:val="99"/>
    <w:rPr>
      <w:rFonts w:ascii="??" w:hAnsi="??" w:eastAsia="宋体" w:cs="宋体"/>
      <w:color w:val="000000"/>
      <w:sz w:val="21"/>
      <w:szCs w:val="21"/>
      <w:lang w:val="en-US" w:eastAsia="zh-CN" w:bidi="ar-SA"/>
    </w:rPr>
  </w:style>
  <w:style w:type="paragraph" w:customStyle="1" w:styleId="17">
    <w:name w:val="a"/>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1</Pages>
  <Words>305</Words>
  <Characters>305</Characters>
  <Lines>2</Lines>
  <Paragraphs>1</Paragraphs>
  <TotalTime>2</TotalTime>
  <ScaleCrop>false</ScaleCrop>
  <LinksUpToDate>false</LinksUpToDate>
  <CharactersWithSpaces>306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2020-05-28T09:28:00Z</dcterms:created>
  <dc:creator>陈萍</dc:creator>
  <cp:lastModifiedBy>  ＆ . 惜 </cp:lastModifiedBy>
  <cp:lastPrinted>2022-03-15T02:17:00Z</cp:lastPrinted>
  <dcterms:modified xsi:type="dcterms:W3CDTF">2023-04-28T07:23:26Z</dcterms:modified>
  <dc:title>区域性就业培训基地建设项目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694F764537AE4262827CEF82F0E522C0_13</vt:lpwstr>
  </property>
</Properties>
</file>