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8441"/>
      <w:bookmarkStart w:id="3" w:name="_Toc15377425"/>
      <w:bookmarkStart w:id="4" w:name="_Toc15377193"/>
      <w:bookmarkStart w:id="5"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olor w:val="000000"/>
          <w:sz w:val="72"/>
          <w:szCs w:val="72"/>
          <w:lang w:eastAsia="zh-CN"/>
        </w:rPr>
        <w:t>金口河区供销合作社</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23</w:t>
      </w:r>
      <w:bookmarkStart w:id="53" w:name="_GoBack"/>
      <w:bookmarkEnd w:id="53"/>
      <w:r>
        <w:rPr>
          <w:rFonts w:hint="eastAsia"/>
        </w:rPr>
        <w:t xml:space="preserve"> 日</w:t>
      </w:r>
    </w:p>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pPr>
        <w:pStyle w:val="13"/>
        <w:adjustRightInd w:val="0"/>
        <w:snapToGrid w:val="0"/>
        <w:spacing w:before="0" w:line="440" w:lineRule="exact"/>
        <w:jc w:val="left"/>
        <w:rPr>
          <w:sz w:val="24"/>
        </w:rPr>
      </w:pPr>
      <w:r>
        <w:rPr>
          <w:rFonts w:hint="eastAsia"/>
          <w:sz w:val="24"/>
          <w:lang w:val="en-US" w:eastAsia="zh-CN"/>
        </w:rPr>
        <w:t xml:space="preserve">   </w:t>
      </w:r>
      <w:r>
        <w:rPr>
          <w:rFonts w:hint="eastAsia"/>
          <w:sz w:val="24"/>
        </w:rPr>
        <w:t>一、主要职责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pPr>
        <w:pStyle w:val="13"/>
        <w:adjustRightInd w:val="0"/>
        <w:snapToGrid w:val="0"/>
        <w:spacing w:before="0" w:line="440" w:lineRule="exact"/>
        <w:jc w:val="left"/>
      </w:pPr>
      <w:r>
        <w:rPr>
          <w:rFonts w:hint="eastAsia"/>
          <w:sz w:val="24"/>
          <w:lang w:val="en-US" w:eastAsia="zh-CN"/>
        </w:rPr>
        <w:t xml:space="preserve">   </w:t>
      </w:r>
      <w:r>
        <w:rPr>
          <w:rFonts w:hint="eastAsia"/>
          <w:sz w:val="24"/>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pPr>
        <w:pStyle w:val="13"/>
        <w:adjustRightInd w:val="0"/>
        <w:snapToGrid w:val="0"/>
        <w:spacing w:before="0" w:line="440" w:lineRule="exact"/>
        <w:jc w:val="left"/>
        <w:rPr>
          <w:sz w:val="24"/>
          <w:szCs w:val="24"/>
        </w:rPr>
      </w:pPr>
      <w:r>
        <w:rPr>
          <w:rFonts w:hint="eastAsia"/>
          <w:sz w:val="24"/>
          <w:lang w:val="en-US" w:eastAsia="zh-CN"/>
        </w:rPr>
        <w:t xml:space="preserve"> </w:t>
      </w:r>
      <w:r>
        <w:rPr>
          <w:rFonts w:hint="eastAsia"/>
          <w:sz w:val="24"/>
        </w:rPr>
        <w:t>第二部分 2023年度单位决算情况说明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p>
    <w:p>
      <w:pPr>
        <w:pStyle w:val="13"/>
        <w:adjustRightInd w:val="0"/>
        <w:snapToGrid w:val="0"/>
        <w:spacing w:before="0" w:line="440" w:lineRule="exact"/>
        <w:jc w:val="left"/>
        <w:rPr>
          <w:rFonts w:hint="eastAsia" w:ascii="仿宋_GB2312" w:hAnsi="仿宋_GB2312" w:eastAsia="仿宋_GB2312" w:cs="仿宋_GB2312"/>
          <w:sz w:val="28"/>
          <w:szCs w:val="28"/>
          <w:lang w:val="en-US" w:eastAsia="zh-CN"/>
        </w:rPr>
      </w:pPr>
      <w:r>
        <w:rPr>
          <w:rFonts w:hint="eastAsia"/>
          <w:sz w:val="24"/>
          <w:lang w:val="en-US" w:eastAsia="zh-CN"/>
        </w:rPr>
        <w:t xml:space="preserve">   </w:t>
      </w:r>
      <w:r>
        <w:rPr>
          <w:rFonts w:hint="eastAsia"/>
          <w:sz w:val="24"/>
        </w:rPr>
        <w:t>一、收入支出决算总体情况说明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二、收入决算情况说明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5-6</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三、支出决算情况说明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6-7</w:t>
      </w:r>
    </w:p>
    <w:p>
      <w:pPr>
        <w:pStyle w:val="13"/>
        <w:adjustRightInd w:val="0"/>
        <w:snapToGrid w:val="0"/>
        <w:spacing w:before="0" w:line="440" w:lineRule="exact"/>
        <w:jc w:val="left"/>
        <w:rPr>
          <w:rFonts w:hint="eastAsia" w:ascii="仿宋_GB2312" w:hAnsi="仿宋_GB2312" w:eastAsia="仿宋_GB2312" w:cs="仿宋_GB2312"/>
          <w:sz w:val="28"/>
          <w:szCs w:val="28"/>
          <w:lang w:val="en-US" w:eastAsia="zh-CN"/>
        </w:rPr>
      </w:pPr>
      <w:r>
        <w:rPr>
          <w:rFonts w:hint="eastAsia"/>
          <w:sz w:val="24"/>
          <w:lang w:val="en-US" w:eastAsia="zh-CN"/>
        </w:rPr>
        <w:t xml:space="preserve">  </w:t>
      </w:r>
      <w:r>
        <w:rPr>
          <w:rFonts w:hint="eastAsia"/>
          <w:sz w:val="24"/>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7-10</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10-11</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七、财政拨款“三公”经费支出决算情况说明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11-13</w:t>
      </w:r>
    </w:p>
    <w:p>
      <w:pPr>
        <w:pStyle w:val="13"/>
        <w:adjustRightInd w:val="0"/>
        <w:snapToGrid w:val="0"/>
        <w:spacing w:before="0" w:line="440" w:lineRule="exact"/>
        <w:jc w:val="left"/>
        <w:rPr>
          <w:rFonts w:hint="default" w:ascii="仿宋" w:hAnsi="仿宋" w:eastAsia="仿宋" w:cstheme="minorBidi"/>
          <w:sz w:val="24"/>
          <w:lang w:val="en-US"/>
        </w:rPr>
      </w:pPr>
      <w:r>
        <w:rPr>
          <w:rFonts w:hint="eastAsia"/>
          <w:sz w:val="24"/>
          <w:lang w:val="en-US" w:eastAsia="zh-CN"/>
        </w:rPr>
        <w:t xml:space="preserve">  </w:t>
      </w:r>
      <w:r>
        <w:rPr>
          <w:rFonts w:hint="eastAsia"/>
          <w:sz w:val="24"/>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13</w:t>
      </w:r>
    </w:p>
    <w:p>
      <w:pPr>
        <w:pStyle w:val="13"/>
        <w:adjustRightInd w:val="0"/>
        <w:snapToGrid w:val="0"/>
        <w:spacing w:before="0" w:line="440" w:lineRule="exact"/>
        <w:jc w:val="left"/>
        <w:rPr>
          <w:rFonts w:hint="default"/>
          <w:sz w:val="24"/>
          <w:lang w:val="en-US"/>
        </w:rPr>
      </w:pPr>
      <w:r>
        <w:rPr>
          <w:rFonts w:hint="eastAsia"/>
          <w:sz w:val="24"/>
          <w:lang w:val="en-US" w:eastAsia="zh-CN"/>
        </w:rPr>
        <w:t xml:space="preserve">  </w:t>
      </w:r>
      <w:r>
        <w:rPr>
          <w:rFonts w:hint="eastAsia"/>
          <w:sz w:val="24"/>
        </w:rPr>
        <w:t>九、国有资本经营预算支出决算情况说明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13</w:t>
      </w:r>
    </w:p>
    <w:p>
      <w:pPr>
        <w:pStyle w:val="13"/>
        <w:adjustRightInd w:val="0"/>
        <w:snapToGrid w:val="0"/>
        <w:spacing w:before="0" w:line="440" w:lineRule="exact"/>
        <w:jc w:val="left"/>
        <w:rPr>
          <w:rFonts w:hint="default"/>
          <w:sz w:val="24"/>
          <w:lang w:val="en-US"/>
        </w:rPr>
      </w:pPr>
      <w:r>
        <w:rPr>
          <w:rFonts w:hint="eastAsia"/>
          <w:sz w:val="24"/>
          <w:lang w:val="en-US" w:eastAsia="zh-CN"/>
        </w:rPr>
        <w:t xml:space="preserve">  </w:t>
      </w:r>
      <w:r>
        <w:rPr>
          <w:rFonts w:hint="eastAsia"/>
          <w:sz w:val="24"/>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13-14</w:t>
      </w:r>
    </w:p>
    <w:p>
      <w:pPr>
        <w:pStyle w:val="13"/>
        <w:adjustRightInd w:val="0"/>
        <w:snapToGrid w:val="0"/>
        <w:spacing w:before="0" w:line="440" w:lineRule="exact"/>
        <w:jc w:val="left"/>
        <w:rPr>
          <w:rFonts w:hint="default" w:eastAsia="仿宋_GB2312"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15-20</w:t>
      </w:r>
    </w:p>
    <w:p>
      <w:pPr>
        <w:pStyle w:val="13"/>
        <w:adjustRightInd w:val="0"/>
        <w:snapToGrid w:val="0"/>
        <w:spacing w:before="0" w:line="440" w:lineRule="exact"/>
        <w:jc w:val="left"/>
        <w:rPr>
          <w:rFonts w:hint="default" w:cstheme="minorBidi"/>
          <w:sz w:val="24"/>
          <w:szCs w:val="24"/>
          <w:highlight w:val="none"/>
          <w:lang w:val="en-US"/>
        </w:rPr>
      </w:pPr>
      <w:r>
        <w:rPr>
          <w:rFonts w:hint="eastAsia"/>
          <w:sz w:val="24"/>
        </w:rPr>
        <w:t>第四部分</w:t>
      </w:r>
      <w:r>
        <w:rPr>
          <w:sz w:val="24"/>
        </w:rPr>
        <w:t xml:space="preserve"> </w:t>
      </w:r>
      <w:r>
        <w:rPr>
          <w:rFonts w:hint="eastAsia"/>
          <w:sz w:val="24"/>
        </w:rPr>
        <w:t>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highlight w:val="none"/>
          <w:lang w:val="en-US" w:eastAsia="zh-CN"/>
        </w:rPr>
        <w:t>21-35</w:t>
      </w:r>
    </w:p>
    <w:p>
      <w:pPr>
        <w:pStyle w:val="13"/>
        <w:adjustRightInd w:val="0"/>
        <w:snapToGrid w:val="0"/>
        <w:spacing w:before="0" w:line="440" w:lineRule="exact"/>
        <w:jc w:val="left"/>
        <w:rPr>
          <w:rFonts w:hint="default" w:cstheme="minorBidi"/>
          <w:sz w:val="24"/>
          <w:szCs w:val="24"/>
          <w:highlight w:val="none"/>
          <w:lang w:val="en-US"/>
        </w:rPr>
      </w:pPr>
      <w:r>
        <w:rPr>
          <w:rFonts w:hint="eastAsia"/>
          <w:sz w:val="24"/>
          <w:highlight w:val="none"/>
        </w:rPr>
        <w:t>第五部分</w:t>
      </w:r>
      <w:r>
        <w:rPr>
          <w:sz w:val="24"/>
          <w:highlight w:val="none"/>
        </w:rPr>
        <w:t xml:space="preserve"> </w:t>
      </w:r>
      <w:r>
        <w:rPr>
          <w:rFonts w:hint="eastAsia"/>
          <w:sz w:val="24"/>
          <w:highlight w:val="none"/>
        </w:rPr>
        <w:t>附表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lang w:val="en-US" w:eastAsia="zh-CN"/>
        </w:rPr>
        <w:t>36</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5"/>
        <w:rPr>
          <w:rFonts w:hint="eastAsia" w:ascii="黑体" w:eastAsia="黑体"/>
          <w:b w:val="0"/>
        </w:rPr>
      </w:pPr>
      <w:r>
        <w:rPr>
          <w:rFonts w:hint="eastAsia" w:ascii="黑体" w:eastAsia="黑体"/>
          <w:b w:val="0"/>
          <w:lang w:val="en-US" w:eastAsia="zh-CN"/>
        </w:rPr>
        <w:t xml:space="preserve">  一</w:t>
      </w:r>
      <w:r>
        <w:rPr>
          <w:rFonts w:hint="eastAsia" w:ascii="黑体" w:eastAsia="黑体"/>
          <w:b w:val="0"/>
        </w:rPr>
        <w:t>、部门职责</w:t>
      </w:r>
    </w:p>
    <w:p>
      <w:pPr>
        <w:numPr>
          <w:ilvl w:val="0"/>
          <w:numId w:val="0"/>
        </w:numPr>
        <w:spacing w:line="600" w:lineRule="exact"/>
        <w:ind w:firstLine="640" w:firstLineChars="200"/>
        <w:rPr>
          <w:rStyle w:val="29"/>
          <w:rFonts w:ascii="仿宋" w:hAnsi="仿宋" w:eastAsia="黑体"/>
          <w:b w:val="0"/>
          <w:bCs w:val="0"/>
        </w:rPr>
      </w:pPr>
      <w:r>
        <w:rPr>
          <w:rFonts w:hint="eastAsia" w:ascii="仿宋" w:hAnsi="仿宋" w:eastAsia="仿宋" w:cs="Times New Roman"/>
          <w:sz w:val="32"/>
          <w:szCs w:val="32"/>
        </w:rPr>
        <w:t>乐山市金口河区供销社属于参照公务员管理的事业单位，担负着全区供销合作社发展战略和规划的研究制定；参与组织发展农产品行业协会、农民专业合作社和农村综合服务社，构建面向专业合作社组织的服务平台；指导社有企业和基层供销社开展农业生产资料经营、农副产品购销、日用消费品经营和再生资源回收利用等现代服务网络建设，参与农业产业化经营和农业综合开发工作；受区政府委托，承担重要农业生产资料和防汛救灾物资等商品的储备；管理、监督本级社有资产，行使社有资产所有者代表的职能，确保资产保值增值等职能</w:t>
      </w:r>
      <w:r>
        <w:rPr>
          <w:rFonts w:hint="eastAsia" w:ascii="仿宋" w:hAnsi="仿宋" w:eastAsia="仿宋" w:cs="Times New Roman"/>
          <w:sz w:val="32"/>
          <w:szCs w:val="32"/>
          <w:lang w:eastAsia="zh-CN"/>
        </w:rPr>
        <w:t>。</w:t>
      </w:r>
    </w:p>
    <w:p>
      <w:pPr>
        <w:pStyle w:val="5"/>
        <w:rPr>
          <w:rStyle w:val="29"/>
          <w:b w:val="0"/>
          <w:bCs w:val="0"/>
        </w:rPr>
      </w:pPr>
      <w:bookmarkStart w:id="14" w:name="_Toc15396601"/>
      <w:bookmarkStart w:id="15" w:name="_Toc15377200"/>
      <w:r>
        <w:rPr>
          <w:rFonts w:hint="eastAsia" w:ascii="黑体" w:eastAsia="黑体"/>
          <w:b w:val="0"/>
          <w:lang w:val="en-US" w:eastAsia="zh-CN"/>
        </w:rPr>
        <w:t xml:space="preserve">   </w:t>
      </w: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rFonts w:hint="eastAsia" w:ascii="仿宋" w:hAnsi="仿宋" w:eastAsia="仿宋" w:cs="Times New Roman"/>
          <w:sz w:val="32"/>
          <w:szCs w:val="32"/>
        </w:rPr>
        <w:t>乐山市金口河区供销合作联合社</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Times New Roman"/>
          <w:kern w:val="2"/>
          <w:sz w:val="32"/>
          <w:szCs w:val="32"/>
          <w:lang w:val="en-US" w:eastAsia="zh-CN" w:bidi="ar-SA"/>
        </w:rPr>
        <w:t>乐山市金口河区供销合作联合社</w:t>
      </w:r>
      <w:r>
        <w:rPr>
          <w:rFonts w:hint="eastAsia" w:ascii="仿宋" w:hAnsi="仿宋" w:eastAsia="仿宋"/>
          <w:sz w:val="32"/>
          <w:szCs w:val="32"/>
        </w:rPr>
        <w:t>2023年度部门决算编制范围的二级预算单位包括：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sz w:val="32"/>
          <w:szCs w:val="32"/>
        </w:rPr>
      </w:pPr>
      <w:bookmarkStart w:id="16" w:name="_Toc15377202"/>
      <w:bookmarkStart w:id="17" w:name="_Toc15378449"/>
      <w:bookmarkStart w:id="18" w:name="_Toc15306276"/>
      <w:bookmarkStart w:id="19" w:name="_Toc15377433"/>
      <w:r>
        <w:rPr>
          <w:rFonts w:hint="eastAsia" w:ascii="仿宋" w:hAnsi="仿宋" w:eastAsia="仿宋" w:cs="Times New Roman"/>
          <w:sz w:val="32"/>
          <w:szCs w:val="32"/>
        </w:rPr>
        <w:t>乐山市金口河区供销社</w:t>
      </w:r>
      <w:bookmarkEnd w:id="16"/>
      <w:bookmarkEnd w:id="17"/>
      <w:bookmarkEnd w:id="18"/>
      <w:bookmarkEnd w:id="19"/>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8"/>
          <w:rFonts w:ascii="黑体" w:hAnsi="黑体" w:eastAsia="黑体"/>
          <w:b w:val="0"/>
          <w:bCs/>
        </w:rPr>
      </w:pPr>
      <w:bookmarkStart w:id="20" w:name="_Toc15377204"/>
      <w:bookmarkStart w:id="21" w:name="_Toc15396602"/>
      <w:r>
        <w:rPr>
          <w:rFonts w:hint="eastAsia" w:ascii="黑体" w:hAnsi="黑体" w:eastAsia="黑体"/>
          <w:b w:val="0"/>
        </w:rPr>
        <w:t>第二部分 2023年度</w:t>
      </w:r>
      <w:r>
        <w:rPr>
          <w:rStyle w:val="28"/>
          <w:rFonts w:hint="eastAsia" w:ascii="黑体" w:hAnsi="黑体" w:eastAsia="黑体"/>
          <w:b w:val="0"/>
          <w:bCs/>
        </w:rPr>
        <w:t>部门决算情况说明</w:t>
      </w:r>
      <w:bookmarkEnd w:id="20"/>
      <w:bookmarkEnd w:id="21"/>
    </w:p>
    <w:p/>
    <w:p>
      <w:pPr>
        <w:pStyle w:val="27"/>
        <w:numPr>
          <w:ilvl w:val="0"/>
          <w:numId w:val="2"/>
        </w:numPr>
        <w:spacing w:line="600" w:lineRule="exact"/>
        <w:ind w:firstLineChars="0"/>
        <w:outlineLvl w:val="1"/>
        <w:rPr>
          <w:rStyle w:val="29"/>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b w:val="0"/>
          <w:bCs w:val="0"/>
          <w:sz w:val="32"/>
          <w:szCs w:val="32"/>
        </w:rPr>
      </w:pPr>
      <w:bookmarkStart w:id="24" w:name="_Toc15377206"/>
      <w:bookmarkStart w:id="25" w:name="_Toc15396604"/>
      <w:r>
        <w:rPr>
          <w:rFonts w:hint="eastAsia" w:ascii="仿宋" w:hAnsi="仿宋" w:eastAsia="仿宋"/>
          <w:sz w:val="32"/>
          <w:szCs w:val="32"/>
        </w:rPr>
        <w:t>2023年度收、支总计均</w:t>
      </w:r>
      <w:r>
        <w:rPr>
          <w:rFonts w:hint="eastAsia" w:ascii="仿宋" w:hAnsi="仿宋" w:eastAsia="仿宋"/>
          <w:b w:val="0"/>
          <w:bCs w:val="0"/>
          <w:sz w:val="32"/>
          <w:szCs w:val="32"/>
        </w:rPr>
        <w:t>为185.5万元。与2022年度</w:t>
      </w:r>
      <w:r>
        <w:rPr>
          <w:rFonts w:hint="eastAsia" w:ascii="仿宋" w:hAnsi="仿宋" w:eastAsia="仿宋"/>
          <w:b w:val="0"/>
          <w:bCs w:val="0"/>
          <w:sz w:val="32"/>
          <w:szCs w:val="32"/>
          <w:lang w:val="en-US" w:eastAsia="zh-CN"/>
        </w:rPr>
        <w:t>133.80万元</w:t>
      </w:r>
      <w:r>
        <w:rPr>
          <w:rFonts w:hint="eastAsia" w:ascii="仿宋" w:hAnsi="仿宋" w:eastAsia="仿宋"/>
          <w:b w:val="0"/>
          <w:bCs w:val="0"/>
          <w:sz w:val="32"/>
          <w:szCs w:val="32"/>
        </w:rPr>
        <w:t>相比，收、支总计各增加</w:t>
      </w:r>
      <w:r>
        <w:rPr>
          <w:rFonts w:hint="eastAsia" w:ascii="仿宋" w:hAnsi="仿宋" w:eastAsia="仿宋"/>
          <w:b w:val="0"/>
          <w:bCs w:val="0"/>
          <w:sz w:val="32"/>
          <w:szCs w:val="32"/>
          <w:lang w:val="en-US" w:eastAsia="zh-CN"/>
        </w:rPr>
        <w:t>51.7</w:t>
      </w:r>
      <w:r>
        <w:rPr>
          <w:rFonts w:hint="eastAsia" w:ascii="仿宋" w:hAnsi="仿宋" w:eastAsia="仿宋"/>
          <w:b w:val="0"/>
          <w:bCs w:val="0"/>
          <w:sz w:val="32"/>
          <w:szCs w:val="32"/>
        </w:rPr>
        <w:t>万元，增长</w:t>
      </w:r>
      <w:r>
        <w:rPr>
          <w:rFonts w:ascii="仿宋" w:hAnsi="仿宋" w:eastAsia="仿宋"/>
          <w:b w:val="0"/>
          <w:bCs w:val="0"/>
          <w:sz w:val="32"/>
          <w:szCs w:val="32"/>
        </w:rPr>
        <w:t>/</w:t>
      </w:r>
      <w:r>
        <w:rPr>
          <w:rFonts w:hint="eastAsia" w:ascii="仿宋" w:hAnsi="仿宋" w:eastAsia="仿宋"/>
          <w:b w:val="0"/>
          <w:bCs w:val="0"/>
          <w:sz w:val="32"/>
          <w:szCs w:val="32"/>
        </w:rPr>
        <w:t>下</w:t>
      </w:r>
      <w:r>
        <w:rPr>
          <w:rFonts w:hint="eastAsia" w:ascii="仿宋" w:hAnsi="仿宋" w:eastAsia="仿宋"/>
          <w:b w:val="0"/>
          <w:bCs w:val="0"/>
          <w:sz w:val="32"/>
          <w:szCs w:val="32"/>
          <w:lang w:val="en-US" w:eastAsia="zh-CN"/>
        </w:rPr>
        <w:t>38.64</w:t>
      </w:r>
      <w:r>
        <w:rPr>
          <w:rFonts w:ascii="仿宋" w:hAnsi="仿宋" w:eastAsia="仿宋"/>
          <w:b w:val="0"/>
          <w:bCs w:val="0"/>
          <w:sz w:val="32"/>
          <w:szCs w:val="32"/>
        </w:rPr>
        <w:t>%</w:t>
      </w:r>
      <w:r>
        <w:rPr>
          <w:rFonts w:hint="eastAsia" w:ascii="仿宋" w:hAnsi="仿宋" w:eastAsia="仿宋"/>
          <w:b w:val="0"/>
          <w:bCs w:val="0"/>
          <w:sz w:val="32"/>
          <w:szCs w:val="32"/>
        </w:rPr>
        <w:t>。主要变动原因是</w:t>
      </w:r>
      <w:r>
        <w:rPr>
          <w:rFonts w:hint="eastAsia" w:ascii="仿宋" w:hAnsi="仿宋" w:eastAsia="仿宋"/>
          <w:b w:val="0"/>
          <w:bCs w:val="0"/>
          <w:sz w:val="32"/>
          <w:szCs w:val="32"/>
          <w:lang w:val="en-US" w:eastAsia="zh-CN"/>
        </w:rPr>
        <w:t>人员经费和项目经费收支增加</w:t>
      </w:r>
      <w:r>
        <w:rPr>
          <w:rFonts w:hint="eastAsia" w:ascii="仿宋" w:hAnsi="仿宋" w:eastAsia="仿宋"/>
          <w:b w:val="0"/>
          <w:bCs w:val="0"/>
          <w:sz w:val="32"/>
          <w:szCs w:val="32"/>
        </w:rPr>
        <w:t>。</w:t>
      </w:r>
    </w:p>
    <w:p>
      <w:pPr>
        <w:spacing w:line="60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rPr>
        <w:t>（图</w:t>
      </w:r>
      <w:r>
        <w:rPr>
          <w:rFonts w:ascii="仿宋" w:hAnsi="仿宋" w:eastAsia="仿宋"/>
          <w:b w:val="0"/>
          <w:bCs w:val="0"/>
          <w:sz w:val="32"/>
          <w:szCs w:val="32"/>
        </w:rPr>
        <w:t>1</w:t>
      </w:r>
      <w:r>
        <w:rPr>
          <w:rFonts w:hint="eastAsia" w:ascii="仿宋" w:hAnsi="仿宋" w:eastAsia="仿宋"/>
          <w:b w:val="0"/>
          <w:bCs w:val="0"/>
          <w:sz w:val="32"/>
          <w:szCs w:val="32"/>
        </w:rPr>
        <w:t>：收、支决算总计变动情况图）（柱状图）</w:t>
      </w:r>
    </w:p>
    <w:p>
      <w:pPr>
        <w:spacing w:line="600" w:lineRule="exact"/>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单位:万元</w:t>
      </w: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640" w:firstLineChars="200"/>
        <w:jc w:val="left"/>
        <w:rPr>
          <w:rFonts w:ascii="仿宋_GB2312" w:eastAsia="仿宋_GB2312"/>
          <w:sz w:val="32"/>
          <w:szCs w:val="32"/>
        </w:rPr>
      </w:pPr>
    </w:p>
    <w:p>
      <w:pPr>
        <w:spacing w:line="600" w:lineRule="exact"/>
        <w:ind w:firstLine="420" w:firstLineChars="200"/>
        <w:jc w:val="left"/>
        <w:rPr>
          <w:rFonts w:ascii="仿宋_GB2312" w:eastAsia="仿宋_GB2312"/>
          <w:sz w:val="32"/>
          <w:szCs w:val="32"/>
        </w:rPr>
      </w:pPr>
      <w:r>
        <w:drawing>
          <wp:anchor distT="0" distB="0" distL="114300" distR="114300" simplePos="0" relativeHeight="251660288" behindDoc="1" locked="0" layoutInCell="1" allowOverlap="1">
            <wp:simplePos x="0" y="0"/>
            <wp:positionH relativeFrom="column">
              <wp:posOffset>271145</wp:posOffset>
            </wp:positionH>
            <wp:positionV relativeFrom="paragraph">
              <wp:posOffset>-2453005</wp:posOffset>
            </wp:positionV>
            <wp:extent cx="4826000" cy="2743200"/>
            <wp:effectExtent l="4445" t="4445" r="825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2"/>
        </w:numPr>
        <w:spacing w:line="600" w:lineRule="exact"/>
        <w:ind w:firstLineChars="0"/>
        <w:outlineLvl w:val="1"/>
        <w:rPr>
          <w:rStyle w:val="29"/>
          <w:rFonts w:ascii="黑体" w:hAnsi="黑体" w:eastAsia="黑体"/>
          <w:b w:val="0"/>
        </w:rPr>
      </w:pPr>
      <w:r>
        <w:rPr>
          <w:rFonts w:hint="eastAsia" w:ascii="黑体" w:hAnsi="黑体" w:eastAsia="黑体"/>
          <w:sz w:val="32"/>
          <w:szCs w:val="32"/>
        </w:rPr>
        <w:t>收</w:t>
      </w:r>
      <w:r>
        <w:rPr>
          <w:rStyle w:val="29"/>
          <w:rFonts w:hint="eastAsia" w:ascii="黑体" w:hAnsi="黑体" w:eastAsia="黑体"/>
          <w:b w:val="0"/>
        </w:rPr>
        <w:t>入决算情况说明</w:t>
      </w:r>
      <w:bookmarkEnd w:id="24"/>
      <w:bookmarkEnd w:id="25"/>
    </w:p>
    <w:p>
      <w:pPr>
        <w:spacing w:line="600" w:lineRule="exact"/>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2023年度本年收入合计165.4万元，其中：一般公共预算财政拨款收入165.39万元，占99.99%；政府性基金预算财政拨款收入0万元，占0%；国有资本经营预算财政拨款收入0万元，占0%；上级补助收入0万元，占0%；事业收入0万元，占0%；经营收入0万元，占0%；附属单位上缴收入0万元，占0%；其他收入0.01万元，占0%。</w:t>
      </w:r>
    </w:p>
    <w:p>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单位:万元</w:t>
      </w:r>
    </w:p>
    <w:p>
      <w:pPr>
        <w:spacing w:line="600" w:lineRule="exact"/>
        <w:ind w:firstLine="420" w:firstLineChars="200"/>
        <w:rPr>
          <w:rFonts w:ascii="仿宋_GB2312" w:eastAsia="仿宋_GB2312"/>
          <w:sz w:val="32"/>
          <w:szCs w:val="32"/>
        </w:rPr>
      </w:pPr>
      <w:r>
        <w:drawing>
          <wp:anchor distT="0" distB="0" distL="114300" distR="114300" simplePos="0" relativeHeight="251661312" behindDoc="1" locked="0" layoutInCell="1" allowOverlap="1">
            <wp:simplePos x="0" y="0"/>
            <wp:positionH relativeFrom="column">
              <wp:posOffset>286385</wp:posOffset>
            </wp:positionH>
            <wp:positionV relativeFrom="paragraph">
              <wp:posOffset>132715</wp:posOffset>
            </wp:positionV>
            <wp:extent cx="4810760" cy="2618740"/>
            <wp:effectExtent l="4445" t="4445" r="23495" b="571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29"/>
          <w:rFonts w:hint="eastAsia" w:ascii="黑体" w:hAnsi="黑体" w:eastAsia="黑体"/>
          <w:b w:val="0"/>
        </w:rPr>
        <w:t>出决算情况说明</w:t>
      </w:r>
      <w:bookmarkEnd w:id="26"/>
      <w:bookmarkEnd w:id="27"/>
    </w:p>
    <w:p>
      <w:pPr>
        <w:spacing w:line="600"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2023年度本年支出合计185.41万元，其中：基本支出144.57万元，占77.97%；项目支出40.84万元，占22.02%；上缴上级支出0万元，占0%；经营支出0万元，占0%；对附属单位补助支出0万元，占0%。</w:t>
      </w:r>
    </w:p>
    <w:p>
      <w:pPr>
        <w:spacing w:line="600" w:lineRule="exact"/>
        <w:ind w:firstLine="643" w:firstLineChars="200"/>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单位:万元</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hAnsi="黑体" w:eastAsia="黑体"/>
          <w:sz w:val="32"/>
          <w:szCs w:val="32"/>
        </w:rPr>
      </w:pPr>
      <w:bookmarkStart w:id="28" w:name="_Toc15377208"/>
      <w:bookmarkStart w:id="29" w:name="_Toc15396606"/>
    </w:p>
    <w:p>
      <w:pPr>
        <w:spacing w:line="600" w:lineRule="exact"/>
        <w:ind w:firstLine="420" w:firstLineChars="200"/>
        <w:outlineLvl w:val="1"/>
        <w:rPr>
          <w:rFonts w:hint="eastAsia" w:ascii="黑体" w:hAnsi="黑体" w:eastAsia="黑体"/>
          <w:sz w:val="32"/>
          <w:szCs w:val="32"/>
        </w:rPr>
      </w:pPr>
      <w:r>
        <w:drawing>
          <wp:anchor distT="0" distB="0" distL="114300" distR="114300" simplePos="0" relativeHeight="251662336" behindDoc="1" locked="0" layoutInCell="1" allowOverlap="1">
            <wp:simplePos x="0" y="0"/>
            <wp:positionH relativeFrom="column">
              <wp:posOffset>0</wp:posOffset>
            </wp:positionH>
            <wp:positionV relativeFrom="paragraph">
              <wp:posOffset>-840740</wp:posOffset>
            </wp:positionV>
            <wp:extent cx="4826000" cy="2743200"/>
            <wp:effectExtent l="4445" t="4445" r="8255" b="14605"/>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8"/>
      <w:bookmarkEnd w:id="29"/>
    </w:p>
    <w:p>
      <w:pPr>
        <w:spacing w:line="600" w:lineRule="exact"/>
        <w:ind w:firstLine="640"/>
        <w:rPr>
          <w:rFonts w:hint="eastAsia" w:ascii="仿宋" w:hAnsi="仿宋" w:eastAsia="仿宋"/>
          <w:b w:val="0"/>
          <w:bCs w:val="0"/>
          <w:sz w:val="32"/>
          <w:szCs w:val="32"/>
          <w:lang w:val="en-US" w:eastAsia="zh-CN"/>
        </w:rPr>
      </w:pPr>
      <w:r>
        <w:rPr>
          <w:rFonts w:hint="eastAsia" w:ascii="仿宋" w:hAnsi="仿宋" w:eastAsia="仿宋"/>
          <w:b w:val="0"/>
          <w:bCs w:val="0"/>
          <w:sz w:val="32"/>
          <w:szCs w:val="32"/>
        </w:rPr>
        <w:t>2023年度财政拨款收、支总计均为</w:t>
      </w:r>
      <w:r>
        <w:rPr>
          <w:rFonts w:ascii="仿宋" w:hAnsi="仿宋" w:eastAsia="仿宋"/>
          <w:b w:val="0"/>
          <w:bCs w:val="0"/>
          <w:sz w:val="32"/>
          <w:szCs w:val="32"/>
        </w:rPr>
        <w:t>185.48</w:t>
      </w:r>
      <w:r>
        <w:rPr>
          <w:rFonts w:hint="eastAsia" w:ascii="仿宋" w:hAnsi="仿宋" w:eastAsia="仿宋"/>
          <w:b w:val="0"/>
          <w:bCs w:val="0"/>
          <w:sz w:val="32"/>
          <w:szCs w:val="32"/>
        </w:rPr>
        <w:t>万元。与2022年度</w:t>
      </w:r>
      <w:r>
        <w:rPr>
          <w:rFonts w:hint="eastAsia" w:ascii="仿宋" w:hAnsi="仿宋" w:eastAsia="仿宋"/>
          <w:b w:val="0"/>
          <w:bCs w:val="0"/>
          <w:sz w:val="32"/>
          <w:szCs w:val="32"/>
          <w:lang w:val="en-US" w:eastAsia="zh-CN"/>
        </w:rPr>
        <w:t>133.79万元</w:t>
      </w:r>
      <w:r>
        <w:rPr>
          <w:rFonts w:hint="eastAsia" w:ascii="仿宋" w:hAnsi="仿宋" w:eastAsia="仿宋"/>
          <w:b w:val="0"/>
          <w:bCs w:val="0"/>
          <w:sz w:val="32"/>
          <w:szCs w:val="32"/>
        </w:rPr>
        <w:t>相比，财政拨款收、支总计各增加</w:t>
      </w:r>
      <w:r>
        <w:rPr>
          <w:rFonts w:hint="eastAsia" w:ascii="仿宋" w:hAnsi="仿宋" w:eastAsia="仿宋"/>
          <w:b w:val="0"/>
          <w:bCs w:val="0"/>
          <w:sz w:val="32"/>
          <w:szCs w:val="32"/>
          <w:lang w:val="en-US" w:eastAsia="zh-CN"/>
        </w:rPr>
        <w:t>51.69</w:t>
      </w:r>
      <w:r>
        <w:rPr>
          <w:rFonts w:hint="eastAsia" w:ascii="仿宋" w:hAnsi="仿宋" w:eastAsia="仿宋"/>
          <w:b w:val="0"/>
          <w:bCs w:val="0"/>
          <w:sz w:val="32"/>
          <w:szCs w:val="32"/>
        </w:rPr>
        <w:t>万元，增长</w:t>
      </w:r>
      <w:r>
        <w:rPr>
          <w:rFonts w:hint="eastAsia" w:ascii="仿宋" w:hAnsi="仿宋" w:eastAsia="仿宋"/>
          <w:b w:val="0"/>
          <w:bCs w:val="0"/>
          <w:sz w:val="32"/>
          <w:szCs w:val="32"/>
          <w:lang w:val="en-US" w:eastAsia="zh-CN"/>
        </w:rPr>
        <w:t>38.64</w:t>
      </w:r>
      <w:r>
        <w:rPr>
          <w:rFonts w:ascii="仿宋" w:hAnsi="仿宋" w:eastAsia="仿宋"/>
          <w:b w:val="0"/>
          <w:bCs w:val="0"/>
          <w:sz w:val="32"/>
          <w:szCs w:val="32"/>
        </w:rPr>
        <w:t>%</w:t>
      </w:r>
      <w:r>
        <w:rPr>
          <w:rFonts w:hint="eastAsia" w:ascii="仿宋" w:hAnsi="仿宋" w:eastAsia="仿宋"/>
          <w:b w:val="0"/>
          <w:bCs w:val="0"/>
          <w:sz w:val="32"/>
          <w:szCs w:val="32"/>
        </w:rPr>
        <w:t>。主要变动原因是</w:t>
      </w:r>
      <w:r>
        <w:rPr>
          <w:rFonts w:hint="eastAsia" w:ascii="仿宋" w:hAnsi="仿宋" w:eastAsia="仿宋"/>
          <w:b w:val="0"/>
          <w:bCs w:val="0"/>
          <w:sz w:val="32"/>
          <w:szCs w:val="32"/>
          <w:lang w:val="en-US" w:eastAsia="zh-CN"/>
        </w:rPr>
        <w:t>人员经费和项目经费增加</w:t>
      </w:r>
      <w:r>
        <w:rPr>
          <w:rFonts w:hint="eastAsia" w:ascii="仿宋" w:hAnsi="仿宋" w:eastAsia="仿宋"/>
          <w:b w:val="0"/>
          <w:bCs w:val="0"/>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单位:万元</w:t>
      </w:r>
    </w:p>
    <w:p>
      <w:pPr>
        <w:spacing w:line="600" w:lineRule="exact"/>
        <w:ind w:firstLine="640"/>
        <w:rPr>
          <w:rFonts w:ascii="仿宋" w:hAnsi="仿宋" w:eastAsia="仿宋"/>
          <w:b/>
          <w:sz w:val="32"/>
          <w:szCs w:val="32"/>
        </w:rPr>
      </w:pPr>
      <w:r>
        <w:drawing>
          <wp:anchor distT="0" distB="0" distL="114300" distR="114300" simplePos="0" relativeHeight="251663360" behindDoc="1" locked="0" layoutInCell="1" allowOverlap="1">
            <wp:simplePos x="0" y="0"/>
            <wp:positionH relativeFrom="column">
              <wp:posOffset>323215</wp:posOffset>
            </wp:positionH>
            <wp:positionV relativeFrom="paragraph">
              <wp:posOffset>213995</wp:posOffset>
            </wp:positionV>
            <wp:extent cx="4826000" cy="2743200"/>
            <wp:effectExtent l="4445" t="4445" r="8255" b="1460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rPr>
          <w:rFonts w:ascii="仿宋" w:hAnsi="仿宋" w:eastAsia="仿宋"/>
          <w:b/>
          <w:sz w:val="32"/>
          <w:szCs w:val="32"/>
        </w:rPr>
      </w:pPr>
    </w:p>
    <w:p>
      <w:pPr>
        <w:spacing w:line="600" w:lineRule="exact"/>
        <w:ind w:firstLine="640" w:firstLineChars="200"/>
        <w:outlineLvl w:val="1"/>
        <w:rPr>
          <w:rFonts w:hint="eastAsia" w:ascii="黑体" w:hAnsi="黑体" w:eastAsia="黑体"/>
          <w:sz w:val="32"/>
          <w:szCs w:val="32"/>
        </w:rPr>
      </w:pPr>
    </w:p>
    <w:p>
      <w:pPr>
        <w:spacing w:line="600" w:lineRule="exact"/>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default" w:ascii="仿宋" w:hAnsi="仿宋" w:eastAsia="仿宋"/>
          <w:b w:val="0"/>
          <w:bCs w:val="0"/>
          <w:sz w:val="32"/>
          <w:szCs w:val="32"/>
          <w:lang w:val="en-US"/>
        </w:rPr>
      </w:pPr>
      <w:r>
        <w:rPr>
          <w:rFonts w:hint="eastAsia" w:ascii="仿宋" w:hAnsi="仿宋" w:eastAsia="仿宋"/>
          <w:b w:val="0"/>
          <w:bCs w:val="0"/>
          <w:sz w:val="32"/>
          <w:szCs w:val="32"/>
        </w:rPr>
        <w:t>2023年度一般公共预算财政拨款支出</w:t>
      </w:r>
      <w:r>
        <w:rPr>
          <w:rFonts w:ascii="仿宋" w:hAnsi="仿宋" w:eastAsia="仿宋"/>
          <w:b w:val="0"/>
          <w:bCs w:val="0"/>
          <w:sz w:val="32"/>
          <w:szCs w:val="32"/>
        </w:rPr>
        <w:t>185.39</w:t>
      </w:r>
      <w:r>
        <w:rPr>
          <w:rFonts w:hint="eastAsia" w:ascii="仿宋" w:hAnsi="仿宋" w:eastAsia="仿宋"/>
          <w:b w:val="0"/>
          <w:bCs w:val="0"/>
          <w:sz w:val="32"/>
          <w:szCs w:val="32"/>
        </w:rPr>
        <w:t>万元，占本年支出合计的</w:t>
      </w:r>
      <w:r>
        <w:rPr>
          <w:rFonts w:ascii="仿宋" w:hAnsi="仿宋" w:eastAsia="仿宋"/>
          <w:b w:val="0"/>
          <w:bCs w:val="0"/>
          <w:sz w:val="32"/>
          <w:szCs w:val="32"/>
        </w:rPr>
        <w:t>99.98%</w:t>
      </w:r>
      <w:r>
        <w:rPr>
          <w:rFonts w:hint="eastAsia" w:ascii="仿宋" w:hAnsi="仿宋" w:eastAsia="仿宋"/>
          <w:b w:val="0"/>
          <w:bCs w:val="0"/>
          <w:sz w:val="32"/>
          <w:szCs w:val="32"/>
        </w:rPr>
        <w:t>。与2022年度</w:t>
      </w:r>
      <w:r>
        <w:rPr>
          <w:rFonts w:hint="eastAsia" w:ascii="仿宋" w:hAnsi="仿宋" w:eastAsia="仿宋"/>
          <w:b w:val="0"/>
          <w:bCs w:val="0"/>
          <w:sz w:val="32"/>
          <w:szCs w:val="32"/>
          <w:lang w:val="en-US" w:eastAsia="zh-CN"/>
        </w:rPr>
        <w:t>133.79万元</w:t>
      </w:r>
      <w:r>
        <w:rPr>
          <w:rFonts w:hint="eastAsia" w:ascii="仿宋" w:hAnsi="仿宋" w:eastAsia="仿宋"/>
          <w:b w:val="0"/>
          <w:bCs w:val="0"/>
          <w:sz w:val="32"/>
          <w:szCs w:val="32"/>
        </w:rPr>
        <w:t>相比，一般公共预算财政拨款支出增加</w:t>
      </w:r>
      <w:r>
        <w:rPr>
          <w:rFonts w:hint="eastAsia" w:ascii="仿宋" w:hAnsi="仿宋" w:eastAsia="仿宋"/>
          <w:b w:val="0"/>
          <w:bCs w:val="0"/>
          <w:sz w:val="32"/>
          <w:szCs w:val="32"/>
          <w:lang w:val="en-US" w:eastAsia="zh-CN"/>
        </w:rPr>
        <w:t>51.6</w:t>
      </w:r>
      <w:r>
        <w:rPr>
          <w:rFonts w:hint="eastAsia" w:ascii="仿宋" w:hAnsi="仿宋" w:eastAsia="仿宋"/>
          <w:b w:val="0"/>
          <w:bCs w:val="0"/>
          <w:sz w:val="32"/>
          <w:szCs w:val="32"/>
        </w:rPr>
        <w:t>万元，增长</w:t>
      </w:r>
      <w:r>
        <w:rPr>
          <w:rFonts w:hint="eastAsia" w:ascii="仿宋" w:hAnsi="仿宋" w:eastAsia="仿宋"/>
          <w:b w:val="0"/>
          <w:bCs w:val="0"/>
          <w:sz w:val="32"/>
          <w:szCs w:val="32"/>
          <w:lang w:val="en-US" w:eastAsia="zh-CN"/>
        </w:rPr>
        <w:t>38.57</w:t>
      </w:r>
      <w:r>
        <w:rPr>
          <w:rFonts w:ascii="仿宋" w:hAnsi="仿宋" w:eastAsia="仿宋"/>
          <w:b w:val="0"/>
          <w:bCs w:val="0"/>
          <w:sz w:val="32"/>
          <w:szCs w:val="32"/>
        </w:rPr>
        <w:t>%</w:t>
      </w:r>
      <w:r>
        <w:rPr>
          <w:rFonts w:hint="eastAsia" w:ascii="仿宋" w:hAnsi="仿宋" w:eastAsia="仿宋"/>
          <w:b w:val="0"/>
          <w:bCs w:val="0"/>
          <w:sz w:val="32"/>
          <w:szCs w:val="32"/>
        </w:rPr>
        <w:t>。主要变动原因是</w:t>
      </w:r>
      <w:r>
        <w:rPr>
          <w:rFonts w:hint="eastAsia" w:ascii="仿宋" w:hAnsi="仿宋" w:eastAsia="仿宋"/>
          <w:b w:val="0"/>
          <w:bCs w:val="0"/>
          <w:sz w:val="32"/>
          <w:szCs w:val="32"/>
          <w:lang w:val="en-US" w:eastAsia="zh-CN"/>
        </w:rPr>
        <w:t>人员经费和项目经费支出增加</w:t>
      </w:r>
      <w:r>
        <w:rPr>
          <w:rFonts w:hint="eastAsia" w:ascii="仿宋" w:hAnsi="仿宋" w:eastAsia="仿宋"/>
          <w:b w:val="0"/>
          <w:bCs w:val="0"/>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单位:万元</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420" w:firstLineChars="200"/>
        <w:rPr>
          <w:rFonts w:ascii="仿宋" w:hAnsi="仿宋" w:eastAsia="仿宋"/>
          <w:sz w:val="32"/>
          <w:szCs w:val="32"/>
        </w:rPr>
      </w:pPr>
      <w:r>
        <w:drawing>
          <wp:anchor distT="0" distB="0" distL="114300" distR="114300" simplePos="0" relativeHeight="251664384" behindDoc="1" locked="0" layoutInCell="1" allowOverlap="1">
            <wp:simplePos x="0" y="0"/>
            <wp:positionH relativeFrom="column">
              <wp:posOffset>271145</wp:posOffset>
            </wp:positionH>
            <wp:positionV relativeFrom="paragraph">
              <wp:posOffset>-2452370</wp:posOffset>
            </wp:positionV>
            <wp:extent cx="4140200" cy="2743200"/>
            <wp:effectExtent l="4445" t="5080" r="8255" b="13970"/>
            <wp:wrapNone/>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cs="仿宋"/>
          <w:b/>
          <w:sz w:val="32"/>
          <w:szCs w:val="32"/>
        </w:rPr>
      </w:pPr>
      <w:r>
        <w:rPr>
          <w:rFonts w:hint="eastAsia" w:ascii="仿宋" w:hAnsi="仿宋" w:eastAsia="仿宋" w:cs="仿宋"/>
          <w:sz w:val="32"/>
          <w:szCs w:val="32"/>
        </w:rPr>
        <w:t>2023年度一般公共预算财政拨款支出185.39万元，主要用于以下方面:</w:t>
      </w:r>
      <w:r>
        <w:rPr>
          <w:rFonts w:hint="eastAsia" w:ascii="仿宋" w:hAnsi="仿宋" w:eastAsia="仿宋" w:cs="仿宋"/>
          <w:b/>
          <w:color w:val="auto"/>
          <w:sz w:val="32"/>
          <w:szCs w:val="32"/>
          <w:highlight w:val="none"/>
        </w:rPr>
        <w:t>社会保障和就业</w:t>
      </w:r>
      <w:r>
        <w:rPr>
          <w:rFonts w:hint="eastAsia" w:ascii="仿宋" w:hAnsi="仿宋" w:eastAsia="仿宋" w:cs="仿宋"/>
          <w:b/>
          <w:bCs/>
          <w:color w:val="auto"/>
          <w:sz w:val="32"/>
          <w:szCs w:val="32"/>
          <w:highlight w:val="none"/>
        </w:rPr>
        <w:t>支出</w:t>
      </w:r>
      <w:r>
        <w:rPr>
          <w:rFonts w:hint="eastAsia" w:ascii="仿宋" w:hAnsi="仿宋" w:eastAsia="仿宋" w:cs="仿宋"/>
          <w:color w:val="auto"/>
          <w:sz w:val="32"/>
          <w:szCs w:val="32"/>
          <w:highlight w:val="none"/>
          <w:lang w:val="en-US" w:eastAsia="zh-CN"/>
        </w:rPr>
        <w:t>26.9</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14.51</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卫生健康支出</w:t>
      </w: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2.16</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农林水支出</w:t>
      </w:r>
      <w:r>
        <w:rPr>
          <w:rFonts w:hint="eastAsia" w:ascii="仿宋" w:hAnsi="仿宋" w:eastAsia="仿宋" w:cs="仿宋"/>
          <w:b/>
          <w:color w:val="auto"/>
          <w:sz w:val="32"/>
          <w:szCs w:val="32"/>
          <w:highlight w:val="none"/>
          <w:lang w:eastAsia="zh-CN"/>
        </w:rPr>
        <w:t>支出</w:t>
      </w:r>
      <w:r>
        <w:rPr>
          <w:rFonts w:hint="eastAsia" w:ascii="仿宋" w:hAnsi="仿宋" w:eastAsia="仿宋" w:cs="仿宋"/>
          <w:color w:val="auto"/>
          <w:sz w:val="32"/>
          <w:szCs w:val="32"/>
          <w:highlight w:val="none"/>
          <w:lang w:val="en-US" w:eastAsia="zh-CN"/>
        </w:rPr>
        <w:t>0.3万元，</w:t>
      </w:r>
      <w:r>
        <w:rPr>
          <w:rFonts w:hint="eastAsia" w:ascii="仿宋" w:hAnsi="仿宋" w:eastAsia="仿宋" w:cs="仿宋"/>
          <w:color w:val="auto"/>
          <w:sz w:val="32"/>
          <w:szCs w:val="32"/>
          <w:highlight w:val="none"/>
        </w:rPr>
        <w:t>占</w:t>
      </w:r>
      <w:r>
        <w:rPr>
          <w:rFonts w:hint="eastAsia" w:ascii="仿宋" w:hAnsi="仿宋" w:eastAsia="仿宋" w:cs="仿宋"/>
          <w:color w:val="auto"/>
          <w:sz w:val="32"/>
          <w:szCs w:val="32"/>
          <w:highlight w:val="none"/>
          <w:lang w:val="en-US" w:eastAsia="zh-CN"/>
        </w:rPr>
        <w:t>0.16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b/>
          <w:color w:val="auto"/>
          <w:sz w:val="32"/>
          <w:szCs w:val="32"/>
          <w:highlight w:val="none"/>
          <w:lang w:eastAsia="zh-CN"/>
        </w:rPr>
        <w:t>商业服务业等支出</w:t>
      </w:r>
      <w:r>
        <w:rPr>
          <w:rFonts w:hint="eastAsia" w:ascii="仿宋" w:hAnsi="仿宋" w:eastAsia="仿宋" w:cs="仿宋"/>
          <w:color w:val="auto"/>
          <w:sz w:val="32"/>
          <w:szCs w:val="32"/>
          <w:highlight w:val="none"/>
          <w:lang w:val="en-US" w:eastAsia="zh-CN"/>
        </w:rPr>
        <w:t>142.98万元，</w:t>
      </w:r>
      <w:r>
        <w:rPr>
          <w:rFonts w:hint="eastAsia" w:ascii="仿宋" w:hAnsi="仿宋" w:eastAsia="仿宋" w:cs="仿宋"/>
          <w:color w:val="auto"/>
          <w:sz w:val="32"/>
          <w:szCs w:val="32"/>
          <w:highlight w:val="none"/>
        </w:rPr>
        <w:t>占</w:t>
      </w:r>
      <w:r>
        <w:rPr>
          <w:rFonts w:hint="eastAsia" w:ascii="仿宋" w:hAnsi="仿宋" w:eastAsia="仿宋" w:cs="仿宋"/>
          <w:color w:val="auto"/>
          <w:sz w:val="32"/>
          <w:szCs w:val="32"/>
          <w:highlight w:val="none"/>
          <w:lang w:val="en-US" w:eastAsia="zh-CN"/>
        </w:rPr>
        <w:t>77.12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b/>
          <w:bCs/>
          <w:color w:val="auto"/>
          <w:sz w:val="32"/>
          <w:szCs w:val="32"/>
          <w:highlight w:val="none"/>
        </w:rPr>
        <w:t>住房保障支出</w:t>
      </w:r>
      <w:r>
        <w:rPr>
          <w:rFonts w:hint="eastAsia" w:ascii="仿宋" w:hAnsi="仿宋" w:eastAsia="仿宋" w:cs="仿宋"/>
          <w:color w:val="auto"/>
          <w:sz w:val="32"/>
          <w:szCs w:val="32"/>
          <w:highlight w:val="none"/>
          <w:lang w:val="en-US" w:eastAsia="zh-CN"/>
        </w:rPr>
        <w:t>11.20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6.05</w:t>
      </w:r>
      <w:r>
        <w:rPr>
          <w:rFonts w:hint="eastAsia" w:ascii="仿宋" w:hAnsi="仿宋" w:eastAsia="仿宋" w:cs="仿宋"/>
          <w:color w:val="auto"/>
          <w:sz w:val="32"/>
          <w:szCs w:val="32"/>
          <w:highlight w:val="none"/>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单位:万元</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420" w:firstLineChars="200"/>
        <w:rPr>
          <w:rFonts w:ascii="仿宋" w:hAnsi="仿宋" w:eastAsia="仿宋"/>
          <w:sz w:val="32"/>
          <w:szCs w:val="32"/>
        </w:rPr>
      </w:pPr>
      <w:r>
        <w:drawing>
          <wp:anchor distT="0" distB="0" distL="114300" distR="114300" simplePos="0" relativeHeight="251665408" behindDoc="1" locked="0" layoutInCell="1" allowOverlap="1">
            <wp:simplePos x="0" y="0"/>
            <wp:positionH relativeFrom="column">
              <wp:posOffset>271145</wp:posOffset>
            </wp:positionH>
            <wp:positionV relativeFrom="paragraph">
              <wp:posOffset>-2453005</wp:posOffset>
            </wp:positionV>
            <wp:extent cx="4826000" cy="2743200"/>
            <wp:effectExtent l="4445" t="4445" r="825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213"/>
      <w:bookmarkStart w:id="36" w:name="_Toc15377444"/>
      <w:bookmarkStart w:id="37" w:name="_Toc15378460"/>
      <w:r>
        <w:rPr>
          <w:rFonts w:hint="eastAsia" w:ascii="仿宋" w:hAnsi="仿宋" w:eastAsia="仿宋"/>
          <w:b/>
          <w:sz w:val="32"/>
          <w:szCs w:val="32"/>
        </w:rPr>
        <w:t>2023年度一般公共预算支出决算数为</w:t>
      </w:r>
      <w:r>
        <w:rPr>
          <w:sz w:val="32"/>
          <w:szCs w:val="32"/>
        </w:rPr>
        <w:t>185.39</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5"/>
      <w:bookmarkEnd w:id="36"/>
      <w:bookmarkEnd w:id="37"/>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rPr>
      </w:pPr>
      <w:r>
        <w:rPr>
          <w:rStyle w:val="17"/>
          <w:rFonts w:ascii="仿宋" w:hAnsi="仿宋" w:eastAsia="仿宋"/>
          <w:bCs/>
          <w:color w:val="000000"/>
          <w:sz w:val="32"/>
          <w:szCs w:val="32"/>
        </w:rPr>
        <w:t>1.</w:t>
      </w:r>
      <w:r>
        <w:rPr>
          <w:rStyle w:val="17"/>
          <w:rFonts w:hint="eastAsia" w:ascii="仿宋" w:hAnsi="仿宋" w:eastAsia="仿宋"/>
          <w:b/>
          <w:bCs/>
          <w:color w:val="000000"/>
          <w:sz w:val="32"/>
          <w:szCs w:val="32"/>
        </w:rPr>
        <w:t>社会保障和就业支出（类）行政事业单位养老支出（款）机关事业单位基本养老保险支出（项）</w:t>
      </w:r>
      <w:r>
        <w:rPr>
          <w:rStyle w:val="17"/>
          <w:rFonts w:ascii="仿宋" w:hAnsi="仿宋" w:eastAsia="仿宋"/>
          <w:b/>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16.45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rPr>
      </w:pPr>
      <w:r>
        <w:rPr>
          <w:rStyle w:val="17"/>
          <w:rFonts w:ascii="仿宋" w:hAnsi="仿宋" w:eastAsia="仿宋"/>
          <w:bCs/>
          <w:color w:val="000000"/>
          <w:sz w:val="32"/>
          <w:szCs w:val="32"/>
        </w:rPr>
        <w:t>2.</w:t>
      </w:r>
      <w:r>
        <w:rPr>
          <w:rFonts w:hint="eastAsia" w:ascii="仿宋" w:hAnsi="仿宋" w:eastAsia="仿宋" w:cs="仿宋"/>
          <w:b/>
          <w:bCs/>
          <w:i w:val="0"/>
          <w:iCs w:val="0"/>
          <w:caps w:val="0"/>
          <w:color w:val="333333"/>
          <w:spacing w:val="0"/>
          <w:sz w:val="32"/>
          <w:szCs w:val="32"/>
          <w:shd w:val="clear" w:fill="FFFFFF"/>
        </w:rPr>
        <w:t>社会保障和就业支出（类）行政事业单位养老支出（款）机关事业单位职业年金缴费支出（项）</w:t>
      </w:r>
      <w:r>
        <w:rPr>
          <w:rStyle w:val="17"/>
          <w:rFonts w:hint="eastAsia" w:ascii="仿宋" w:hAnsi="仿宋" w:eastAsia="仿宋" w:cs="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8.29</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lang w:eastAsia="zh-CN"/>
        </w:rPr>
      </w:pPr>
      <w:r>
        <w:rPr>
          <w:rStyle w:val="17"/>
          <w:rFonts w:ascii="仿宋" w:hAnsi="仿宋" w:eastAsia="仿宋"/>
          <w:bCs/>
          <w:color w:val="000000"/>
          <w:sz w:val="32"/>
          <w:szCs w:val="32"/>
        </w:rPr>
        <w:t>3.</w:t>
      </w:r>
      <w:r>
        <w:rPr>
          <w:rStyle w:val="17"/>
          <w:rFonts w:hint="eastAsia" w:ascii="仿宋" w:hAnsi="仿宋" w:eastAsia="仿宋"/>
          <w:bCs/>
          <w:color w:val="000000"/>
          <w:sz w:val="32"/>
          <w:szCs w:val="32"/>
        </w:rPr>
        <w:t>社会保障和就业支出（类）行政事业单位养老支出（款）其他行政事业单位养老支出（项）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sz w:val="32"/>
          <w:szCs w:val="32"/>
        </w:rPr>
      </w:pPr>
      <w:r>
        <w:rPr>
          <w:rStyle w:val="17"/>
          <w:rFonts w:hint="eastAsia" w:ascii="仿宋" w:hAnsi="仿宋" w:eastAsia="仿宋" w:cstheme="minorBidi"/>
          <w:bCs/>
          <w:color w:val="000000"/>
          <w:sz w:val="32"/>
          <w:szCs w:val="32"/>
          <w:lang w:val="en-US" w:eastAsia="zh-CN"/>
        </w:rPr>
        <w:t>4.社会保障和就业支出（类）残疾人事业（款）残疾人就业（项）:</w:t>
      </w:r>
      <w:r>
        <w:rPr>
          <w:rStyle w:val="17"/>
          <w:rFonts w:hint="eastAsia" w:ascii="仿宋" w:hAnsi="仿宋" w:eastAsia="仿宋"/>
          <w:b w:val="0"/>
          <w:bCs/>
          <w:color w:val="000000"/>
          <w:sz w:val="32"/>
          <w:szCs w:val="32"/>
        </w:rPr>
        <w:t>支出决算为</w:t>
      </w:r>
      <w:r>
        <w:rPr>
          <w:rStyle w:val="17"/>
          <w:rFonts w:hint="eastAsia" w:ascii="仿宋" w:hAnsi="仿宋" w:eastAsia="仿宋"/>
          <w:b w:val="0"/>
          <w:bCs/>
          <w:sz w:val="32"/>
          <w:szCs w:val="32"/>
          <w:lang w:val="en-US" w:eastAsia="zh-CN"/>
        </w:rPr>
        <w:t>1.16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highlight w:val="none"/>
          <w:lang w:val="en-US" w:eastAsia="zh-CN"/>
        </w:rPr>
        <w:t>100</w:t>
      </w:r>
      <w:r>
        <w:rPr>
          <w:rStyle w:val="17"/>
          <w:rFonts w:ascii="仿宋" w:hAnsi="仿宋" w:eastAsia="仿宋"/>
          <w:b w:val="0"/>
          <w:bCs/>
          <w:sz w:val="32"/>
          <w:szCs w:val="32"/>
          <w:highlight w:val="none"/>
        </w:rPr>
        <w:t>%</w:t>
      </w:r>
      <w:r>
        <w:rPr>
          <w:rStyle w:val="17"/>
          <w:rFonts w:hint="eastAsia" w:ascii="仿宋" w:hAnsi="仿宋" w:eastAsia="仿宋"/>
          <w:b w:val="0"/>
          <w:bCs/>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社会保障和就业支出（类）其他社会保障和就业支出（款）其他社会保障和就业支出（项）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6</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卫生健康支出（类）行政事业单位医疗（款）行政单位医疗（项）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3.52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7</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医疗卫生与计划生育（类）行政事业单位医疗（款）公务员医疗补助（项）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0.48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7"/>
          <w:rFonts w:ascii="仿宋" w:hAnsi="仿宋" w:eastAsia="仿宋"/>
          <w:b w:val="0"/>
          <w:bCs/>
          <w:sz w:val="32"/>
          <w:szCs w:val="32"/>
        </w:rPr>
      </w:pPr>
      <w:r>
        <w:rPr>
          <w:rStyle w:val="17"/>
          <w:rFonts w:hint="eastAsia" w:ascii="仿宋" w:hAnsi="仿宋" w:eastAsia="仿宋" w:cstheme="minorBidi"/>
          <w:bCs/>
          <w:color w:val="000000"/>
          <w:sz w:val="32"/>
          <w:szCs w:val="32"/>
          <w:lang w:val="en-US" w:eastAsia="zh-CN"/>
        </w:rPr>
        <w:t>8. 农林水支出</w:t>
      </w:r>
      <w:r>
        <w:rPr>
          <w:rStyle w:val="17"/>
          <w:rFonts w:hint="eastAsia" w:ascii="仿宋" w:hAnsi="仿宋" w:eastAsia="仿宋"/>
          <w:bCs/>
          <w:color w:val="000000"/>
          <w:sz w:val="32"/>
          <w:szCs w:val="32"/>
        </w:rPr>
        <w:t>（类）巩固脱贫攻坚成果衔接乡村振兴（款）</w:t>
      </w:r>
      <w:r>
        <w:rPr>
          <w:rStyle w:val="17"/>
          <w:rFonts w:hint="eastAsia" w:ascii="仿宋" w:hAnsi="仿宋" w:eastAsia="仿宋" w:cstheme="minorBidi"/>
          <w:bCs/>
          <w:color w:val="000000"/>
          <w:sz w:val="32"/>
          <w:szCs w:val="32"/>
          <w:lang w:val="en-US" w:eastAsia="zh-CN"/>
        </w:rPr>
        <w:t>其他巩固脱贫衔接乡村振兴支出</w:t>
      </w:r>
      <w:r>
        <w:rPr>
          <w:rStyle w:val="17"/>
          <w:rFonts w:hint="eastAsia" w:ascii="仿宋" w:hAnsi="仿宋" w:eastAsia="仿宋"/>
          <w:bCs/>
          <w:color w:val="000000"/>
          <w:sz w:val="32"/>
          <w:szCs w:val="32"/>
        </w:rPr>
        <w:t>（项）</w:t>
      </w:r>
      <w:r>
        <w:rPr>
          <w:rStyle w:val="17"/>
          <w:rFonts w:hint="eastAsia" w:ascii="仿宋" w:hAnsi="仿宋" w:eastAsia="仿宋" w:cstheme="minorBidi"/>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cstheme="minorBidi"/>
          <w:b w:val="0"/>
          <w:bCs/>
          <w:sz w:val="32"/>
          <w:szCs w:val="32"/>
          <w:lang w:val="en-US" w:eastAsia="zh-CN"/>
        </w:rPr>
        <w:t>0.3</w:t>
      </w:r>
      <w:r>
        <w:rPr>
          <w:rStyle w:val="17"/>
          <w:rFonts w:hint="eastAsia" w:ascii="仿宋" w:hAnsi="仿宋" w:eastAsia="仿宋" w:cstheme="minorBidi"/>
          <w:b w:val="0"/>
          <w:bCs/>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highlight w:val="none"/>
          <w:lang w:val="en-US" w:eastAsia="zh-CN"/>
        </w:rPr>
        <w:t>100</w:t>
      </w:r>
      <w:r>
        <w:rPr>
          <w:rStyle w:val="17"/>
          <w:rFonts w:ascii="仿宋" w:hAnsi="仿宋" w:eastAsia="仿宋"/>
          <w:b w:val="0"/>
          <w:bCs/>
          <w:sz w:val="32"/>
          <w:szCs w:val="32"/>
          <w:highlight w:val="none"/>
        </w:rPr>
        <w:t>%</w:t>
      </w:r>
      <w:r>
        <w:rPr>
          <w:rStyle w:val="17"/>
          <w:rFonts w:hint="eastAsia" w:ascii="仿宋" w:hAnsi="仿宋" w:eastAsia="仿宋"/>
          <w:b w:val="0"/>
          <w:bCs/>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9.</w:t>
      </w:r>
      <w:r>
        <w:rPr>
          <w:rStyle w:val="17"/>
          <w:rFonts w:hint="eastAsia" w:ascii="仿宋" w:hAnsi="仿宋" w:eastAsia="仿宋"/>
          <w:b/>
          <w:bCs w:val="0"/>
          <w:color w:val="000000"/>
          <w:sz w:val="32"/>
          <w:szCs w:val="32"/>
          <w:lang w:val="en-US" w:eastAsia="zh-CN"/>
        </w:rPr>
        <w:t>商业服务业等支出</w:t>
      </w:r>
      <w:r>
        <w:rPr>
          <w:rStyle w:val="17"/>
          <w:rFonts w:hint="eastAsia" w:ascii="仿宋" w:hAnsi="仿宋" w:eastAsia="仿宋"/>
          <w:bCs/>
          <w:color w:val="000000"/>
          <w:sz w:val="32"/>
          <w:szCs w:val="32"/>
        </w:rPr>
        <w:t>（类）</w:t>
      </w:r>
      <w:r>
        <w:rPr>
          <w:rStyle w:val="17"/>
          <w:rFonts w:hint="eastAsia" w:ascii="仿宋" w:hAnsi="仿宋" w:eastAsia="仿宋"/>
          <w:b/>
          <w:bCs w:val="0"/>
          <w:color w:val="000000"/>
          <w:sz w:val="32"/>
          <w:szCs w:val="32"/>
          <w:lang w:val="en-US" w:eastAsia="zh-CN"/>
        </w:rPr>
        <w:t>商业流通事务</w:t>
      </w:r>
      <w:r>
        <w:rPr>
          <w:rStyle w:val="17"/>
          <w:rFonts w:hint="eastAsia" w:ascii="仿宋" w:hAnsi="仿宋" w:eastAsia="仿宋"/>
          <w:bCs/>
          <w:color w:val="000000"/>
          <w:sz w:val="32"/>
          <w:szCs w:val="32"/>
        </w:rPr>
        <w:t>（款）</w:t>
      </w:r>
      <w:r>
        <w:rPr>
          <w:rStyle w:val="17"/>
          <w:rFonts w:hint="eastAsia" w:ascii="仿宋" w:hAnsi="仿宋" w:eastAsia="仿宋"/>
          <w:b/>
          <w:bCs w:val="0"/>
          <w:color w:val="000000"/>
          <w:sz w:val="32"/>
          <w:szCs w:val="32"/>
          <w:lang w:val="en-US" w:eastAsia="zh-CN"/>
        </w:rPr>
        <w:t>行政运行</w:t>
      </w:r>
      <w:r>
        <w:rPr>
          <w:rStyle w:val="17"/>
          <w:rFonts w:hint="eastAsia" w:ascii="仿宋" w:hAnsi="仿宋" w:eastAsia="仿宋"/>
          <w:bCs/>
          <w:color w:val="000000"/>
          <w:sz w:val="32"/>
          <w:szCs w:val="32"/>
        </w:rPr>
        <w:t>（项）</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102.46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10.</w:t>
      </w:r>
      <w:r>
        <w:rPr>
          <w:rStyle w:val="17"/>
          <w:rFonts w:hint="eastAsia" w:ascii="仿宋" w:hAnsi="仿宋" w:eastAsia="仿宋"/>
          <w:b/>
          <w:bCs w:val="0"/>
          <w:color w:val="000000"/>
          <w:sz w:val="32"/>
          <w:szCs w:val="32"/>
          <w:lang w:val="en-US" w:eastAsia="zh-CN"/>
        </w:rPr>
        <w:t>商业服务业等支出</w:t>
      </w:r>
      <w:r>
        <w:rPr>
          <w:rStyle w:val="17"/>
          <w:rFonts w:hint="eastAsia" w:ascii="仿宋" w:hAnsi="仿宋" w:eastAsia="仿宋"/>
          <w:bCs/>
          <w:color w:val="000000"/>
          <w:sz w:val="32"/>
          <w:szCs w:val="32"/>
        </w:rPr>
        <w:t>（类）</w:t>
      </w:r>
      <w:r>
        <w:rPr>
          <w:rStyle w:val="17"/>
          <w:rFonts w:hint="eastAsia" w:ascii="仿宋" w:hAnsi="仿宋" w:eastAsia="仿宋"/>
          <w:b/>
          <w:bCs w:val="0"/>
          <w:color w:val="000000"/>
          <w:sz w:val="32"/>
          <w:szCs w:val="32"/>
          <w:lang w:val="en-US" w:eastAsia="zh-CN"/>
        </w:rPr>
        <w:t>商业流通事务</w:t>
      </w:r>
      <w:r>
        <w:rPr>
          <w:rStyle w:val="17"/>
          <w:rFonts w:hint="eastAsia" w:ascii="仿宋" w:hAnsi="仿宋" w:eastAsia="仿宋"/>
          <w:bCs/>
          <w:color w:val="000000"/>
          <w:sz w:val="32"/>
          <w:szCs w:val="32"/>
        </w:rPr>
        <w:t>（款）</w:t>
      </w:r>
      <w:r>
        <w:rPr>
          <w:rStyle w:val="17"/>
          <w:rFonts w:hint="eastAsia" w:ascii="仿宋" w:hAnsi="仿宋" w:eastAsia="仿宋"/>
          <w:b/>
          <w:bCs w:val="0"/>
          <w:color w:val="000000"/>
          <w:sz w:val="32"/>
          <w:szCs w:val="32"/>
          <w:lang w:val="en-US" w:eastAsia="zh-CN"/>
        </w:rPr>
        <w:t>其他商业流通事务支出</w:t>
      </w:r>
      <w:r>
        <w:rPr>
          <w:rStyle w:val="17"/>
          <w:rFonts w:hint="eastAsia" w:ascii="仿宋" w:hAnsi="仿宋" w:eastAsia="仿宋"/>
          <w:bCs/>
          <w:color w:val="000000"/>
          <w:sz w:val="32"/>
          <w:szCs w:val="32"/>
        </w:rPr>
        <w:t>（项）</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40.52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7"/>
          <w:rFonts w:hint="eastAsia" w:ascii="仿宋" w:hAnsi="仿宋" w:eastAsia="仿宋"/>
          <w:b w:val="0"/>
          <w:bCs/>
          <w:color w:val="000000"/>
          <w:sz w:val="32"/>
          <w:szCs w:val="32"/>
        </w:rPr>
      </w:pPr>
      <w:r>
        <w:rPr>
          <w:rStyle w:val="17"/>
          <w:rFonts w:hint="eastAsia" w:ascii="仿宋" w:hAnsi="仿宋" w:eastAsia="仿宋"/>
          <w:b w:val="0"/>
          <w:bCs/>
          <w:color w:val="000000"/>
          <w:sz w:val="32"/>
          <w:szCs w:val="32"/>
          <w:lang w:val="en-US" w:eastAsia="zh-CN"/>
        </w:rPr>
        <w:t>11、</w:t>
      </w:r>
      <w:r>
        <w:rPr>
          <w:rStyle w:val="17"/>
          <w:rFonts w:hint="eastAsia" w:ascii="仿宋" w:hAnsi="仿宋" w:eastAsia="仿宋"/>
          <w:b/>
          <w:bCs w:val="0"/>
          <w:color w:val="000000"/>
          <w:sz w:val="32"/>
          <w:szCs w:val="32"/>
          <w:lang w:val="en-US" w:eastAsia="zh-CN"/>
        </w:rPr>
        <w:t>住房保障支出</w:t>
      </w:r>
      <w:r>
        <w:rPr>
          <w:rStyle w:val="17"/>
          <w:rFonts w:hint="eastAsia" w:ascii="仿宋" w:hAnsi="仿宋" w:eastAsia="仿宋"/>
          <w:bCs/>
          <w:color w:val="000000"/>
          <w:sz w:val="32"/>
          <w:szCs w:val="32"/>
        </w:rPr>
        <w:t>（类）住房改革支出（款）住房公积金（项）</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11.2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bookmarkStart w:id="38" w:name="_Toc15396608"/>
      <w:bookmarkStart w:id="39" w:name="_Toc15377214"/>
    </w:p>
    <w:p>
      <w:pPr>
        <w:numPr>
          <w:ilvl w:val="0"/>
          <w:numId w:val="3"/>
        </w:numPr>
        <w:pBdr>
          <w:top w:val="single" w:color="FFFFFF" w:sz="4" w:space="4"/>
          <w:left w:val="single" w:color="FFFFFF" w:sz="4" w:space="31"/>
          <w:bottom w:val="single" w:color="FFFFFF" w:sz="4" w:space="31"/>
          <w:right w:val="single" w:color="FFFFFF" w:sz="4" w:space="31"/>
        </w:pBdr>
        <w:spacing w:line="560" w:lineRule="exact"/>
        <w:ind w:left="480" w:leftChars="0" w:firstLine="0" w:firstLineChars="0"/>
        <w:rPr>
          <w:rStyle w:val="29"/>
          <w:rFonts w:hint="eastAsia" w:ascii="黑体" w:hAnsi="黑体" w:eastAsia="黑体"/>
          <w:b w:val="0"/>
        </w:rPr>
      </w:pP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8"/>
      <w:bookmarkEnd w:id="39"/>
    </w:p>
    <w:p>
      <w:pPr>
        <w:numPr>
          <w:ilvl w:val="0"/>
          <w:numId w:val="0"/>
        </w:numPr>
        <w:pBdr>
          <w:top w:val="single" w:color="FFFFFF" w:sz="4" w:space="4"/>
          <w:left w:val="single" w:color="FFFFFF" w:sz="4" w:space="31"/>
          <w:bottom w:val="single" w:color="FFFFFF" w:sz="4" w:space="31"/>
          <w:right w:val="single" w:color="FFFFFF" w:sz="4" w:space="31"/>
        </w:pBdr>
        <w:spacing w:line="560" w:lineRule="exact"/>
        <w:ind w:left="480" w:leftChars="0"/>
        <w:rPr>
          <w:rFonts w:hint="eastAsia" w:ascii="仿宋" w:hAnsi="仿宋" w:eastAsia="仿宋" w:cs="仿宋"/>
          <w:sz w:val="32"/>
          <w:szCs w:val="32"/>
        </w:rPr>
      </w:pPr>
      <w:r>
        <w:rPr>
          <w:rStyle w:val="29"/>
          <w:rFonts w:hint="eastAsia" w:ascii="仿宋" w:hAnsi="仿宋" w:eastAsia="仿宋" w:cs="仿宋"/>
          <w:b w:val="0"/>
        </w:rPr>
        <w:tab/>
      </w:r>
      <w:r>
        <w:rPr>
          <w:rFonts w:hint="eastAsia" w:ascii="仿宋" w:hAnsi="仿宋" w:eastAsia="仿宋" w:cs="仿宋"/>
          <w:sz w:val="32"/>
          <w:szCs w:val="32"/>
        </w:rPr>
        <w:t>2023年度一般公共预算财政拨款基本支出144.57万元，其中：</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left="480" w:leftChars="0" w:firstLine="640" w:firstLineChars="200"/>
        <w:rPr>
          <w:rFonts w:hint="eastAsia" w:ascii="仿宋" w:hAnsi="仿宋" w:eastAsia="仿宋" w:cs="仿宋"/>
          <w:sz w:val="32"/>
          <w:szCs w:val="32"/>
        </w:rPr>
      </w:pPr>
      <w:r>
        <w:rPr>
          <w:rFonts w:hint="eastAsia" w:ascii="仿宋" w:hAnsi="仿宋" w:eastAsia="仿宋" w:cs="仿宋"/>
          <w:sz w:val="32"/>
          <w:szCs w:val="32"/>
        </w:rPr>
        <w:t>人员经费131.95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sz w:val="32"/>
          <w:szCs w:val="32"/>
        </w:rPr>
        <w:br w:type="textWrapping"/>
      </w:r>
      <w:r>
        <w:rPr>
          <w:rFonts w:hint="eastAsia" w:ascii="仿宋" w:hAnsi="仿宋" w:eastAsia="仿宋" w:cs="仿宋"/>
          <w:sz w:val="32"/>
          <w:szCs w:val="32"/>
        </w:rPr>
        <w:t>　　公用经费12.62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bookmarkStart w:id="40" w:name="_Toc15396609"/>
      <w:bookmarkStart w:id="41" w:name="_Toc15377215"/>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p>
    <w:p>
      <w:pPr>
        <w:numPr>
          <w:ilvl w:val="0"/>
          <w:numId w:val="4"/>
        </w:numPr>
        <w:pBdr>
          <w:top w:val="single" w:color="FFFFFF" w:sz="4" w:space="4"/>
          <w:left w:val="single" w:color="FFFFFF" w:sz="4" w:space="31"/>
          <w:bottom w:val="single" w:color="FFFFFF" w:sz="4" w:space="31"/>
          <w:right w:val="single" w:color="FFFFFF" w:sz="4" w:space="31"/>
        </w:pBdr>
        <w:spacing w:line="560" w:lineRule="exact"/>
        <w:ind w:firstLine="640"/>
        <w:rPr>
          <w:rStyle w:val="29"/>
          <w:rFonts w:hint="eastAsia" w:ascii="黑体" w:hAnsi="黑体" w:eastAsia="黑体"/>
          <w:b w:val="0"/>
        </w:rPr>
      </w:pP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0"/>
      <w:bookmarkEnd w:id="41"/>
      <w:bookmarkStart w:id="42" w:name="_Toc15377216"/>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b/>
          <w:sz w:val="32"/>
          <w:szCs w:val="32"/>
        </w:rPr>
      </w:pPr>
      <w:r>
        <w:rPr>
          <w:rFonts w:hint="eastAsia" w:ascii="仿宋" w:hAnsi="仿宋" w:eastAsia="仿宋"/>
          <w:b/>
          <w:sz w:val="32"/>
          <w:szCs w:val="32"/>
          <w:lang w:val="en-US" w:eastAsia="zh-CN"/>
        </w:rPr>
        <w:t xml:space="preserve">    (一)</w:t>
      </w:r>
      <w:r>
        <w:rPr>
          <w:rFonts w:hint="eastAsia" w:ascii="仿宋" w:hAnsi="仿宋" w:eastAsia="仿宋"/>
          <w:b/>
          <w:sz w:val="32"/>
          <w:szCs w:val="32"/>
        </w:rPr>
        <w:t>“三公”经费财政拨款支出决算总体情况说明</w:t>
      </w:r>
      <w:bookmarkEnd w:id="42"/>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sz w:val="32"/>
          <w:szCs w:val="32"/>
          <w:lang w:val="en-US" w:eastAsia="zh-CN"/>
        </w:rPr>
      </w:pPr>
      <w:r>
        <w:rPr>
          <w:rFonts w:hint="eastAsia" w:ascii="仿宋" w:hAnsi="仿宋" w:eastAsia="仿宋" w:cs="仿宋"/>
          <w:sz w:val="32"/>
          <w:szCs w:val="32"/>
        </w:rPr>
        <w:t>2023年度“三公”经费财政拨款支出决算为0.39万元，完成预算</w:t>
      </w:r>
      <w:r>
        <w:rPr>
          <w:rFonts w:hint="eastAsia" w:ascii="仿宋" w:hAnsi="仿宋" w:eastAsia="仿宋" w:cs="仿宋"/>
          <w:b w:val="0"/>
          <w:bCs w:val="0"/>
          <w:sz w:val="32"/>
          <w:szCs w:val="32"/>
        </w:rPr>
        <w:t>100%</w:t>
      </w:r>
      <w:r>
        <w:rPr>
          <w:rFonts w:hint="eastAsia" w:ascii="仿宋" w:hAnsi="仿宋" w:eastAsia="仿宋" w:cs="仿宋"/>
          <w:b/>
          <w:bCs/>
          <w:sz w:val="32"/>
          <w:szCs w:val="32"/>
        </w:rPr>
        <w:t>，</w:t>
      </w:r>
      <w:r>
        <w:rPr>
          <w:rFonts w:hint="eastAsia" w:ascii="仿宋" w:hAnsi="仿宋" w:eastAsia="仿宋" w:cs="仿宋"/>
          <w:sz w:val="32"/>
          <w:szCs w:val="32"/>
        </w:rPr>
        <w:t>较上年度减少</w:t>
      </w:r>
      <w:r>
        <w:rPr>
          <w:rFonts w:hint="eastAsia" w:ascii="仿宋" w:hAnsi="仿宋" w:eastAsia="仿宋" w:cs="仿宋"/>
          <w:sz w:val="32"/>
          <w:szCs w:val="32"/>
          <w:lang w:val="en-US" w:eastAsia="zh-CN"/>
        </w:rPr>
        <w:t>0.07</w:t>
      </w:r>
      <w:r>
        <w:rPr>
          <w:rFonts w:hint="eastAsia" w:ascii="仿宋" w:hAnsi="仿宋" w:eastAsia="仿宋" w:cs="仿宋"/>
          <w:sz w:val="32"/>
          <w:szCs w:val="32"/>
        </w:rPr>
        <w:t>万元，下降</w:t>
      </w:r>
      <w:r>
        <w:rPr>
          <w:rFonts w:hint="eastAsia" w:ascii="仿宋" w:hAnsi="仿宋" w:eastAsia="仿宋" w:cs="仿宋"/>
          <w:sz w:val="32"/>
          <w:szCs w:val="32"/>
          <w:lang w:val="en-US" w:eastAsia="zh-CN"/>
        </w:rPr>
        <w:t>15.22</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公务接待次数减少</w:t>
      </w:r>
      <w:r>
        <w:rPr>
          <w:rFonts w:hint="eastAsia" w:ascii="仿宋" w:hAnsi="仿宋" w:eastAsia="仿宋" w:cs="仿宋"/>
          <w:sz w:val="32"/>
          <w:szCs w:val="32"/>
        </w:rPr>
        <w:t>。</w:t>
      </w:r>
      <w:r>
        <w:rPr>
          <w:rFonts w:hint="eastAsia" w:ascii="仿宋" w:hAnsi="仿宋" w:eastAsia="仿宋"/>
          <w:sz w:val="32"/>
          <w:szCs w:val="32"/>
          <w:lang w:val="en-US" w:eastAsia="zh-CN"/>
        </w:rPr>
        <w:t xml:space="preserve"> </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bookmarkStart w:id="43" w:name="_Toc15377217"/>
    </w:p>
    <w:p>
      <w:pPr>
        <w:numPr>
          <w:ilvl w:val="0"/>
          <w:numId w:val="5"/>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“三公”经费财政拨款支出决算具体情况说明</w:t>
      </w:r>
      <w:bookmarkEnd w:id="43"/>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2023年度“三公”经费财政拨款支出决算中，因公出国（境）费支出决算0万元，占0%；公务用车购置及运行维护费支出决算0万元，占0%；公务接待费支出决算0.39万元，占100%。具体情况如下：</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default" w:eastAsia="仿宋"/>
          <w:lang w:val="en-US" w:eastAsia="zh-CN"/>
        </w:rPr>
      </w:pPr>
      <w:r>
        <w:rPr>
          <w:rFonts w:hint="eastAsia" w:ascii="仿宋" w:hAnsi="仿宋" w:eastAsia="仿宋"/>
          <w:sz w:val="32"/>
          <w:szCs w:val="32"/>
          <w:lang w:val="en-US" w:eastAsia="zh-CN"/>
        </w:rPr>
        <w:t xml:space="preserve">                                      单位:万元</w:t>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r>
        <w:drawing>
          <wp:anchor distT="0" distB="0" distL="114300" distR="114300" simplePos="0" relativeHeight="251666432" behindDoc="1" locked="0" layoutInCell="1" allowOverlap="1">
            <wp:simplePos x="0" y="0"/>
            <wp:positionH relativeFrom="column">
              <wp:posOffset>483870</wp:posOffset>
            </wp:positionH>
            <wp:positionV relativeFrom="paragraph">
              <wp:posOffset>-372110</wp:posOffset>
            </wp:positionV>
            <wp:extent cx="4826000" cy="2948305"/>
            <wp:effectExtent l="4445" t="4445" r="8255" b="1905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rPr>
          <w:rFonts w:ascii="仿宋_GB2312" w:eastAsia="仿宋_GB2312"/>
          <w:b/>
          <w:sz w:val="32"/>
          <w:szCs w:val="32"/>
        </w:rPr>
      </w:pPr>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cs="仿宋"/>
          <w:color w:val="000000"/>
          <w:sz w:val="32"/>
          <w:szCs w:val="32"/>
        </w:rPr>
      </w:pPr>
      <w:r>
        <w:rPr>
          <w:rFonts w:hint="eastAsia" w:ascii="仿宋_GB2312" w:eastAsia="仿宋_GB2312"/>
          <w:b/>
          <w:sz w:val="32"/>
          <w:szCs w:val="32"/>
          <w:lang w:val="en-US" w:eastAsia="zh-CN"/>
        </w:rPr>
        <w:t xml:space="preserve">   </w:t>
      </w:r>
      <w:bookmarkStart w:id="44" w:name="_Toc15377218"/>
      <w:bookmarkStart w:id="45" w:name="_Toc15396610"/>
      <w:r>
        <w:rPr>
          <w:rFonts w:hint="eastAsia" w:ascii="仿宋_GB2312" w:eastAsia="仿宋_GB2312"/>
          <w:b w:val="0"/>
          <w:bCs/>
          <w:sz w:val="32"/>
          <w:szCs w:val="32"/>
          <w:lang w:val="en-US"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1.因公出国（境）经费支出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rPr>
        <w:t>完成预算</w:t>
      </w:r>
      <w:r>
        <w:rPr>
          <w:rStyle w:val="17"/>
          <w:rFonts w:hint="eastAsia" w:ascii="仿宋" w:hAnsi="仿宋" w:eastAsia="仿宋" w:cs="仿宋"/>
          <w:b w:val="0"/>
          <w:bCs/>
          <w:color w:val="auto"/>
          <w:sz w:val="32"/>
          <w:szCs w:val="32"/>
          <w:highlight w:val="none"/>
          <w:lang w:val="en-US" w:eastAsia="zh-CN"/>
        </w:rPr>
        <w:t>0</w:t>
      </w:r>
      <w:r>
        <w:rPr>
          <w:rStyle w:val="17"/>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w:t>
      </w:r>
      <w:r>
        <w:rPr>
          <w:rFonts w:hint="eastAsia" w:ascii="仿宋" w:hAnsi="仿宋" w:eastAsia="仿宋" w:cs="仿宋"/>
          <w:color w:val="000000"/>
          <w:sz w:val="32"/>
          <w:szCs w:val="32"/>
        </w:rPr>
        <w:t>因公出国（境）支出决算比20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持平</w:t>
      </w:r>
      <w:r>
        <w:rPr>
          <w:rFonts w:hint="eastAsia" w:ascii="仿宋" w:hAnsi="仿宋" w:eastAsia="仿宋" w:cs="仿宋"/>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 w:val="0"/>
          <w:bCs/>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rPr>
        <w:t>完成预算</w:t>
      </w:r>
      <w:r>
        <w:rPr>
          <w:rStyle w:val="17"/>
          <w:rFonts w:hint="eastAsia" w:ascii="仿宋" w:hAnsi="仿宋" w:eastAsia="仿宋" w:cs="仿宋"/>
          <w:b w:val="0"/>
          <w:bCs/>
          <w:color w:val="auto"/>
          <w:sz w:val="32"/>
          <w:szCs w:val="32"/>
          <w:highlight w:val="none"/>
          <w:lang w:val="en-US" w:eastAsia="zh-CN"/>
        </w:rPr>
        <w:t>0</w:t>
      </w:r>
      <w:r>
        <w:rPr>
          <w:rStyle w:val="17"/>
          <w:rFonts w:hint="eastAsia" w:ascii="仿宋" w:hAnsi="仿宋" w:eastAsia="仿宋" w:cs="仿宋"/>
          <w:b w:val="0"/>
          <w:bCs/>
          <w:color w:val="auto"/>
          <w:sz w:val="32"/>
          <w:szCs w:val="32"/>
          <w:highlight w:val="none"/>
        </w:rPr>
        <w:t>%。</w:t>
      </w:r>
      <w:r>
        <w:rPr>
          <w:rFonts w:hint="eastAsia" w:ascii="仿宋" w:hAnsi="仿宋" w:eastAsia="仿宋" w:cs="仿宋"/>
          <w:color w:val="000000"/>
          <w:sz w:val="32"/>
          <w:szCs w:val="32"/>
        </w:rPr>
        <w:t>公务用车购置及运行维护费支出决算比20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持平</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val="0"/>
          <w:bCs/>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cs="仿宋"/>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 xml:space="preserve">  3.</w:t>
      </w:r>
      <w:r>
        <w:rPr>
          <w:rFonts w:hint="eastAsia" w:ascii="仿宋" w:hAnsi="仿宋" w:eastAsia="仿宋" w:cs="仿宋"/>
          <w:b w:val="0"/>
          <w:bCs/>
          <w:sz w:val="32"/>
          <w:szCs w:val="32"/>
        </w:rPr>
        <w:t>公务接待费支出0.39万元，</w:t>
      </w:r>
      <w:r>
        <w:rPr>
          <w:rStyle w:val="17"/>
          <w:rFonts w:hint="eastAsia" w:ascii="仿宋" w:hAnsi="仿宋" w:eastAsia="仿宋" w:cs="仿宋"/>
          <w:b w:val="0"/>
          <w:bCs/>
          <w:sz w:val="32"/>
          <w:szCs w:val="32"/>
        </w:rPr>
        <w:t>完成预算100%。</w:t>
      </w:r>
      <w:r>
        <w:rPr>
          <w:rFonts w:hint="eastAsia" w:ascii="仿宋" w:hAnsi="仿宋" w:eastAsia="仿宋" w:cs="仿宋"/>
          <w:sz w:val="32"/>
          <w:szCs w:val="32"/>
        </w:rPr>
        <w:t>公务接待费支出决算比2022年度减少</w:t>
      </w:r>
      <w:r>
        <w:rPr>
          <w:rFonts w:hint="eastAsia" w:ascii="仿宋" w:hAnsi="仿宋" w:eastAsia="仿宋" w:cs="仿宋"/>
          <w:sz w:val="32"/>
          <w:szCs w:val="32"/>
          <w:lang w:val="en-US" w:eastAsia="zh-CN"/>
        </w:rPr>
        <w:t>0.07</w:t>
      </w:r>
      <w:r>
        <w:rPr>
          <w:rFonts w:hint="eastAsia" w:ascii="仿宋" w:hAnsi="仿宋" w:eastAsia="仿宋" w:cs="仿宋"/>
          <w:sz w:val="32"/>
          <w:szCs w:val="32"/>
        </w:rPr>
        <w:t>万元，下降</w:t>
      </w:r>
      <w:r>
        <w:rPr>
          <w:rFonts w:hint="eastAsia" w:ascii="仿宋" w:hAnsi="仿宋" w:eastAsia="仿宋" w:cs="仿宋"/>
          <w:sz w:val="32"/>
          <w:szCs w:val="32"/>
          <w:lang w:val="en-US" w:eastAsia="zh-CN"/>
        </w:rPr>
        <w:t>15.22</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公务接待次数</w:t>
      </w:r>
      <w:r>
        <w:rPr>
          <w:rFonts w:hint="eastAsia" w:ascii="仿宋" w:hAnsi="仿宋" w:eastAsia="仿宋" w:cs="仿宋"/>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cs="仿宋"/>
          <w:color w:val="auto"/>
          <w:sz w:val="32"/>
          <w:szCs w:val="32"/>
          <w:highlight w:val="none"/>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其中：</w:t>
      </w:r>
      <w:r>
        <w:rPr>
          <w:rFonts w:hint="eastAsia" w:ascii="仿宋" w:hAnsi="仿宋" w:eastAsia="仿宋" w:cs="仿宋"/>
          <w:b w:val="0"/>
          <w:bCs/>
          <w:sz w:val="32"/>
          <w:szCs w:val="32"/>
        </w:rPr>
        <w:t>国内公务接待支出0.39</w:t>
      </w:r>
      <w:r>
        <w:rPr>
          <w:rFonts w:hint="eastAsia" w:ascii="仿宋" w:hAnsi="仿宋" w:eastAsia="仿宋" w:cs="仿宋"/>
          <w:sz w:val="32"/>
          <w:szCs w:val="32"/>
        </w:rPr>
        <w:t>万元，</w:t>
      </w:r>
      <w:r>
        <w:rPr>
          <w:rFonts w:hint="eastAsia" w:ascii="仿宋" w:hAnsi="仿宋" w:eastAsia="仿宋" w:cs="仿宋"/>
          <w:color w:val="000000"/>
          <w:sz w:val="32"/>
          <w:szCs w:val="32"/>
        </w:rPr>
        <w:t>主要用于开展业务活动开支的用餐费等</w:t>
      </w:r>
      <w:r>
        <w:rPr>
          <w:rFonts w:hint="eastAsia" w:ascii="仿宋" w:hAnsi="仿宋" w:eastAsia="仿宋" w:cs="仿宋"/>
          <w:color w:val="auto"/>
          <w:sz w:val="32"/>
          <w:szCs w:val="32"/>
          <w:highlight w:val="none"/>
        </w:rPr>
        <w:t>。国内公务接待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0.39</w:t>
      </w:r>
      <w:r>
        <w:rPr>
          <w:rFonts w:hint="eastAsia" w:ascii="仿宋" w:hAnsi="仿宋" w:eastAsia="仿宋" w:cs="仿宋"/>
          <w:color w:val="auto"/>
          <w:sz w:val="32"/>
          <w:szCs w:val="32"/>
          <w:highlight w:val="none"/>
        </w:rPr>
        <w:t>万元。</w:t>
      </w:r>
      <w:r>
        <w:rPr>
          <w:rFonts w:hint="eastAsia" w:ascii="仿宋" w:hAnsi="仿宋" w:eastAsia="仿宋" w:cs="仿宋"/>
          <w:b w:val="0"/>
          <w:bCs/>
          <w:color w:val="auto"/>
          <w:sz w:val="32"/>
          <w:szCs w:val="32"/>
          <w:highlight w:val="none"/>
        </w:rPr>
        <w:t>外事接待支出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color w:val="auto"/>
          <w:sz w:val="32"/>
          <w:szCs w:val="32"/>
          <w:highlight w:val="none"/>
        </w:rPr>
        <w:t>万元。</w:t>
      </w:r>
    </w:p>
    <w:bookmarkEnd w:id="44"/>
    <w:bookmarkEnd w:id="45"/>
    <w:p>
      <w:pPr>
        <w:numPr>
          <w:ilvl w:val="0"/>
          <w:numId w:val="6"/>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29"/>
          <w:rFonts w:hint="eastAsia" w:ascii="黑体" w:hAnsi="黑体" w:eastAsia="黑体"/>
          <w:b w:val="0"/>
        </w:rPr>
      </w:pPr>
      <w:r>
        <w:rPr>
          <w:rStyle w:val="29"/>
          <w:rFonts w:hint="eastAsia" w:ascii="黑体" w:hAnsi="黑体" w:eastAsia="黑体"/>
          <w:b w:val="0"/>
        </w:rPr>
        <w:t>政府性基金预算支出决算情况说明</w:t>
      </w:r>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 w:hAnsi="仿宋" w:eastAsia="仿宋" w:cs="仿宋"/>
          <w:sz w:val="32"/>
          <w:szCs w:val="32"/>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2023年度政府性基金预算财政拨款支</w:t>
      </w:r>
      <w:r>
        <w:rPr>
          <w:rFonts w:hint="eastAsia" w:ascii="仿宋" w:hAnsi="仿宋" w:eastAsia="仿宋" w:cs="仿宋"/>
          <w:b w:val="0"/>
          <w:bCs w:val="0"/>
          <w:sz w:val="32"/>
          <w:szCs w:val="32"/>
        </w:rPr>
        <w:t>出0万</w:t>
      </w:r>
      <w:r>
        <w:rPr>
          <w:rFonts w:hint="eastAsia" w:ascii="仿宋" w:hAnsi="仿宋" w:eastAsia="仿宋" w:cs="仿宋"/>
          <w:sz w:val="32"/>
          <w:szCs w:val="32"/>
        </w:rPr>
        <w:t>元。</w:t>
      </w:r>
      <w:bookmarkStart w:id="46" w:name="_Toc15396611"/>
      <w:bookmarkStart w:id="47" w:name="_Toc15377219"/>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Style w:val="29"/>
          <w:rFonts w:hint="eastAsia" w:ascii="黑体" w:hAnsi="黑体" w:eastAsia="黑体"/>
          <w:b w:val="0"/>
          <w:highlight w:val="none"/>
        </w:rPr>
      </w:pPr>
      <w:r>
        <w:rPr>
          <w:rFonts w:hint="eastAsia" w:ascii="仿宋_GB2312" w:eastAsia="仿宋_GB2312"/>
          <w:sz w:val="32"/>
          <w:szCs w:val="32"/>
          <w:lang w:val="en-US" w:eastAsia="zh-CN"/>
        </w:rPr>
        <w:t xml:space="preserve">     </w:t>
      </w:r>
      <w:r>
        <w:rPr>
          <w:rFonts w:hint="eastAsia" w:ascii="黑体" w:hAnsi="黑体" w:eastAsia="黑体" w:cs="Times New Roman"/>
          <w:sz w:val="32"/>
          <w:szCs w:val="32"/>
          <w:highlight w:val="none"/>
          <w:lang w:val="en-US" w:eastAsia="zh-CN"/>
        </w:rPr>
        <w:t>九、</w:t>
      </w:r>
      <w:r>
        <w:rPr>
          <w:rStyle w:val="29"/>
          <w:rFonts w:hint="eastAsia" w:ascii="黑体" w:hAnsi="黑体" w:eastAsia="黑体"/>
          <w:b w:val="0"/>
          <w:highlight w:val="none"/>
        </w:rPr>
        <w:t>国有资本经营预算支出决算情况说明</w:t>
      </w:r>
      <w:bookmarkEnd w:id="46"/>
      <w:bookmarkEnd w:id="47"/>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hint="eastAsia" w:ascii="仿宋_GB2312" w:eastAsia="仿宋_GB2312"/>
          <w:sz w:val="32"/>
          <w:szCs w:val="32"/>
          <w:highlight w:val="none"/>
        </w:rPr>
      </w:pPr>
      <w:r>
        <w:rPr>
          <w:rStyle w:val="29"/>
          <w:rFonts w:hint="eastAsia" w:ascii="黑体" w:hAnsi="黑体" w:eastAsia="黑体"/>
          <w:b w:val="0"/>
          <w:highlight w:val="none"/>
          <w:lang w:val="en-US" w:eastAsia="zh-CN"/>
        </w:rPr>
        <w:t xml:space="preserve">  </w:t>
      </w:r>
      <w:r>
        <w:rPr>
          <w:rStyle w:val="29"/>
          <w:rFonts w:hint="eastAsia" w:ascii="仿宋" w:hAnsi="仿宋" w:eastAsia="仿宋" w:cs="仿宋"/>
          <w:b w:val="0"/>
          <w:highlight w:val="none"/>
          <w:lang w:val="en-US" w:eastAsia="zh-CN"/>
        </w:rPr>
        <w:t xml:space="preserve"> </w:t>
      </w:r>
      <w:r>
        <w:rPr>
          <w:rFonts w:hint="eastAsia" w:ascii="仿宋" w:hAnsi="仿宋" w:eastAsia="仿宋" w:cs="仿宋"/>
          <w:sz w:val="32"/>
          <w:szCs w:val="32"/>
          <w:highlight w:val="none"/>
        </w:rPr>
        <w:t>2023年度国有资本经营预算财政拨款支</w:t>
      </w:r>
      <w:r>
        <w:rPr>
          <w:rFonts w:hint="eastAsia" w:ascii="仿宋" w:hAnsi="仿宋" w:eastAsia="仿宋" w:cs="仿宋"/>
          <w:b w:val="0"/>
          <w:bCs w:val="0"/>
          <w:sz w:val="32"/>
          <w:szCs w:val="32"/>
          <w:highlight w:val="none"/>
        </w:rPr>
        <w:t>出0万</w:t>
      </w:r>
      <w:r>
        <w:rPr>
          <w:rFonts w:hint="eastAsia" w:ascii="仿宋" w:hAnsi="仿宋" w:eastAsia="仿宋" w:cs="仿宋"/>
          <w:sz w:val="32"/>
          <w:szCs w:val="32"/>
          <w:highlight w:val="none"/>
        </w:rPr>
        <w:t>元。</w:t>
      </w:r>
      <w:bookmarkStart w:id="48" w:name="_Toc15377221"/>
      <w:bookmarkStart w:id="49" w:name="_Toc15396612"/>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Style w:val="29"/>
          <w:rFonts w:hint="eastAsia" w:ascii="黑体" w:hAnsi="黑体" w:eastAsia="黑体"/>
          <w:b w:val="0"/>
          <w:highlight w:val="none"/>
        </w:rPr>
      </w:pPr>
      <w:r>
        <w:rPr>
          <w:rFonts w:hint="eastAsia" w:ascii="仿宋_GB2312" w:eastAsia="仿宋_GB2312"/>
          <w:sz w:val="32"/>
          <w:szCs w:val="32"/>
          <w:highlight w:val="none"/>
          <w:lang w:val="en-US" w:eastAsia="zh-CN"/>
        </w:rPr>
        <w:t xml:space="preserve">     </w:t>
      </w: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w:t>
      </w:r>
      <w:r>
        <w:rPr>
          <w:rStyle w:val="29"/>
          <w:rFonts w:hint="eastAsia" w:ascii="黑体" w:hAnsi="黑体" w:eastAsia="黑体"/>
          <w:b w:val="0"/>
          <w:highlight w:val="none"/>
        </w:rPr>
        <w:t>其他重要事项的情况说明</w:t>
      </w:r>
      <w:bookmarkEnd w:id="48"/>
      <w:bookmarkEnd w:id="49"/>
      <w:bookmarkStart w:id="50" w:name="_Toc15377222"/>
    </w:p>
    <w:p>
      <w:pPr>
        <w:numPr>
          <w:ilvl w:val="0"/>
          <w:numId w:val="0"/>
        </w:numPr>
        <w:pBdr>
          <w:top w:val="single" w:color="FFFFFF" w:sz="4" w:space="4"/>
          <w:left w:val="single" w:color="FFFFFF" w:sz="4" w:space="31"/>
          <w:bottom w:val="single" w:color="FFFFFF" w:sz="4" w:space="31"/>
          <w:right w:val="single" w:color="FFFFFF" w:sz="4" w:space="31"/>
        </w:pBdr>
        <w:spacing w:line="560" w:lineRule="exact"/>
        <w:rPr>
          <w:rFonts w:ascii="仿宋_GB2312" w:eastAsia="仿宋_GB2312"/>
          <w:sz w:val="32"/>
          <w:szCs w:val="32"/>
        </w:rPr>
      </w:pPr>
      <w:r>
        <w:rPr>
          <w:rFonts w:hint="eastAsia" w:ascii="仿宋" w:hAnsi="仿宋" w:eastAsia="仿宋"/>
          <w:b/>
          <w:sz w:val="32"/>
          <w:szCs w:val="32"/>
          <w:lang w:val="en-US" w:eastAsia="zh-CN"/>
        </w:rPr>
        <w:t xml:space="preserve">     (一)</w:t>
      </w:r>
      <w:r>
        <w:rPr>
          <w:rFonts w:hint="eastAsia" w:ascii="仿宋" w:hAnsi="仿宋" w:eastAsia="仿宋"/>
          <w:b/>
          <w:sz w:val="32"/>
          <w:szCs w:val="32"/>
        </w:rPr>
        <w:t>机关运行经费支出情况</w:t>
      </w:r>
      <w:bookmarkEnd w:id="50"/>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2023年度，乐山市金口河区供销合作联合社机关运行经费支出</w:t>
      </w:r>
      <w:r>
        <w:rPr>
          <w:rFonts w:hint="eastAsia" w:ascii="仿宋" w:hAnsi="仿宋" w:eastAsia="仿宋" w:cs="仿宋"/>
          <w:b/>
          <w:sz w:val="32"/>
          <w:szCs w:val="32"/>
        </w:rPr>
        <w:t>12.62</w:t>
      </w:r>
      <w:r>
        <w:rPr>
          <w:rFonts w:hint="eastAsia" w:ascii="仿宋" w:hAnsi="仿宋" w:eastAsia="仿宋" w:cs="仿宋"/>
          <w:sz w:val="32"/>
          <w:szCs w:val="32"/>
        </w:rPr>
        <w:t>万元，比2022年度</w:t>
      </w:r>
      <w:r>
        <w:rPr>
          <w:rFonts w:hint="eastAsia" w:ascii="仿宋" w:hAnsi="仿宋" w:eastAsia="仿宋" w:cs="仿宋"/>
          <w:sz w:val="32"/>
          <w:szCs w:val="32"/>
          <w:lang w:val="en-US" w:eastAsia="zh-CN"/>
        </w:rPr>
        <w:t>11.47万元</w:t>
      </w:r>
      <w:r>
        <w:rPr>
          <w:rFonts w:hint="eastAsia" w:ascii="仿宋" w:hAnsi="仿宋" w:eastAsia="仿宋" w:cs="仿宋"/>
          <w:sz w:val="32"/>
          <w:szCs w:val="32"/>
        </w:rPr>
        <w:t>增加</w:t>
      </w:r>
      <w:r>
        <w:rPr>
          <w:rFonts w:hint="eastAsia" w:ascii="仿宋" w:hAnsi="仿宋" w:eastAsia="仿宋" w:cs="仿宋"/>
          <w:sz w:val="32"/>
          <w:szCs w:val="32"/>
          <w:lang w:val="en-US" w:eastAsia="zh-CN"/>
        </w:rPr>
        <w:t>1.15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10.03</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公务员车补规范为公用经费支出</w:t>
      </w:r>
      <w:r>
        <w:rPr>
          <w:rFonts w:hint="eastAsia" w:ascii="仿宋" w:hAnsi="仿宋" w:eastAsia="仿宋" w:cs="仿宋"/>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bookmarkStart w:id="51" w:name="_Toc15377223"/>
    </w:p>
    <w:p>
      <w:pPr>
        <w:numPr>
          <w:ilvl w:val="0"/>
          <w:numId w:val="7"/>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政府采购支出情况</w:t>
      </w:r>
      <w:bookmarkEnd w:id="51"/>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2023年度，乐山市金口河区供销合作联合社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bookmarkStart w:id="52" w:name="_Toc15377224"/>
    </w:p>
    <w:p>
      <w:pPr>
        <w:numPr>
          <w:ilvl w:val="0"/>
          <w:numId w:val="7"/>
        </w:numPr>
        <w:pBdr>
          <w:top w:val="single" w:color="FFFFFF" w:sz="4" w:space="4"/>
          <w:left w:val="single" w:color="FFFFFF" w:sz="4" w:space="31"/>
          <w:bottom w:val="single" w:color="FFFFFF" w:sz="4" w:space="31"/>
          <w:right w:val="single" w:color="FFFFFF" w:sz="4" w:space="31"/>
        </w:pBdr>
        <w:spacing w:line="560" w:lineRule="exact"/>
        <w:ind w:left="0" w:leftChars="0" w:firstLine="640" w:firstLineChars="0"/>
        <w:rPr>
          <w:rFonts w:hint="eastAsia" w:ascii="仿宋" w:hAnsi="仿宋" w:eastAsia="仿宋"/>
          <w:b/>
          <w:sz w:val="32"/>
          <w:szCs w:val="32"/>
        </w:rPr>
      </w:pPr>
      <w:r>
        <w:rPr>
          <w:rFonts w:hint="eastAsia" w:ascii="仿宋" w:hAnsi="仿宋" w:eastAsia="仿宋"/>
          <w:b/>
          <w:sz w:val="32"/>
          <w:szCs w:val="32"/>
        </w:rPr>
        <w:t>国有资产占有使用情况</w:t>
      </w:r>
      <w:bookmarkEnd w:id="52"/>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截至2023年12月31日，乐山市金口河区供销合作联合社共有车辆0辆，其中：主要领导干部用车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辆、机要通信用车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辆、应急保障用车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辆、其他用车</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辆。单价100万元以上设备（不含车辆）0台（套）。</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rPr>
          <w:rFonts w:ascii="仿宋" w:hAnsi="仿宋" w:eastAsia="仿宋"/>
          <w:b/>
          <w:sz w:val="32"/>
          <w:szCs w:val="32"/>
        </w:rPr>
      </w:pPr>
      <w:r>
        <w:rPr>
          <w:rFonts w:hint="eastAsia" w:ascii="仿宋" w:hAnsi="仿宋" w:eastAsia="仿宋"/>
          <w:b/>
          <w:sz w:val="32"/>
          <w:szCs w:val="32"/>
        </w:rPr>
        <w:t>（四）预算绩效管理情况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auto"/>
          <w:sz w:val="32"/>
          <w:szCs w:val="32"/>
          <w:highlight w:val="none"/>
          <w:lang w:eastAsia="zh-CN"/>
        </w:rPr>
        <w:t>退休人员生活补贴</w:t>
      </w:r>
      <w:r>
        <w:rPr>
          <w:rFonts w:hint="eastAsia" w:ascii="仿宋" w:hAnsi="仿宋" w:eastAsia="仿宋" w:cs="仿宋"/>
          <w:color w:val="auto"/>
          <w:sz w:val="32"/>
          <w:szCs w:val="32"/>
          <w:highlight w:val="none"/>
          <w:lang w:val="en-US" w:eastAsia="zh-CN"/>
        </w:rPr>
        <w:t>等5</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eastAsia="zh-CN"/>
        </w:rPr>
        <w:t>退休人员生活补贴</w:t>
      </w:r>
      <w:r>
        <w:rPr>
          <w:rFonts w:hint="eastAsia" w:ascii="仿宋" w:hAnsi="仿宋" w:eastAsia="仿宋" w:cs="仿宋"/>
          <w:color w:val="auto"/>
          <w:sz w:val="32"/>
          <w:szCs w:val="32"/>
          <w:highlight w:val="none"/>
          <w:lang w:val="en-US" w:eastAsia="zh-CN"/>
        </w:rPr>
        <w:t>等5</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eastAsia="zh-CN"/>
        </w:rPr>
        <w:t>退休人员生活补贴</w:t>
      </w:r>
      <w:r>
        <w:rPr>
          <w:rFonts w:hint="eastAsia" w:ascii="仿宋" w:hAnsi="仿宋" w:eastAsia="仿宋" w:cs="仿宋"/>
          <w:color w:val="auto"/>
          <w:sz w:val="32"/>
          <w:szCs w:val="32"/>
          <w:highlight w:val="none"/>
          <w:lang w:val="en-US" w:eastAsia="zh-CN"/>
        </w:rPr>
        <w:t>等5</w:t>
      </w:r>
      <w:r>
        <w:rPr>
          <w:rFonts w:hint="eastAsia" w:ascii="仿宋" w:hAnsi="仿宋" w:eastAsia="仿宋" w:cs="仿宋"/>
          <w:color w:val="auto"/>
          <w:sz w:val="32"/>
          <w:szCs w:val="32"/>
          <w:highlight w:val="none"/>
        </w:rPr>
        <w:t>个项目开展绩效监控。</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本部门按要求对20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年部门整体支出开展绩效自评，从评价情况来看，绩效目标全面完成，取得了一定的经济和社会效益，单位财务制度健全，管理规范，得到有效执行。本部门还自</w:t>
      </w:r>
      <w:r>
        <w:rPr>
          <w:rFonts w:hint="eastAsia" w:ascii="仿宋" w:hAnsi="仿宋" w:eastAsia="仿宋" w:cs="仿宋"/>
          <w:sz w:val="32"/>
          <w:szCs w:val="32"/>
          <w:highlight w:val="none"/>
          <w:lang w:val="en-US" w:eastAsia="zh-CN"/>
        </w:rPr>
        <w:t>对</w:t>
      </w:r>
      <w:r>
        <w:rPr>
          <w:rFonts w:hint="eastAsia" w:ascii="仿宋" w:hAnsi="仿宋" w:eastAsia="仿宋" w:cs="仿宋"/>
          <w:color w:val="auto"/>
          <w:sz w:val="32"/>
          <w:szCs w:val="32"/>
          <w:highlight w:val="none"/>
          <w:lang w:eastAsia="zh-CN"/>
        </w:rPr>
        <w:t>退休人员生活补贴</w:t>
      </w:r>
      <w:r>
        <w:rPr>
          <w:rFonts w:hint="eastAsia" w:ascii="仿宋" w:hAnsi="仿宋" w:eastAsia="仿宋" w:cs="仿宋"/>
          <w:color w:val="auto"/>
          <w:sz w:val="32"/>
          <w:szCs w:val="32"/>
          <w:highlight w:val="none"/>
          <w:lang w:val="en-US" w:eastAsia="zh-CN"/>
        </w:rPr>
        <w:t>等5</w:t>
      </w:r>
      <w:r>
        <w:rPr>
          <w:rFonts w:hint="eastAsia" w:ascii="仿宋" w:hAnsi="仿宋" w:eastAsia="仿宋" w:cs="仿宋"/>
          <w:sz w:val="32"/>
          <w:szCs w:val="32"/>
          <w:highlight w:val="none"/>
        </w:rPr>
        <w:t>个项目绩效评价，从评价情况来看，项目实施严格按照实施方案执行，完成情况良好，取得较好的经济效益和社会效益。</w:t>
      </w:r>
      <w:r>
        <w:rPr>
          <w:rFonts w:hint="eastAsia" w:ascii="仿宋" w:hAnsi="仿宋" w:eastAsia="仿宋" w:cs="仿宋"/>
          <w:sz w:val="32"/>
          <w:szCs w:val="32"/>
        </w:rPr>
        <w:t>绩效自评报告详见附件。</w:t>
      </w:r>
    </w:p>
    <w:p>
      <w:pPr>
        <w:pStyle w:val="4"/>
        <w:jc w:val="center"/>
      </w:pPr>
      <w:r>
        <w:rPr>
          <w:rFonts w:hint="eastAsia"/>
        </w:rPr>
        <w:t>第三部分 名词解释</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ageBreakBefore w:val="0"/>
        <w:kinsoku/>
        <w:wordWrap/>
        <w:overflowPunct/>
        <w:topLinePunct w:val="0"/>
        <w:bidi w:val="0"/>
        <w:spacing w:line="560" w:lineRule="exact"/>
        <w:ind w:firstLine="640" w:firstLineChars="200"/>
        <w:rPr>
          <w:rFonts w:hint="eastAsia" w:ascii="仿宋_GB2312" w:eastAsia="仿宋_GB2312"/>
          <w:color w:val="000000"/>
          <w:sz w:val="32"/>
          <w:szCs w:val="32"/>
          <w:highlight w:val="none"/>
          <w:lang w:eastAsia="zh-CN"/>
        </w:rPr>
      </w:pPr>
      <w:r>
        <w:rPr>
          <w:rStyle w:val="17"/>
          <w:rFonts w:hint="eastAsia" w:ascii="仿宋" w:hAnsi="仿宋" w:eastAsia="仿宋"/>
          <w:b w:val="0"/>
          <w:bCs w:val="0"/>
          <w:color w:val="000000"/>
          <w:sz w:val="32"/>
          <w:szCs w:val="32"/>
          <w:lang w:val="en-US" w:eastAsia="zh-CN"/>
        </w:rPr>
        <w:t>9</w:t>
      </w:r>
      <w:r>
        <w:rPr>
          <w:rStyle w:val="17"/>
          <w:rFonts w:ascii="仿宋" w:hAnsi="仿宋" w:eastAsia="仿宋"/>
          <w:b w:val="0"/>
          <w:bCs w:val="0"/>
          <w:color w:val="000000"/>
          <w:sz w:val="32"/>
          <w:szCs w:val="32"/>
        </w:rPr>
        <w:t>.</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w:t>
      </w:r>
    </w:p>
    <w:p>
      <w:pPr>
        <w:pageBreakBefore w:val="0"/>
        <w:kinsoku/>
        <w:wordWrap/>
        <w:overflowPunct/>
        <w:topLinePunct w:val="0"/>
        <w:bidi w:val="0"/>
        <w:spacing w:line="560" w:lineRule="exact"/>
        <w:ind w:firstLine="640" w:firstLineChars="200"/>
        <w:rPr>
          <w:rFonts w:ascii="仿宋" w:hAnsi="仿宋" w:eastAsia="仿宋"/>
          <w:b/>
          <w:color w:val="000000"/>
          <w:sz w:val="32"/>
          <w:szCs w:val="32"/>
        </w:rPr>
      </w:pPr>
      <w:r>
        <w:rPr>
          <w:rStyle w:val="17"/>
          <w:rFonts w:hint="eastAsia" w:ascii="仿宋" w:hAnsi="仿宋" w:eastAsia="仿宋"/>
          <w:b w:val="0"/>
          <w:bCs w:val="0"/>
          <w:color w:val="000000"/>
          <w:sz w:val="32"/>
          <w:szCs w:val="32"/>
        </w:rPr>
        <w:t>社会保障和就业支出（类）行政事业单位养老支出（款）机关事业单位基本养老保险支出（项）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指部门实施养老保险制度由单位缴纳的养老保险费的支出。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社会保障和就业支出（类）行政事业单位养老支出（款）机关事业单位职业年金缴费支出（项）: 指机关事业单位实施养老保险制度由单位实际缴纳的职业年金支出。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社会保障和就业支出（类）行政事业单位养老支出（款）其他行政事业单位养老支出（项）: 指除上述项目以外其他用于行政事业单位养老方面的支出。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10、卫生健康支出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卫生健康支出（类）行政事业单位医疗（款）行政单位医疗（项）: 指财政部门安排的行政单位（包括实行公务员管理的事业单位，下同）基本医疗保险缴纳经费。</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lang w:val="en-US" w:eastAsia="zh-CN"/>
        </w:rPr>
      </w:pPr>
      <w:r>
        <w:rPr>
          <w:rStyle w:val="17"/>
          <w:rFonts w:hint="eastAsia" w:ascii="仿宋" w:hAnsi="仿宋" w:eastAsia="仿宋"/>
          <w:b w:val="0"/>
          <w:bCs w:val="0"/>
          <w:color w:val="000000"/>
          <w:sz w:val="32"/>
          <w:szCs w:val="32"/>
          <w:lang w:val="en-US" w:eastAsia="zh-CN"/>
        </w:rPr>
        <w:t>医疗卫生与计划生育（类）行政事业单位医疗（款）公务员医疗补助（项）: 指财政部门安排的公务员医疗补助经费。</w:t>
      </w:r>
    </w:p>
    <w:p>
      <w:pPr>
        <w:numPr>
          <w:ilvl w:val="0"/>
          <w:numId w:val="8"/>
        </w:numPr>
        <w:spacing w:line="600" w:lineRule="exact"/>
        <w:ind w:firstLine="640"/>
        <w:rPr>
          <w:rFonts w:hint="eastAsia" w:ascii="仿宋_GB2312" w:eastAsia="仿宋_GB2312"/>
          <w:sz w:val="32"/>
          <w:szCs w:val="32"/>
        </w:rPr>
      </w:pPr>
      <w:r>
        <w:rPr>
          <w:rFonts w:hint="eastAsia" w:ascii="仿宋_GB2312" w:eastAsia="仿宋_GB2312"/>
          <w:sz w:val="32"/>
          <w:szCs w:val="32"/>
          <w:lang w:eastAsia="zh-CN"/>
        </w:rPr>
        <w:t>农林水支出</w:t>
      </w:r>
    </w:p>
    <w:p>
      <w:pPr>
        <w:numPr>
          <w:ilvl w:val="0"/>
          <w:numId w:val="0"/>
        </w:numPr>
        <w:spacing w:line="600" w:lineRule="exact"/>
        <w:rPr>
          <w:rFonts w:ascii="仿宋_GB2312" w:eastAsia="仿宋_GB2312"/>
          <w:sz w:val="32"/>
          <w:szCs w:val="32"/>
        </w:rPr>
      </w:pPr>
      <w:r>
        <w:rPr>
          <w:rFonts w:hint="eastAsia" w:ascii="仿宋_GB2312" w:eastAsia="仿宋_GB2312"/>
          <w:sz w:val="32"/>
          <w:szCs w:val="32"/>
          <w:lang w:val="en-US" w:eastAsia="zh-CN"/>
        </w:rPr>
        <w:t xml:space="preserve">   农林水支出（类）巩固脱贫攻坚成果衔接乡村振兴（款）其他巩固脱贫衔接乡村振兴支出（项）</w:t>
      </w:r>
      <w:r>
        <w:rPr>
          <w:rFonts w:hint="eastAsia" w:ascii="仿宋_GB2312" w:eastAsia="仿宋_GB2312"/>
          <w:sz w:val="32"/>
          <w:szCs w:val="32"/>
        </w:rPr>
        <w:t>：指</w:t>
      </w:r>
      <w:r>
        <w:rPr>
          <w:rFonts w:hint="eastAsia" w:ascii="仿宋_GB2312" w:eastAsia="仿宋_GB2312"/>
          <w:sz w:val="32"/>
          <w:szCs w:val="32"/>
          <w:lang w:eastAsia="zh-CN"/>
        </w:rPr>
        <w:t>除上述项目以外其他用于巩固脱贫攻坚成果同乡村振兴有效衔接方面的</w:t>
      </w:r>
      <w:r>
        <w:rPr>
          <w:rFonts w:hint="eastAsia" w:ascii="仿宋_GB2312" w:eastAsia="仿宋_GB2312"/>
          <w:sz w:val="32"/>
          <w:szCs w:val="32"/>
        </w:rPr>
        <w:t>支出。</w:t>
      </w:r>
      <w:r>
        <w:rPr>
          <w:rFonts w:ascii="仿宋_GB2312" w:eastAsia="仿宋_GB2312"/>
          <w:sz w:val="32"/>
          <w:szCs w:val="32"/>
        </w:rPr>
        <w:t> </w:t>
      </w:r>
    </w:p>
    <w:p>
      <w:pPr>
        <w:pageBreakBefore w:val="0"/>
        <w:numPr>
          <w:ilvl w:val="0"/>
          <w:numId w:val="0"/>
        </w:numPr>
        <w:kinsoku/>
        <w:wordWrap/>
        <w:overflowPunct/>
        <w:topLinePunct w:val="0"/>
        <w:bidi w:val="0"/>
        <w:spacing w:line="560" w:lineRule="exact"/>
        <w:ind w:firstLine="640" w:firstLineChars="200"/>
        <w:rPr>
          <w:rStyle w:val="17"/>
          <w:rFonts w:hint="eastAsia" w:ascii="仿宋" w:hAnsi="仿宋" w:eastAsia="仿宋"/>
          <w:b w:val="0"/>
          <w:bCs/>
          <w:color w:val="000000"/>
          <w:sz w:val="32"/>
          <w:szCs w:val="32"/>
          <w:highlight w:val="none"/>
          <w:lang w:val="en-US" w:eastAsia="zh-CN"/>
        </w:rPr>
      </w:pPr>
      <w:r>
        <w:rPr>
          <w:rStyle w:val="17"/>
          <w:rFonts w:hint="eastAsia" w:ascii="仿宋" w:hAnsi="仿宋" w:eastAsia="仿宋"/>
          <w:b w:val="0"/>
          <w:bCs/>
          <w:color w:val="000000"/>
          <w:sz w:val="32"/>
          <w:szCs w:val="32"/>
          <w:highlight w:val="none"/>
          <w:lang w:val="en-US" w:eastAsia="zh-CN"/>
        </w:rPr>
        <w:t>12、商业服务业支出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val="0"/>
          <w:color w:val="000000"/>
          <w:sz w:val="32"/>
          <w:szCs w:val="32"/>
          <w:highlight w:val="none"/>
          <w:lang w:val="en-US" w:eastAsia="zh-CN"/>
        </w:rPr>
      </w:pPr>
      <w:r>
        <w:rPr>
          <w:rStyle w:val="17"/>
          <w:rFonts w:hint="eastAsia" w:ascii="仿宋" w:hAnsi="仿宋" w:eastAsia="仿宋"/>
          <w:b w:val="0"/>
          <w:bCs w:val="0"/>
          <w:color w:val="000000"/>
          <w:sz w:val="32"/>
          <w:szCs w:val="32"/>
          <w:highlight w:val="none"/>
          <w:lang w:val="en-US" w:eastAsia="zh-CN"/>
        </w:rPr>
        <w:t>商业服务业等支出（类）商业流通事务（款）行政运行（项）：指行政单位（包括实行公务员管理的事业单位）的基本支出。</w:t>
      </w:r>
    </w:p>
    <w:p>
      <w:pPr>
        <w:pageBreakBefore w:val="0"/>
        <w:kinsoku/>
        <w:wordWrap/>
        <w:overflowPunct/>
        <w:topLinePunct w:val="0"/>
        <w:bidi w:val="0"/>
        <w:spacing w:line="560" w:lineRule="exact"/>
        <w:ind w:firstLine="640" w:firstLineChars="200"/>
        <w:rPr>
          <w:rStyle w:val="17"/>
          <w:rFonts w:hint="eastAsia" w:ascii="仿宋" w:hAnsi="仿宋" w:eastAsia="仿宋"/>
          <w:b w:val="0"/>
          <w:bCs/>
          <w:color w:val="000000"/>
          <w:sz w:val="32"/>
          <w:szCs w:val="32"/>
          <w:lang w:eastAsia="zh-CN"/>
        </w:rPr>
      </w:pPr>
      <w:r>
        <w:rPr>
          <w:rStyle w:val="17"/>
          <w:rFonts w:hint="eastAsia" w:ascii="仿宋" w:hAnsi="仿宋" w:eastAsia="仿宋"/>
          <w:b w:val="0"/>
          <w:bCs/>
          <w:color w:val="000000"/>
          <w:sz w:val="32"/>
          <w:szCs w:val="32"/>
          <w:lang w:val="en-US" w:eastAsia="zh-CN"/>
        </w:rPr>
        <w:t>商业服务业等支出（类）商业流通事务（款）其他商业流通事务支出（项）：指</w:t>
      </w:r>
      <w:r>
        <w:rPr>
          <w:rStyle w:val="17"/>
          <w:rFonts w:hint="eastAsia" w:ascii="仿宋" w:hAnsi="仿宋" w:eastAsia="仿宋"/>
          <w:b w:val="0"/>
          <w:bCs/>
          <w:color w:val="000000"/>
          <w:sz w:val="32"/>
          <w:szCs w:val="32"/>
          <w:lang w:eastAsia="zh-CN"/>
        </w:rPr>
        <w:t>上述项目以外其他用于</w:t>
      </w:r>
      <w:r>
        <w:rPr>
          <w:rStyle w:val="17"/>
          <w:rFonts w:hint="eastAsia" w:ascii="仿宋" w:hAnsi="仿宋" w:eastAsia="仿宋"/>
          <w:b w:val="0"/>
          <w:bCs/>
          <w:color w:val="000000"/>
          <w:sz w:val="32"/>
          <w:szCs w:val="32"/>
          <w:lang w:val="en-US" w:eastAsia="zh-CN"/>
        </w:rPr>
        <w:t>商业服务方面的支出。</w:t>
      </w:r>
    </w:p>
    <w:p>
      <w:pPr>
        <w:pageBreakBefore w:val="0"/>
        <w:numPr>
          <w:ilvl w:val="0"/>
          <w:numId w:val="0"/>
        </w:numPr>
        <w:kinsoku/>
        <w:wordWrap/>
        <w:overflowPunct/>
        <w:topLinePunct w:val="0"/>
        <w:bidi w:val="0"/>
        <w:spacing w:line="560" w:lineRule="exact"/>
        <w:ind w:leftChars="200" w:firstLine="320" w:firstLineChars="100"/>
        <w:rPr>
          <w:rStyle w:val="17"/>
          <w:rFonts w:hint="eastAsia" w:ascii="仿宋" w:hAnsi="仿宋" w:eastAsia="仿宋"/>
          <w:b w:val="0"/>
          <w:bCs/>
          <w:color w:val="000000"/>
          <w:sz w:val="32"/>
          <w:szCs w:val="32"/>
          <w:lang w:val="en-US" w:eastAsia="zh-CN"/>
        </w:rPr>
      </w:pPr>
      <w:r>
        <w:rPr>
          <w:rStyle w:val="17"/>
          <w:rFonts w:hint="eastAsia" w:ascii="仿宋" w:hAnsi="仿宋" w:eastAsia="仿宋"/>
          <w:b w:val="0"/>
          <w:bCs/>
          <w:color w:val="000000"/>
          <w:sz w:val="32"/>
          <w:szCs w:val="32"/>
          <w:lang w:val="en-US" w:eastAsia="zh-CN"/>
        </w:rPr>
        <w:t>13、住房保障支出</w:t>
      </w:r>
    </w:p>
    <w:p>
      <w:pPr>
        <w:pageBreakBefore w:val="0"/>
        <w:numPr>
          <w:ilvl w:val="0"/>
          <w:numId w:val="0"/>
        </w:numPr>
        <w:kinsoku/>
        <w:wordWrap/>
        <w:overflowPunct/>
        <w:topLinePunct w:val="0"/>
        <w:bidi w:val="0"/>
        <w:spacing w:line="560" w:lineRule="exact"/>
        <w:ind w:leftChars="200" w:firstLine="320" w:firstLineChars="100"/>
        <w:rPr>
          <w:rFonts w:hint="eastAsia" w:ascii="仿宋" w:hAnsi="仿宋" w:eastAsia="仿宋"/>
          <w:color w:val="000000"/>
          <w:sz w:val="32"/>
          <w:szCs w:val="32"/>
          <w:lang w:eastAsia="zh-CN"/>
        </w:rPr>
      </w:pPr>
      <w:r>
        <w:rPr>
          <w:rStyle w:val="17"/>
          <w:rFonts w:hint="eastAsia" w:ascii="仿宋" w:hAnsi="仿宋" w:eastAsia="仿宋"/>
          <w:b w:val="0"/>
          <w:bCs/>
          <w:color w:val="000000"/>
          <w:sz w:val="32"/>
          <w:szCs w:val="32"/>
          <w:lang w:val="en-US" w:eastAsia="zh-CN"/>
        </w:rPr>
        <w:t>住房保障支出（类）住房改革支出（款）住房公积金（项）：指</w:t>
      </w:r>
      <w:r>
        <w:rPr>
          <w:rStyle w:val="17"/>
          <w:rFonts w:hint="eastAsia" w:ascii="仿宋" w:hAnsi="仿宋" w:eastAsia="仿宋"/>
          <w:b w:val="0"/>
          <w:bCs/>
          <w:color w:val="000000"/>
          <w:sz w:val="32"/>
          <w:szCs w:val="32"/>
          <w:lang w:eastAsia="zh-CN"/>
        </w:rPr>
        <w:t>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人员经费：</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基本工资</w:t>
      </w:r>
      <w:r>
        <w:rPr>
          <w:rFonts w:hint="eastAsia" w:ascii="仿宋" w:hAnsi="仿宋" w:eastAsia="仿宋"/>
          <w:color w:val="000000"/>
          <w:sz w:val="32"/>
          <w:szCs w:val="32"/>
          <w:lang w:eastAsia="zh-CN"/>
        </w:rPr>
        <w:t>：反映按规定发放的基本工资。</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津贴补贴</w:t>
      </w:r>
      <w:r>
        <w:rPr>
          <w:rFonts w:hint="eastAsia" w:ascii="仿宋" w:hAnsi="仿宋" w:eastAsia="仿宋"/>
          <w:color w:val="000000"/>
          <w:sz w:val="32"/>
          <w:szCs w:val="32"/>
          <w:lang w:eastAsia="zh-CN"/>
        </w:rPr>
        <w:t>：反映按规定发放的津贴、补贴。</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奖金</w:t>
      </w:r>
      <w:r>
        <w:rPr>
          <w:rFonts w:hint="eastAsia" w:ascii="仿宋" w:hAnsi="仿宋" w:eastAsia="仿宋"/>
          <w:color w:val="000000"/>
          <w:sz w:val="32"/>
          <w:szCs w:val="32"/>
          <w:lang w:eastAsia="zh-CN"/>
        </w:rPr>
        <w:t>：反映按规定发放的奖金，包括机关工作人员年终一次性奖金等。</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伙食补助费</w:t>
      </w:r>
      <w:r>
        <w:rPr>
          <w:rFonts w:hint="eastAsia" w:ascii="仿宋" w:hAnsi="仿宋" w:eastAsia="仿宋"/>
          <w:color w:val="000000"/>
          <w:sz w:val="32"/>
          <w:szCs w:val="32"/>
          <w:lang w:eastAsia="zh-CN"/>
        </w:rPr>
        <w:t>：反映单位发给职工的伙食补助费。</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eastAsia="zh-CN"/>
        </w:rPr>
        <w:t>：反映单位为职工缴纳的基本养老保险费。由单位代扣的工作人员基本养老保险缴费，不在此科目反映。</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职业年金缴费</w:t>
      </w:r>
      <w:r>
        <w:rPr>
          <w:rFonts w:hint="eastAsia" w:ascii="仿宋" w:hAnsi="仿宋" w:eastAsia="仿宋"/>
          <w:color w:val="000000"/>
          <w:sz w:val="32"/>
          <w:szCs w:val="32"/>
          <w:lang w:eastAsia="zh-CN"/>
        </w:rPr>
        <w:t>：反映单位为职工缴纳的职业年金（含职业年金补记支出）。由单位代扣的工作人员职业年金，不在此科目反映。</w:t>
      </w:r>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职工基本医疗缴费：</w:t>
      </w:r>
      <w:r>
        <w:rPr>
          <w:rFonts w:hint="eastAsia" w:ascii="仿宋" w:hAnsi="仿宋" w:eastAsia="仿宋"/>
          <w:color w:val="000000"/>
          <w:sz w:val="32"/>
          <w:szCs w:val="32"/>
          <w:lang w:eastAsia="zh-CN"/>
        </w:rPr>
        <w:t>反映单位为职工缴纳的</w:t>
      </w:r>
      <w:r>
        <w:rPr>
          <w:rFonts w:hint="eastAsia" w:ascii="仿宋" w:hAnsi="仿宋" w:eastAsia="仿宋"/>
          <w:color w:val="000000"/>
          <w:sz w:val="32"/>
          <w:szCs w:val="32"/>
          <w:lang w:val="en-US" w:eastAsia="zh-CN"/>
        </w:rPr>
        <w:t>基本医疗保险费。</w:t>
      </w:r>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公务员医疗补助缴费：</w:t>
      </w:r>
      <w:r>
        <w:rPr>
          <w:rFonts w:hint="eastAsia" w:ascii="仿宋" w:hAnsi="仿宋" w:eastAsia="仿宋"/>
          <w:color w:val="000000"/>
          <w:sz w:val="32"/>
          <w:szCs w:val="32"/>
          <w:lang w:eastAsia="zh-CN"/>
        </w:rPr>
        <w:t>反映按规定可享受公务员医疗补助单位为职工缴纳的</w:t>
      </w:r>
      <w:r>
        <w:rPr>
          <w:rFonts w:hint="eastAsia" w:ascii="仿宋" w:hAnsi="仿宋" w:eastAsia="仿宋"/>
          <w:color w:val="000000"/>
          <w:sz w:val="32"/>
          <w:szCs w:val="32"/>
          <w:lang w:val="en-US" w:eastAsia="zh-CN"/>
        </w:rPr>
        <w:t>公务员医疗补助。</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其他社会保障缴费</w:t>
      </w:r>
      <w:r>
        <w:rPr>
          <w:rFonts w:hint="eastAsia" w:ascii="仿宋" w:hAnsi="仿宋" w:eastAsia="仿宋"/>
          <w:color w:val="000000"/>
          <w:sz w:val="32"/>
          <w:szCs w:val="32"/>
          <w:lang w:eastAsia="zh-CN"/>
        </w:rPr>
        <w:t>：反映单位为职工缴纳的失业、工伤、生育等社会保险费。</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住房公积金</w:t>
      </w:r>
      <w:r>
        <w:rPr>
          <w:rFonts w:hint="eastAsia" w:ascii="仿宋" w:hAnsi="仿宋" w:eastAsia="仿宋"/>
          <w:color w:val="000000"/>
          <w:sz w:val="32"/>
          <w:szCs w:val="32"/>
          <w:lang w:eastAsia="zh-CN"/>
        </w:rPr>
        <w:t>：反映单位为职工缴纳的</w:t>
      </w:r>
      <w:r>
        <w:rPr>
          <w:rFonts w:hint="eastAsia" w:ascii="仿宋" w:hAnsi="仿宋" w:eastAsia="仿宋"/>
          <w:color w:val="000000"/>
          <w:sz w:val="32"/>
          <w:szCs w:val="32"/>
        </w:rPr>
        <w:t>住房公积金</w:t>
      </w:r>
      <w:r>
        <w:rPr>
          <w:rFonts w:hint="eastAsia" w:ascii="仿宋" w:hAnsi="仿宋" w:eastAsia="仿宋"/>
          <w:color w:val="000000"/>
          <w:sz w:val="32"/>
          <w:szCs w:val="32"/>
          <w:lang w:eastAsia="zh-CN"/>
        </w:rPr>
        <w:t>。</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生活补助</w:t>
      </w:r>
      <w:r>
        <w:rPr>
          <w:rFonts w:hint="eastAsia" w:ascii="仿宋" w:hAnsi="仿宋" w:eastAsia="仿宋"/>
          <w:color w:val="000000"/>
          <w:sz w:val="32"/>
          <w:szCs w:val="32"/>
          <w:lang w:eastAsia="zh-CN"/>
        </w:rPr>
        <w:t>：反映按规定开支的优抚对象定期定量生活补助费、退役军人生活补助费、机关事业的为职工遗属生活补助、长期赡养人员补助费等。</w:t>
      </w:r>
    </w:p>
    <w:p>
      <w:pPr>
        <w:numPr>
          <w:ilvl w:val="0"/>
          <w:numId w:val="0"/>
        </w:num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奖励金</w:t>
      </w:r>
      <w:r>
        <w:rPr>
          <w:rFonts w:hint="eastAsia" w:ascii="仿宋" w:hAnsi="仿宋" w:eastAsia="仿宋"/>
          <w:color w:val="000000"/>
          <w:sz w:val="32"/>
          <w:szCs w:val="32"/>
          <w:lang w:eastAsia="zh-CN"/>
        </w:rPr>
        <w:t>：反映对个体私营经济的奖励、计划生育目标责任奖励、独生子女父母奖励等。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eastAsia="zh-CN"/>
        </w:rPr>
        <w:t>：</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办公费</w:t>
      </w:r>
      <w:r>
        <w:rPr>
          <w:rFonts w:hint="eastAsia" w:ascii="仿宋" w:hAnsi="仿宋" w:eastAsia="仿宋"/>
          <w:color w:val="000000"/>
          <w:sz w:val="32"/>
          <w:szCs w:val="32"/>
          <w:lang w:eastAsia="zh-CN"/>
        </w:rPr>
        <w:t>：反映单位购买日常办公用品、书报杂志等支出。</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水</w:t>
      </w:r>
      <w:r>
        <w:rPr>
          <w:rFonts w:hint="eastAsia" w:ascii="仿宋" w:hAnsi="仿宋" w:eastAsia="仿宋"/>
          <w:color w:val="000000"/>
          <w:sz w:val="32"/>
          <w:szCs w:val="32"/>
        </w:rPr>
        <w:t>费</w:t>
      </w:r>
      <w:r>
        <w:rPr>
          <w:rFonts w:hint="eastAsia" w:ascii="仿宋" w:hAnsi="仿宋" w:eastAsia="仿宋"/>
          <w:color w:val="000000"/>
          <w:sz w:val="32"/>
          <w:szCs w:val="32"/>
          <w:lang w:eastAsia="zh-CN"/>
        </w:rPr>
        <w:t>：反映单位的水费、污水处理费等支出。</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电费</w:t>
      </w:r>
      <w:r>
        <w:rPr>
          <w:rFonts w:hint="eastAsia" w:ascii="仿宋" w:hAnsi="仿宋" w:eastAsia="仿宋"/>
          <w:color w:val="000000"/>
          <w:sz w:val="32"/>
          <w:szCs w:val="32"/>
          <w:lang w:eastAsia="zh-CN"/>
        </w:rPr>
        <w:t>：反映单位的电费支出。</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邮电费</w:t>
      </w:r>
      <w:r>
        <w:rPr>
          <w:rFonts w:hint="eastAsia" w:ascii="仿宋" w:hAnsi="仿宋" w:eastAsia="仿宋"/>
          <w:color w:val="000000"/>
          <w:sz w:val="32"/>
          <w:szCs w:val="32"/>
          <w:lang w:eastAsia="zh-CN"/>
        </w:rPr>
        <w:t>：反映单位开支的电话费及网络通讯费等。</w:t>
      </w:r>
    </w:p>
    <w:p>
      <w:pPr>
        <w:spacing w:line="600" w:lineRule="exact"/>
        <w:ind w:firstLine="645"/>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物业管理费：反映单位开支的办公用房以及未实行职工住宅物业服务改革的在职职工和离退休人员宿舍等的物业管理费，包括综合治理、绿化、卫生等方面的支出。</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差旅费</w:t>
      </w:r>
      <w:r>
        <w:rPr>
          <w:rFonts w:hint="eastAsia" w:ascii="仿宋" w:hAnsi="仿宋" w:eastAsia="仿宋"/>
          <w:color w:val="000000"/>
          <w:sz w:val="32"/>
          <w:szCs w:val="32"/>
          <w:lang w:eastAsia="zh-CN"/>
        </w:rPr>
        <w:t>：反映单位工作人员国（境）内出差发生的城市间交通费、住宿费、伙食补助费和市内交通费。</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公务接待费</w:t>
      </w:r>
      <w:r>
        <w:rPr>
          <w:rFonts w:hint="eastAsia" w:ascii="仿宋" w:hAnsi="仿宋" w:eastAsia="仿宋"/>
          <w:color w:val="000000"/>
          <w:sz w:val="32"/>
          <w:szCs w:val="32"/>
          <w:lang w:eastAsia="zh-CN"/>
        </w:rPr>
        <w:t>：</w:t>
      </w:r>
      <w:r>
        <w:rPr>
          <w:rFonts w:hint="eastAsia" w:ascii="仿宋_GB2312" w:eastAsia="仿宋_GB2312"/>
          <w:sz w:val="32"/>
          <w:szCs w:val="32"/>
        </w:rPr>
        <w:t>反映单位按规定开支的各类公务接待支出。</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劳务费</w:t>
      </w:r>
      <w:r>
        <w:rPr>
          <w:rFonts w:hint="eastAsia" w:ascii="仿宋" w:hAnsi="仿宋" w:eastAsia="仿宋"/>
          <w:color w:val="000000"/>
          <w:sz w:val="32"/>
          <w:szCs w:val="32"/>
          <w:lang w:eastAsia="zh-CN"/>
        </w:rPr>
        <w:t>：反映支付给外单位和个人的劳务费用。</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委托业务费</w:t>
      </w:r>
      <w:r>
        <w:rPr>
          <w:rFonts w:hint="eastAsia" w:ascii="仿宋" w:hAnsi="仿宋" w:eastAsia="仿宋"/>
          <w:color w:val="000000"/>
          <w:sz w:val="32"/>
          <w:szCs w:val="32"/>
          <w:lang w:eastAsia="zh-CN"/>
        </w:rPr>
        <w:t>：反映因委托外单位办理业务而支付的</w:t>
      </w:r>
      <w:r>
        <w:rPr>
          <w:rFonts w:hint="eastAsia" w:ascii="仿宋" w:hAnsi="仿宋" w:eastAsia="仿宋"/>
          <w:color w:val="000000"/>
          <w:sz w:val="32"/>
          <w:szCs w:val="32"/>
        </w:rPr>
        <w:t>委托业务费</w:t>
      </w:r>
      <w:r>
        <w:rPr>
          <w:rFonts w:hint="eastAsia" w:ascii="仿宋" w:hAnsi="仿宋" w:eastAsia="仿宋"/>
          <w:color w:val="000000"/>
          <w:sz w:val="32"/>
          <w:szCs w:val="32"/>
          <w:lang w:eastAsia="zh-CN"/>
        </w:rPr>
        <w:t>。</w:t>
      </w:r>
    </w:p>
    <w:p>
      <w:pPr>
        <w:spacing w:line="600" w:lineRule="exact"/>
        <w:ind w:firstLine="645"/>
        <w:rPr>
          <w:rFonts w:hint="eastAsia" w:ascii="仿宋" w:hAnsi="仿宋" w:eastAsia="仿宋_GB2312"/>
          <w:color w:val="000000"/>
          <w:sz w:val="32"/>
          <w:szCs w:val="32"/>
          <w:lang w:val="en-US" w:eastAsia="zh-CN"/>
        </w:rPr>
      </w:pPr>
      <w:r>
        <w:rPr>
          <w:rFonts w:hint="eastAsia" w:ascii="仿宋" w:hAnsi="仿宋" w:eastAsia="仿宋"/>
          <w:color w:val="000000"/>
          <w:sz w:val="32"/>
          <w:szCs w:val="32"/>
          <w:lang w:val="en-US" w:eastAsia="zh-CN"/>
        </w:rPr>
        <w:t>工会经费：</w:t>
      </w:r>
      <w:r>
        <w:rPr>
          <w:rFonts w:hint="eastAsia" w:ascii="仿宋_GB2312" w:eastAsia="仿宋_GB2312"/>
          <w:sz w:val="32"/>
          <w:szCs w:val="32"/>
        </w:rPr>
        <w:t>反映单位按规定</w:t>
      </w:r>
      <w:r>
        <w:rPr>
          <w:rFonts w:hint="eastAsia" w:ascii="仿宋_GB2312" w:eastAsia="仿宋_GB2312"/>
          <w:sz w:val="32"/>
          <w:szCs w:val="32"/>
          <w:lang w:eastAsia="zh-CN"/>
        </w:rPr>
        <w:t>提取或安排的工会经费。</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福利费</w:t>
      </w:r>
      <w:r>
        <w:rPr>
          <w:rFonts w:hint="eastAsia" w:ascii="仿宋" w:hAnsi="仿宋" w:eastAsia="仿宋"/>
          <w:color w:val="000000"/>
          <w:sz w:val="32"/>
          <w:szCs w:val="32"/>
          <w:lang w:eastAsia="zh-CN"/>
        </w:rPr>
        <w:t>：反映单位按规定提取的职工福利费。</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其他交通费</w:t>
      </w:r>
      <w:r>
        <w:rPr>
          <w:rFonts w:hint="eastAsia" w:ascii="仿宋" w:hAnsi="仿宋" w:eastAsia="仿宋"/>
          <w:color w:val="000000"/>
          <w:sz w:val="32"/>
          <w:szCs w:val="32"/>
          <w:lang w:eastAsia="zh-CN"/>
        </w:rPr>
        <w:t>：反映单位除公务用车运行维护费以外的其他交通费。</w:t>
      </w:r>
    </w:p>
    <w:p>
      <w:pPr>
        <w:spacing w:line="600" w:lineRule="exact"/>
        <w:ind w:firstLine="645"/>
        <w:rPr>
          <w:rFonts w:ascii="仿宋_GB2312" w:eastAsia="仿宋_GB2312"/>
          <w:sz w:val="32"/>
          <w:szCs w:val="32"/>
        </w:rPr>
      </w:pPr>
      <w:r>
        <w:rPr>
          <w:rFonts w:hint="eastAsia" w:ascii="仿宋" w:hAnsi="仿宋" w:eastAsia="仿宋"/>
          <w:color w:val="000000"/>
          <w:sz w:val="32"/>
          <w:szCs w:val="32"/>
          <w:lang w:val="en-US" w:eastAsia="zh-CN"/>
        </w:rPr>
        <w:t>其他商品和服务支出：反映上述科目未包括的日常公用支出。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pPr>
        <w:pStyle w:val="4"/>
        <w:jc w:val="center"/>
        <w:rPr>
          <w:rFonts w:ascii="黑体" w:hAnsi="黑体" w:eastAsia="黑体"/>
          <w:b w:val="0"/>
        </w:rPr>
      </w:pPr>
      <w:r>
        <w:rPr>
          <w:rFonts w:hint="eastAsia" w:ascii="黑体" w:hAnsi="黑体" w:eastAsia="黑体"/>
          <w:b w:val="0"/>
        </w:rPr>
        <w:t>第四部分 附件</w:t>
      </w:r>
    </w:p>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pPr>
        <w:jc w:val="center"/>
        <w:rPr>
          <w:rFonts w:ascii="仿宋_GB2312" w:eastAsia="仿宋_GB2312"/>
          <w:sz w:val="32"/>
          <w:szCs w:val="32"/>
          <w:highlight w:val="yellow"/>
        </w:rPr>
      </w:pPr>
      <w:r>
        <w:rPr>
          <w:rFonts w:hint="eastAsia" w:ascii="仿宋_GB2312" w:eastAsia="仿宋_GB2312"/>
          <w:sz w:val="32"/>
          <w:szCs w:val="32"/>
          <w:highlight w:val="none"/>
        </w:rPr>
        <w:t>（报告范围包括机关和下属单位）</w:t>
      </w:r>
    </w:p>
    <w:p>
      <w:pPr>
        <w:rPr>
          <w:highlight w:val="yellow"/>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r>
        <w:rPr>
          <w:rFonts w:hint="eastAsia" w:ascii="仿宋" w:hAnsi="仿宋" w:eastAsia="仿宋" w:cs="仿宋"/>
          <w:color w:val="000000"/>
          <w:kern w:val="0"/>
          <w:sz w:val="32"/>
          <w:szCs w:val="32"/>
          <w:shd w:val="clear" w:color="auto" w:fill="FFFFFF"/>
          <w:lang w:eastAsia="zh-CN"/>
        </w:rPr>
        <w:t>金口河区供销合作社联合社</w:t>
      </w:r>
      <w:r>
        <w:rPr>
          <w:rFonts w:hint="eastAsia" w:ascii="仿宋" w:hAnsi="仿宋" w:eastAsia="仿宋" w:cs="仿宋"/>
          <w:color w:val="000000"/>
          <w:kern w:val="0"/>
          <w:sz w:val="32"/>
          <w:szCs w:val="32"/>
          <w:shd w:val="clear" w:color="auto" w:fill="FFFFFF"/>
        </w:rPr>
        <w:t>属参照公务员法管理的事业单位，无二级机构</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和人员概况：研究制定并组织实施全区供销合作社发展战略和规划，抓好区供销合作社系统的改革与发展；参与组织发展农产品行业协会、农民专业合作社和农村综合服务社，构建面向专业合作社组织的服务平台；指导社有企业和基层供销社开展农业生产资料经营、农副产品购销、日用消费品经营和再生资源回收利用等现代服务网络建设，参与农业产业化经营和农业综合开发等工作；受区政府及有关部门委托，承担重要农业生产资料和防汛救灾物资等商品的储备；管理、监督本级社有资产，行使社有资产所有者代表的职能，确保资产保值增值；指导供销合作社的组织制度建设，协调成员社之间的关系，促进合作社的联合与合作，维护供销社及其社员的合法权益；组织开展对社员和职工的教育培训，为基层社提供服务；对有关行业、业务范围内的协会等社会团体履行业务主管和行业主管单位的职能。截止</w:t>
      </w:r>
      <w:r>
        <w:rPr>
          <w:rFonts w:hint="eastAsia" w:ascii="仿宋" w:hAnsi="仿宋" w:eastAsia="仿宋" w:cs="仿宋"/>
          <w:color w:val="000000"/>
          <w:kern w:val="0"/>
          <w:sz w:val="32"/>
          <w:szCs w:val="32"/>
          <w:shd w:val="clear" w:color="auto" w:fill="FFFFFF"/>
        </w:rPr>
        <w:t>202</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rPr>
        <w:t>年年末在职人数7人。</w:t>
      </w:r>
      <w:r>
        <w:rPr>
          <w:rFonts w:hint="eastAsia" w:ascii="仿宋" w:hAnsi="仿宋" w:eastAsia="仿宋" w:cs="仿宋"/>
          <w:color w:val="000000"/>
          <w:kern w:val="0"/>
          <w:sz w:val="32"/>
          <w:szCs w:val="32"/>
          <w:shd w:val="clear" w:color="auto" w:fill="FFFFFF"/>
          <w:lang w:eastAsia="zh-CN"/>
        </w:rPr>
        <w:t>其中</w:t>
      </w:r>
      <w:r>
        <w:rPr>
          <w:rFonts w:hint="eastAsia" w:ascii="仿宋" w:hAnsi="仿宋" w:eastAsia="仿宋" w:cs="仿宋"/>
          <w:color w:val="000000"/>
          <w:kern w:val="0"/>
          <w:sz w:val="32"/>
          <w:szCs w:val="32"/>
          <w:shd w:val="clear" w:color="auto" w:fill="FFFFFF"/>
          <w:lang w:val="en-US" w:eastAsia="zh-CN"/>
        </w:rPr>
        <w:t>行政人数6人，政府雇员1人</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（三）年度主要工作任务：</w:t>
      </w:r>
      <w:r>
        <w:rPr>
          <w:rFonts w:hint="eastAsia" w:ascii="仿宋" w:hAnsi="仿宋" w:eastAsia="仿宋" w:cs="仿宋"/>
          <w:color w:val="000000"/>
          <w:kern w:val="0"/>
          <w:sz w:val="32"/>
          <w:szCs w:val="32"/>
          <w:shd w:val="clear" w:color="auto" w:fill="FFFFFF"/>
          <w:lang w:val="en-US" w:eastAsia="zh-CN"/>
        </w:rPr>
        <w:t>深化党的领导，狠</w:t>
      </w:r>
      <w:r>
        <w:rPr>
          <w:rFonts w:hint="eastAsia" w:ascii="仿宋" w:hAnsi="仿宋" w:eastAsia="仿宋" w:cs="仿宋"/>
          <w:color w:val="000000"/>
          <w:kern w:val="0"/>
          <w:sz w:val="32"/>
          <w:szCs w:val="32"/>
          <w:shd w:val="clear" w:color="auto" w:fill="FFFFFF"/>
          <w:lang w:val="zh-CN" w:eastAsia="zh-CN"/>
        </w:rPr>
        <w:t>抓队伍建设；</w:t>
      </w:r>
      <w:r>
        <w:rPr>
          <w:rFonts w:hint="eastAsia" w:ascii="仿宋" w:hAnsi="仿宋" w:eastAsia="仿宋" w:cs="仿宋"/>
          <w:color w:val="000000"/>
          <w:kern w:val="0"/>
          <w:sz w:val="32"/>
          <w:szCs w:val="32"/>
          <w:shd w:val="clear" w:color="auto" w:fill="FFFFFF"/>
          <w:lang w:val="en-US" w:eastAsia="zh-CN"/>
        </w:rPr>
        <w:t>加强组织建设，高标推进“后半篇”文章改革；强化管理服务，全力保障农资市场稳定；夯实职能建设，全力提升社会化服务水平；拓展合作模式，全面丰富供销服务载体；亲情走访帮扶，全面提升帮扶工作成效</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rPr>
        <w:t>（四）</w:t>
      </w:r>
      <w:r>
        <w:rPr>
          <w:rFonts w:hint="eastAsia" w:ascii="仿宋" w:hAnsi="仿宋" w:eastAsia="仿宋" w:cs="仿宋"/>
          <w:color w:val="000000"/>
          <w:kern w:val="0"/>
          <w:sz w:val="32"/>
          <w:szCs w:val="32"/>
          <w:shd w:val="clear" w:color="auto" w:fill="FFFFFF"/>
          <w:lang w:val="zh-CN" w:eastAsia="zh-CN"/>
        </w:rPr>
        <w:t>部门整体支出绩效目标。</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zh-CN" w:eastAsia="zh-CN"/>
        </w:rPr>
        <w:t>区供销社202</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val="zh-CN" w:eastAsia="zh-CN"/>
        </w:rPr>
        <w:t>全年决算总收入为185</w:t>
      </w:r>
      <w:r>
        <w:rPr>
          <w:rFonts w:hint="eastAsia" w:ascii="仿宋" w:hAnsi="仿宋" w:eastAsia="仿宋" w:cs="仿宋"/>
          <w:color w:val="000000"/>
          <w:kern w:val="0"/>
          <w:sz w:val="32"/>
          <w:szCs w:val="32"/>
          <w:shd w:val="clear" w:color="auto" w:fill="FFFFFF"/>
          <w:lang w:val="en-US" w:eastAsia="zh-CN"/>
        </w:rPr>
        <w:t>.48</w:t>
      </w:r>
      <w:r>
        <w:rPr>
          <w:rFonts w:hint="eastAsia" w:ascii="仿宋" w:hAnsi="仿宋" w:eastAsia="仿宋" w:cs="仿宋"/>
          <w:color w:val="000000"/>
          <w:kern w:val="0"/>
          <w:sz w:val="32"/>
          <w:szCs w:val="32"/>
          <w:shd w:val="clear" w:color="auto" w:fill="FFFFFF"/>
          <w:lang w:val="zh-CN" w:eastAsia="zh-CN"/>
        </w:rPr>
        <w:t>万元，一般公共预算财政拨款收入</w:t>
      </w:r>
      <w:r>
        <w:rPr>
          <w:rFonts w:hint="eastAsia" w:ascii="仿宋" w:hAnsi="仿宋" w:eastAsia="仿宋" w:cs="仿宋"/>
          <w:color w:val="000000"/>
          <w:kern w:val="0"/>
          <w:sz w:val="32"/>
          <w:szCs w:val="32"/>
          <w:shd w:val="clear" w:color="auto" w:fill="FFFFFF"/>
          <w:lang w:val="en-US" w:eastAsia="zh-CN"/>
        </w:rPr>
        <w:t>185.48万</w:t>
      </w:r>
      <w:r>
        <w:rPr>
          <w:rFonts w:hint="eastAsia" w:ascii="仿宋" w:hAnsi="仿宋" w:eastAsia="仿宋" w:cs="仿宋"/>
          <w:color w:val="000000"/>
          <w:kern w:val="0"/>
          <w:sz w:val="32"/>
          <w:szCs w:val="32"/>
          <w:shd w:val="clear" w:color="auto" w:fill="FFFFFF"/>
          <w:lang w:val="zh-CN" w:eastAsia="zh-CN"/>
        </w:rPr>
        <w:t>元，占</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lang w:val="zh-CN" w:eastAsia="zh-CN"/>
        </w:rPr>
        <w:t>%。</w:t>
      </w:r>
    </w:p>
    <w:p>
      <w:pPr>
        <w:widowControl/>
        <w:numPr>
          <w:ilvl w:val="0"/>
          <w:numId w:val="9"/>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pPr>
        <w:pStyle w:val="27"/>
        <w:spacing w:line="600" w:lineRule="exact"/>
        <w:ind w:firstLine="707" w:firstLineChars="221"/>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eastAsia="zh-CN" w:bidi="ar-SA"/>
        </w:rPr>
        <w:t>区供销社202</w:t>
      </w:r>
      <w:r>
        <w:rPr>
          <w:rFonts w:hint="eastAsia" w:ascii="仿宋" w:hAnsi="仿宋" w:eastAsia="仿宋" w:cs="仿宋"/>
          <w:color w:val="000000"/>
          <w:kern w:val="0"/>
          <w:sz w:val="32"/>
          <w:szCs w:val="32"/>
          <w:shd w:val="clear" w:color="auto" w:fill="FFFFFF"/>
          <w:lang w:val="en-US" w:eastAsia="zh-CN" w:bidi="ar-SA"/>
        </w:rPr>
        <w:t>3</w:t>
      </w:r>
      <w:r>
        <w:rPr>
          <w:rFonts w:hint="eastAsia" w:ascii="仿宋" w:hAnsi="仿宋" w:eastAsia="仿宋" w:cs="仿宋"/>
          <w:color w:val="000000"/>
          <w:kern w:val="0"/>
          <w:sz w:val="32"/>
          <w:szCs w:val="32"/>
          <w:shd w:val="clear" w:color="auto" w:fill="FFFFFF"/>
          <w:lang w:val="zh-CN" w:eastAsia="zh-CN" w:bidi="ar-SA"/>
        </w:rPr>
        <w:t>全年决算总支出</w:t>
      </w:r>
      <w:r>
        <w:rPr>
          <w:rFonts w:hint="eastAsia" w:ascii="仿宋" w:hAnsi="仿宋" w:eastAsia="仿宋" w:cs="仿宋"/>
          <w:color w:val="000000"/>
          <w:kern w:val="0"/>
          <w:sz w:val="32"/>
          <w:szCs w:val="32"/>
          <w:shd w:val="clear" w:color="auto" w:fill="FFFFFF"/>
          <w:lang w:val="en-US" w:eastAsia="zh-CN" w:bidi="ar-SA"/>
        </w:rPr>
        <w:t>185.48</w:t>
      </w:r>
      <w:r>
        <w:rPr>
          <w:rFonts w:hint="eastAsia" w:ascii="仿宋" w:hAnsi="仿宋" w:eastAsia="仿宋" w:cs="仿宋"/>
          <w:color w:val="000000"/>
          <w:kern w:val="0"/>
          <w:sz w:val="32"/>
          <w:szCs w:val="32"/>
          <w:shd w:val="clear" w:color="auto" w:fill="FFFFFF"/>
          <w:lang w:val="zh-CN" w:eastAsia="zh-CN" w:bidi="ar-SA"/>
        </w:rPr>
        <w:t>万元元，其中：基本支出</w:t>
      </w:r>
      <w:r>
        <w:rPr>
          <w:rFonts w:hint="eastAsia" w:ascii="仿宋" w:hAnsi="仿宋" w:eastAsia="仿宋" w:cs="仿宋"/>
          <w:color w:val="000000"/>
          <w:kern w:val="0"/>
          <w:sz w:val="32"/>
          <w:szCs w:val="32"/>
          <w:shd w:val="clear" w:color="auto" w:fill="FFFFFF"/>
          <w:lang w:val="en-US" w:eastAsia="zh-CN" w:bidi="ar-SA"/>
        </w:rPr>
        <w:t>144.57</w:t>
      </w:r>
      <w:r>
        <w:rPr>
          <w:rFonts w:hint="eastAsia" w:ascii="仿宋" w:hAnsi="仿宋" w:eastAsia="仿宋" w:cs="仿宋"/>
          <w:color w:val="000000"/>
          <w:kern w:val="0"/>
          <w:sz w:val="32"/>
          <w:szCs w:val="32"/>
          <w:shd w:val="clear" w:color="auto" w:fill="FFFFFF"/>
          <w:lang w:val="zh-CN" w:eastAsia="zh-CN" w:bidi="ar-SA"/>
        </w:rPr>
        <w:t>万元，占</w:t>
      </w:r>
      <w:r>
        <w:rPr>
          <w:rFonts w:hint="eastAsia" w:ascii="仿宋" w:hAnsi="仿宋" w:eastAsia="仿宋" w:cs="仿宋"/>
          <w:color w:val="000000"/>
          <w:kern w:val="0"/>
          <w:sz w:val="32"/>
          <w:szCs w:val="32"/>
          <w:shd w:val="clear" w:color="auto" w:fill="FFFFFF"/>
          <w:lang w:val="en-US" w:eastAsia="zh-CN" w:bidi="ar-SA"/>
        </w:rPr>
        <w:t>77.94</w:t>
      </w:r>
      <w:r>
        <w:rPr>
          <w:rFonts w:hint="eastAsia" w:ascii="仿宋" w:hAnsi="仿宋" w:eastAsia="仿宋" w:cs="仿宋"/>
          <w:color w:val="000000"/>
          <w:kern w:val="0"/>
          <w:sz w:val="32"/>
          <w:szCs w:val="32"/>
          <w:shd w:val="clear" w:color="auto" w:fill="FFFFFF"/>
          <w:lang w:val="zh-CN" w:eastAsia="zh-CN" w:bidi="ar-SA"/>
        </w:rPr>
        <w:t>%；项目支出</w:t>
      </w:r>
      <w:r>
        <w:rPr>
          <w:rFonts w:hint="eastAsia" w:ascii="仿宋" w:hAnsi="仿宋" w:eastAsia="仿宋" w:cs="仿宋"/>
          <w:color w:val="000000"/>
          <w:kern w:val="0"/>
          <w:sz w:val="32"/>
          <w:szCs w:val="32"/>
          <w:shd w:val="clear" w:color="auto" w:fill="FFFFFF"/>
          <w:lang w:val="en-US" w:eastAsia="zh-CN" w:bidi="ar-SA"/>
        </w:rPr>
        <w:t>40.84</w:t>
      </w:r>
      <w:r>
        <w:rPr>
          <w:rFonts w:hint="eastAsia" w:ascii="仿宋" w:hAnsi="仿宋" w:eastAsia="仿宋" w:cs="仿宋"/>
          <w:color w:val="000000"/>
          <w:kern w:val="0"/>
          <w:sz w:val="32"/>
          <w:szCs w:val="32"/>
          <w:shd w:val="clear" w:color="auto" w:fill="FFFFFF"/>
          <w:lang w:val="zh-CN" w:eastAsia="zh-CN" w:bidi="ar-SA"/>
        </w:rPr>
        <w:t>万元，占2</w:t>
      </w: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0</w:t>
      </w:r>
      <w:r>
        <w:rPr>
          <w:rFonts w:hint="eastAsia" w:ascii="仿宋" w:hAnsi="仿宋" w:eastAsia="仿宋" w:cs="仿宋"/>
          <w:color w:val="000000"/>
          <w:kern w:val="0"/>
          <w:sz w:val="32"/>
          <w:szCs w:val="32"/>
          <w:shd w:val="clear" w:color="auto" w:fill="FFFFFF"/>
          <w:lang w:val="zh-CN" w:eastAsia="zh-CN" w:bidi="ar-SA"/>
        </w:rPr>
        <w:t>1%。</w:t>
      </w:r>
    </w:p>
    <w:p>
      <w:pPr>
        <w:widowControl/>
        <w:numPr>
          <w:ilvl w:val="0"/>
          <w:numId w:val="9"/>
        </w:numPr>
        <w:adjustRightInd w:val="0"/>
        <w:snapToGrid w:val="0"/>
        <w:spacing w:line="580" w:lineRule="exact"/>
        <w:ind w:left="0" w:leftChars="0" w:firstLine="640" w:firstLineChars="200"/>
        <w:contextualSpacing/>
        <w:jc w:val="left"/>
        <w:rPr>
          <w:rFonts w:hint="eastAsia"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zh-CN"/>
        </w:rPr>
        <w:t>部门财政资金结转结余情况。</w:t>
      </w:r>
    </w:p>
    <w:p>
      <w:pPr>
        <w:pStyle w:val="27"/>
        <w:spacing w:line="600" w:lineRule="exact"/>
        <w:ind w:firstLine="707" w:firstLineChars="221"/>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部门财政资金无结转结余。</w:t>
      </w:r>
    </w:p>
    <w:p>
      <w:pPr>
        <w:widowControl/>
        <w:numPr>
          <w:ilvl w:val="0"/>
          <w:numId w:val="2"/>
        </w:numPr>
        <w:adjustRightInd w:val="0"/>
        <w:snapToGrid w:val="0"/>
        <w:spacing w:line="580" w:lineRule="exact"/>
        <w:ind w:left="1360" w:leftChars="0" w:hanging="720" w:firstLineChars="0"/>
        <w:contextualSpacing/>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部门整体绩效管理情况</w:t>
      </w:r>
    </w:p>
    <w:p>
      <w:pPr>
        <w:widowControl/>
        <w:numPr>
          <w:ilvl w:val="0"/>
          <w:numId w:val="0"/>
        </w:numPr>
        <w:adjustRightInd w:val="0"/>
        <w:snapToGrid w:val="0"/>
        <w:spacing w:line="580" w:lineRule="exact"/>
        <w:ind w:left="640" w:leftChars="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楷体_GB2312" w:hAnsi="宋体" w:eastAsia="楷体_GB2312" w:cs="宋体"/>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zh-CN" w:eastAsia="zh-CN" w:bidi="ar-SA"/>
        </w:rPr>
        <w:t>一）部门整体履职绩效分析。</w:t>
      </w:r>
    </w:p>
    <w:p>
      <w:pPr>
        <w:pStyle w:val="2"/>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lang w:val="en-US" w:eastAsia="zh-CN" w:bidi="ar-SA"/>
        </w:rPr>
        <w:t xml:space="preserve"> 区供销社按照绩效目标要求，安排专人负责各项工作，开展本单位自评，编制规范完整绩效目标，编制细化量绩效指标，确保部门整体绩效目标如期完成</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（二）特定目标类项目绩效分析。</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包括项目绩效目标制定、目标实现、支出控制、及时处置、执行进度、预算完成情况、资金结余率（低效无效率）和违规记录等情况。</w:t>
      </w:r>
    </w:p>
    <w:p>
      <w:pPr>
        <w:widowControl/>
        <w:numPr>
          <w:ilvl w:val="0"/>
          <w:numId w:val="1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整体情况</w:t>
      </w:r>
    </w:p>
    <w:p>
      <w:pPr>
        <w:pStyle w:val="2"/>
        <w:ind w:firstLine="640" w:firstLineChars="200"/>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 xml:space="preserve"> 区供销社按照项目目标要求，制订项目绩效指标，编制规范化项目绩效指标，量化项目绩效指标，按照项目进度，严格控制项目支出金额，按时支付项目金额，项目绩效目标总体完成情况较好。</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（三）结果应用情况。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按照预算绩效管理要求，我单位对202</w:t>
      </w:r>
      <w:r>
        <w:rPr>
          <w:rFonts w:hint="eastAsia" w:ascii="仿宋" w:hAnsi="仿宋" w:eastAsia="仿宋" w:cs="仿宋"/>
          <w:color w:val="000000"/>
          <w:kern w:val="0"/>
          <w:sz w:val="32"/>
          <w:szCs w:val="32"/>
          <w:shd w:val="clear" w:color="auto" w:fill="FFFFFF"/>
          <w:lang w:val="en-US" w:eastAsia="zh-CN" w:bidi="ar-SA"/>
        </w:rPr>
        <w:t>3</w:t>
      </w:r>
      <w:r>
        <w:rPr>
          <w:rFonts w:hint="eastAsia" w:ascii="仿宋" w:hAnsi="仿宋" w:eastAsia="仿宋" w:cs="仿宋"/>
          <w:color w:val="000000"/>
          <w:kern w:val="0"/>
          <w:sz w:val="32"/>
          <w:szCs w:val="32"/>
          <w:shd w:val="clear" w:color="auto" w:fill="FFFFFF"/>
          <w:lang w:val="zh-CN" w:eastAsia="zh-CN" w:bidi="ar-SA"/>
        </w:rPr>
        <w:t>年整体支出开展绩效自评。我单位严格按照国家财务管理制度规定，做到了财务制度健全，会计核算规范，资金使用规范、业务程序透明、达到预期绩效目标。</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四、评价结论及建议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（一）评价结论。</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zh-CN" w:eastAsia="zh-CN" w:bidi="ar-SA"/>
        </w:rPr>
        <w:t>202</w:t>
      </w:r>
      <w:r>
        <w:rPr>
          <w:rFonts w:hint="eastAsia" w:ascii="仿宋" w:hAnsi="仿宋" w:eastAsia="仿宋" w:cs="仿宋"/>
          <w:color w:val="000000"/>
          <w:kern w:val="0"/>
          <w:sz w:val="32"/>
          <w:szCs w:val="32"/>
          <w:shd w:val="clear" w:color="auto" w:fill="FFFFFF"/>
          <w:lang w:val="en-US" w:eastAsia="zh-CN" w:bidi="ar-SA"/>
        </w:rPr>
        <w:t>3</w:t>
      </w:r>
      <w:r>
        <w:rPr>
          <w:rFonts w:hint="eastAsia" w:ascii="仿宋" w:hAnsi="仿宋" w:eastAsia="仿宋" w:cs="仿宋"/>
          <w:color w:val="000000"/>
          <w:kern w:val="0"/>
          <w:sz w:val="32"/>
          <w:szCs w:val="32"/>
          <w:shd w:val="clear" w:color="auto" w:fill="FFFFFF"/>
          <w:lang w:val="zh-CN" w:eastAsia="zh-CN" w:bidi="ar-SA"/>
        </w:rPr>
        <w:t>年，按照国家的法律法规加强预算管理，不断完善内控制度，认真地完成了202</w:t>
      </w:r>
      <w:r>
        <w:rPr>
          <w:rFonts w:hint="eastAsia" w:ascii="仿宋" w:hAnsi="仿宋" w:eastAsia="仿宋" w:cs="仿宋"/>
          <w:color w:val="000000"/>
          <w:kern w:val="0"/>
          <w:sz w:val="32"/>
          <w:szCs w:val="32"/>
          <w:shd w:val="clear" w:color="auto" w:fill="FFFFFF"/>
          <w:lang w:val="en-US" w:eastAsia="zh-CN" w:bidi="ar-SA"/>
        </w:rPr>
        <w:t>3</w:t>
      </w:r>
      <w:r>
        <w:rPr>
          <w:rFonts w:hint="eastAsia" w:ascii="仿宋" w:hAnsi="仿宋" w:eastAsia="仿宋" w:cs="仿宋"/>
          <w:color w:val="000000"/>
          <w:kern w:val="0"/>
          <w:sz w:val="32"/>
          <w:szCs w:val="32"/>
          <w:shd w:val="clear" w:color="auto" w:fill="FFFFFF"/>
          <w:lang w:val="zh-CN" w:eastAsia="zh-CN" w:bidi="ar-SA"/>
        </w:rPr>
        <w:t>年部门预算和决算汇总工作，能够按照财政部门批复的预算组织实施。通过项目资金的分配使用。综合以上各项指标，财务管理健全规范，没有发生违法违规现象，2022年的部门整体支出做到了使用规范、程序透明、达到预期绩效目标确保了机关的正常运行和各部门职能的正常履行，保证了目标任务的圆满完成</w:t>
      </w:r>
    </w:p>
    <w:p>
      <w:pPr>
        <w:widowControl/>
        <w:numPr>
          <w:ilvl w:val="0"/>
          <w:numId w:val="11"/>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存在问题。</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xml:space="preserve">加强项目资金管理，加强项目预算的计划性、科学性、确保专项资金使用公开、公平、公正；加强财政资金绩效管理，实现财政资金使用安全、高效、透明。 </w:t>
      </w:r>
    </w:p>
    <w:p>
      <w:pPr>
        <w:widowControl/>
        <w:numPr>
          <w:ilvl w:val="0"/>
          <w:numId w:val="11"/>
        </w:numPr>
        <w:adjustRightInd w:val="0"/>
        <w:snapToGrid w:val="0"/>
        <w:spacing w:line="580" w:lineRule="exact"/>
        <w:ind w:left="0" w:leftChars="0"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改进建议。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进一步健全和完善财务管理制度及内部控制制度，科学合理编制预算，严格执行预算。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ind w:firstLine="640" w:firstLineChars="200"/>
        <w:rPr>
          <w:rFonts w:hint="eastAsia" w:ascii="仿宋" w:hAnsi="仿宋" w:eastAsia="仿宋" w:cs="仿宋"/>
          <w:color w:val="000000"/>
          <w:kern w:val="0"/>
          <w:sz w:val="32"/>
          <w:szCs w:val="32"/>
          <w:shd w:val="clear" w:color="auto" w:fill="FFFFFF"/>
          <w:lang w:val="zh-CN" w:eastAsia="zh-CN" w:bidi="ar-SA"/>
        </w:rPr>
      </w:pPr>
    </w:p>
    <w:p>
      <w:pPr>
        <w:ind w:firstLine="640" w:firstLineChars="200"/>
        <w:rPr>
          <w:rFonts w:hint="eastAsia" w:ascii="楷体_GB2312" w:hAnsi="宋体" w:eastAsia="楷体_GB2312" w:cs="宋体"/>
          <w:color w:val="000000"/>
          <w:kern w:val="0"/>
          <w:sz w:val="32"/>
          <w:szCs w:val="32"/>
          <w:shd w:val="clear" w:color="auto" w:fill="FFFFFF"/>
          <w:lang w:val="zh-CN" w:eastAsia="zh-CN" w:bidi="ar-SA"/>
        </w:rPr>
      </w:pPr>
    </w:p>
    <w:p>
      <w:pPr>
        <w:ind w:firstLine="640" w:firstLineChars="200"/>
        <w:rPr>
          <w:rFonts w:hint="eastAsia" w:ascii="楷体_GB2312" w:hAnsi="宋体" w:eastAsia="楷体_GB2312" w:cs="宋体"/>
          <w:color w:val="000000"/>
          <w:kern w:val="0"/>
          <w:sz w:val="32"/>
          <w:szCs w:val="32"/>
          <w:shd w:val="clear" w:color="auto" w:fill="FFFFFF"/>
          <w:lang w:val="zh-CN" w:eastAsia="zh-CN" w:bidi="ar-SA"/>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ind w:firstLine="640" w:firstLineChars="200"/>
        <w:rPr>
          <w:rFonts w:hint="eastAsia" w:asciiTheme="minorEastAsia" w:hAnsiTheme="minorEastAsia" w:eastAsiaTheme="minorEastAsia"/>
          <w:sz w:val="32"/>
          <w:szCs w:val="32"/>
          <w:lang w:val="zh-CN"/>
        </w:rPr>
      </w:pPr>
    </w:p>
    <w:p>
      <w:pPr>
        <w:rPr>
          <w:rFonts w:hint="eastAsia" w:asciiTheme="minorEastAsia" w:hAnsiTheme="minorEastAsia" w:eastAsiaTheme="minorEastAsia"/>
          <w:sz w:val="32"/>
          <w:szCs w:val="32"/>
          <w:lang w:val="zh-CN"/>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ind w:firstLine="640" w:firstLineChars="200"/>
        <w:jc w:val="center"/>
        <w:rPr>
          <w:sz w:val="32"/>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51111321T000000130196-退休人员生活补贴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保障退休人员生活质量</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51111322T000000350720-第一书记帮扶工作经费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完成帮扶工作任务</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及时完成帮扶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完成帮扶任务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完成帮扶任务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51111322T000005443511-下达2020-2021年省级供销综合改革及发展专项资金预算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51111322T000006565944-2021年省级供销综合改革及发展专项资金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51111322T000007184070-第一批省级供销综合改革及发展专项资金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ascii="黑体" w:hAnsi="黑体" w:eastAsia="黑体"/>
          <w:sz w:val="32"/>
          <w:szCs w:val="32"/>
        </w:rPr>
        <w:sectPr>
          <w:type w:val="continuous"/>
          <w:pgSz w:w="16838" w:h="11906" w:orient="landscape"/>
          <w:pgMar w:top="1800" w:right="1440" w:bottom="1800" w:left="1440" w:header="851" w:footer="992" w:gutter="0"/>
          <w:pgNumType w:fmt="decimal"/>
          <w:cols w:space="425" w:num="1"/>
          <w:titlePg/>
          <w:docGrid w:type="lines" w:linePitch="312" w:charSpace="0"/>
        </w:sectPr>
      </w:pPr>
    </w:p>
    <w:p>
      <w:pPr>
        <w:rPr>
          <w:rFonts w:ascii="黑体" w:hAnsi="黑体" w:eastAsia="黑体"/>
          <w:sz w:val="32"/>
          <w:szCs w:val="32"/>
          <w:highlight w:val="none"/>
        </w:rPr>
      </w:pPr>
      <w:r>
        <w:rPr>
          <w:rFonts w:hint="eastAsia" w:ascii="黑体" w:hAnsi="黑体" w:eastAsia="黑体"/>
          <w:sz w:val="32"/>
          <w:szCs w:val="32"/>
          <w:highlight w:val="none"/>
        </w:rPr>
        <w:t>附件2</w:t>
      </w:r>
    </w:p>
    <w:p>
      <w:pPr>
        <w:jc w:val="center"/>
        <w:rPr>
          <w:rFonts w:eastAsia="仿宋_GB2312"/>
          <w:sz w:val="32"/>
          <w:szCs w:val="32"/>
          <w:lang w:val="zh-CN"/>
        </w:rPr>
      </w:pPr>
      <w:r>
        <w:rPr>
          <w:rFonts w:hint="eastAsia" w:ascii="方正小标宋简体" w:hAnsi="方正小标宋简体" w:eastAsia="方正小标宋简体"/>
          <w:sz w:val="44"/>
          <w:szCs w:val="44"/>
          <w:highlight w:val="none"/>
        </w:rPr>
        <w:t>专项预算项目绩效评价</w:t>
      </w:r>
      <w:r>
        <w:rPr>
          <w:rFonts w:hint="eastAsia" w:ascii="方正小标宋简体" w:hAnsi="方正小标宋简体" w:eastAsia="方正小标宋简体"/>
          <w:sz w:val="44"/>
          <w:szCs w:val="44"/>
          <w:highlight w:val="none"/>
          <w:lang w:eastAsia="zh-CN"/>
        </w:rPr>
        <w:t>表</w:t>
      </w:r>
    </w:p>
    <w:p>
      <w:pPr>
        <w:rPr>
          <w:rFonts w:hint="eastAsia"/>
          <w:lang w:val="en-US" w:eastAsia="zh-CN"/>
        </w:rPr>
      </w:pPr>
      <w:r>
        <w:rPr>
          <w:rFonts w:hint="eastAsia"/>
          <w:lang w:val="en-US" w:eastAsia="zh-CN"/>
        </w:rPr>
        <w:t xml:space="preserve">                                                       </w:t>
      </w:r>
    </w:p>
    <w:tbl>
      <w:tblPr>
        <w:tblStyle w:val="15"/>
        <w:tblW w:w="11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738"/>
        <w:gridCol w:w="738"/>
        <w:gridCol w:w="2311"/>
        <w:gridCol w:w="1997"/>
        <w:gridCol w:w="1997"/>
        <w:gridCol w:w="1250"/>
        <w:gridCol w:w="804"/>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95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按时发放退休人员生活补助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已完成退休人员生活补贴发放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退休人员个数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退休人员补助标准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433.5元/月/人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433.5元/月/人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退休人员满意度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1955" w:type="dxa"/>
            <w:gridSpan w:val="9"/>
            <w:tcBorders>
              <w:top w:val="single" w:color="000000" w:sz="4" w:space="0"/>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第一书记帮扶工作经费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完成帮扶工作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已完成帮扶工作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及时完成帮扶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完成帮扶工作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完成帮扶任务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完成帮扶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完成帮扶任务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区级项目支出绩效自评表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农村社会化服务体系建设经费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完成综合社建设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完成综合社建设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Arial" w:hAnsi="Arial" w:eastAsia="宋体" w:cs="Arial"/>
                <w:i w:val="0"/>
                <w:iCs w:val="0"/>
                <w:color w:val="333333"/>
                <w:sz w:val="18"/>
                <w:szCs w:val="18"/>
                <w:u w:val="none"/>
              </w:rPr>
            </w:pPr>
            <w:r>
              <w:rPr>
                <w:rStyle w:val="35"/>
                <w:rFonts w:eastAsia="宋体"/>
                <w:lang w:val="en-US" w:eastAsia="zh-CN" w:bidi="ar"/>
              </w:rPr>
              <w:t>≤</w:t>
            </w:r>
            <w:r>
              <w:rPr>
                <w:rStyle w:val="36"/>
                <w:lang w:val="en-US" w:eastAsia="zh-CN" w:bidi="ar"/>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default" w:eastAsia="宋体"/>
          <w:lang w:val="en-US" w:eastAsia="zh-CN"/>
        </w:rPr>
      </w:pPr>
    </w:p>
    <w:p>
      <w:pPr>
        <w:pStyle w:val="4"/>
        <w:jc w:val="both"/>
        <w:rPr>
          <w:rFonts w:hint="eastAsia" w:ascii="黑体" w:hAnsi="黑体" w:eastAsia="黑体"/>
        </w:rPr>
        <w:sectPr>
          <w:type w:val="continuous"/>
          <w:pgSz w:w="16838" w:h="11906" w:orient="landscape"/>
          <w:pgMar w:top="1800" w:right="1440" w:bottom="1800" w:left="1440" w:header="851" w:footer="992" w:gutter="0"/>
          <w:pgNumType w:fmt="decimal"/>
          <w:cols w:space="425" w:num="1"/>
          <w:titlePg/>
          <w:docGrid w:type="lines" w:linePitch="312" w:charSpace="0"/>
        </w:sectPr>
      </w:pPr>
    </w:p>
    <w:p>
      <w:pPr>
        <w:pStyle w:val="4"/>
        <w:jc w:val="center"/>
        <w:rPr>
          <w:rFonts w:ascii="黑体" w:hAnsi="黑体" w:eastAsia="黑体"/>
        </w:rPr>
      </w:pPr>
      <w:r>
        <w:rPr>
          <w:rFonts w:hint="eastAsia" w:ascii="黑体" w:hAnsi="黑体" w:eastAsia="黑体"/>
        </w:rPr>
        <w:t>第五部分 附表</w:t>
      </w:r>
    </w:p>
    <w:p>
      <w:pPr>
        <w:jc w:val="left"/>
        <w:rPr>
          <w:rFonts w:ascii="仿宋" w:hAnsi="仿宋" w:eastAsia="仿宋"/>
          <w:sz w:val="32"/>
          <w:szCs w:val="32"/>
        </w:rPr>
      </w:pPr>
      <w:r>
        <w:rPr>
          <w:rFonts w:hint="eastAsia" w:ascii="仿宋" w:hAnsi="仿宋" w:eastAsia="仿宋"/>
          <w:sz w:val="32"/>
          <w:szCs w:val="32"/>
        </w:rPr>
        <w:t>一、收入支出决算总表</w:t>
      </w:r>
    </w:p>
    <w:p>
      <w:pPr>
        <w:jc w:val="left"/>
        <w:rPr>
          <w:rFonts w:ascii="仿宋" w:hAnsi="仿宋" w:eastAsia="仿宋"/>
          <w:sz w:val="32"/>
          <w:szCs w:val="32"/>
        </w:rPr>
      </w:pPr>
      <w:r>
        <w:rPr>
          <w:rFonts w:hint="eastAsia" w:ascii="仿宋" w:hAnsi="仿宋" w:eastAsia="仿宋"/>
          <w:sz w:val="32"/>
          <w:szCs w:val="32"/>
        </w:rPr>
        <w:t>二、收入决算表</w:t>
      </w:r>
    </w:p>
    <w:p>
      <w:pPr>
        <w:jc w:val="left"/>
        <w:rPr>
          <w:rFonts w:ascii="仿宋" w:hAnsi="仿宋" w:eastAsia="仿宋"/>
          <w:sz w:val="32"/>
          <w:szCs w:val="32"/>
        </w:rPr>
      </w:pPr>
      <w:r>
        <w:rPr>
          <w:rFonts w:hint="eastAsia" w:ascii="仿宋" w:hAnsi="仿宋" w:eastAsia="仿宋"/>
          <w:sz w:val="32"/>
          <w:szCs w:val="32"/>
        </w:rPr>
        <w:t>三、支出决算表</w:t>
      </w:r>
    </w:p>
    <w:p>
      <w:pPr>
        <w:jc w:val="left"/>
        <w:rPr>
          <w:rFonts w:ascii="仿宋" w:hAnsi="仿宋" w:eastAsia="仿宋"/>
          <w:sz w:val="32"/>
          <w:szCs w:val="32"/>
        </w:rPr>
      </w:pPr>
      <w:r>
        <w:rPr>
          <w:rFonts w:hint="eastAsia" w:ascii="仿宋" w:hAnsi="仿宋" w:eastAsia="仿宋"/>
          <w:sz w:val="32"/>
          <w:szCs w:val="32"/>
        </w:rPr>
        <w:t>四、财政拨款收入支出决算总表</w:t>
      </w:r>
    </w:p>
    <w:p>
      <w:pPr>
        <w:jc w:val="left"/>
        <w:rPr>
          <w:rFonts w:ascii="仿宋" w:hAnsi="仿宋" w:eastAsia="仿宋"/>
          <w:sz w:val="32"/>
          <w:szCs w:val="32"/>
        </w:rPr>
      </w:pPr>
      <w:r>
        <w:rPr>
          <w:rFonts w:hint="eastAsia" w:ascii="仿宋" w:hAnsi="仿宋" w:eastAsia="仿宋"/>
          <w:sz w:val="32"/>
          <w:szCs w:val="32"/>
        </w:rPr>
        <w:t>五、财政拨款支出决算明细表</w:t>
      </w:r>
    </w:p>
    <w:p>
      <w:pPr>
        <w:jc w:val="left"/>
        <w:rPr>
          <w:rFonts w:ascii="仿宋" w:hAnsi="仿宋" w:eastAsia="仿宋"/>
          <w:sz w:val="32"/>
          <w:szCs w:val="32"/>
        </w:rPr>
      </w:pPr>
      <w:r>
        <w:rPr>
          <w:rFonts w:hint="eastAsia" w:ascii="仿宋" w:hAnsi="仿宋" w:eastAsia="仿宋"/>
          <w:sz w:val="32"/>
          <w:szCs w:val="32"/>
        </w:rPr>
        <w:t>六、一般公共预算财政拨款支出决算表</w:t>
      </w:r>
    </w:p>
    <w:p>
      <w:pPr>
        <w:jc w:val="left"/>
        <w:rPr>
          <w:rFonts w:ascii="仿宋" w:hAnsi="仿宋" w:eastAsia="仿宋"/>
          <w:sz w:val="32"/>
          <w:szCs w:val="32"/>
        </w:rPr>
      </w:pPr>
      <w:r>
        <w:rPr>
          <w:rFonts w:hint="eastAsia" w:ascii="仿宋" w:hAnsi="仿宋" w:eastAsia="仿宋"/>
          <w:sz w:val="32"/>
          <w:szCs w:val="32"/>
        </w:rPr>
        <w:t>七、一般公共预算财政拨款支出决算明细表</w:t>
      </w:r>
    </w:p>
    <w:p>
      <w:pPr>
        <w:jc w:val="left"/>
        <w:rPr>
          <w:rFonts w:ascii="仿宋" w:hAnsi="仿宋" w:eastAsia="仿宋"/>
          <w:sz w:val="32"/>
          <w:szCs w:val="32"/>
        </w:rPr>
      </w:pPr>
      <w:r>
        <w:rPr>
          <w:rFonts w:hint="eastAsia" w:ascii="仿宋" w:hAnsi="仿宋" w:eastAsia="仿宋"/>
          <w:sz w:val="32"/>
          <w:szCs w:val="32"/>
        </w:rPr>
        <w:t>八、一般公共预算财政拨款基本支出决算表</w:t>
      </w:r>
    </w:p>
    <w:p>
      <w:pPr>
        <w:jc w:val="left"/>
        <w:rPr>
          <w:rFonts w:ascii="仿宋" w:hAnsi="仿宋" w:eastAsia="仿宋"/>
          <w:sz w:val="32"/>
          <w:szCs w:val="32"/>
        </w:rPr>
      </w:pPr>
      <w:r>
        <w:rPr>
          <w:rFonts w:hint="eastAsia" w:ascii="仿宋" w:hAnsi="仿宋" w:eastAsia="仿宋"/>
          <w:sz w:val="32"/>
          <w:szCs w:val="32"/>
        </w:rPr>
        <w:t>九、一般公共预算财政拨款项目支出决算表</w:t>
      </w:r>
    </w:p>
    <w:p>
      <w:pPr>
        <w:jc w:val="left"/>
        <w:rPr>
          <w:rFonts w:ascii="仿宋" w:hAnsi="仿宋" w:eastAsia="仿宋"/>
          <w:sz w:val="32"/>
          <w:szCs w:val="32"/>
        </w:rPr>
      </w:pPr>
      <w:r>
        <w:rPr>
          <w:rFonts w:hint="eastAsia" w:ascii="仿宋" w:hAnsi="仿宋" w:eastAsia="仿宋"/>
          <w:sz w:val="32"/>
          <w:szCs w:val="32"/>
        </w:rPr>
        <w:t>十、政府性基金预算财政拨款收入支出决算表</w:t>
      </w:r>
    </w:p>
    <w:p>
      <w:pPr>
        <w:jc w:val="left"/>
        <w:rPr>
          <w:rFonts w:ascii="仿宋" w:hAnsi="仿宋" w:eastAsia="仿宋"/>
          <w:sz w:val="32"/>
          <w:szCs w:val="32"/>
        </w:rPr>
      </w:pPr>
      <w:r>
        <w:rPr>
          <w:rFonts w:hint="eastAsia" w:ascii="仿宋" w:hAnsi="仿宋" w:eastAsia="仿宋"/>
          <w:sz w:val="32"/>
          <w:szCs w:val="32"/>
        </w:rPr>
        <w:t>十一、国有资本经营预算财政拨款收入支出决算表</w:t>
      </w:r>
    </w:p>
    <w:p>
      <w:pPr>
        <w:jc w:val="left"/>
        <w:rPr>
          <w:rFonts w:ascii="仿宋" w:hAnsi="仿宋" w:eastAsia="仿宋"/>
          <w:sz w:val="32"/>
          <w:szCs w:val="32"/>
        </w:rPr>
      </w:pPr>
      <w:r>
        <w:rPr>
          <w:rFonts w:hint="eastAsia" w:ascii="仿宋" w:hAnsi="仿宋" w:eastAsia="仿宋"/>
          <w:sz w:val="32"/>
          <w:szCs w:val="32"/>
        </w:rPr>
        <w:t>十二、国有资本经营预算财政拨款支出决算表</w:t>
      </w:r>
    </w:p>
    <w:p>
      <w:pPr>
        <w:jc w:val="left"/>
        <w:rPr>
          <w:rFonts w:ascii="仿宋" w:hAnsi="仿宋" w:eastAsia="仿宋"/>
          <w:sz w:val="32"/>
          <w:szCs w:val="32"/>
        </w:rPr>
      </w:pPr>
      <w:r>
        <w:rPr>
          <w:rFonts w:hint="eastAsia" w:ascii="仿宋" w:hAnsi="仿宋" w:eastAsia="仿宋"/>
          <w:sz w:val="32"/>
          <w:szCs w:val="32"/>
        </w:rPr>
        <w:t>十三、财政拨款“三公”经费支出决算表</w:t>
      </w:r>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86F4"/>
    <w:multiLevelType w:val="singleLevel"/>
    <w:tmpl w:val="829A86F4"/>
    <w:lvl w:ilvl="0" w:tentative="0">
      <w:start w:val="2"/>
      <w:numFmt w:val="chineseCounting"/>
      <w:suff w:val="nothing"/>
      <w:lvlText w:val="（%1）"/>
      <w:lvlJc w:val="left"/>
      <w:rPr>
        <w:rFonts w:hint="eastAsia"/>
      </w:rPr>
    </w:lvl>
  </w:abstractNum>
  <w:abstractNum w:abstractNumId="1">
    <w:nsid w:val="894B883C"/>
    <w:multiLevelType w:val="singleLevel"/>
    <w:tmpl w:val="894B883C"/>
    <w:lvl w:ilvl="0" w:tentative="0">
      <w:start w:val="8"/>
      <w:numFmt w:val="chineseCounting"/>
      <w:suff w:val="nothing"/>
      <w:lvlText w:val="%1、"/>
      <w:lvlJc w:val="left"/>
      <w:rPr>
        <w:rFonts w:hint="eastAsia"/>
      </w:rPr>
    </w:lvl>
  </w:abstractNum>
  <w:abstractNum w:abstractNumId="2">
    <w:nsid w:val="8E8C8E44"/>
    <w:multiLevelType w:val="singleLevel"/>
    <w:tmpl w:val="8E8C8E44"/>
    <w:lvl w:ilvl="0" w:tentative="0">
      <w:start w:val="11"/>
      <w:numFmt w:val="decimal"/>
      <w:suff w:val="nothing"/>
      <w:lvlText w:val="%1、"/>
      <w:lvlJc w:val="left"/>
    </w:lvl>
  </w:abstractNum>
  <w:abstractNum w:abstractNumId="3">
    <w:nsid w:val="AAF570EF"/>
    <w:multiLevelType w:val="singleLevel"/>
    <w:tmpl w:val="AAF570EF"/>
    <w:lvl w:ilvl="0" w:tentative="0">
      <w:start w:val="2"/>
      <w:numFmt w:val="chineseCounting"/>
      <w:suff w:val="nothing"/>
      <w:lvlText w:val="（%1）"/>
      <w:lvlJc w:val="left"/>
      <w:rPr>
        <w:rFonts w:hint="eastAsia"/>
      </w:rPr>
    </w:lvl>
  </w:abstractNum>
  <w:abstractNum w:abstractNumId="4">
    <w:nsid w:val="AF5EDB61"/>
    <w:multiLevelType w:val="singleLevel"/>
    <w:tmpl w:val="AF5EDB61"/>
    <w:lvl w:ilvl="0" w:tentative="0">
      <w:start w:val="6"/>
      <w:numFmt w:val="chineseCounting"/>
      <w:suff w:val="nothing"/>
      <w:lvlText w:val="%1、"/>
      <w:lvlJc w:val="left"/>
      <w:pPr>
        <w:ind w:left="480" w:leftChars="0" w:firstLine="0" w:firstLineChars="0"/>
      </w:pPr>
      <w:rPr>
        <w:rFonts w:hint="eastAsia"/>
      </w:rPr>
    </w:lvl>
  </w:abstractNum>
  <w:abstractNum w:abstractNumId="5">
    <w:nsid w:val="BFEB275B"/>
    <w:multiLevelType w:val="singleLevel"/>
    <w:tmpl w:val="BFEB275B"/>
    <w:lvl w:ilvl="0" w:tentative="0">
      <w:start w:val="7"/>
      <w:numFmt w:val="chineseCounting"/>
      <w:suff w:val="nothing"/>
      <w:lvlText w:val="%1、"/>
      <w:lvlJc w:val="left"/>
      <w:rPr>
        <w:rFonts w:hint="eastAsia"/>
      </w:rPr>
    </w:lvl>
  </w:abstractNum>
  <w:abstractNum w:abstractNumId="6">
    <w:nsid w:val="D02CB169"/>
    <w:multiLevelType w:val="singleLevel"/>
    <w:tmpl w:val="D02CB169"/>
    <w:lvl w:ilvl="0" w:tentative="0">
      <w:start w:val="1"/>
      <w:numFmt w:val="decimal"/>
      <w:lvlText w:val="%1."/>
      <w:lvlJc w:val="left"/>
      <w:pPr>
        <w:tabs>
          <w:tab w:val="left" w:pos="312"/>
        </w:tabs>
      </w:pPr>
    </w:lvl>
  </w:abstractNum>
  <w:abstractNum w:abstractNumId="7">
    <w:nsid w:val="017845A2"/>
    <w:multiLevelType w:val="singleLevel"/>
    <w:tmpl w:val="017845A2"/>
    <w:lvl w:ilvl="0" w:tentative="0">
      <w:start w:val="2"/>
      <w:numFmt w:val="chineseCounting"/>
      <w:suff w:val="nothing"/>
      <w:lvlText w:val="（%1）"/>
      <w:lvlJc w:val="left"/>
      <w:rPr>
        <w:rFonts w:hint="eastAsia"/>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5DE76EE"/>
    <w:multiLevelType w:val="singleLevel"/>
    <w:tmpl w:val="15DE76EE"/>
    <w:lvl w:ilvl="0" w:tentative="0">
      <w:start w:val="2"/>
      <w:numFmt w:val="chineseCounting"/>
      <w:suff w:val="nothing"/>
      <w:lvlText w:val="（%1）"/>
      <w:lvlJc w:val="left"/>
      <w:rPr>
        <w:rFonts w:hint="eastAsia"/>
      </w:rPr>
    </w:lvl>
  </w:abstractNum>
  <w:abstractNum w:abstractNumId="1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0"/>
  </w:num>
  <w:num w:numId="2">
    <w:abstractNumId w:val="8"/>
  </w:num>
  <w:num w:numId="3">
    <w:abstractNumId w:val="4"/>
  </w:num>
  <w:num w:numId="4">
    <w:abstractNumId w:val="5"/>
  </w:num>
  <w:num w:numId="5">
    <w:abstractNumId w:val="7"/>
  </w:num>
  <w:num w:numId="6">
    <w:abstractNumId w:val="1"/>
  </w:num>
  <w:num w:numId="7">
    <w:abstractNumId w:val="9"/>
  </w:num>
  <w:num w:numId="8">
    <w:abstractNumId w:val="2"/>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M5NjAzZTcwZjA0ZjRhZGMyZmNhZGQ1OTkwY2Q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3D728F"/>
    <w:rsid w:val="02FEBE30"/>
    <w:rsid w:val="030207D2"/>
    <w:rsid w:val="036F8141"/>
    <w:rsid w:val="04A70542"/>
    <w:rsid w:val="066E0107"/>
    <w:rsid w:val="06C87B08"/>
    <w:rsid w:val="0761571B"/>
    <w:rsid w:val="07996F6E"/>
    <w:rsid w:val="07DFD8BA"/>
    <w:rsid w:val="0A2032A3"/>
    <w:rsid w:val="0A5F093B"/>
    <w:rsid w:val="0A9756E1"/>
    <w:rsid w:val="0D35B1ED"/>
    <w:rsid w:val="0E4A266A"/>
    <w:rsid w:val="0E7ED1F5"/>
    <w:rsid w:val="0EC73CBB"/>
    <w:rsid w:val="0F98263C"/>
    <w:rsid w:val="101860EC"/>
    <w:rsid w:val="10C055FF"/>
    <w:rsid w:val="118107EC"/>
    <w:rsid w:val="13D50BC4"/>
    <w:rsid w:val="13F5616D"/>
    <w:rsid w:val="168B2AD7"/>
    <w:rsid w:val="16BB723D"/>
    <w:rsid w:val="17F9714D"/>
    <w:rsid w:val="1918F934"/>
    <w:rsid w:val="1BE8440E"/>
    <w:rsid w:val="1C677FC7"/>
    <w:rsid w:val="1D155CEE"/>
    <w:rsid w:val="1DFBC4B3"/>
    <w:rsid w:val="1E740ACF"/>
    <w:rsid w:val="1EAB0F03"/>
    <w:rsid w:val="1F19C781"/>
    <w:rsid w:val="1F33FCE5"/>
    <w:rsid w:val="1F7F7398"/>
    <w:rsid w:val="1FD2DB6F"/>
    <w:rsid w:val="1FF35744"/>
    <w:rsid w:val="1FF6BC77"/>
    <w:rsid w:val="1FF9236D"/>
    <w:rsid w:val="2333840E"/>
    <w:rsid w:val="23860B96"/>
    <w:rsid w:val="240371BF"/>
    <w:rsid w:val="257C638F"/>
    <w:rsid w:val="27A42993"/>
    <w:rsid w:val="28A013AD"/>
    <w:rsid w:val="29FD04D3"/>
    <w:rsid w:val="2BFF7BC6"/>
    <w:rsid w:val="2C8A61B5"/>
    <w:rsid w:val="2C9034E6"/>
    <w:rsid w:val="2CD59C95"/>
    <w:rsid w:val="2DF04E50"/>
    <w:rsid w:val="2E277E7A"/>
    <w:rsid w:val="2E4C5B33"/>
    <w:rsid w:val="2EFD05E5"/>
    <w:rsid w:val="2F040D46"/>
    <w:rsid w:val="2F4F95CE"/>
    <w:rsid w:val="2FACAFDD"/>
    <w:rsid w:val="2FAE5751"/>
    <w:rsid w:val="2FB1A395"/>
    <w:rsid w:val="2FCF0B76"/>
    <w:rsid w:val="2FD9A7D8"/>
    <w:rsid w:val="305D5DD5"/>
    <w:rsid w:val="319F7F4E"/>
    <w:rsid w:val="3304709D"/>
    <w:rsid w:val="36AA5135"/>
    <w:rsid w:val="36BE0DA7"/>
    <w:rsid w:val="376B6AA6"/>
    <w:rsid w:val="376D39B2"/>
    <w:rsid w:val="37C279CD"/>
    <w:rsid w:val="37E16F03"/>
    <w:rsid w:val="37F53A3B"/>
    <w:rsid w:val="38D469F0"/>
    <w:rsid w:val="38F78389"/>
    <w:rsid w:val="397BAF1F"/>
    <w:rsid w:val="39E7B272"/>
    <w:rsid w:val="39F7642F"/>
    <w:rsid w:val="39FF7B37"/>
    <w:rsid w:val="3AB79AF3"/>
    <w:rsid w:val="3AFDCB77"/>
    <w:rsid w:val="3B7EF35A"/>
    <w:rsid w:val="3B9FDB6C"/>
    <w:rsid w:val="3BBA40D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03731EA"/>
    <w:rsid w:val="42D305EC"/>
    <w:rsid w:val="446B68BB"/>
    <w:rsid w:val="44E268DA"/>
    <w:rsid w:val="457F4F6B"/>
    <w:rsid w:val="4737FB58"/>
    <w:rsid w:val="47ECCB02"/>
    <w:rsid w:val="47FA6A3F"/>
    <w:rsid w:val="49540F8E"/>
    <w:rsid w:val="49D7AE48"/>
    <w:rsid w:val="4A3F6C7E"/>
    <w:rsid w:val="4A627F82"/>
    <w:rsid w:val="4B0E749A"/>
    <w:rsid w:val="4B4F25DA"/>
    <w:rsid w:val="4BAC57D8"/>
    <w:rsid w:val="4BBB4781"/>
    <w:rsid w:val="4BD709A5"/>
    <w:rsid w:val="4BDD9BFF"/>
    <w:rsid w:val="4BE068DB"/>
    <w:rsid w:val="4D577224"/>
    <w:rsid w:val="4DBF1CEB"/>
    <w:rsid w:val="4DBF6A6B"/>
    <w:rsid w:val="4DF6A672"/>
    <w:rsid w:val="4EAB630A"/>
    <w:rsid w:val="4ECE2238"/>
    <w:rsid w:val="4EEF00E8"/>
    <w:rsid w:val="4F7EA413"/>
    <w:rsid w:val="4FAB812F"/>
    <w:rsid w:val="4FE9BD67"/>
    <w:rsid w:val="4FEE4C07"/>
    <w:rsid w:val="4FFB052F"/>
    <w:rsid w:val="537E6D0A"/>
    <w:rsid w:val="53AB6B88"/>
    <w:rsid w:val="53F74C96"/>
    <w:rsid w:val="5583522D"/>
    <w:rsid w:val="57BD3DD4"/>
    <w:rsid w:val="57F9CD1E"/>
    <w:rsid w:val="5A0E58C7"/>
    <w:rsid w:val="5A1B6236"/>
    <w:rsid w:val="5AF92295"/>
    <w:rsid w:val="5AF9D8E9"/>
    <w:rsid w:val="5B8C73EB"/>
    <w:rsid w:val="5BDD38BD"/>
    <w:rsid w:val="5BDD79E6"/>
    <w:rsid w:val="5BEFC772"/>
    <w:rsid w:val="5BFF5DFC"/>
    <w:rsid w:val="5CD71FC4"/>
    <w:rsid w:val="5D1F11B5"/>
    <w:rsid w:val="5D3647F9"/>
    <w:rsid w:val="5DA644D4"/>
    <w:rsid w:val="5DAE1B18"/>
    <w:rsid w:val="5DE7D9E5"/>
    <w:rsid w:val="5E2A66AF"/>
    <w:rsid w:val="5ECEC941"/>
    <w:rsid w:val="5EFF8FC6"/>
    <w:rsid w:val="5F0815BE"/>
    <w:rsid w:val="5F5BA39A"/>
    <w:rsid w:val="5F7D3B79"/>
    <w:rsid w:val="5F7F4610"/>
    <w:rsid w:val="5FBF9FF3"/>
    <w:rsid w:val="5FCD4E2C"/>
    <w:rsid w:val="5FEF394A"/>
    <w:rsid w:val="5FF67715"/>
    <w:rsid w:val="61CA71D5"/>
    <w:rsid w:val="627EE9EA"/>
    <w:rsid w:val="63B23AA5"/>
    <w:rsid w:val="647F5392"/>
    <w:rsid w:val="64E322C4"/>
    <w:rsid w:val="6578453C"/>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3914F7"/>
    <w:rsid w:val="72734D90"/>
    <w:rsid w:val="72F84F0E"/>
    <w:rsid w:val="7332FE48"/>
    <w:rsid w:val="73AD73D5"/>
    <w:rsid w:val="73B6EB34"/>
    <w:rsid w:val="73FA497D"/>
    <w:rsid w:val="744731E5"/>
    <w:rsid w:val="74BBD01D"/>
    <w:rsid w:val="74ED5379"/>
    <w:rsid w:val="75DEEEC2"/>
    <w:rsid w:val="767F479D"/>
    <w:rsid w:val="76B671C3"/>
    <w:rsid w:val="76E3355F"/>
    <w:rsid w:val="76F742AF"/>
    <w:rsid w:val="76F7BE7D"/>
    <w:rsid w:val="76FF5125"/>
    <w:rsid w:val="773570D3"/>
    <w:rsid w:val="77597F31"/>
    <w:rsid w:val="776F6FFA"/>
    <w:rsid w:val="7777A522"/>
    <w:rsid w:val="77858688"/>
    <w:rsid w:val="778769C8"/>
    <w:rsid w:val="77CB741A"/>
    <w:rsid w:val="77D7BE3A"/>
    <w:rsid w:val="77DC22F5"/>
    <w:rsid w:val="797E3A6C"/>
    <w:rsid w:val="79910DFD"/>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spacing w:beforeLines="30"/>
    </w:pPr>
    <w:rPr>
      <w:rFonts w:ascii="仿宋_GB2312" w:eastAsia="仿宋_GB2312"/>
      <w:kern w:val="0"/>
      <w:sz w:val="30"/>
    </w:rPr>
  </w:style>
  <w:style w:type="paragraph" w:styleId="3">
    <w:name w:val="Body Text First Indent"/>
    <w:basedOn w:val="2"/>
    <w:qFormat/>
    <w:uiPriority w:val="99"/>
    <w:pPr>
      <w:ind w:firstLine="420" w:firstLineChars="100"/>
    </w:pPr>
    <w:rPr>
      <w:rFonts w:ascii="Times New Roman" w:hAnsi="Times New Roman"/>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51"/>
    <w:basedOn w:val="16"/>
    <w:qFormat/>
    <w:uiPriority w:val="0"/>
    <w:rPr>
      <w:rFonts w:hint="default" w:ascii="Arial" w:hAnsi="Arial" w:cs="Arial"/>
      <w:color w:val="333333"/>
      <w:sz w:val="18"/>
      <w:szCs w:val="18"/>
      <w:u w:val="none"/>
    </w:rPr>
  </w:style>
  <w:style w:type="character" w:customStyle="1" w:styleId="36">
    <w:name w:val="font61"/>
    <w:basedOn w:val="16"/>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5&#32593;&#26684;&#23433;&#20840;&#24033;&#26597;.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5&#32593;&#26684;&#23433;&#20840;&#24033;&#26597;.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5&#32593;&#26684;&#23433;&#20840;&#24033;&#26597;.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5&#32593;&#26684;&#23433;&#20840;&#24033;&#26597;.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5&#32593;&#26684;&#23433;&#20840;&#24033;&#26597;.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5&#32593;&#26684;&#23433;&#20840;&#24033;&#26597;.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5&#32593;&#26684;&#23433;&#20840;&#24033;&#2659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[5网格安全巡查.xls]Sheet2!$B$3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[5网格安全巡查.xls]Sheet2!$C$2:$D$2</c:f>
              <c:strCache>
                <c:ptCount val="2"/>
                <c:pt idx="0">
                  <c:v>收入</c:v>
                </c:pt>
                <c:pt idx="1">
                  <c:v>支出</c:v>
                </c:pt>
              </c:strCache>
            </c:strRef>
          </c:cat>
          <c:val>
            <c:numRef>
              <c:f>[5网格安全巡查.xls]Sheet2!$C$3:$D$3</c:f>
              <c:numCache>
                <c:formatCode>General</c:formatCode>
                <c:ptCount val="2"/>
                <c:pt idx="0">
                  <c:v>185.5</c:v>
                </c:pt>
                <c:pt idx="1">
                  <c:v>185.5</c:v>
                </c:pt>
              </c:numCache>
            </c:numRef>
          </c:val>
        </c:ser>
        <c:ser>
          <c:idx val="1"/>
          <c:order val="1"/>
          <c:tx>
            <c:strRef>
              <c:f>[5网格安全巡查.xls]Sheet2!$B$4</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[5网格安全巡查.xls]Sheet2!$C$2:$D$2</c:f>
              <c:strCache>
                <c:ptCount val="2"/>
                <c:pt idx="0">
                  <c:v>收入</c:v>
                </c:pt>
                <c:pt idx="1">
                  <c:v>支出</c:v>
                </c:pt>
              </c:strCache>
            </c:strRef>
          </c:cat>
          <c:val>
            <c:numRef>
              <c:f>[5网格安全巡查.xls]Sheet2!$C$4:$D$4</c:f>
              <c:numCache>
                <c:formatCode>General</c:formatCode>
                <c:ptCount val="2"/>
                <c:pt idx="0">
                  <c:v>133.8</c:v>
                </c:pt>
                <c:pt idx="1">
                  <c:v>133.8</c:v>
                </c:pt>
              </c:numCache>
            </c:numRef>
          </c:val>
        </c:ser>
        <c:dLbls>
          <c:showLegendKey val="0"/>
          <c:showVal val="1"/>
          <c:showCatName val="0"/>
          <c:showSerName val="0"/>
          <c:showPercent val="0"/>
          <c:showBubbleSize val="0"/>
        </c:dLbls>
        <c:gapWidth val="246"/>
        <c:overlap val="-28"/>
        <c:axId val="959588435"/>
        <c:axId val="945244815"/>
      </c:barChart>
      <c:catAx>
        <c:axId val="9595884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244815"/>
        <c:crosses val="autoZero"/>
        <c:auto val="1"/>
        <c:lblAlgn val="ctr"/>
        <c:lblOffset val="100"/>
        <c:noMultiLvlLbl val="0"/>
      </c:catAx>
      <c:valAx>
        <c:axId val="94524481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95884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[5网格安全巡查.xls]Sheet2!$B$2:$B$3</c:f>
              <c:strCache>
                <c:ptCount val="2"/>
                <c:pt idx="0">
                  <c:v>一般公共预算财政拨款收入</c:v>
                </c:pt>
                <c:pt idx="1">
                  <c:v>其他收入</c:v>
                </c:pt>
              </c:strCache>
            </c:strRef>
          </c:cat>
          <c:val>
            <c:numRef>
              <c:f>[5网格安全巡查.xls]Sheet2!$C$2:$C$3</c:f>
              <c:numCache>
                <c:formatCode>General</c:formatCode>
                <c:ptCount val="2"/>
                <c:pt idx="0">
                  <c:v>165.39</c:v>
                </c:pt>
                <c:pt idx="1">
                  <c:v>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[5网格安全巡查.xls]Sheet2!$B$2:$B$3</c:f>
              <c:strCache>
                <c:ptCount val="2"/>
                <c:pt idx="0">
                  <c:v>基本支出</c:v>
                </c:pt>
                <c:pt idx="1">
                  <c:v>项目支出</c:v>
                </c:pt>
              </c:strCache>
            </c:strRef>
          </c:cat>
          <c:val>
            <c:numRef>
              <c:f>[5网格安全巡查.xls]Sheet2!$C$2:$C$3</c:f>
              <c:numCache>
                <c:formatCode>General</c:formatCode>
                <c:ptCount val="2"/>
                <c:pt idx="0">
                  <c:v>144.57</c:v>
                </c:pt>
                <c:pt idx="1">
                  <c:v>40.84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[5网格安全巡查.xls]Sheet2!$B$2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[5网格安全巡查.xls]Sheet2!$C$1:$D$1</c:f>
              <c:strCache>
                <c:ptCount val="2"/>
                <c:pt idx="0">
                  <c:v>收入</c:v>
                </c:pt>
                <c:pt idx="1">
                  <c:v>支出</c:v>
                </c:pt>
              </c:strCache>
            </c:strRef>
          </c:cat>
          <c:val>
            <c:numRef>
              <c:f>[5网格安全巡查.xls]Sheet2!$C$2:$D$2</c:f>
              <c:numCache>
                <c:formatCode>General</c:formatCode>
                <c:ptCount val="2"/>
                <c:pt idx="0">
                  <c:v>185.48</c:v>
                </c:pt>
                <c:pt idx="1">
                  <c:v>185.48</c:v>
                </c:pt>
              </c:numCache>
            </c:numRef>
          </c:val>
        </c:ser>
        <c:ser>
          <c:idx val="1"/>
          <c:order val="1"/>
          <c:tx>
            <c:strRef>
              <c:f>[5网格安全巡查.xls]Sheet2!$B$3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[5网格安全巡查.xls]Sheet2!$C$1:$D$1</c:f>
              <c:strCache>
                <c:ptCount val="2"/>
                <c:pt idx="0">
                  <c:v>收入</c:v>
                </c:pt>
                <c:pt idx="1">
                  <c:v>支出</c:v>
                </c:pt>
              </c:strCache>
            </c:strRef>
          </c:cat>
          <c:val>
            <c:numRef>
              <c:f>[5网格安全巡查.xls]Sheet2!$C$3:$D$3</c:f>
              <c:numCache>
                <c:formatCode>General</c:formatCode>
                <c:ptCount val="2"/>
                <c:pt idx="0">
                  <c:v>133.79</c:v>
                </c:pt>
                <c:pt idx="1">
                  <c:v>133.79</c:v>
                </c:pt>
              </c:numCache>
            </c:numRef>
          </c:val>
        </c:ser>
        <c:dLbls>
          <c:showLegendKey val="0"/>
          <c:showVal val="1"/>
          <c:showCatName val="0"/>
          <c:showSerName val="0"/>
          <c:showPercent val="0"/>
          <c:showBubbleSize val="0"/>
        </c:dLbls>
        <c:gapWidth val="246"/>
        <c:overlap val="-28"/>
        <c:axId val="529272596"/>
        <c:axId val="69423755"/>
      </c:barChart>
      <c:catAx>
        <c:axId val="5292725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23755"/>
        <c:crosses val="autoZero"/>
        <c:auto val="1"/>
        <c:lblAlgn val="ctr"/>
        <c:lblOffset val="100"/>
        <c:noMultiLvlLbl val="0"/>
      </c:catAx>
      <c:valAx>
        <c:axId val="694237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2725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[5网格安全巡查.xls]Sheet2!$B$2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[5网格安全巡查.xls]Sheet2!$C$1</c:f>
              <c:strCache>
                <c:ptCount val="1"/>
                <c:pt idx="0">
                  <c:v>一般公共预算财政拨款支出</c:v>
                </c:pt>
              </c:strCache>
            </c:strRef>
          </c:cat>
          <c:val>
            <c:numRef>
              <c:f>[5网格安全巡查.xls]Sheet2!$C$2</c:f>
              <c:numCache>
                <c:formatCode>General</c:formatCode>
                <c:ptCount val="1"/>
                <c:pt idx="0">
                  <c:v>185.39</c:v>
                </c:pt>
              </c:numCache>
            </c:numRef>
          </c:val>
        </c:ser>
        <c:ser>
          <c:idx val="1"/>
          <c:order val="1"/>
          <c:tx>
            <c:strRef>
              <c:f>[5网格安全巡查.xls]Sheet2!$B$3</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[5网格安全巡查.xls]Sheet2!$C$1</c:f>
              <c:strCache>
                <c:ptCount val="1"/>
                <c:pt idx="0">
                  <c:v>一般公共预算财政拨款支出</c:v>
                </c:pt>
              </c:strCache>
            </c:strRef>
          </c:cat>
          <c:val>
            <c:numRef>
              <c:f>[5网格安全巡查.xls]Sheet2!$C$3</c:f>
              <c:numCache>
                <c:formatCode>General</c:formatCode>
                <c:ptCount val="1"/>
                <c:pt idx="0">
                  <c:v>133.79</c:v>
                </c:pt>
              </c:numCache>
            </c:numRef>
          </c:val>
        </c:ser>
        <c:dLbls>
          <c:showLegendKey val="0"/>
          <c:showVal val="1"/>
          <c:showCatName val="0"/>
          <c:showSerName val="0"/>
          <c:showPercent val="0"/>
          <c:showBubbleSize val="0"/>
        </c:dLbls>
        <c:gapWidth val="246"/>
        <c:overlap val="-28"/>
        <c:axId val="529272596"/>
        <c:axId val="69423755"/>
      </c:barChart>
      <c:catAx>
        <c:axId val="5292725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23755"/>
        <c:crosses val="autoZero"/>
        <c:auto val="1"/>
        <c:lblAlgn val="ctr"/>
        <c:lblOffset val="100"/>
        <c:noMultiLvlLbl val="0"/>
      </c:catAx>
      <c:valAx>
        <c:axId val="694237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2725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[5网格安全巡查.xls]Sheet2!$B$4:$B$8</c:f>
              <c:strCache>
                <c:ptCount val="5"/>
                <c:pt idx="0">
                  <c:v>社会保障和就业支出</c:v>
                </c:pt>
                <c:pt idx="1">
                  <c:v>卫生健康支出</c:v>
                </c:pt>
                <c:pt idx="2">
                  <c:v>农林水支出支出</c:v>
                </c:pt>
                <c:pt idx="3">
                  <c:v>商业服务业等支出</c:v>
                </c:pt>
                <c:pt idx="4">
                  <c:v>住房保障支出</c:v>
                </c:pt>
              </c:strCache>
            </c:strRef>
          </c:cat>
          <c:val>
            <c:numRef>
              <c:f>[5网格安全巡查.xls]Sheet2!$C$4:$C$8</c:f>
              <c:numCache>
                <c:formatCode>General</c:formatCode>
                <c:ptCount val="5"/>
                <c:pt idx="0">
                  <c:v>26.9</c:v>
                </c:pt>
                <c:pt idx="1">
                  <c:v>4</c:v>
                </c:pt>
                <c:pt idx="2">
                  <c:v>0.3</c:v>
                </c:pt>
                <c:pt idx="3">
                  <c:v>142.98</c:v>
                </c:pt>
                <c:pt idx="4">
                  <c:v>11.2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[5网格安全巡查.xls]Sheet2!$B$4</c:f>
              <c:strCache>
                <c:ptCount val="1"/>
                <c:pt idx="0">
                  <c:v>公务接待费支出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[5网格安全巡查.xls]Sheet2!$C$4</c:f>
              <c:numCache>
                <c:formatCode>General</c:formatCode>
                <c:ptCount val="1"/>
                <c:pt idx="0">
                  <c:v>0.39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10684</Words>
  <Characters>12156</Characters>
  <Lines>72</Lines>
  <Paragraphs>20</Paragraphs>
  <TotalTime>7</TotalTime>
  <ScaleCrop>false</ScaleCrop>
  <LinksUpToDate>false</LinksUpToDate>
  <CharactersWithSpaces>12653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污防</cp:lastModifiedBy>
  <cp:lastPrinted>2023-08-03T10:35:00Z</cp:lastPrinted>
  <dcterms:modified xsi:type="dcterms:W3CDTF">2024-09-25T08:08:05Z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3DFFF9DCD03543BFB51D3209B46A7BAD</vt:lpwstr>
  </property>
</Properties>
</file>