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1863">
      <w:pPr>
        <w:adjustRightInd w:val="0"/>
        <w:snapToGrid w:val="0"/>
        <w:spacing w:line="360" w:lineRule="auto"/>
        <w:jc w:val="center"/>
        <w:outlineLvl w:val="0"/>
        <w:rPr>
          <w:rFonts w:hint="eastAsia" w:ascii="黑体" w:hAnsi="黑体" w:eastAsia="黑体" w:cs="黑体"/>
          <w:color w:val="auto"/>
          <w:sz w:val="72"/>
          <w:szCs w:val="72"/>
          <w:highlight w:val="none"/>
        </w:rPr>
      </w:pPr>
      <w:r>
        <w:rPr>
          <w:rFonts w:hint="eastAsia" w:ascii="黑体" w:hAnsi="黑体" w:eastAsia="黑体" w:cs="黑体"/>
          <w:color w:val="auto"/>
          <w:sz w:val="72"/>
          <w:szCs w:val="72"/>
          <w:highlight w:val="none"/>
          <w:lang w:eastAsia="zh-CN"/>
        </w:rPr>
        <w:t>2024年度</w:t>
      </w:r>
    </w:p>
    <w:p w14:paraId="153AF3F7">
      <w:pPr>
        <w:adjustRightInd w:val="0"/>
        <w:snapToGrid w:val="0"/>
        <w:spacing w:line="360" w:lineRule="auto"/>
        <w:jc w:val="center"/>
        <w:outlineLvl w:val="0"/>
        <w:rPr>
          <w:rFonts w:hint="eastAsia" w:ascii="黑体" w:hAnsi="黑体" w:eastAsia="黑体" w:cs="黑体"/>
          <w:color w:val="auto"/>
          <w:sz w:val="72"/>
          <w:szCs w:val="72"/>
          <w:highlight w:val="none"/>
          <w:lang w:val="en-US" w:eastAsia="zh-CN"/>
        </w:rPr>
      </w:pPr>
      <w:bookmarkStart w:id="0" w:name="_Toc15378442"/>
      <w:bookmarkStart w:id="1" w:name="_Toc15377194"/>
      <w:bookmarkStart w:id="2" w:name="_Toc15377426"/>
      <w:bookmarkStart w:id="3" w:name="_Toc15306268"/>
      <w:bookmarkStart w:id="4" w:name="_Toc15396476"/>
      <w:bookmarkStart w:id="5" w:name="_Toc15396598"/>
      <w:r>
        <w:rPr>
          <w:rFonts w:hint="eastAsia" w:ascii="黑体" w:hAnsi="黑体" w:eastAsia="黑体" w:cs="黑体"/>
          <w:color w:val="auto"/>
          <w:sz w:val="72"/>
          <w:szCs w:val="72"/>
          <w:highlight w:val="none"/>
          <w:lang w:eastAsia="zh-CN"/>
        </w:rPr>
        <w:t>乐山市金口河区民族宗教事务局</w:t>
      </w:r>
      <w:r>
        <w:rPr>
          <w:rFonts w:hint="eastAsia" w:ascii="黑体" w:hAnsi="黑体" w:eastAsia="黑体" w:cs="黑体"/>
          <w:color w:val="auto"/>
          <w:sz w:val="72"/>
          <w:szCs w:val="72"/>
          <w:highlight w:val="none"/>
        </w:rPr>
        <w:t>部门决算</w:t>
      </w:r>
      <w:bookmarkEnd w:id="0"/>
      <w:bookmarkEnd w:id="1"/>
      <w:bookmarkEnd w:id="2"/>
      <w:bookmarkEnd w:id="3"/>
      <w:bookmarkEnd w:id="4"/>
      <w:bookmarkEnd w:id="5"/>
      <w:r>
        <w:rPr>
          <w:rFonts w:hint="eastAsia" w:ascii="黑体" w:hAnsi="黑体" w:eastAsia="黑体" w:cs="黑体"/>
          <w:color w:val="auto"/>
          <w:sz w:val="72"/>
          <w:szCs w:val="72"/>
          <w:highlight w:val="none"/>
          <w:lang w:val="en-US" w:eastAsia="zh-CN"/>
        </w:rPr>
        <w:t>公开</w:t>
      </w:r>
    </w:p>
    <w:p w14:paraId="5656BEB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6489421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2725851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455AAAF7">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6F03BBF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4F75896C">
      <w:pPr>
        <w:adjustRightInd w:val="0"/>
        <w:snapToGrid w:val="0"/>
        <w:spacing w:line="360" w:lineRule="auto"/>
        <w:jc w:val="both"/>
        <w:outlineLvl w:val="0"/>
        <w:rPr>
          <w:rFonts w:hint="eastAsia" w:ascii="方正小标宋简体" w:hAnsi="方正小标宋简体" w:eastAsia="方正小标宋简体" w:cs="方正小标宋简体"/>
          <w:color w:val="auto"/>
          <w:sz w:val="72"/>
          <w:szCs w:val="72"/>
          <w:highlight w:val="none"/>
          <w:lang w:val="en-US" w:eastAsia="zh-CN"/>
        </w:rPr>
      </w:pPr>
    </w:p>
    <w:p w14:paraId="35831A7A">
      <w:pPr>
        <w:adjustRightInd w:val="0"/>
        <w:snapToGrid w:val="0"/>
        <w:spacing w:line="360" w:lineRule="auto"/>
        <w:jc w:val="center"/>
        <w:outlineLvl w:val="0"/>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lang w:eastAsia="zh-CN"/>
        </w:rPr>
        <w:t>录</w:t>
      </w:r>
    </w:p>
    <w:p w14:paraId="2B73BCEE">
      <w:pPr>
        <w:pStyle w:val="11"/>
        <w:adjustRightInd w:val="0"/>
        <w:snapToGrid w:val="0"/>
        <w:spacing w:line="440" w:lineRule="exact"/>
        <w:ind w:left="0" w:leftChars="0" w:firstLine="0" w:firstLineChars="0"/>
        <w:jc w:val="center"/>
        <w:rPr>
          <w:rFonts w:hint="eastAsia"/>
          <w:color w:val="auto"/>
          <w:sz w:val="24"/>
          <w:highlight w:val="none"/>
        </w:rPr>
      </w:pPr>
      <w:r>
        <w:rPr>
          <w:rFonts w:hint="eastAsia"/>
          <w:color w:val="auto"/>
          <w:sz w:val="32"/>
          <w:szCs w:val="32"/>
          <w:highlight w:val="none"/>
        </w:rPr>
        <w:t>公开时间：20</w:t>
      </w:r>
      <w:r>
        <w:rPr>
          <w:rFonts w:hint="eastAsia"/>
          <w:color w:val="auto"/>
          <w:sz w:val="32"/>
          <w:szCs w:val="32"/>
          <w:highlight w:val="none"/>
          <w:lang w:val="en-US" w:eastAsia="zh-CN"/>
        </w:rPr>
        <w:t>25</w:t>
      </w:r>
      <w:r>
        <w:rPr>
          <w:rFonts w:hint="eastAsia"/>
          <w:color w:val="auto"/>
          <w:sz w:val="32"/>
          <w:szCs w:val="32"/>
          <w:highlight w:val="none"/>
        </w:rPr>
        <w:t>年</w:t>
      </w:r>
      <w:r>
        <w:rPr>
          <w:rFonts w:hint="eastAsia"/>
          <w:color w:val="auto"/>
          <w:sz w:val="32"/>
          <w:szCs w:val="32"/>
          <w:highlight w:val="none"/>
          <w:lang w:val="en-US" w:eastAsia="zh-CN"/>
        </w:rPr>
        <w:t>9</w:t>
      </w:r>
      <w:r>
        <w:rPr>
          <w:rFonts w:hint="eastAsia"/>
          <w:color w:val="auto"/>
          <w:sz w:val="32"/>
          <w:szCs w:val="32"/>
          <w:highlight w:val="none"/>
        </w:rPr>
        <w:t>月</w:t>
      </w:r>
      <w:r>
        <w:rPr>
          <w:rFonts w:hint="eastAsia"/>
          <w:color w:val="auto"/>
          <w:sz w:val="32"/>
          <w:szCs w:val="32"/>
          <w:highlight w:val="none"/>
          <w:lang w:val="en-US" w:eastAsia="zh-CN"/>
        </w:rPr>
        <w:t>17</w:t>
      </w:r>
      <w:r>
        <w:rPr>
          <w:rFonts w:hint="eastAsia"/>
          <w:color w:val="auto"/>
          <w:sz w:val="32"/>
          <w:szCs w:val="32"/>
          <w:highlight w:val="none"/>
        </w:rPr>
        <w:t>日</w:t>
      </w:r>
    </w:p>
    <w:p w14:paraId="167A305A">
      <w:pPr>
        <w:pStyle w:val="11"/>
        <w:adjustRightInd w:val="0"/>
        <w:snapToGrid w:val="0"/>
        <w:spacing w:line="440" w:lineRule="exact"/>
        <w:ind w:left="0" w:leftChars="0" w:firstLine="0" w:firstLineChars="0"/>
        <w:jc w:val="left"/>
        <w:rPr>
          <w:rFonts w:hint="eastAsia"/>
          <w:color w:val="auto"/>
          <w:sz w:val="24"/>
          <w:highlight w:val="none"/>
        </w:rPr>
      </w:pPr>
    </w:p>
    <w:p w14:paraId="73824B98">
      <w:pPr>
        <w:pStyle w:val="11"/>
        <w:adjustRightInd w:val="0"/>
        <w:snapToGrid w:val="0"/>
        <w:spacing w:line="440" w:lineRule="exact"/>
        <w:ind w:left="0" w:leftChars="0" w:firstLine="0" w:firstLineChars="0"/>
        <w:jc w:val="left"/>
        <w:rPr>
          <w:rFonts w:hint="eastAsia"/>
          <w:color w:val="auto"/>
          <w:sz w:val="24"/>
          <w:highlight w:val="none"/>
        </w:rPr>
      </w:pPr>
      <w:r>
        <w:rPr>
          <w:rFonts w:hint="eastAsia"/>
          <w:color w:val="auto"/>
          <w:sz w:val="24"/>
          <w:highlight w:val="none"/>
        </w:rPr>
        <w:t>第一部分 部门概况</w:t>
      </w:r>
    </w:p>
    <w:p w14:paraId="06BB3BF3">
      <w:pPr>
        <w:pStyle w:val="11"/>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4</w:t>
      </w:r>
      <w:r>
        <w:rPr>
          <w:rFonts w:hint="eastAsia"/>
          <w:sz w:val="24"/>
          <w:lang w:val="en-US" w:eastAsia="zh-CN"/>
        </w:rPr>
        <w:t>-5</w:t>
      </w:r>
    </w:p>
    <w:p w14:paraId="21879A8B">
      <w:pPr>
        <w:pStyle w:val="11"/>
        <w:adjustRightInd w:val="0"/>
        <w:snapToGrid w:val="0"/>
        <w:spacing w:line="440" w:lineRule="exact"/>
        <w:jc w:val="left"/>
        <w:rPr>
          <w:rFonts w:hint="default" w:ascii="仿宋" w:hAnsi="仿宋" w:eastAsia="仿宋" w:cstheme="minorBidi"/>
          <w:color w:val="auto"/>
          <w:sz w:val="24"/>
          <w:highlight w:val="none"/>
          <w:lang w:val="en-US" w:eastAsia="zh-CN"/>
        </w:rPr>
      </w:pPr>
      <w:r>
        <w:rPr>
          <w:rFonts w:hint="eastAsia"/>
          <w:color w:val="auto"/>
          <w:sz w:val="24"/>
          <w:highlight w:val="none"/>
        </w:rPr>
        <w:t>二、机构设置</w:t>
      </w:r>
      <w:r>
        <w:rPr>
          <w:rFonts w:hint="default"/>
          <w:color w:val="auto"/>
          <w:sz w:val="24"/>
          <w:highlight w:val="none"/>
          <w:lang w:val="en-US"/>
        </w:rPr>
        <w:t xml:space="preserve">  </w:t>
      </w:r>
      <w:r>
        <w:rPr>
          <w:rFonts w:hint="eastAsia"/>
          <w:sz w:val="24"/>
          <w:lang w:eastAsia="zh-CN"/>
        </w:rPr>
        <w:t>………………………………………………………………</w:t>
      </w:r>
      <w:r>
        <w:rPr>
          <w:rFonts w:hint="default" w:ascii="仿宋" w:hAnsi="仿宋" w:eastAsia="仿宋" w:cstheme="minorBidi"/>
          <w:color w:val="auto"/>
          <w:sz w:val="24"/>
          <w:highlight w:val="none"/>
          <w:lang w:val="en-US"/>
        </w:rPr>
        <w:t>5</w:t>
      </w:r>
      <w:r>
        <w:rPr>
          <w:rFonts w:hint="eastAsia" w:ascii="仿宋" w:hAnsi="仿宋" w:eastAsia="仿宋" w:cstheme="minorBidi"/>
          <w:color w:val="auto"/>
          <w:sz w:val="24"/>
          <w:highlight w:val="none"/>
          <w:lang w:val="en-US" w:eastAsia="zh-CN"/>
        </w:rPr>
        <w:t>-6</w:t>
      </w:r>
    </w:p>
    <w:p w14:paraId="3BF624CA">
      <w:pPr>
        <w:pStyle w:val="11"/>
        <w:adjustRightInd w:val="0"/>
        <w:snapToGrid w:val="0"/>
        <w:spacing w:line="440" w:lineRule="exact"/>
        <w:ind w:left="0" w:leftChars="0" w:firstLine="0" w:firstLineChars="0"/>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2024年度</w:t>
      </w:r>
      <w:r>
        <w:rPr>
          <w:rFonts w:hint="eastAsia"/>
          <w:color w:val="auto"/>
          <w:sz w:val="24"/>
          <w:highlight w:val="none"/>
        </w:rPr>
        <w:t>部门决算情况说明</w:t>
      </w:r>
    </w:p>
    <w:p w14:paraId="2F5F91AA">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6</w:t>
      </w:r>
    </w:p>
    <w:p w14:paraId="12F1481C">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6-7</w:t>
      </w:r>
    </w:p>
    <w:p w14:paraId="6B625FC3">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7-8</w:t>
      </w:r>
    </w:p>
    <w:p w14:paraId="428EFE97">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sz w:val="24"/>
          <w:lang w:eastAsia="zh-CN"/>
        </w:rPr>
        <w:t>…………………………</w:t>
      </w:r>
      <w:r>
        <w:rPr>
          <w:rFonts w:hint="default"/>
          <w:color w:val="auto"/>
          <w:sz w:val="24"/>
          <w:highlight w:val="none"/>
          <w:lang w:val="en-US"/>
        </w:rPr>
        <w:t xml:space="preserve">  8-9</w:t>
      </w:r>
    </w:p>
    <w:p w14:paraId="00A4D7E2">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9-12</w:t>
      </w:r>
    </w:p>
    <w:p w14:paraId="6F96234A">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六、一般公共预算财政拨款基本支出决算情况说明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12</w:t>
      </w:r>
    </w:p>
    <w:p w14:paraId="0BE23C8D">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1</w:t>
      </w:r>
      <w:r>
        <w:rPr>
          <w:rFonts w:hint="eastAsia"/>
          <w:color w:val="auto"/>
          <w:sz w:val="24"/>
          <w:highlight w:val="none"/>
          <w:lang w:val="en-US" w:eastAsia="zh-CN"/>
        </w:rPr>
        <w:t>2</w:t>
      </w:r>
      <w:r>
        <w:rPr>
          <w:rFonts w:hint="default"/>
          <w:color w:val="auto"/>
          <w:sz w:val="24"/>
          <w:highlight w:val="none"/>
          <w:lang w:val="en-US"/>
        </w:rPr>
        <w:t>-1</w:t>
      </w:r>
      <w:r>
        <w:rPr>
          <w:rFonts w:hint="eastAsia"/>
          <w:color w:val="auto"/>
          <w:sz w:val="24"/>
          <w:highlight w:val="none"/>
          <w:lang w:val="en-US" w:eastAsia="zh-CN"/>
        </w:rPr>
        <w:t>4</w:t>
      </w:r>
    </w:p>
    <w:p w14:paraId="56F12299">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sz w:val="24"/>
          <w:lang w:eastAsia="zh-CN"/>
        </w:rPr>
        <w:t>………………………………</w:t>
      </w:r>
      <w:r>
        <w:rPr>
          <w:rFonts w:hint="default"/>
          <w:color w:val="auto"/>
          <w:sz w:val="24"/>
          <w:highlight w:val="none"/>
          <w:lang w:val="en-US"/>
        </w:rPr>
        <w:t xml:space="preserve"> 1</w:t>
      </w:r>
      <w:r>
        <w:rPr>
          <w:rFonts w:hint="eastAsia"/>
          <w:color w:val="auto"/>
          <w:sz w:val="24"/>
          <w:highlight w:val="none"/>
          <w:lang w:val="en-US" w:eastAsia="zh-CN"/>
        </w:rPr>
        <w:t>4</w:t>
      </w:r>
    </w:p>
    <w:p w14:paraId="3E97B94E">
      <w:pPr>
        <w:pStyle w:val="11"/>
        <w:adjustRightInd w:val="0"/>
        <w:snapToGrid w:val="0"/>
        <w:spacing w:line="440" w:lineRule="exact"/>
        <w:ind w:left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 xml:space="preserve"> </w:t>
      </w:r>
      <w:r>
        <w:rPr>
          <w:rFonts w:hint="default" w:asciiTheme="minorEastAsia" w:hAnsiTheme="minorEastAsia" w:eastAsiaTheme="minorEastAsia" w:cstheme="minorEastAsia"/>
          <w:color w:val="auto"/>
          <w:sz w:val="24"/>
          <w:highlight w:val="none"/>
          <w:lang w:val="en-US"/>
        </w:rPr>
        <w:t xml:space="preserve"> </w:t>
      </w:r>
      <w:r>
        <w:rPr>
          <w:rFonts w:hint="eastAsia"/>
          <w:sz w:val="24"/>
          <w:lang w:eastAsia="zh-CN"/>
        </w:rPr>
        <w:t>……………………………</w:t>
      </w:r>
      <w:r>
        <w:rPr>
          <w:rFonts w:hint="default" w:asciiTheme="minorEastAsia" w:hAnsiTheme="minorEastAsia" w:eastAsiaTheme="minorEastAsia" w:cstheme="minorEastAsia"/>
          <w:color w:val="auto"/>
          <w:sz w:val="24"/>
          <w:highlight w:val="none"/>
          <w:lang w:val="en-US"/>
        </w:rPr>
        <w:t xml:space="preserve"> 1</w:t>
      </w:r>
      <w:r>
        <w:rPr>
          <w:rFonts w:hint="eastAsia" w:asciiTheme="minorEastAsia" w:hAnsiTheme="minorEastAsia" w:cstheme="minorEastAsia"/>
          <w:color w:val="auto"/>
          <w:sz w:val="24"/>
          <w:highlight w:val="none"/>
          <w:lang w:val="en-US" w:eastAsia="zh-CN"/>
        </w:rPr>
        <w:t>4</w:t>
      </w:r>
    </w:p>
    <w:p w14:paraId="20A3104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lang w:val="en-US" w:eastAsia="zh-CN"/>
        </w:rPr>
      </w:pPr>
      <w:r>
        <w:rPr>
          <w:rStyle w:val="16"/>
          <w:rFonts w:hint="eastAsia" w:asciiTheme="minorEastAsia" w:hAnsiTheme="minorEastAsia" w:eastAsiaTheme="minorEastAsia" w:cstheme="minorEastAsia"/>
          <w:color w:val="auto"/>
          <w:sz w:val="24"/>
          <w:highlight w:val="none"/>
          <w:u w:val="none"/>
          <w:lang w:eastAsia="zh-CN"/>
        </w:rPr>
        <w:t>十</w:t>
      </w:r>
      <w:r>
        <w:rPr>
          <w:rStyle w:val="16"/>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r>
        <w:rPr>
          <w:rFonts w:hint="eastAsia"/>
          <w:sz w:val="24"/>
          <w:lang w:eastAsia="zh-CN"/>
        </w:rPr>
        <w:t>………………………………………</w:t>
      </w:r>
      <w:r>
        <w:rPr>
          <w:rFonts w:hint="default" w:asciiTheme="minorEastAsia" w:hAnsiTheme="minorEastAsia" w:eastAsiaTheme="minorEastAsia" w:cstheme="minorEastAsia"/>
          <w:color w:val="auto"/>
          <w:sz w:val="24"/>
          <w:highlight w:val="none"/>
          <w:lang w:val="en-US"/>
        </w:rPr>
        <w:t>1</w:t>
      </w:r>
      <w:r>
        <w:rPr>
          <w:rFonts w:hint="eastAsia" w:asciiTheme="minorEastAsia" w:hAnsiTheme="minorEastAsia" w:cstheme="minorEastAsia"/>
          <w:color w:val="auto"/>
          <w:sz w:val="24"/>
          <w:highlight w:val="none"/>
          <w:lang w:val="en-US" w:eastAsia="zh-CN"/>
        </w:rPr>
        <w:t>4</w:t>
      </w:r>
      <w:r>
        <w:rPr>
          <w:rFonts w:hint="default" w:asciiTheme="minorEastAsia" w:hAnsiTheme="minorEastAsia" w:eastAsiaTheme="minorEastAsia" w:cstheme="minorEastAsia"/>
          <w:color w:val="auto"/>
          <w:sz w:val="24"/>
          <w:highlight w:val="none"/>
          <w:lang w:val="en-US"/>
        </w:rPr>
        <w:t>-1</w:t>
      </w:r>
      <w:r>
        <w:rPr>
          <w:rFonts w:hint="eastAsia" w:asciiTheme="minorEastAsia" w:hAnsiTheme="minorEastAsia" w:cstheme="minorEastAsia"/>
          <w:color w:val="auto"/>
          <w:sz w:val="24"/>
          <w:highlight w:val="none"/>
          <w:lang w:val="en-US" w:eastAsia="zh-CN"/>
        </w:rPr>
        <w:t>6</w:t>
      </w:r>
    </w:p>
    <w:p w14:paraId="43A826BD">
      <w:pPr>
        <w:pStyle w:val="11"/>
        <w:adjustRightInd w:val="0"/>
        <w:snapToGrid w:val="0"/>
        <w:spacing w:line="440" w:lineRule="exact"/>
        <w:ind w:left="0" w:leftChars="0" w:firstLine="0" w:firstLineChars="0"/>
        <w:jc w:val="left"/>
        <w:rPr>
          <w:rFonts w:hint="eastAsia" w:eastAsiaTheme="minorEastAsia"/>
          <w:color w:val="auto"/>
          <w:sz w:val="24"/>
          <w:highlight w:val="none"/>
          <w:lang w:val="en-US" w:eastAsia="zh-CN"/>
        </w:rPr>
      </w:pPr>
      <w:r>
        <w:rPr>
          <w:rFonts w:hint="eastAsia"/>
          <w:color w:val="auto"/>
          <w:sz w:val="24"/>
          <w:highlight w:val="none"/>
        </w:rPr>
        <w:t>第三部分 名词解释</w:t>
      </w:r>
      <w:r>
        <w:rPr>
          <w:rFonts w:hint="default"/>
          <w:color w:val="auto"/>
          <w:sz w:val="24"/>
          <w:highlight w:val="none"/>
          <w:lang w:val="en-US"/>
        </w:rPr>
        <w:t xml:space="preserve">  </w:t>
      </w:r>
      <w:r>
        <w:rPr>
          <w:rFonts w:hint="eastAsia"/>
          <w:color w:val="auto"/>
          <w:sz w:val="24"/>
          <w:highlight w:val="none"/>
          <w:lang w:eastAsia="zh-CN"/>
        </w:rPr>
        <w:t>………………………………………………………</w:t>
      </w:r>
      <w:r>
        <w:rPr>
          <w:rFonts w:hint="default"/>
          <w:color w:val="auto"/>
          <w:sz w:val="24"/>
          <w:highlight w:val="none"/>
          <w:lang w:val="en-US"/>
        </w:rPr>
        <w:t xml:space="preserve"> 1</w:t>
      </w:r>
      <w:r>
        <w:rPr>
          <w:rFonts w:hint="eastAsia"/>
          <w:color w:val="auto"/>
          <w:sz w:val="24"/>
          <w:highlight w:val="none"/>
          <w:lang w:val="en-US" w:eastAsia="zh-CN"/>
        </w:rPr>
        <w:t>7</w:t>
      </w:r>
      <w:r>
        <w:rPr>
          <w:rFonts w:hint="default"/>
          <w:color w:val="auto"/>
          <w:sz w:val="24"/>
          <w:highlight w:val="none"/>
          <w:lang w:val="en-US"/>
        </w:rPr>
        <w:t>-1</w:t>
      </w:r>
      <w:r>
        <w:rPr>
          <w:rFonts w:hint="eastAsia"/>
          <w:color w:val="auto"/>
          <w:sz w:val="24"/>
          <w:highlight w:val="none"/>
          <w:lang w:val="en-US" w:eastAsia="zh-CN"/>
        </w:rPr>
        <w:t>9</w:t>
      </w:r>
    </w:p>
    <w:p w14:paraId="3C4E5CE5">
      <w:pPr>
        <w:pStyle w:val="11"/>
        <w:adjustRightInd w:val="0"/>
        <w:snapToGrid w:val="0"/>
        <w:spacing w:line="440" w:lineRule="exact"/>
        <w:ind w:left="0" w:leftChars="0" w:firstLine="0" w:firstLineChars="0"/>
        <w:jc w:val="left"/>
        <w:rPr>
          <w:rFonts w:hint="eastAsia" w:eastAsia="宋体"/>
          <w:color w:val="auto"/>
          <w:sz w:val="24"/>
          <w:highlight w:val="none"/>
          <w:lang w:val="en-US" w:eastAsia="zh-CN"/>
        </w:rPr>
      </w:pPr>
      <w:r>
        <w:rPr>
          <w:rFonts w:hint="eastAsia"/>
          <w:color w:val="auto"/>
          <w:sz w:val="24"/>
          <w:highlight w:val="none"/>
        </w:rPr>
        <w:t>第四部分 附件</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color w:val="auto"/>
          <w:sz w:val="24"/>
          <w:highlight w:val="none"/>
          <w:lang w:eastAsia="zh-CN"/>
        </w:rPr>
        <w:t>……………………………………………………………</w:t>
      </w:r>
      <w:r>
        <w:rPr>
          <w:rFonts w:hint="default"/>
          <w:color w:val="auto"/>
          <w:sz w:val="24"/>
          <w:highlight w:val="none"/>
          <w:lang w:val="en-US"/>
        </w:rPr>
        <w:t xml:space="preserve"> </w:t>
      </w:r>
      <w:r>
        <w:rPr>
          <w:rFonts w:hint="eastAsia"/>
          <w:color w:val="auto"/>
          <w:sz w:val="24"/>
          <w:highlight w:val="none"/>
          <w:lang w:val="en-US" w:eastAsia="zh-CN"/>
        </w:rPr>
        <w:t>20</w:t>
      </w:r>
      <w:r>
        <w:rPr>
          <w:rFonts w:hint="default"/>
          <w:color w:val="auto"/>
          <w:sz w:val="24"/>
          <w:highlight w:val="none"/>
          <w:lang w:val="en-US"/>
        </w:rPr>
        <w:t>-3</w:t>
      </w:r>
      <w:r>
        <w:rPr>
          <w:rFonts w:hint="eastAsia"/>
          <w:color w:val="auto"/>
          <w:sz w:val="24"/>
          <w:highlight w:val="none"/>
          <w:lang w:val="en-US" w:eastAsia="zh-CN"/>
        </w:rPr>
        <w:t>7</w:t>
      </w:r>
    </w:p>
    <w:p w14:paraId="0E15F964">
      <w:pPr>
        <w:pStyle w:val="11"/>
        <w:adjustRightInd w:val="0"/>
        <w:snapToGrid w:val="0"/>
        <w:spacing w:line="440" w:lineRule="exact"/>
        <w:ind w:left="0" w:leftChars="0" w:firstLine="0" w:firstLineChars="0"/>
        <w:jc w:val="left"/>
        <w:rPr>
          <w:rFonts w:hint="default" w:eastAsia="宋体"/>
          <w:color w:val="auto"/>
          <w:sz w:val="24"/>
          <w:highlight w:val="none"/>
          <w:lang w:val="en-US" w:eastAsia="zh-CN"/>
        </w:rPr>
      </w:pPr>
      <w:r>
        <w:rPr>
          <w:rFonts w:hint="eastAsia"/>
          <w:color w:val="auto"/>
          <w:sz w:val="24"/>
          <w:highlight w:val="none"/>
        </w:rPr>
        <w:t>第五部分 附表</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color w:val="auto"/>
          <w:sz w:val="24"/>
          <w:highlight w:val="none"/>
          <w:lang w:eastAsia="zh-CN"/>
        </w:rPr>
        <w:t>………………………………………………………………</w:t>
      </w:r>
      <w:r>
        <w:rPr>
          <w:rFonts w:hint="default"/>
          <w:color w:val="auto"/>
          <w:sz w:val="24"/>
          <w:highlight w:val="none"/>
          <w:lang w:val="en-US"/>
        </w:rPr>
        <w:t xml:space="preserve">  </w:t>
      </w:r>
      <w:r>
        <w:rPr>
          <w:rFonts w:hint="eastAsia"/>
          <w:color w:val="auto"/>
          <w:sz w:val="24"/>
          <w:highlight w:val="none"/>
          <w:lang w:val="en-US" w:eastAsia="zh-CN"/>
        </w:rPr>
        <w:t>38</w:t>
      </w:r>
    </w:p>
    <w:p w14:paraId="0AE4D3A4">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56B19356">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57CC6D5F">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14B123F4">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0EE29E6A">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6C5AA739">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629154FE">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45CAE737">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77B1A4CB">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7F69543F">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1E9B8316">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77B499B4">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171044CD">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7C52EFC1">
      <w:pPr>
        <w:rPr>
          <w:rFonts w:hint="eastAsia"/>
          <w:lang w:val="en-US" w:eastAsia="zh-CN"/>
        </w:rPr>
      </w:pPr>
    </w:p>
    <w:p w14:paraId="455BC4D4">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3627B2FD">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2CD63208">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27D2238C">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084D4EB">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53495F10">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7C83DFAC">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349EAE2D">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0B5A3E2F">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01C8F778">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004C2DF4">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43F8280B">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2A123764">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68AF3581">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DC93A3E">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6AFF486B">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4792485E">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03C88B49">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3687597B">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2B88F501">
      <w:pPr>
        <w:jc w:val="center"/>
        <w:rPr>
          <w:rFonts w:hint="eastAsia" w:ascii="黑体" w:hAnsi="黑体" w:eastAsia="黑体" w:cs="黑体"/>
          <w:b/>
          <w:bCs/>
          <w:sz w:val="44"/>
          <w:szCs w:val="44"/>
        </w:rPr>
      </w:pPr>
      <w:r>
        <w:rPr>
          <w:rFonts w:hint="eastAsia" w:ascii="黑体" w:hAnsi="黑体" w:eastAsia="黑体" w:cs="黑体"/>
          <w:b/>
          <w:bCs/>
          <w:sz w:val="44"/>
          <w:szCs w:val="44"/>
        </w:rPr>
        <w:t>第一部分 部门概况</w:t>
      </w:r>
    </w:p>
    <w:p w14:paraId="30DB14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14:paraId="5C60D3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（一）贯彻执行党和国家关于民族宗教工作的方针、政策，当好区委、区政府在民族宗教工作方面的参谋和助手。</w:t>
      </w:r>
    </w:p>
    <w:p w14:paraId="3B3427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民族宗教理论、民族宗教政策和民族问题等重大课题的调查研究，参与研究制定和完善全区民族宗教工作的政策和措施；拟订全区有关民族宗教工作的方针、政策和民族宗教经济、文化、教育及社会事业的发展战略规划；拟订有关民族事务管理的规范性文件；开展民族宗教政策，法规的宣传教育。</w:t>
      </w:r>
    </w:p>
    <w:p w14:paraId="64C529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（三）宣传贯彻落实民族区域自治制度，办理少数民族权益保障事宜。</w:t>
      </w:r>
    </w:p>
    <w:p w14:paraId="09A088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（四）贯彻落实民族关系“三个离不开”的原则方法，协调处理民族关系中的重大事宜，促进各民族间的平等团结，互相合作，共同进步，努力维护社会稳定和国家统一，组织承办民族团结进步表彰活动。</w:t>
      </w:r>
    </w:p>
    <w:p w14:paraId="01D615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（五）研究提出民族地区经济发展的相关措施；研究提出少数民族和民族地区有关专项资金的分配与使用建议。</w:t>
      </w:r>
    </w:p>
    <w:p w14:paraId="787CF8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（六）在国家有关方针、政策和专项规划指导下，研究少数民族和民族地区教育、文化、科技、卫生、体育等方面的特殊问题并提出相关建议，承办相应的事务。</w:t>
      </w:r>
    </w:p>
    <w:p w14:paraId="239EA9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（七）管理少数民族语言文字工作。指导区中小学校，抓好双语教育及少数民族语言文字翻译和民族民间传统文化古籍的搜集、整理。</w:t>
      </w:r>
    </w:p>
    <w:p w14:paraId="302FBA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（八）协助有关部门做好少数民族干部队伍建设的调查研究和少数民族干部的培训、培养和使用工作。</w:t>
      </w:r>
    </w:p>
    <w:p w14:paraId="06AE48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（九）会同区教育局等相关部门，做好每年高中、初中毕业生升学和公开招考国家公务员、事业干部等工作中少数民族族别的鉴定和少数民族口试、笔试工作。</w:t>
      </w:r>
    </w:p>
    <w:p w14:paraId="409C51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（十）依法保障公民的宗教信仰自由，抓好全区宗教活动场所的管理，对全区的宗教情况进行调查研究，掌握动态和发展趋势，并向区委、区政府提出工作建议。</w:t>
      </w:r>
    </w:p>
    <w:p w14:paraId="755EA2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（十一）会同有关部门，编制民族宗教工作中突发事件的应急预案。及时处理民族宗教工作方面的突发事件和影响社会稳定的问题。</w:t>
      </w:r>
    </w:p>
    <w:p w14:paraId="0C13E9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（十二）负责职责范围内的安全生产和职业健康、生态环境保护等工作；按照行政审批、综合执法等方面的相关要求，做好有关工作。</w:t>
      </w:r>
    </w:p>
    <w:p w14:paraId="6908E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（十三）完成区委、区政府和市民宗委交办的其他事项。</w:t>
      </w:r>
    </w:p>
    <w:p w14:paraId="14AF36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B140F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乐山市金口河区民族宗教事务局</w:t>
      </w:r>
      <w:r>
        <w:rPr>
          <w:rFonts w:hint="eastAsia" w:ascii="仿宋_GB2312" w:hAnsi="仿宋_GB2312" w:eastAsia="仿宋_GB2312" w:cs="仿宋_GB2312"/>
          <w:sz w:val="32"/>
          <w:szCs w:val="32"/>
          <w:lang w:val="en-US" w:eastAsia="zh-CN"/>
        </w:rPr>
        <w:t>属一级预算行政单位，</w:t>
      </w:r>
      <w:r>
        <w:rPr>
          <w:rFonts w:hint="eastAsia" w:ascii="仿宋_GB2312" w:hAnsi="仿宋_GB2312" w:eastAsia="仿宋_GB2312" w:cs="仿宋_GB2312"/>
          <w:sz w:val="32"/>
          <w:szCs w:val="32"/>
        </w:rPr>
        <w:t>下属二级预算单位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14:paraId="2B2069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纳入乐山市金口河区民族宗教事务局</w:t>
      </w:r>
      <w:r>
        <w:rPr>
          <w:rFonts w:hint="eastAsia" w:ascii="仿宋_GB2312" w:hAnsi="仿宋_GB2312" w:eastAsia="仿宋_GB2312" w:cs="仿宋_GB2312"/>
          <w:sz w:val="32"/>
          <w:szCs w:val="32"/>
          <w:lang w:eastAsia="zh-CN"/>
        </w:rPr>
        <w:t>2024年度</w:t>
      </w:r>
      <w:r>
        <w:rPr>
          <w:rFonts w:hint="eastAsia" w:ascii="仿宋_GB2312" w:hAnsi="仿宋_GB2312" w:eastAsia="仿宋_GB2312" w:cs="仿宋_GB2312"/>
          <w:sz w:val="32"/>
          <w:szCs w:val="32"/>
        </w:rPr>
        <w:t>部门决算编制范围的二级预算单位</w:t>
      </w:r>
    </w:p>
    <w:p w14:paraId="29639CB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第二部分 </w:t>
      </w:r>
      <w:r>
        <w:rPr>
          <w:rFonts w:hint="eastAsia" w:ascii="仿宋_GB2312" w:hAnsi="仿宋_GB2312" w:eastAsia="仿宋_GB2312" w:cs="仿宋_GB2312"/>
          <w:b/>
          <w:bCs/>
          <w:sz w:val="32"/>
          <w:szCs w:val="32"/>
          <w:lang w:eastAsia="zh-CN"/>
        </w:rPr>
        <w:t>2024年度</w:t>
      </w:r>
      <w:r>
        <w:rPr>
          <w:rFonts w:hint="eastAsia" w:ascii="仿宋_GB2312" w:hAnsi="仿宋_GB2312" w:eastAsia="仿宋_GB2312" w:cs="仿宋_GB2312"/>
          <w:b/>
          <w:bCs/>
          <w:sz w:val="32"/>
          <w:szCs w:val="32"/>
        </w:rPr>
        <w:t>部门决算情况说明</w:t>
      </w:r>
    </w:p>
    <w:p w14:paraId="0D71DE4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一、收入支出决算总体情况说明</w:t>
      </w:r>
    </w:p>
    <w:p w14:paraId="3D24C4BB">
      <w:pPr>
        <w:spacing w:line="600" w:lineRule="exact"/>
        <w:ind w:firstLine="640" w:firstLineChars="200"/>
        <w:jc w:val="left"/>
        <w:rPr>
          <w:rFonts w:hint="eastAsia" w:ascii="仿宋" w:hAnsi="仿宋" w:eastAsia="仿宋"/>
          <w:sz w:val="32"/>
          <w:szCs w:val="32"/>
        </w:rPr>
      </w:pPr>
      <w:bookmarkStart w:id="6" w:name="OLE_LINK1"/>
      <w:r>
        <w:rPr>
          <w:rFonts w:hint="eastAsia" w:ascii="仿宋" w:hAnsi="仿宋" w:eastAsia="仿宋"/>
          <w:sz w:val="32"/>
          <w:szCs w:val="32"/>
          <w:lang w:eastAsia="zh-CN"/>
        </w:rPr>
        <w:t>2024年度</w:t>
      </w:r>
      <w:r>
        <w:rPr>
          <w:rFonts w:hint="eastAsia" w:ascii="仿宋" w:hAnsi="仿宋" w:eastAsia="仿宋"/>
          <w:sz w:val="32"/>
          <w:szCs w:val="32"/>
        </w:rPr>
        <w:t>收、支总计均为</w:t>
      </w:r>
      <w:r>
        <w:rPr>
          <w:rFonts w:hint="eastAsia" w:eastAsia="仿宋"/>
          <w:sz w:val="32"/>
          <w:szCs w:val="32"/>
          <w:lang w:val="en-US" w:eastAsia="zh-CN"/>
        </w:rPr>
        <w:t>338.02</w:t>
      </w:r>
      <w:r>
        <w:rPr>
          <w:rFonts w:hint="eastAsia" w:ascii="仿宋" w:hAnsi="仿宋" w:eastAsia="仿宋"/>
          <w:sz w:val="32"/>
          <w:szCs w:val="32"/>
        </w:rPr>
        <w:t>万元</w:t>
      </w:r>
      <w:bookmarkEnd w:id="6"/>
      <w:r>
        <w:rPr>
          <w:rFonts w:hint="eastAsia"/>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w:t>
      </w:r>
      <w:r>
        <w:rPr>
          <w:rFonts w:hint="eastAsia" w:ascii="仿宋" w:hAnsi="仿宋" w:eastAsia="仿宋"/>
          <w:sz w:val="32"/>
          <w:szCs w:val="32"/>
          <w:lang w:val="en-US" w:eastAsia="zh-CN"/>
        </w:rPr>
        <w:t>减少720.77</w:t>
      </w:r>
      <w:r>
        <w:rPr>
          <w:rFonts w:hint="eastAsia" w:ascii="仿宋" w:hAnsi="仿宋" w:eastAsia="仿宋"/>
          <w:sz w:val="32"/>
          <w:szCs w:val="32"/>
        </w:rPr>
        <w:t>万元，</w:t>
      </w:r>
      <w:r>
        <w:rPr>
          <w:rFonts w:hint="eastAsia" w:ascii="仿宋" w:hAnsi="仿宋" w:eastAsia="仿宋"/>
          <w:sz w:val="32"/>
          <w:szCs w:val="32"/>
          <w:lang w:val="en-US" w:eastAsia="zh-CN"/>
        </w:rPr>
        <w:t>下降68.07</w:t>
      </w:r>
      <w:r>
        <w:rPr>
          <w:rFonts w:ascii="仿宋" w:hAnsi="仿宋" w:eastAsia="仿宋"/>
          <w:sz w:val="32"/>
          <w:szCs w:val="32"/>
        </w:rPr>
        <w:t>%</w:t>
      </w:r>
      <w:r>
        <w:rPr>
          <w:rFonts w:hint="eastAsia" w:ascii="仿宋" w:hAnsi="仿宋" w:eastAsia="仿宋"/>
          <w:sz w:val="32"/>
          <w:szCs w:val="32"/>
        </w:rPr>
        <w:t>。</w:t>
      </w:r>
      <w:bookmarkStart w:id="7" w:name="OLE_LINK9"/>
      <w:r>
        <w:rPr>
          <w:rFonts w:hint="eastAsia" w:ascii="仿宋" w:hAnsi="仿宋" w:eastAsia="仿宋"/>
          <w:sz w:val="32"/>
          <w:szCs w:val="32"/>
        </w:rPr>
        <w:t>主要变动原因是</w:t>
      </w:r>
      <w:r>
        <w:rPr>
          <w:rFonts w:hint="eastAsia" w:ascii="仿宋" w:hAnsi="仿宋" w:eastAsia="仿宋"/>
          <w:sz w:val="32"/>
          <w:szCs w:val="32"/>
          <w:lang w:eastAsia="zh-CN"/>
        </w:rPr>
        <w:t>因为</w:t>
      </w:r>
      <w:r>
        <w:rPr>
          <w:rFonts w:hint="eastAsia" w:ascii="仿宋" w:hAnsi="仿宋" w:eastAsia="仿宋"/>
          <w:sz w:val="32"/>
          <w:szCs w:val="32"/>
          <w:lang w:val="en-US" w:eastAsia="zh-CN"/>
        </w:rPr>
        <w:t>减少</w:t>
      </w:r>
      <w:r>
        <w:rPr>
          <w:rFonts w:hint="eastAsia" w:ascii="仿宋" w:hAnsi="仿宋" w:eastAsia="仿宋"/>
          <w:sz w:val="32"/>
          <w:szCs w:val="32"/>
          <w:lang w:eastAsia="zh-CN"/>
        </w:rPr>
        <w:t>了乡村衔接资金和民族专项项目资金</w:t>
      </w:r>
      <w:bookmarkEnd w:id="7"/>
      <w:r>
        <w:rPr>
          <w:rFonts w:hint="eastAsia" w:ascii="仿宋" w:hAnsi="仿宋" w:eastAsia="仿宋"/>
          <w:sz w:val="32"/>
          <w:szCs w:val="32"/>
        </w:rPr>
        <w:t>。</w:t>
      </w:r>
    </w:p>
    <w:p w14:paraId="7DA88BCA">
      <w:pPr>
        <w:pStyle w:val="17"/>
        <w:rPr>
          <w:rFonts w:hint="eastAsia" w:eastAsia="仿宋"/>
          <w:lang w:eastAsia="zh-CN"/>
        </w:rPr>
      </w:pPr>
      <w:r>
        <w:rPr>
          <w:rFonts w:hint="eastAsia" w:eastAsia="仿宋"/>
          <w:lang w:eastAsia="zh-CN"/>
        </w:rPr>
        <w:drawing>
          <wp:inline distT="0" distB="0" distL="114300" distR="114300">
            <wp:extent cx="5256530" cy="2988310"/>
            <wp:effectExtent l="5080" t="4445" r="889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C920E02">
      <w:pPr>
        <w:spacing w:line="600" w:lineRule="exact"/>
        <w:ind w:firstLine="640" w:firstLineChars="200"/>
        <w:rPr>
          <w:rFonts w:hint="eastAsia"/>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14F58D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二、收入决算情况说明</w:t>
      </w:r>
    </w:p>
    <w:p w14:paraId="332CA114">
      <w:pPr>
        <w:spacing w:line="600" w:lineRule="exact"/>
        <w:ind w:firstLine="640" w:firstLineChars="200"/>
        <w:jc w:val="left"/>
        <w:outlineLvl w:val="1"/>
        <w:rPr>
          <w:rFonts w:ascii="仿宋" w:hAnsi="仿宋" w:eastAsia="仿宋"/>
          <w:sz w:val="32"/>
          <w:szCs w:val="32"/>
        </w:rPr>
      </w:pPr>
      <w:bookmarkStart w:id="8" w:name="OLE_LINK4"/>
      <w:r>
        <w:rPr>
          <w:rFonts w:hint="eastAsia" w:ascii="仿宋" w:hAnsi="仿宋" w:eastAsia="仿宋"/>
          <w:sz w:val="32"/>
          <w:szCs w:val="32"/>
          <w:lang w:eastAsia="zh-CN"/>
        </w:rPr>
        <w:t>2024年度</w:t>
      </w:r>
      <w:r>
        <w:rPr>
          <w:rFonts w:hint="eastAsia" w:ascii="仿宋" w:hAnsi="仿宋" w:eastAsia="仿宋"/>
          <w:sz w:val="32"/>
          <w:szCs w:val="32"/>
        </w:rPr>
        <w:t>本年收入合计</w:t>
      </w:r>
      <w:r>
        <w:rPr>
          <w:rFonts w:hint="eastAsia" w:eastAsia="仿宋"/>
          <w:sz w:val="32"/>
          <w:szCs w:val="32"/>
          <w:lang w:val="en-US" w:eastAsia="zh-CN"/>
        </w:rPr>
        <w:t>338.02</w:t>
      </w:r>
      <w:r>
        <w:rPr>
          <w:rFonts w:hint="eastAsia" w:ascii="仿宋" w:hAnsi="仿宋" w:eastAsia="仿宋"/>
          <w:sz w:val="32"/>
          <w:szCs w:val="32"/>
        </w:rPr>
        <w:t>万元，其中：</w:t>
      </w:r>
      <w:bookmarkStart w:id="9" w:name="OLE_LINK2"/>
      <w:r>
        <w:rPr>
          <w:rFonts w:hint="eastAsia" w:ascii="仿宋" w:hAnsi="仿宋" w:eastAsia="仿宋"/>
          <w:sz w:val="32"/>
          <w:szCs w:val="32"/>
        </w:rPr>
        <w:t>一般公共预算财政拨款收入</w:t>
      </w:r>
      <w:bookmarkEnd w:id="9"/>
      <w:r>
        <w:rPr>
          <w:rFonts w:hint="eastAsia" w:eastAsia="仿宋"/>
          <w:sz w:val="32"/>
          <w:szCs w:val="32"/>
          <w:lang w:val="en-US" w:eastAsia="zh-CN"/>
        </w:rPr>
        <w:t>338.02</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Start w:id="10" w:name="OLE_LINK3"/>
      <w:r>
        <w:rPr>
          <w:rFonts w:hint="eastAsia" w:ascii="仿宋" w:hAnsi="仿宋" w:eastAsia="仿宋"/>
          <w:sz w:val="32"/>
          <w:szCs w:val="32"/>
        </w:rPr>
        <w:t>国有资本经营预算财政拨款收入</w:t>
      </w:r>
      <w:bookmarkEnd w:id="10"/>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Start w:id="11" w:name="OLE_LINK5"/>
      <w:r>
        <w:rPr>
          <w:rFonts w:hint="eastAsia" w:ascii="仿宋" w:hAnsi="仿宋" w:eastAsia="仿宋"/>
          <w:sz w:val="32"/>
          <w:szCs w:val="32"/>
        </w:rPr>
        <w:t>上级补助收入</w:t>
      </w:r>
      <w:bookmarkEnd w:id="11"/>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16C57EB4">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bookmarkEnd w:id="8"/>
    <w:p w14:paraId="2FD35FE1">
      <w:pPr>
        <w:spacing w:line="600" w:lineRule="exact"/>
        <w:ind w:firstLine="640" w:firstLineChars="200"/>
        <w:outlineLvl w:val="1"/>
        <w:rPr>
          <w:rFonts w:hint="eastAsia" w:ascii="仿宋" w:hAnsi="仿宋" w:eastAsia="仿宋"/>
          <w:sz w:val="32"/>
          <w:szCs w:val="32"/>
          <w:lang w:eastAsia="zh-CN"/>
        </w:rPr>
      </w:pPr>
    </w:p>
    <w:p w14:paraId="52D5DAEA">
      <w:pPr>
        <w:spacing w:line="600" w:lineRule="exact"/>
        <w:ind w:firstLine="640" w:firstLineChars="200"/>
        <w:outlineLvl w:val="1"/>
        <w:rPr>
          <w:rFonts w:hint="eastAsia" w:ascii="仿宋" w:hAnsi="仿宋" w:eastAsia="仿宋"/>
          <w:sz w:val="32"/>
          <w:szCs w:val="32"/>
          <w:lang w:eastAsia="zh-CN"/>
        </w:rPr>
      </w:pPr>
    </w:p>
    <w:p w14:paraId="4E0B9A13">
      <w:pPr>
        <w:spacing w:line="600" w:lineRule="exact"/>
        <w:ind w:firstLine="640" w:firstLineChars="200"/>
        <w:outlineLvl w:val="1"/>
        <w:rPr>
          <w:rFonts w:hint="eastAsia" w:ascii="仿宋" w:hAnsi="仿宋" w:eastAsia="仿宋"/>
          <w:sz w:val="32"/>
          <w:szCs w:val="32"/>
          <w:lang w:eastAsia="zh-CN"/>
        </w:rPr>
      </w:pPr>
    </w:p>
    <w:p w14:paraId="49F47503">
      <w:pPr>
        <w:spacing w:line="600" w:lineRule="exact"/>
        <w:ind w:firstLine="640" w:firstLineChars="200"/>
        <w:outlineLvl w:val="1"/>
        <w:rPr>
          <w:rFonts w:hint="eastAsia" w:ascii="仿宋" w:hAnsi="仿宋" w:eastAsia="仿宋"/>
          <w:sz w:val="32"/>
          <w:szCs w:val="32"/>
          <w:lang w:eastAsia="zh-CN"/>
        </w:rPr>
      </w:pPr>
    </w:p>
    <w:p w14:paraId="3E50DE71">
      <w:pPr>
        <w:spacing w:line="600" w:lineRule="exact"/>
        <w:ind w:firstLine="640" w:firstLineChars="200"/>
        <w:outlineLvl w:val="1"/>
        <w:rPr>
          <w:rFonts w:hint="eastAsia" w:ascii="仿宋" w:hAnsi="仿宋" w:eastAsia="仿宋"/>
          <w:sz w:val="32"/>
          <w:szCs w:val="32"/>
          <w:lang w:eastAsia="zh-CN"/>
        </w:rPr>
      </w:pPr>
    </w:p>
    <w:p w14:paraId="79A2F1E8">
      <w:pPr>
        <w:spacing w:line="600" w:lineRule="exact"/>
        <w:ind w:firstLine="640" w:firstLineChars="200"/>
        <w:outlineLvl w:val="1"/>
        <w:rPr>
          <w:rFonts w:hint="eastAsia" w:ascii="仿宋" w:hAnsi="仿宋" w:eastAsia="仿宋"/>
          <w:sz w:val="32"/>
          <w:szCs w:val="32"/>
          <w:lang w:eastAsia="zh-CN"/>
        </w:rPr>
      </w:pPr>
    </w:p>
    <w:p w14:paraId="4224D0B6">
      <w:pPr>
        <w:spacing w:line="600" w:lineRule="exact"/>
        <w:ind w:firstLine="640" w:firstLineChars="200"/>
        <w:outlineLvl w:val="1"/>
        <w:rPr>
          <w:rFonts w:hint="eastAsia" w:ascii="仿宋" w:hAnsi="仿宋" w:eastAsia="仿宋"/>
          <w:sz w:val="32"/>
          <w:szCs w:val="32"/>
          <w:lang w:eastAsia="zh-CN"/>
        </w:rPr>
      </w:pPr>
    </w:p>
    <w:p w14:paraId="3375F2EE">
      <w:pPr>
        <w:spacing w:line="600" w:lineRule="exact"/>
        <w:ind w:firstLine="640" w:firstLineChars="200"/>
        <w:outlineLvl w:val="1"/>
        <w:rPr>
          <w:rFonts w:hint="eastAsia" w:ascii="仿宋" w:hAnsi="仿宋" w:eastAsia="仿宋"/>
          <w:sz w:val="32"/>
          <w:szCs w:val="32"/>
          <w:lang w:eastAsia="zh-CN"/>
        </w:rPr>
      </w:pPr>
    </w:p>
    <w:p w14:paraId="543015A8">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411480</wp:posOffset>
            </wp:positionH>
            <wp:positionV relativeFrom="paragraph">
              <wp:posOffset>-2700655</wp:posOffset>
            </wp:positionV>
            <wp:extent cx="5256530" cy="2988310"/>
            <wp:effectExtent l="5080" t="4445" r="15240" b="1714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00B3207">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w:t>
      </w:r>
      <w:bookmarkStart w:id="12" w:name="OLE_LINK6"/>
      <w:r>
        <w:rPr>
          <w:rFonts w:hint="eastAsia" w:ascii="仿宋" w:hAnsi="仿宋" w:eastAsia="仿宋"/>
          <w:sz w:val="32"/>
          <w:szCs w:val="32"/>
        </w:rPr>
        <w:t>收入决算结构图</w:t>
      </w:r>
      <w:bookmarkEnd w:id="12"/>
      <w:r>
        <w:rPr>
          <w:rFonts w:hint="eastAsia" w:ascii="仿宋" w:hAnsi="仿宋" w:eastAsia="仿宋"/>
          <w:sz w:val="32"/>
          <w:szCs w:val="32"/>
        </w:rPr>
        <w:t>）（饼状图）</w:t>
      </w:r>
    </w:p>
    <w:p w14:paraId="57E16CD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三、支出决算情况说明</w:t>
      </w:r>
    </w:p>
    <w:p w14:paraId="7CFEE7D6">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eastAsia="zh-CN"/>
        </w:rPr>
        <w:t>2024年度</w:t>
      </w:r>
      <w:r>
        <w:rPr>
          <w:rFonts w:hint="eastAsia" w:ascii="仿宋" w:hAnsi="仿宋" w:eastAsia="仿宋"/>
          <w:sz w:val="32"/>
          <w:szCs w:val="32"/>
        </w:rPr>
        <w:t>本年支出合计</w:t>
      </w:r>
      <w:r>
        <w:rPr>
          <w:rFonts w:hint="eastAsia" w:eastAsia="仿宋"/>
          <w:sz w:val="32"/>
          <w:szCs w:val="32"/>
          <w:lang w:val="en-US" w:eastAsia="zh-CN"/>
        </w:rPr>
        <w:t>338.02</w:t>
      </w:r>
      <w:r>
        <w:rPr>
          <w:rFonts w:hint="eastAsia" w:ascii="仿宋" w:hAnsi="仿宋" w:eastAsia="仿宋"/>
          <w:sz w:val="32"/>
          <w:szCs w:val="32"/>
        </w:rPr>
        <w:t>万元，其中：基本支出</w:t>
      </w:r>
      <w:r>
        <w:rPr>
          <w:rFonts w:hint="eastAsia" w:eastAsia="仿宋"/>
          <w:sz w:val="32"/>
          <w:szCs w:val="32"/>
          <w:lang w:val="en-US" w:eastAsia="zh-CN"/>
        </w:rPr>
        <w:t>180.31</w:t>
      </w:r>
      <w:r>
        <w:rPr>
          <w:rFonts w:hint="eastAsia" w:ascii="仿宋" w:hAnsi="仿宋" w:eastAsia="仿宋"/>
          <w:sz w:val="32"/>
          <w:szCs w:val="32"/>
        </w:rPr>
        <w:t>万元，占</w:t>
      </w:r>
      <w:r>
        <w:rPr>
          <w:rFonts w:hint="eastAsia" w:eastAsia="仿宋"/>
          <w:sz w:val="32"/>
          <w:szCs w:val="32"/>
          <w:lang w:val="en-US" w:eastAsia="zh-CN"/>
        </w:rPr>
        <w:t>53.34</w:t>
      </w:r>
      <w:r>
        <w:rPr>
          <w:rFonts w:ascii="仿宋" w:hAnsi="仿宋" w:eastAsia="仿宋"/>
          <w:sz w:val="32"/>
          <w:szCs w:val="32"/>
        </w:rPr>
        <w:t>%</w:t>
      </w:r>
      <w:r>
        <w:rPr>
          <w:rFonts w:hint="eastAsia" w:ascii="仿宋" w:hAnsi="仿宋" w:eastAsia="仿宋"/>
          <w:sz w:val="32"/>
          <w:szCs w:val="32"/>
        </w:rPr>
        <w:t>；项目支出</w:t>
      </w:r>
      <w:r>
        <w:rPr>
          <w:rFonts w:hint="eastAsia" w:eastAsia="仿宋"/>
          <w:sz w:val="32"/>
          <w:szCs w:val="32"/>
          <w:lang w:val="en-US" w:eastAsia="zh-CN"/>
        </w:rPr>
        <w:t>157.71</w:t>
      </w:r>
      <w:r>
        <w:rPr>
          <w:rFonts w:hint="eastAsia" w:ascii="仿宋" w:hAnsi="仿宋" w:eastAsia="仿宋"/>
          <w:sz w:val="32"/>
          <w:szCs w:val="32"/>
        </w:rPr>
        <w:t>万元，占</w:t>
      </w:r>
      <w:r>
        <w:rPr>
          <w:rFonts w:hint="eastAsia" w:eastAsia="仿宋"/>
          <w:sz w:val="32"/>
          <w:szCs w:val="32"/>
          <w:lang w:val="en-US" w:eastAsia="zh-CN"/>
        </w:rPr>
        <w:t>46.66</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4BB75225">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14:paraId="517A10D4">
      <w:pPr>
        <w:spacing w:line="600" w:lineRule="exact"/>
        <w:ind w:firstLine="640"/>
        <w:rPr>
          <w:rFonts w:hint="eastAsia" w:ascii="仿宋" w:hAnsi="仿宋" w:eastAsia="仿宋"/>
          <w:sz w:val="32"/>
          <w:szCs w:val="32"/>
          <w:shd w:val="pct10" w:color="auto" w:fill="FFFFFF"/>
          <w:lang w:eastAsia="zh-CN"/>
        </w:rPr>
      </w:pPr>
    </w:p>
    <w:p w14:paraId="34B6A9E5">
      <w:pPr>
        <w:spacing w:line="600" w:lineRule="exact"/>
        <w:ind w:firstLine="640"/>
        <w:rPr>
          <w:rFonts w:hint="eastAsia" w:ascii="仿宋" w:hAnsi="仿宋" w:eastAsia="仿宋"/>
          <w:sz w:val="32"/>
          <w:szCs w:val="32"/>
          <w:shd w:val="pct10" w:color="auto" w:fill="FFFFFF"/>
          <w:lang w:eastAsia="zh-CN"/>
        </w:rPr>
      </w:pPr>
    </w:p>
    <w:p w14:paraId="6F76D755">
      <w:pPr>
        <w:spacing w:line="600" w:lineRule="exact"/>
        <w:ind w:firstLine="640"/>
        <w:rPr>
          <w:rFonts w:hint="eastAsia" w:ascii="仿宋" w:hAnsi="仿宋" w:eastAsia="仿宋"/>
          <w:sz w:val="32"/>
          <w:szCs w:val="32"/>
          <w:shd w:val="pct10" w:color="auto" w:fill="FFFFFF"/>
          <w:lang w:eastAsia="zh-CN"/>
        </w:rPr>
      </w:pPr>
    </w:p>
    <w:p w14:paraId="5AAF5266">
      <w:pPr>
        <w:spacing w:line="600" w:lineRule="exact"/>
        <w:ind w:firstLine="640"/>
        <w:rPr>
          <w:rFonts w:hint="eastAsia" w:ascii="仿宋" w:hAnsi="仿宋" w:eastAsia="仿宋"/>
          <w:sz w:val="32"/>
          <w:szCs w:val="32"/>
          <w:shd w:val="pct10" w:color="auto" w:fill="FFFFFF"/>
          <w:lang w:eastAsia="zh-CN"/>
        </w:rPr>
      </w:pPr>
    </w:p>
    <w:p w14:paraId="6CD831DB">
      <w:pPr>
        <w:spacing w:line="600" w:lineRule="exact"/>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-57785</wp:posOffset>
            </wp:positionH>
            <wp:positionV relativeFrom="paragraph">
              <wp:posOffset>252095</wp:posOffset>
            </wp:positionV>
            <wp:extent cx="5256530" cy="2988310"/>
            <wp:effectExtent l="5080" t="4445" r="15240"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ADAAA16">
      <w:pPr>
        <w:spacing w:line="600" w:lineRule="exact"/>
        <w:ind w:firstLine="640"/>
        <w:rPr>
          <w:rFonts w:hint="eastAsia" w:ascii="仿宋" w:hAnsi="仿宋" w:eastAsia="仿宋"/>
          <w:sz w:val="32"/>
          <w:szCs w:val="32"/>
          <w:shd w:val="pct10" w:color="auto" w:fill="FFFFFF"/>
          <w:lang w:eastAsia="zh-CN"/>
        </w:rPr>
      </w:pPr>
    </w:p>
    <w:p w14:paraId="52F16D76">
      <w:pPr>
        <w:spacing w:line="600" w:lineRule="exact"/>
        <w:ind w:firstLine="640"/>
        <w:rPr>
          <w:rFonts w:hint="eastAsia" w:ascii="仿宋" w:hAnsi="仿宋" w:eastAsia="仿宋"/>
          <w:sz w:val="32"/>
          <w:szCs w:val="32"/>
          <w:shd w:val="pct10" w:color="auto" w:fill="FFFFFF"/>
          <w:lang w:eastAsia="zh-CN"/>
        </w:rPr>
      </w:pPr>
    </w:p>
    <w:p w14:paraId="318E6962">
      <w:pPr>
        <w:spacing w:line="600" w:lineRule="exact"/>
        <w:ind w:firstLine="640"/>
        <w:rPr>
          <w:rFonts w:hint="eastAsia" w:ascii="仿宋" w:hAnsi="仿宋" w:eastAsia="仿宋"/>
          <w:sz w:val="32"/>
          <w:szCs w:val="32"/>
          <w:shd w:val="pct10" w:color="auto" w:fill="FFFFFF"/>
          <w:lang w:eastAsia="zh-CN"/>
        </w:rPr>
      </w:pPr>
    </w:p>
    <w:p w14:paraId="67CA07B1">
      <w:pPr>
        <w:spacing w:line="600" w:lineRule="exact"/>
        <w:ind w:firstLine="640"/>
        <w:rPr>
          <w:rFonts w:hint="eastAsia" w:ascii="仿宋" w:hAnsi="仿宋" w:eastAsia="仿宋"/>
          <w:sz w:val="32"/>
          <w:szCs w:val="32"/>
          <w:shd w:val="pct10" w:color="auto" w:fill="FFFFFF"/>
          <w:lang w:eastAsia="zh-CN"/>
        </w:rPr>
      </w:pPr>
    </w:p>
    <w:p w14:paraId="5C715369">
      <w:pPr>
        <w:spacing w:line="600" w:lineRule="exact"/>
        <w:ind w:firstLine="640"/>
        <w:rPr>
          <w:rFonts w:hint="eastAsia" w:ascii="仿宋" w:hAnsi="仿宋" w:eastAsia="仿宋"/>
          <w:sz w:val="32"/>
          <w:szCs w:val="32"/>
          <w:shd w:val="pct10" w:color="auto" w:fill="FFFFFF"/>
          <w:lang w:eastAsia="zh-CN"/>
        </w:rPr>
      </w:pPr>
    </w:p>
    <w:p w14:paraId="3F0C451E">
      <w:pPr>
        <w:spacing w:line="600" w:lineRule="exact"/>
        <w:ind w:firstLine="640"/>
        <w:rPr>
          <w:rFonts w:hint="eastAsia" w:ascii="仿宋" w:hAnsi="仿宋" w:eastAsia="仿宋"/>
          <w:sz w:val="32"/>
          <w:szCs w:val="32"/>
          <w:shd w:val="pct10" w:color="auto" w:fill="FFFFFF"/>
          <w:lang w:eastAsia="zh-CN"/>
        </w:rPr>
      </w:pPr>
    </w:p>
    <w:p w14:paraId="785F323C">
      <w:pPr>
        <w:spacing w:line="600" w:lineRule="exact"/>
        <w:ind w:firstLine="640"/>
        <w:rPr>
          <w:rFonts w:hint="eastAsia" w:ascii="仿宋" w:hAnsi="仿宋" w:eastAsia="仿宋"/>
          <w:sz w:val="32"/>
          <w:szCs w:val="32"/>
          <w:shd w:val="pct10" w:color="auto" w:fill="FFFFFF"/>
          <w:lang w:eastAsia="zh-CN"/>
        </w:rPr>
      </w:pPr>
    </w:p>
    <w:p w14:paraId="3A6852C6">
      <w:pPr>
        <w:spacing w:line="600" w:lineRule="exact"/>
        <w:jc w:val="left"/>
        <w:rPr>
          <w:rFonts w:hint="eastAsia" w:ascii="仿宋" w:hAnsi="仿宋" w:eastAsia="仿宋"/>
          <w:sz w:val="32"/>
          <w:szCs w:val="32"/>
          <w:shd w:val="pct10" w:color="auto" w:fill="FFFFFF"/>
          <w:lang w:eastAsia="zh-CN"/>
        </w:rPr>
      </w:pPr>
    </w:p>
    <w:p w14:paraId="72A8E4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（图3：支出决算结构图）（饼状图）</w:t>
      </w:r>
    </w:p>
    <w:p w14:paraId="0D85B46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bookmarkStart w:id="13" w:name="_Toc15377208"/>
      <w:bookmarkStart w:id="14" w:name="_Toc15396606"/>
      <w:bookmarkStart w:id="15" w:name="OLE_LINK8"/>
      <w:r>
        <w:rPr>
          <w:rFonts w:hint="eastAsia" w:ascii="仿宋_GB2312" w:hAnsi="仿宋_GB2312" w:eastAsia="仿宋_GB2312" w:cs="仿宋_GB2312"/>
          <w:b/>
          <w:bCs/>
          <w:sz w:val="32"/>
          <w:szCs w:val="32"/>
        </w:rPr>
        <w:t>四、财政拨款收入支出决算总体情况说明</w:t>
      </w:r>
      <w:bookmarkEnd w:id="13"/>
      <w:bookmarkEnd w:id="14"/>
    </w:p>
    <w:p w14:paraId="7B561896">
      <w:pPr>
        <w:spacing w:line="600" w:lineRule="exact"/>
        <w:ind w:firstLine="640"/>
        <w:rPr>
          <w:rFonts w:hint="eastAsia" w:ascii="仿宋" w:hAnsi="仿宋" w:eastAsia="仿宋"/>
          <w:sz w:val="32"/>
          <w:szCs w:val="32"/>
          <w:lang w:eastAsia="zh-CN"/>
        </w:rPr>
      </w:pPr>
      <w:bookmarkStart w:id="16" w:name="OLE_LINK7"/>
      <w:r>
        <w:rPr>
          <w:rFonts w:hint="eastAsia" w:eastAsia="仿宋"/>
          <w:lang w:eastAsia="zh-CN"/>
        </w:rPr>
        <w:drawing>
          <wp:anchor distT="0" distB="0" distL="114300" distR="114300" simplePos="0" relativeHeight="251663360" behindDoc="0" locked="0" layoutInCell="1" allowOverlap="1">
            <wp:simplePos x="0" y="0"/>
            <wp:positionH relativeFrom="column">
              <wp:posOffset>176530</wp:posOffset>
            </wp:positionH>
            <wp:positionV relativeFrom="paragraph">
              <wp:posOffset>1506220</wp:posOffset>
            </wp:positionV>
            <wp:extent cx="5256530" cy="2988310"/>
            <wp:effectExtent l="5080" t="4445" r="8890" b="1714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lang w:eastAsia="zh-CN"/>
        </w:rPr>
        <w:t>2024年度</w:t>
      </w:r>
      <w:r>
        <w:rPr>
          <w:rFonts w:hint="eastAsia" w:ascii="仿宋" w:hAnsi="仿宋" w:eastAsia="仿宋"/>
          <w:sz w:val="32"/>
          <w:szCs w:val="32"/>
        </w:rPr>
        <w:t>财政拨款收、支总计均为</w:t>
      </w:r>
      <w:r>
        <w:rPr>
          <w:rFonts w:hint="eastAsia" w:eastAsia="仿宋"/>
          <w:sz w:val="32"/>
          <w:szCs w:val="32"/>
          <w:lang w:val="en-US" w:eastAsia="zh-CN"/>
        </w:rPr>
        <w:t>338.02</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w:t>
      </w:r>
      <w:r>
        <w:rPr>
          <w:rFonts w:hint="eastAsia" w:ascii="仿宋" w:hAnsi="仿宋" w:eastAsia="仿宋"/>
          <w:sz w:val="32"/>
          <w:szCs w:val="32"/>
          <w:lang w:val="en-US" w:eastAsia="zh-CN"/>
        </w:rPr>
        <w:t>减少720.77</w:t>
      </w:r>
      <w:r>
        <w:rPr>
          <w:rFonts w:hint="eastAsia" w:ascii="仿宋" w:hAnsi="仿宋" w:eastAsia="仿宋"/>
          <w:sz w:val="32"/>
          <w:szCs w:val="32"/>
        </w:rPr>
        <w:t>万元，</w:t>
      </w:r>
      <w:r>
        <w:rPr>
          <w:rFonts w:hint="eastAsia" w:ascii="仿宋" w:hAnsi="仿宋" w:eastAsia="仿宋"/>
          <w:sz w:val="32"/>
          <w:szCs w:val="32"/>
          <w:lang w:val="en-US" w:eastAsia="zh-CN"/>
        </w:rPr>
        <w:t>下降68.07</w:t>
      </w:r>
      <w:r>
        <w:rPr>
          <w:rFonts w:ascii="仿宋" w:hAnsi="仿宋" w:eastAsia="仿宋"/>
          <w:sz w:val="32"/>
          <w:szCs w:val="32"/>
        </w:rPr>
        <w:t>%</w:t>
      </w:r>
      <w:r>
        <w:rPr>
          <w:rFonts w:hint="eastAsia" w:ascii="仿宋" w:hAnsi="仿宋" w:eastAsia="仿宋"/>
          <w:sz w:val="32"/>
          <w:szCs w:val="32"/>
        </w:rPr>
        <w:t>。</w:t>
      </w:r>
      <w:bookmarkEnd w:id="16"/>
      <w:bookmarkStart w:id="17" w:name="OLE_LINK10"/>
      <w:r>
        <w:rPr>
          <w:rFonts w:hint="eastAsia" w:ascii="仿宋" w:hAnsi="仿宋" w:eastAsia="仿宋"/>
          <w:sz w:val="32"/>
          <w:szCs w:val="32"/>
        </w:rPr>
        <w:t>主要变动原因是</w:t>
      </w:r>
      <w:r>
        <w:rPr>
          <w:rFonts w:hint="eastAsia" w:ascii="仿宋" w:hAnsi="仿宋" w:eastAsia="仿宋"/>
          <w:sz w:val="32"/>
          <w:szCs w:val="32"/>
          <w:lang w:eastAsia="zh-CN"/>
        </w:rPr>
        <w:t>因为</w:t>
      </w:r>
      <w:r>
        <w:rPr>
          <w:rFonts w:hint="eastAsia" w:ascii="仿宋" w:hAnsi="仿宋" w:eastAsia="仿宋"/>
          <w:sz w:val="32"/>
          <w:szCs w:val="32"/>
          <w:lang w:val="en-US" w:eastAsia="zh-CN"/>
        </w:rPr>
        <w:t>减少</w:t>
      </w:r>
      <w:r>
        <w:rPr>
          <w:rFonts w:hint="eastAsia" w:ascii="仿宋" w:hAnsi="仿宋" w:eastAsia="仿宋"/>
          <w:sz w:val="32"/>
          <w:szCs w:val="32"/>
          <w:lang w:eastAsia="zh-CN"/>
        </w:rPr>
        <w:t>了乡村衔接资金和民族专项项目资金</w:t>
      </w:r>
      <w:bookmarkEnd w:id="17"/>
      <w:r>
        <w:rPr>
          <w:rFonts w:hint="eastAsia" w:ascii="仿宋" w:hAnsi="仿宋" w:eastAsia="仿宋"/>
          <w:sz w:val="32"/>
          <w:szCs w:val="32"/>
          <w:lang w:eastAsia="zh-CN"/>
        </w:rPr>
        <w:t>。</w:t>
      </w:r>
    </w:p>
    <w:p w14:paraId="6DDD04ED">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bookmarkEnd w:id="15"/>
      <w:r>
        <w:rPr>
          <w:rFonts w:ascii="仿宋" w:hAnsi="仿宋" w:eastAsia="仿宋"/>
          <w:b/>
          <w:sz w:val="32"/>
          <w:szCs w:val="32"/>
        </w:rPr>
        <w:t>）</w:t>
      </w:r>
    </w:p>
    <w:p w14:paraId="2C960A15">
      <w:pPr>
        <w:spacing w:line="600" w:lineRule="exact"/>
        <w:rPr>
          <w:rFonts w:hint="eastAsia" w:ascii="仿宋" w:hAnsi="仿宋" w:eastAsia="仿宋"/>
          <w:sz w:val="32"/>
          <w:szCs w:val="32"/>
          <w:lang w:eastAsia="zh-CN"/>
        </w:rPr>
      </w:pPr>
    </w:p>
    <w:p w14:paraId="50B422A4">
      <w:pPr>
        <w:spacing w:line="600" w:lineRule="exact"/>
        <w:ind w:firstLine="640" w:firstLineChars="200"/>
        <w:rPr>
          <w:rFonts w:hint="eastAsia" w:ascii="仿宋" w:hAnsi="仿宋" w:eastAsia="仿宋"/>
          <w:sz w:val="32"/>
          <w:szCs w:val="32"/>
        </w:rPr>
      </w:pPr>
    </w:p>
    <w:p w14:paraId="181C9F7F">
      <w:pPr>
        <w:spacing w:line="600" w:lineRule="exact"/>
        <w:ind w:firstLine="640" w:firstLineChars="200"/>
        <w:rPr>
          <w:rFonts w:hint="eastAsia" w:ascii="仿宋" w:hAnsi="仿宋" w:eastAsia="仿宋"/>
          <w:sz w:val="32"/>
          <w:szCs w:val="32"/>
        </w:rPr>
      </w:pPr>
    </w:p>
    <w:p w14:paraId="02B05447">
      <w:pPr>
        <w:spacing w:line="600" w:lineRule="exact"/>
        <w:ind w:firstLine="640" w:firstLineChars="200"/>
        <w:rPr>
          <w:rFonts w:hint="eastAsia" w:ascii="仿宋" w:hAnsi="仿宋" w:eastAsia="仿宋"/>
          <w:sz w:val="32"/>
          <w:szCs w:val="32"/>
        </w:rPr>
      </w:pPr>
    </w:p>
    <w:p w14:paraId="2152FEDB">
      <w:pPr>
        <w:spacing w:line="600" w:lineRule="exact"/>
        <w:ind w:firstLine="640" w:firstLineChars="200"/>
        <w:rPr>
          <w:rFonts w:hint="eastAsia" w:ascii="仿宋" w:hAnsi="仿宋" w:eastAsia="仿宋"/>
          <w:sz w:val="32"/>
          <w:szCs w:val="32"/>
        </w:rPr>
      </w:pPr>
    </w:p>
    <w:p w14:paraId="1D48BB6C">
      <w:pPr>
        <w:spacing w:line="600" w:lineRule="exact"/>
        <w:ind w:firstLine="640" w:firstLineChars="200"/>
        <w:rPr>
          <w:rFonts w:hint="eastAsia" w:ascii="仿宋" w:hAnsi="仿宋" w:eastAsia="仿宋"/>
          <w:sz w:val="32"/>
          <w:szCs w:val="32"/>
        </w:rPr>
      </w:pPr>
    </w:p>
    <w:p w14:paraId="7F603B56">
      <w:pPr>
        <w:spacing w:line="600" w:lineRule="exact"/>
        <w:ind w:firstLine="640" w:firstLineChars="200"/>
        <w:rPr>
          <w:rFonts w:hint="eastAsia" w:ascii="仿宋" w:hAnsi="仿宋" w:eastAsia="仿宋"/>
          <w:sz w:val="32"/>
          <w:szCs w:val="32"/>
        </w:rPr>
      </w:pPr>
    </w:p>
    <w:p w14:paraId="4144A245">
      <w:pPr>
        <w:spacing w:line="600" w:lineRule="exact"/>
        <w:ind w:firstLine="640" w:firstLineChars="200"/>
        <w:rPr>
          <w:rFonts w:hint="eastAsia" w:ascii="仿宋" w:hAnsi="仿宋" w:eastAsia="仿宋"/>
          <w:sz w:val="32"/>
          <w:szCs w:val="32"/>
        </w:rPr>
      </w:pPr>
    </w:p>
    <w:p w14:paraId="26C292F3">
      <w:pPr>
        <w:spacing w:line="600" w:lineRule="exact"/>
        <w:ind w:firstLine="640" w:firstLineChars="200"/>
        <w:rPr>
          <w:rFonts w:hint="eastAsia"/>
        </w:rPr>
      </w:pPr>
      <w:r>
        <w:rPr>
          <w:rFonts w:hint="eastAsia" w:ascii="仿宋" w:hAnsi="仿宋" w:eastAsia="仿宋"/>
          <w:sz w:val="32"/>
          <w:szCs w:val="32"/>
        </w:rPr>
        <w:t>（图4：财政拨款收、支决算总计变动情况）（柱状图）</w:t>
      </w:r>
    </w:p>
    <w:p w14:paraId="4CA73AA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五、一般公共预算财政拨款支出决算情况说明</w:t>
      </w:r>
    </w:p>
    <w:p w14:paraId="067473B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（一）一般公共预算财政拨款支出决算总体情况</w:t>
      </w:r>
    </w:p>
    <w:p w14:paraId="443D4B27">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2024年度</w:t>
      </w:r>
      <w:r>
        <w:rPr>
          <w:rFonts w:hint="eastAsia" w:ascii="仿宋" w:hAnsi="仿宋" w:eastAsia="仿宋"/>
          <w:sz w:val="32"/>
          <w:szCs w:val="32"/>
        </w:rPr>
        <w:t>一般公共预算财政拨款支出</w:t>
      </w:r>
      <w:r>
        <w:rPr>
          <w:rFonts w:hint="eastAsia" w:eastAsia="仿宋"/>
          <w:sz w:val="32"/>
          <w:szCs w:val="32"/>
          <w:lang w:val="en-US" w:eastAsia="zh-CN"/>
        </w:rPr>
        <w:t>338.02</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val="en-US" w:eastAsia="zh-CN"/>
        </w:rPr>
        <w:t>减少720.77</w:t>
      </w:r>
      <w:r>
        <w:rPr>
          <w:rFonts w:hint="eastAsia" w:ascii="仿宋" w:hAnsi="仿宋" w:eastAsia="仿宋"/>
          <w:sz w:val="32"/>
          <w:szCs w:val="32"/>
        </w:rPr>
        <w:t>万元，</w:t>
      </w:r>
      <w:r>
        <w:rPr>
          <w:rFonts w:hint="eastAsia" w:ascii="仿宋" w:hAnsi="仿宋" w:eastAsia="仿宋"/>
          <w:sz w:val="32"/>
          <w:szCs w:val="32"/>
          <w:lang w:val="en-US" w:eastAsia="zh-CN"/>
        </w:rPr>
        <w:t>减少68.07</w:t>
      </w:r>
      <w:r>
        <w:rPr>
          <w:rFonts w:ascii="仿宋" w:hAnsi="仿宋" w:eastAsia="仿宋"/>
          <w:sz w:val="32"/>
          <w:szCs w:val="32"/>
        </w:rPr>
        <w:t>%</w:t>
      </w:r>
      <w:r>
        <w:rPr>
          <w:rFonts w:hint="eastAsia" w:ascii="仿宋" w:hAnsi="仿宋" w:eastAsia="仿宋"/>
          <w:sz w:val="32"/>
          <w:szCs w:val="32"/>
        </w:rPr>
        <w:t>。主要</w:t>
      </w:r>
      <w:r>
        <w:rPr>
          <w:rFonts w:hint="eastAsia" w:ascii="仿宋" w:hAnsi="仿宋" w:eastAsia="仿宋"/>
          <w:sz w:val="32"/>
          <w:szCs w:val="32"/>
          <w:lang w:val="en-US" w:eastAsia="zh-CN"/>
        </w:rPr>
        <w:t>变动</w:t>
      </w:r>
      <w:r>
        <w:rPr>
          <w:rFonts w:hint="eastAsia" w:ascii="仿宋" w:hAnsi="仿宋" w:eastAsia="仿宋"/>
          <w:sz w:val="32"/>
          <w:szCs w:val="32"/>
        </w:rPr>
        <w:t>原因是</w:t>
      </w:r>
      <w:r>
        <w:rPr>
          <w:rFonts w:hint="eastAsia" w:ascii="仿宋" w:hAnsi="仿宋" w:eastAsia="仿宋"/>
          <w:sz w:val="32"/>
          <w:szCs w:val="32"/>
          <w:lang w:eastAsia="zh-CN"/>
        </w:rPr>
        <w:t>因为</w:t>
      </w:r>
      <w:r>
        <w:rPr>
          <w:rFonts w:hint="eastAsia" w:ascii="仿宋" w:hAnsi="仿宋" w:eastAsia="仿宋"/>
          <w:sz w:val="32"/>
          <w:szCs w:val="32"/>
          <w:lang w:val="en-US" w:eastAsia="zh-CN"/>
        </w:rPr>
        <w:t>减少</w:t>
      </w:r>
      <w:r>
        <w:rPr>
          <w:rFonts w:hint="eastAsia" w:ascii="仿宋" w:hAnsi="仿宋" w:eastAsia="仿宋"/>
          <w:sz w:val="32"/>
          <w:szCs w:val="32"/>
          <w:lang w:eastAsia="zh-CN"/>
        </w:rPr>
        <w:t>了乡村衔接资金和民族专项项目资金的支出。</w:t>
      </w:r>
    </w:p>
    <w:p w14:paraId="739422EE">
      <w:pPr>
        <w:pStyle w:val="17"/>
        <w:rPr>
          <w:rFonts w:ascii="仿宋" w:hAnsi="仿宋" w:eastAsia="仿宋"/>
          <w:sz w:val="32"/>
          <w:szCs w:val="32"/>
        </w:rPr>
      </w:pPr>
      <w:r>
        <w:rPr>
          <w:rFonts w:hint="eastAsia" w:eastAsia="仿宋"/>
          <w:lang w:eastAsia="zh-CN"/>
        </w:rPr>
        <w:drawing>
          <wp:inline distT="0" distB="0" distL="114300" distR="114300">
            <wp:extent cx="5256530" cy="2988310"/>
            <wp:effectExtent l="5080" t="4445" r="889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F03641">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3F5212B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（二）一般公共预算财政拨款支出决算结构情况</w:t>
      </w:r>
    </w:p>
    <w:p w14:paraId="67085136">
      <w:pPr>
        <w:spacing w:line="600" w:lineRule="exact"/>
        <w:ind w:firstLine="640" w:firstLineChars="200"/>
        <w:rPr>
          <w:rFonts w:hint="eastAsia" w:ascii="仿宋" w:hAnsi="仿宋" w:eastAsia="仿宋"/>
          <w:sz w:val="32"/>
          <w:szCs w:val="32"/>
          <w:lang w:eastAsia="zh-CN"/>
        </w:rPr>
      </w:pPr>
      <w:r>
        <w:rPr>
          <w:rFonts w:hint="eastAsia" w:ascii="仿宋_GB2312" w:hAnsi="仿宋_GB2312" w:eastAsia="仿宋_GB2312" w:cs="仿宋_GB2312"/>
          <w:sz w:val="32"/>
          <w:szCs w:val="32"/>
          <w:lang w:eastAsia="zh-CN"/>
        </w:rPr>
        <w:t>2</w:t>
      </w:r>
      <w:r>
        <w:rPr>
          <w:rFonts w:hint="eastAsia" w:ascii="仿宋" w:hAnsi="仿宋" w:eastAsia="仿宋"/>
          <w:sz w:val="32"/>
          <w:szCs w:val="32"/>
          <w:lang w:eastAsia="zh-CN"/>
        </w:rPr>
        <w:t>02</w:t>
      </w:r>
      <w:r>
        <w:rPr>
          <w:rFonts w:hint="eastAsia" w:ascii="仿宋" w:hAnsi="仿宋" w:eastAsia="仿宋"/>
          <w:sz w:val="32"/>
          <w:szCs w:val="32"/>
          <w:lang w:val="en-US" w:eastAsia="zh-CN"/>
        </w:rPr>
        <w:t>4</w:t>
      </w:r>
      <w:r>
        <w:rPr>
          <w:rFonts w:hint="eastAsia" w:ascii="仿宋" w:hAnsi="仿宋" w:eastAsia="仿宋"/>
          <w:sz w:val="32"/>
          <w:szCs w:val="32"/>
          <w:lang w:eastAsia="zh-CN"/>
        </w:rPr>
        <w:t>年</w:t>
      </w:r>
      <w:r>
        <w:rPr>
          <w:rFonts w:hint="eastAsia" w:ascii="仿宋" w:hAnsi="仿宋" w:eastAsia="仿宋"/>
          <w:sz w:val="32"/>
          <w:szCs w:val="32"/>
          <w:lang w:val="en-US" w:eastAsia="zh-CN"/>
        </w:rPr>
        <w:t>度</w:t>
      </w:r>
      <w:r>
        <w:rPr>
          <w:rFonts w:hint="eastAsia" w:ascii="仿宋" w:hAnsi="仿宋" w:eastAsia="仿宋"/>
          <w:sz w:val="32"/>
          <w:szCs w:val="32"/>
          <w:lang w:eastAsia="zh-CN"/>
        </w:rPr>
        <w:t>一般公共预算财政拨款支出</w:t>
      </w:r>
      <w:r>
        <w:rPr>
          <w:rFonts w:hint="eastAsia" w:ascii="仿宋" w:hAnsi="仿宋" w:eastAsia="仿宋"/>
          <w:sz w:val="32"/>
          <w:szCs w:val="32"/>
          <w:lang w:val="en-US" w:eastAsia="zh-CN"/>
        </w:rPr>
        <w:t>338.02</w:t>
      </w:r>
      <w:r>
        <w:rPr>
          <w:rFonts w:hint="eastAsia" w:ascii="仿宋" w:hAnsi="仿宋" w:eastAsia="仿宋"/>
          <w:sz w:val="32"/>
          <w:szCs w:val="32"/>
          <w:lang w:eastAsia="zh-CN"/>
        </w:rPr>
        <w:t>万元，主要用于以下方面：</w:t>
      </w:r>
      <w:r>
        <w:rPr>
          <w:rFonts w:hint="eastAsia" w:ascii="仿宋" w:hAnsi="仿宋" w:eastAsia="仿宋"/>
          <w:sz w:val="32"/>
          <w:szCs w:val="32"/>
          <w:lang w:val="en-US" w:eastAsia="zh-CN"/>
        </w:rPr>
        <w:t>一</w:t>
      </w:r>
      <w:r>
        <w:rPr>
          <w:rFonts w:hint="eastAsia" w:ascii="仿宋" w:hAnsi="仿宋" w:eastAsia="仿宋"/>
          <w:sz w:val="32"/>
          <w:szCs w:val="32"/>
          <w:lang w:eastAsia="zh-CN"/>
        </w:rPr>
        <w:t>般公共服务支出</w:t>
      </w:r>
      <w:r>
        <w:rPr>
          <w:rFonts w:hint="eastAsia" w:ascii="仿宋" w:hAnsi="仿宋" w:eastAsia="仿宋"/>
          <w:sz w:val="32"/>
          <w:szCs w:val="32"/>
          <w:lang w:val="en-US" w:eastAsia="zh-CN"/>
        </w:rPr>
        <w:t>290.6</w:t>
      </w:r>
      <w:r>
        <w:rPr>
          <w:rFonts w:hint="eastAsia" w:ascii="仿宋" w:hAnsi="仿宋" w:eastAsia="仿宋"/>
          <w:sz w:val="32"/>
          <w:szCs w:val="32"/>
          <w:lang w:eastAsia="zh-CN"/>
        </w:rPr>
        <w:t>万元，占比</w:t>
      </w:r>
      <w:r>
        <w:rPr>
          <w:rFonts w:hint="eastAsia" w:ascii="仿宋" w:hAnsi="仿宋" w:eastAsia="仿宋"/>
          <w:sz w:val="32"/>
          <w:szCs w:val="32"/>
          <w:lang w:val="en-US" w:eastAsia="zh-CN"/>
        </w:rPr>
        <w:t>85.97</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28.67</w:t>
      </w:r>
      <w:r>
        <w:rPr>
          <w:rFonts w:hint="eastAsia" w:ascii="仿宋" w:hAnsi="仿宋" w:eastAsia="仿宋"/>
          <w:sz w:val="32"/>
          <w:szCs w:val="32"/>
          <w:lang w:eastAsia="zh-CN"/>
        </w:rPr>
        <w:t>万元，占比</w:t>
      </w:r>
      <w:r>
        <w:rPr>
          <w:rFonts w:hint="eastAsia" w:ascii="仿宋" w:hAnsi="仿宋" w:eastAsia="仿宋"/>
          <w:sz w:val="32"/>
          <w:szCs w:val="32"/>
          <w:lang w:val="en-US" w:eastAsia="zh-CN"/>
        </w:rPr>
        <w:t>8.48</w:t>
      </w:r>
      <w:r>
        <w:rPr>
          <w:rFonts w:hint="eastAsia" w:ascii="仿宋" w:hAnsi="仿宋" w:eastAsia="仿宋"/>
          <w:sz w:val="32"/>
          <w:szCs w:val="32"/>
          <w:lang w:eastAsia="zh-CN"/>
        </w:rPr>
        <w:t>%；卫生健康支出</w:t>
      </w:r>
      <w:r>
        <w:rPr>
          <w:rFonts w:hint="eastAsia" w:ascii="仿宋" w:hAnsi="仿宋" w:eastAsia="仿宋"/>
          <w:sz w:val="32"/>
          <w:szCs w:val="32"/>
          <w:lang w:val="en-US" w:eastAsia="zh-CN"/>
        </w:rPr>
        <w:t>5.3</w:t>
      </w:r>
      <w:r>
        <w:rPr>
          <w:rFonts w:hint="eastAsia" w:ascii="仿宋" w:hAnsi="仿宋" w:eastAsia="仿宋"/>
          <w:sz w:val="32"/>
          <w:szCs w:val="32"/>
          <w:lang w:eastAsia="zh-CN"/>
        </w:rPr>
        <w:t>万元，占比</w:t>
      </w:r>
      <w:r>
        <w:rPr>
          <w:rFonts w:hint="eastAsia" w:ascii="仿宋" w:hAnsi="仿宋" w:eastAsia="仿宋"/>
          <w:sz w:val="32"/>
          <w:szCs w:val="32"/>
          <w:lang w:val="en-US" w:eastAsia="zh-CN"/>
        </w:rPr>
        <w:t>1.57</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0.47</w:t>
      </w:r>
      <w:r>
        <w:rPr>
          <w:rFonts w:hint="eastAsia" w:ascii="仿宋" w:hAnsi="仿宋" w:eastAsia="仿宋"/>
          <w:sz w:val="32"/>
          <w:szCs w:val="32"/>
          <w:lang w:eastAsia="zh-CN"/>
        </w:rPr>
        <w:t>万元，占比</w:t>
      </w:r>
      <w:r>
        <w:rPr>
          <w:rFonts w:hint="eastAsia" w:ascii="仿宋" w:hAnsi="仿宋" w:eastAsia="仿宋"/>
          <w:sz w:val="32"/>
          <w:szCs w:val="32"/>
          <w:lang w:val="en-US" w:eastAsia="zh-CN"/>
        </w:rPr>
        <w:t>0.14</w:t>
      </w:r>
      <w:r>
        <w:rPr>
          <w:rFonts w:hint="eastAsia" w:ascii="仿宋" w:hAnsi="仿宋" w:eastAsia="仿宋"/>
          <w:sz w:val="32"/>
          <w:szCs w:val="32"/>
          <w:lang w:eastAsia="zh-CN"/>
        </w:rPr>
        <w:t>%；住房保障支出</w:t>
      </w:r>
      <w:r>
        <w:rPr>
          <w:rFonts w:hint="eastAsia" w:ascii="仿宋" w:hAnsi="仿宋" w:eastAsia="仿宋"/>
          <w:sz w:val="32"/>
          <w:szCs w:val="32"/>
          <w:lang w:val="en-US" w:eastAsia="zh-CN"/>
        </w:rPr>
        <w:t>12.99</w:t>
      </w:r>
      <w:r>
        <w:rPr>
          <w:rFonts w:hint="eastAsia" w:ascii="仿宋" w:hAnsi="仿宋" w:eastAsia="仿宋"/>
          <w:sz w:val="32"/>
          <w:szCs w:val="32"/>
          <w:lang w:eastAsia="zh-CN"/>
        </w:rPr>
        <w:t>万元，占比</w:t>
      </w:r>
      <w:r>
        <w:rPr>
          <w:rFonts w:hint="eastAsia" w:ascii="仿宋" w:hAnsi="仿宋" w:eastAsia="仿宋"/>
          <w:sz w:val="32"/>
          <w:szCs w:val="32"/>
          <w:lang w:val="en-US" w:eastAsia="zh-CN"/>
        </w:rPr>
        <w:t>3.84</w:t>
      </w:r>
      <w:r>
        <w:rPr>
          <w:rFonts w:hint="eastAsia" w:ascii="仿宋" w:hAnsi="仿宋" w:eastAsia="仿宋"/>
          <w:sz w:val="32"/>
          <w:szCs w:val="32"/>
          <w:lang w:eastAsia="zh-CN"/>
        </w:rPr>
        <w:t>%。</w:t>
      </w:r>
    </w:p>
    <w:p w14:paraId="20767FFB">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14:paraId="0F7CD56A">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74295</wp:posOffset>
            </wp:positionH>
            <wp:positionV relativeFrom="paragraph">
              <wp:posOffset>68580</wp:posOffset>
            </wp:positionV>
            <wp:extent cx="5256530" cy="2988310"/>
            <wp:effectExtent l="5080" t="4445" r="15240" b="1714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99DAACD">
      <w:pPr>
        <w:pStyle w:val="17"/>
        <w:rPr>
          <w:rFonts w:ascii="仿宋" w:hAnsi="仿宋" w:eastAsia="仿宋"/>
          <w:sz w:val="32"/>
          <w:szCs w:val="32"/>
        </w:rPr>
      </w:pPr>
    </w:p>
    <w:p w14:paraId="3C10EB03">
      <w:pPr>
        <w:rPr>
          <w:rFonts w:ascii="仿宋" w:hAnsi="仿宋" w:eastAsia="仿宋"/>
          <w:sz w:val="32"/>
          <w:szCs w:val="32"/>
        </w:rPr>
      </w:pPr>
    </w:p>
    <w:p w14:paraId="50DDC293">
      <w:pPr>
        <w:pStyle w:val="17"/>
        <w:rPr>
          <w:rFonts w:ascii="仿宋" w:hAnsi="仿宋" w:eastAsia="仿宋"/>
          <w:sz w:val="32"/>
          <w:szCs w:val="32"/>
        </w:rPr>
      </w:pPr>
    </w:p>
    <w:p w14:paraId="59A4495E">
      <w:pPr>
        <w:rPr>
          <w:rFonts w:ascii="仿宋" w:hAnsi="仿宋" w:eastAsia="仿宋"/>
          <w:sz w:val="32"/>
          <w:szCs w:val="32"/>
        </w:rPr>
      </w:pPr>
    </w:p>
    <w:p w14:paraId="4AB5136E">
      <w:pPr>
        <w:pStyle w:val="17"/>
      </w:pPr>
    </w:p>
    <w:p w14:paraId="5309E986">
      <w:pPr>
        <w:spacing w:line="600" w:lineRule="exact"/>
        <w:ind w:firstLine="640" w:firstLineChars="200"/>
        <w:rPr>
          <w:rFonts w:hint="eastAsia"/>
        </w:rPr>
      </w:pPr>
      <w:r>
        <w:rPr>
          <w:rFonts w:hint="eastAsia" w:ascii="仿宋" w:hAnsi="仿宋" w:eastAsia="仿宋"/>
          <w:sz w:val="32"/>
          <w:szCs w:val="32"/>
        </w:rPr>
        <w:t>（图6：一般公共预算财政拨款支出决算结构）（饼状图）</w:t>
      </w:r>
    </w:p>
    <w:p w14:paraId="2F1ABB7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（三）一般公共预算财政拨款支出决算具体情况</w:t>
      </w:r>
    </w:p>
    <w:p w14:paraId="38E517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一般公共预算支出决算数为</w:t>
      </w:r>
      <w:r>
        <w:rPr>
          <w:rFonts w:hint="eastAsia" w:ascii="仿宋_GB2312" w:hAnsi="仿宋_GB2312" w:eastAsia="仿宋_GB2312" w:cs="仿宋_GB2312"/>
          <w:sz w:val="32"/>
          <w:szCs w:val="32"/>
          <w:lang w:val="en-US" w:eastAsia="zh-CN"/>
        </w:rPr>
        <w:t>338.02</w:t>
      </w:r>
      <w:r>
        <w:rPr>
          <w:rFonts w:hint="eastAsia" w:ascii="仿宋_GB2312" w:hAnsi="仿宋_GB2312" w:eastAsia="仿宋_GB2312" w:cs="仿宋_GB2312"/>
          <w:sz w:val="32"/>
          <w:szCs w:val="32"/>
        </w:rPr>
        <w:t>万元，完成预算的100%。其中：</w:t>
      </w:r>
    </w:p>
    <w:p w14:paraId="29D6A13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一般公共服务支出（类）民族事务（项）行政运行（款）：支出决算为</w:t>
      </w:r>
      <w:r>
        <w:rPr>
          <w:rFonts w:hint="eastAsia" w:ascii="仿宋_GB2312" w:hAnsi="仿宋_GB2312" w:eastAsia="仿宋_GB2312" w:cs="仿宋_GB2312"/>
          <w:sz w:val="32"/>
          <w:szCs w:val="32"/>
          <w:lang w:val="en-US" w:eastAsia="zh-CN"/>
        </w:rPr>
        <w:t>133.36</w:t>
      </w:r>
      <w:r>
        <w:rPr>
          <w:rFonts w:hint="eastAsia" w:ascii="仿宋_GB2312" w:hAnsi="仿宋_GB2312" w:eastAsia="仿宋_GB2312" w:cs="仿宋_GB2312"/>
          <w:sz w:val="32"/>
          <w:szCs w:val="32"/>
        </w:rPr>
        <w:t>万元，完成预算100%。</w:t>
      </w:r>
    </w:p>
    <w:p w14:paraId="2483E5AB">
      <w:pPr>
        <w:pStyle w:val="17"/>
        <w:keepNext/>
        <w:keepLines/>
        <w:pageBreakBefore w:val="0"/>
        <w:widowControl w:val="0"/>
        <w:numPr>
          <w:ilvl w:val="0"/>
          <w:numId w:val="0"/>
        </w:numPr>
        <w:kinsoku/>
        <w:wordWrap/>
        <w:overflowPunct/>
        <w:topLinePunct w:val="0"/>
        <w:autoSpaceDE/>
        <w:autoSpaceDN/>
        <w:bidi w:val="0"/>
        <w:adjustRightInd/>
        <w:snapToGrid/>
        <w:spacing w:line="377" w:lineRule="auto"/>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2.一般公共服务支出（类）民族事务（项）一般行政管理事务（款）：支出决算为74.85万元，完成预算100%。</w:t>
      </w:r>
    </w:p>
    <w:p w14:paraId="6F888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.一般公共服务支出（类）民族事务（项）民族工作专项（款）：支出决算为</w:t>
      </w:r>
      <w:r>
        <w:rPr>
          <w:rFonts w:hint="eastAsia" w:ascii="仿宋_GB2312" w:hAnsi="仿宋_GB2312" w:eastAsia="仿宋_GB2312" w:cs="仿宋_GB2312"/>
          <w:sz w:val="32"/>
          <w:szCs w:val="32"/>
          <w:lang w:val="en-US" w:eastAsia="zh-CN"/>
        </w:rPr>
        <w:t>33.84</w:t>
      </w:r>
      <w:r>
        <w:rPr>
          <w:rFonts w:hint="eastAsia" w:ascii="仿宋_GB2312" w:hAnsi="仿宋_GB2312" w:eastAsia="仿宋_GB2312" w:cs="仿宋_GB2312"/>
          <w:sz w:val="32"/>
          <w:szCs w:val="32"/>
        </w:rPr>
        <w:t>万元，完成预算100%。</w:t>
      </w:r>
    </w:p>
    <w:p w14:paraId="18D07A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.一般公共服务支出（类）民族事务（项）其他民族事务支出（款）：支出决算为</w:t>
      </w:r>
      <w:r>
        <w:rPr>
          <w:rFonts w:hint="eastAsia" w:ascii="仿宋_GB2312" w:hAnsi="仿宋_GB2312" w:eastAsia="仿宋_GB2312" w:cs="仿宋_GB2312"/>
          <w:sz w:val="32"/>
          <w:szCs w:val="32"/>
          <w:lang w:val="en-US" w:eastAsia="zh-CN"/>
        </w:rPr>
        <w:t>46.56</w:t>
      </w:r>
      <w:r>
        <w:rPr>
          <w:rFonts w:hint="eastAsia" w:ascii="仿宋_GB2312" w:hAnsi="仿宋_GB2312" w:eastAsia="仿宋_GB2312" w:cs="仿宋_GB2312"/>
          <w:sz w:val="32"/>
          <w:szCs w:val="32"/>
        </w:rPr>
        <w:t>万元，完成预算100%。</w:t>
      </w:r>
    </w:p>
    <w:p w14:paraId="053545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.一般公共服务支出（类）统战事务（项）宗教事务（款）：支出决算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万元，完成预算100%。</w:t>
      </w:r>
    </w:p>
    <w:p w14:paraId="30B5B4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.社会保障和就业支出（类）行政事业单位养老支出（项）机关事业单位基本养老保险缴费支出（款）：支出决算</w:t>
      </w:r>
      <w:r>
        <w:rPr>
          <w:rFonts w:hint="eastAsia" w:ascii="仿宋_GB2312" w:hAnsi="仿宋_GB2312" w:eastAsia="仿宋_GB2312" w:cs="仿宋_GB2312"/>
          <w:sz w:val="32"/>
          <w:szCs w:val="32"/>
          <w:lang w:val="en-US" w:eastAsia="zh-CN"/>
        </w:rPr>
        <w:t>15.52</w:t>
      </w:r>
      <w:r>
        <w:rPr>
          <w:rFonts w:hint="eastAsia" w:ascii="仿宋_GB2312" w:hAnsi="仿宋_GB2312" w:eastAsia="仿宋_GB2312" w:cs="仿宋_GB2312"/>
          <w:sz w:val="32"/>
          <w:szCs w:val="32"/>
        </w:rPr>
        <w:t>万元，完成预算100%。</w:t>
      </w:r>
    </w:p>
    <w:p w14:paraId="102372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.社会保障和就业支出（类）行政事业单位养老支出（项）机关事业单位职业年金缴费支出（款）：支出决算</w:t>
      </w:r>
      <w:r>
        <w:rPr>
          <w:rFonts w:hint="eastAsia" w:ascii="仿宋_GB2312" w:hAnsi="仿宋_GB2312" w:eastAsia="仿宋_GB2312" w:cs="仿宋_GB2312"/>
          <w:sz w:val="32"/>
          <w:szCs w:val="32"/>
          <w:lang w:val="en-US" w:eastAsia="zh-CN"/>
        </w:rPr>
        <w:t>7.76</w:t>
      </w:r>
      <w:r>
        <w:rPr>
          <w:rFonts w:hint="eastAsia" w:ascii="仿宋_GB2312" w:hAnsi="仿宋_GB2312" w:eastAsia="仿宋_GB2312" w:cs="仿宋_GB2312"/>
          <w:sz w:val="32"/>
          <w:szCs w:val="32"/>
        </w:rPr>
        <w:t>万元，完成预算100%。</w:t>
      </w:r>
    </w:p>
    <w:p w14:paraId="3C23F1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社会保障和就业支出（类）行政事业单位养老支出（项）</w:t>
      </w:r>
      <w:r>
        <w:rPr>
          <w:rFonts w:hint="eastAsia" w:ascii="仿宋_GB2312" w:hAnsi="仿宋_GB2312" w:eastAsia="仿宋_GB2312" w:cs="仿宋_GB2312"/>
          <w:sz w:val="32"/>
          <w:szCs w:val="32"/>
          <w:lang w:val="en-US" w:eastAsia="zh-CN"/>
        </w:rPr>
        <w:t>其他行政事业单位养老支出</w:t>
      </w:r>
      <w:r>
        <w:rPr>
          <w:rFonts w:hint="eastAsia" w:ascii="仿宋_GB2312" w:hAnsi="仿宋_GB2312" w:eastAsia="仿宋_GB2312" w:cs="仿宋_GB2312"/>
          <w:sz w:val="32"/>
          <w:szCs w:val="32"/>
        </w:rPr>
        <w:t>（款）：支出决算</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万元，完成预算100%。</w:t>
      </w:r>
    </w:p>
    <w:p w14:paraId="7F9C37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.社会保障和就业支出（类）其他社会保障和就业支出（项）其他社会保障和就业保障支出（款）：支出决算</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万元，完成预算100%。</w:t>
      </w:r>
    </w:p>
    <w:p w14:paraId="44A454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.卫生健康支出（类）行政事业单位医疗（款）行政单位医疗（项）：支出决算</w:t>
      </w:r>
      <w:r>
        <w:rPr>
          <w:rFonts w:hint="eastAsia" w:ascii="仿宋_GB2312" w:hAnsi="仿宋_GB2312" w:eastAsia="仿宋_GB2312" w:cs="仿宋_GB2312"/>
          <w:sz w:val="32"/>
          <w:szCs w:val="32"/>
          <w:lang w:val="en-US" w:eastAsia="zh-CN"/>
        </w:rPr>
        <w:t>4.39</w:t>
      </w:r>
      <w:r>
        <w:rPr>
          <w:rFonts w:hint="eastAsia" w:ascii="仿宋_GB2312" w:hAnsi="仿宋_GB2312" w:eastAsia="仿宋_GB2312" w:cs="仿宋_GB2312"/>
          <w:sz w:val="32"/>
          <w:szCs w:val="32"/>
        </w:rPr>
        <w:t>万元，完成预算100%。</w:t>
      </w:r>
    </w:p>
    <w:p w14:paraId="5FEF4F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（项）：支出决算</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w:t>
      </w:r>
    </w:p>
    <w:p w14:paraId="1DF7B1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.农林水支出（类）</w:t>
      </w:r>
      <w:r>
        <w:rPr>
          <w:rFonts w:hint="eastAsia" w:ascii="仿宋_GB2312" w:hAnsi="仿宋_GB2312" w:eastAsia="仿宋_GB2312" w:cs="仿宋_GB2312"/>
          <w:sz w:val="32"/>
          <w:szCs w:val="32"/>
          <w:lang w:eastAsia="zh-CN"/>
        </w:rPr>
        <w:t>巩固脱贫攻坚成果衔接乡村振兴</w:t>
      </w:r>
      <w:r>
        <w:rPr>
          <w:rFonts w:hint="eastAsia" w:ascii="仿宋_GB2312" w:hAnsi="仿宋_GB2312" w:eastAsia="仿宋_GB2312" w:cs="仿宋_GB2312"/>
          <w:sz w:val="32"/>
          <w:szCs w:val="32"/>
        </w:rPr>
        <w:t>（款）其他</w:t>
      </w:r>
      <w:r>
        <w:rPr>
          <w:rFonts w:hint="eastAsia" w:ascii="仿宋_GB2312" w:hAnsi="仿宋_GB2312" w:eastAsia="仿宋_GB2312" w:cs="仿宋_GB2312"/>
          <w:sz w:val="32"/>
          <w:szCs w:val="32"/>
          <w:lang w:eastAsia="zh-CN"/>
        </w:rPr>
        <w:t>巩固脱贫攻坚成果衔接乡村振兴支出</w:t>
      </w:r>
      <w:r>
        <w:rPr>
          <w:rFonts w:hint="eastAsia" w:ascii="仿宋_GB2312" w:hAnsi="仿宋_GB2312" w:eastAsia="仿宋_GB2312" w:cs="仿宋_GB2312"/>
          <w:sz w:val="32"/>
          <w:szCs w:val="32"/>
        </w:rPr>
        <w:t>（项）：支出决算为</w:t>
      </w:r>
      <w:r>
        <w:rPr>
          <w:rFonts w:hint="eastAsia" w:ascii="仿宋_GB2312" w:hAnsi="仿宋_GB2312" w:eastAsia="仿宋_GB2312" w:cs="仿宋_GB2312"/>
          <w:sz w:val="32"/>
          <w:szCs w:val="32"/>
          <w:lang w:val="en-US" w:eastAsia="zh-CN"/>
        </w:rPr>
        <w:t>0.47</w:t>
      </w:r>
      <w:r>
        <w:rPr>
          <w:rFonts w:hint="eastAsia" w:ascii="仿宋_GB2312" w:hAnsi="仿宋_GB2312" w:eastAsia="仿宋_GB2312" w:cs="仿宋_GB2312"/>
          <w:sz w:val="32"/>
          <w:szCs w:val="32"/>
        </w:rPr>
        <w:t>万元，完成预算100%。</w:t>
      </w:r>
    </w:p>
    <w:p w14:paraId="0DCAD0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.住房保障支出（类）住房改革支出（款）住房公积金（项）：支出决算</w:t>
      </w:r>
      <w:r>
        <w:rPr>
          <w:rFonts w:hint="eastAsia" w:ascii="仿宋_GB2312" w:hAnsi="仿宋_GB2312" w:eastAsia="仿宋_GB2312" w:cs="仿宋_GB2312"/>
          <w:sz w:val="32"/>
          <w:szCs w:val="32"/>
          <w:lang w:val="en-US" w:eastAsia="zh-CN"/>
        </w:rPr>
        <w:t>12.99</w:t>
      </w:r>
      <w:r>
        <w:rPr>
          <w:rFonts w:hint="eastAsia" w:ascii="仿宋_GB2312" w:hAnsi="仿宋_GB2312" w:eastAsia="仿宋_GB2312" w:cs="仿宋_GB2312"/>
          <w:sz w:val="32"/>
          <w:szCs w:val="32"/>
        </w:rPr>
        <w:t>万元，完成预算100%。</w:t>
      </w:r>
    </w:p>
    <w:p w14:paraId="7B6907C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六、一般公共预算财政拨款基本支出决算情况说明</w:t>
      </w:r>
    </w:p>
    <w:p w14:paraId="4FF53C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一般公共预算财政拨款基本支出</w:t>
      </w:r>
      <w:r>
        <w:rPr>
          <w:rFonts w:hint="eastAsia" w:ascii="仿宋_GB2312" w:hAnsi="仿宋_GB2312" w:eastAsia="仿宋_GB2312" w:cs="仿宋_GB2312"/>
          <w:sz w:val="32"/>
          <w:szCs w:val="32"/>
          <w:lang w:val="en-US" w:eastAsia="zh-CN"/>
        </w:rPr>
        <w:t>180.31</w:t>
      </w:r>
      <w:r>
        <w:rPr>
          <w:rFonts w:hint="eastAsia" w:ascii="仿宋_GB2312" w:hAnsi="仿宋_GB2312" w:eastAsia="仿宋_GB2312" w:cs="仿宋_GB2312"/>
          <w:sz w:val="32"/>
          <w:szCs w:val="32"/>
        </w:rPr>
        <w:t>万元，其中：</w:t>
      </w:r>
    </w:p>
    <w:p w14:paraId="1EF69906">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eastAsia="仿宋"/>
          <w:sz w:val="32"/>
          <w:szCs w:val="32"/>
          <w:lang w:val="en-US" w:eastAsia="zh-CN"/>
        </w:rPr>
        <w:t>164.17</w:t>
      </w:r>
      <w:r>
        <w:rPr>
          <w:rFonts w:hint="eastAsia" w:ascii="仿宋" w:hAnsi="仿宋" w:eastAsia="仿宋"/>
          <w:sz w:val="32"/>
          <w:szCs w:val="32"/>
        </w:rPr>
        <w:t>万元，主要包括：基本工资、津贴补贴、奖金、伙食补助费、职工基本医疗保险缴费</w:t>
      </w:r>
      <w:r>
        <w:rPr>
          <w:rFonts w:hint="eastAsia" w:ascii="仿宋" w:hAnsi="仿宋" w:eastAsia="仿宋"/>
          <w:sz w:val="32"/>
          <w:szCs w:val="32"/>
          <w:lang w:eastAsia="zh-CN"/>
        </w:rPr>
        <w:t>、</w:t>
      </w:r>
      <w:r>
        <w:rPr>
          <w:rFonts w:hint="eastAsia" w:ascii="仿宋" w:hAnsi="仿宋" w:eastAsia="仿宋"/>
          <w:sz w:val="32"/>
          <w:szCs w:val="32"/>
        </w:rPr>
        <w:t>机关事业单位基本养老保险缴费、职业年金缴费、公务员医疗补助缴费</w:t>
      </w:r>
      <w:r>
        <w:rPr>
          <w:rFonts w:hint="eastAsia" w:ascii="仿宋" w:hAnsi="仿宋" w:eastAsia="仿宋"/>
          <w:sz w:val="32"/>
          <w:szCs w:val="32"/>
          <w:lang w:eastAsia="zh-CN"/>
        </w:rPr>
        <w:t>、</w:t>
      </w:r>
      <w:r>
        <w:rPr>
          <w:rFonts w:hint="eastAsia" w:ascii="仿宋" w:hAnsi="仿宋" w:eastAsia="仿宋"/>
          <w:sz w:val="32"/>
          <w:szCs w:val="32"/>
        </w:rPr>
        <w:t>其他社会保障缴费、生活补助、医疗费补助、住房公积金等。</w:t>
      </w:r>
    </w:p>
    <w:p w14:paraId="2AB80E2B">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eastAsia="仿宋"/>
          <w:sz w:val="32"/>
          <w:szCs w:val="32"/>
          <w:lang w:val="en-US" w:eastAsia="zh-CN"/>
        </w:rPr>
        <w:t>16.14</w:t>
      </w:r>
      <w:r>
        <w:rPr>
          <w:rFonts w:hint="eastAsia" w:ascii="仿宋" w:hAnsi="仿宋" w:eastAsia="仿宋"/>
          <w:sz w:val="32"/>
          <w:szCs w:val="32"/>
        </w:rPr>
        <w:t>万元，主要包括：办公费、印刷费、咨询费、电费、邮电费、差旅费、维修（护）费、培训费、公务接待费、劳务费、委托业务费、工会经费、福利费</w:t>
      </w:r>
      <w:r>
        <w:rPr>
          <w:rFonts w:hint="eastAsia" w:ascii="仿宋" w:hAnsi="仿宋" w:eastAsia="仿宋"/>
          <w:sz w:val="32"/>
          <w:szCs w:val="32"/>
          <w:lang w:eastAsia="zh-CN"/>
        </w:rPr>
        <w:t>、</w:t>
      </w:r>
      <w:r>
        <w:rPr>
          <w:rFonts w:hint="eastAsia" w:ascii="仿宋" w:hAnsi="仿宋" w:eastAsia="仿宋"/>
          <w:sz w:val="32"/>
          <w:szCs w:val="32"/>
        </w:rPr>
        <w:t>其他交通费、其他商品和服务支出等。</w:t>
      </w:r>
    </w:p>
    <w:p w14:paraId="03CF9C7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七、“三公”经费财政拨款支出决算情况说明</w:t>
      </w:r>
    </w:p>
    <w:p w14:paraId="1D26EA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（一）“三公”经费财政拨款支出决算总体情况说明</w:t>
      </w:r>
    </w:p>
    <w:p w14:paraId="286B0B1F">
      <w:pPr>
        <w:spacing w:line="600" w:lineRule="exact"/>
        <w:ind w:firstLine="640"/>
        <w:rPr>
          <w:rFonts w:hint="eastAsia" w:ascii="仿宋_GB2312" w:hAnsi="仿宋_GB2312" w:eastAsia="仿宋_GB2312" w:cs="仿宋_GB2312"/>
          <w:sz w:val="32"/>
          <w:szCs w:val="32"/>
        </w:rPr>
      </w:pPr>
      <w:r>
        <w:rPr>
          <w:rFonts w:hint="eastAsia" w:ascii="仿宋" w:hAnsi="仿宋" w:eastAsia="仿宋"/>
          <w:sz w:val="32"/>
          <w:szCs w:val="32"/>
          <w:lang w:eastAsia="zh-CN"/>
        </w:rPr>
        <w:t>2024年度</w:t>
      </w:r>
      <w:r>
        <w:rPr>
          <w:rFonts w:hint="eastAsia" w:ascii="仿宋" w:hAnsi="仿宋" w:eastAsia="仿宋"/>
          <w:sz w:val="32"/>
          <w:szCs w:val="32"/>
        </w:rPr>
        <w:t>“三公”经费财政拨款支出决算为</w:t>
      </w:r>
      <w:r>
        <w:rPr>
          <w:rFonts w:hint="eastAsia" w:ascii="仿宋" w:hAnsi="仿宋" w:eastAsia="仿宋"/>
          <w:sz w:val="32"/>
          <w:szCs w:val="32"/>
          <w:lang w:val="en-US" w:eastAsia="zh-CN"/>
        </w:rPr>
        <w:t>0.96</w:t>
      </w:r>
      <w:r>
        <w:rPr>
          <w:rFonts w:hint="eastAsia" w:ascii="仿宋" w:hAnsi="仿宋" w:eastAsia="仿宋"/>
          <w:sz w:val="32"/>
          <w:szCs w:val="32"/>
        </w:rPr>
        <w:t>万元，完成预算</w:t>
      </w:r>
      <w:r>
        <w:rPr>
          <w:rFonts w:hint="eastAsia" w:eastAsia="仿宋"/>
          <w:sz w:val="32"/>
          <w:szCs w:val="32"/>
          <w:lang w:val="en-US" w:eastAsia="zh-CN"/>
        </w:rPr>
        <w:t>50.53</w:t>
      </w:r>
      <w:r>
        <w:rPr>
          <w:rFonts w:ascii="仿宋" w:hAnsi="仿宋" w:eastAsia="仿宋"/>
          <w:sz w:val="32"/>
          <w:szCs w:val="32"/>
        </w:rPr>
        <w:t>%</w:t>
      </w:r>
      <w:r>
        <w:rPr>
          <w:rFonts w:hint="eastAsia" w:ascii="仿宋" w:hAnsi="仿宋" w:eastAsia="仿宋"/>
          <w:sz w:val="32"/>
          <w:szCs w:val="32"/>
        </w:rPr>
        <w:t>，较上年</w:t>
      </w:r>
      <w:r>
        <w:rPr>
          <w:rFonts w:hint="eastAsia" w:ascii="仿宋" w:hAnsi="仿宋" w:eastAsia="仿宋"/>
          <w:sz w:val="32"/>
          <w:szCs w:val="32"/>
          <w:lang w:val="en-US" w:eastAsia="zh-CN"/>
        </w:rPr>
        <w:t>数</w:t>
      </w:r>
      <w:r>
        <w:rPr>
          <w:rFonts w:hint="eastAsia" w:ascii="仿宋" w:hAnsi="仿宋" w:eastAsia="仿宋"/>
          <w:sz w:val="32"/>
          <w:szCs w:val="32"/>
        </w:rPr>
        <w:t>1.86万元，</w:t>
      </w:r>
      <w:r>
        <w:rPr>
          <w:rFonts w:hint="eastAsia" w:ascii="仿宋" w:hAnsi="仿宋" w:eastAsia="仿宋"/>
          <w:sz w:val="32"/>
          <w:szCs w:val="32"/>
          <w:lang w:val="en-US" w:eastAsia="zh-CN"/>
        </w:rPr>
        <w:t>下降48.39</w:t>
      </w:r>
      <w:r>
        <w:rPr>
          <w:rFonts w:hint="eastAsia" w:ascii="仿宋" w:hAnsi="仿宋" w:eastAsia="仿宋"/>
          <w:sz w:val="32"/>
          <w:szCs w:val="32"/>
        </w:rPr>
        <w:t>%。</w:t>
      </w:r>
      <w:r>
        <w:rPr>
          <w:rFonts w:hint="eastAsia" w:ascii="仿宋" w:hAnsi="仿宋" w:eastAsia="仿宋"/>
          <w:sz w:val="32"/>
          <w:szCs w:val="32"/>
          <w:lang w:val="en-US" w:eastAsia="zh-CN"/>
        </w:rPr>
        <w:t>下降的主要原因是</w:t>
      </w:r>
      <w:r>
        <w:rPr>
          <w:rFonts w:hint="eastAsia" w:ascii="仿宋" w:hAnsi="仿宋" w:eastAsia="仿宋"/>
          <w:sz w:val="32"/>
          <w:szCs w:val="32"/>
          <w:lang w:eastAsia="zh-CN"/>
        </w:rPr>
        <w:t>严格执行八项规定，厉行节约。</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严格执行八项规定，厉行节约。</w:t>
      </w:r>
    </w:p>
    <w:p w14:paraId="666D19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（二）“三公”经费财政拨款支出决算具体情况说明</w:t>
      </w:r>
    </w:p>
    <w:p w14:paraId="7DC785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“三公”经费财政拨款支出决算中，因公出国（境）费支出决算0万元，占0%；公务用车购置及运行维护费支出决算0万元，占0%；公务接待费支出决算</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万元，占100%。具体情况如下：</w:t>
      </w:r>
    </w:p>
    <w:p w14:paraId="2DF78A2B">
      <w:pPr>
        <w:pStyle w:val="17"/>
        <w:rPr>
          <w:rFonts w:hint="eastAsia"/>
        </w:rPr>
      </w:pPr>
      <w:r>
        <w:rPr>
          <w:rFonts w:hint="eastAsia" w:ascii="仿宋_GB2312" w:hAnsi="仿宋_GB2312" w:eastAsia="仿宋_GB2312" w:cs="仿宋_GB2312"/>
          <w:sz w:val="32"/>
          <w:szCs w:val="32"/>
          <w:lang w:eastAsia="zh-CN"/>
        </w:rPr>
        <w:drawing>
          <wp:inline distT="0" distB="0" distL="114300" distR="114300">
            <wp:extent cx="5256530" cy="2988310"/>
            <wp:effectExtent l="5080" t="4445" r="889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BCF8FE">
      <w:pPr>
        <w:spacing w:line="600" w:lineRule="exact"/>
        <w:ind w:firstLine="640"/>
        <w:rPr>
          <w:rFonts w:hint="eastAsia"/>
        </w:rPr>
      </w:pPr>
      <w:r>
        <w:rPr>
          <w:rFonts w:hint="eastAsia" w:ascii="仿宋" w:hAnsi="仿宋" w:eastAsia="仿宋"/>
          <w:sz w:val="32"/>
          <w:szCs w:val="32"/>
        </w:rPr>
        <w:t>（图7：“三公”经费财政拨款支出结构）（饼状图）</w:t>
      </w:r>
    </w:p>
    <w:p w14:paraId="70439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1.因公出国（境）经费支出0万元，完成预算100%。</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。因公出国（境）支出决算与2023年持平</w:t>
      </w:r>
      <w:r>
        <w:rPr>
          <w:rFonts w:hint="eastAsia" w:ascii="仿宋_GB2312" w:hAnsi="仿宋_GB2312" w:eastAsia="仿宋_GB2312" w:cs="仿宋_GB2312"/>
          <w:sz w:val="32"/>
          <w:szCs w:val="32"/>
        </w:rPr>
        <w:t>。</w:t>
      </w:r>
    </w:p>
    <w:p w14:paraId="295C01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2.公务用车购置及运行维护费支出0万元，完成预算0%。</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公务用车购置及运行维护费支出决算与2023年度持平。</w:t>
      </w:r>
    </w:p>
    <w:p w14:paraId="0801ACF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14:paraId="12BC14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lang w:val="en-US" w:eastAsia="zh-CN"/>
        </w:rPr>
        <w:t>0</w:t>
      </w:r>
      <w:r>
        <w:rPr>
          <w:rFonts w:hint="eastAsia" w:ascii="Times New Roman" w:hAnsi="Times New Roman" w:eastAsia="仿宋_GB2312" w:cs="仿宋_GB2312"/>
          <w:color w:val="auto"/>
          <w:kern w:val="2"/>
          <w:sz w:val="32"/>
          <w:szCs w:val="32"/>
          <w:highlight w:val="none"/>
          <w:lang w:val="en-US" w:eastAsia="zh-CN" w:bidi="ar-SA"/>
        </w:rPr>
        <w:t>万元。</w:t>
      </w:r>
    </w:p>
    <w:p w14:paraId="78FB7F2B">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50.53</w:t>
      </w:r>
      <w:r>
        <w:rPr>
          <w:rFonts w:hint="eastAsia" w:ascii="仿宋_GB2312" w:hAnsi="仿宋_GB2312" w:eastAsia="仿宋_GB2312" w:cs="仿宋_GB2312"/>
          <w:sz w:val="32"/>
          <w:szCs w:val="32"/>
        </w:rPr>
        <w:t>%。公务接待费支出决算比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度减少0.9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下降48.39</w:t>
      </w:r>
      <w:r>
        <w:rPr>
          <w:rFonts w:hint="eastAsia" w:ascii="仿宋_GB2312" w:hAnsi="仿宋_GB2312" w:eastAsia="仿宋_GB2312" w:cs="仿宋_GB2312"/>
          <w:sz w:val="32"/>
          <w:szCs w:val="32"/>
        </w:rPr>
        <w:t>%。主要原因是</w:t>
      </w:r>
      <w:r>
        <w:rPr>
          <w:rFonts w:hint="eastAsia" w:ascii="仿宋" w:hAnsi="仿宋" w:eastAsia="仿宋"/>
          <w:sz w:val="32"/>
          <w:szCs w:val="32"/>
        </w:rPr>
        <w:t>是</w:t>
      </w:r>
      <w:r>
        <w:rPr>
          <w:rFonts w:hint="eastAsia" w:ascii="仿宋" w:hAnsi="仿宋" w:eastAsia="仿宋"/>
          <w:sz w:val="32"/>
          <w:szCs w:val="32"/>
          <w:lang w:eastAsia="zh-CN"/>
        </w:rPr>
        <w:t>严格执行八项规定，厉行节约，</w:t>
      </w:r>
      <w:r>
        <w:rPr>
          <w:rFonts w:hint="eastAsia" w:ascii="仿宋" w:hAnsi="仿宋" w:eastAsia="仿宋"/>
          <w:sz w:val="32"/>
          <w:szCs w:val="32"/>
          <w:lang w:val="en-US" w:eastAsia="zh-CN"/>
        </w:rPr>
        <w:t>压减支出</w:t>
      </w:r>
      <w:r>
        <w:rPr>
          <w:rFonts w:hint="eastAsia" w:ascii="仿宋_GB2312" w:hAnsi="仿宋_GB2312" w:eastAsia="仿宋_GB2312" w:cs="仿宋_GB2312"/>
          <w:sz w:val="32"/>
          <w:szCs w:val="32"/>
        </w:rPr>
        <w:t>。其中：</w:t>
      </w:r>
    </w:p>
    <w:p w14:paraId="64B6261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国内公务接待支出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万元，主要用于执行公务、开展业务活动开支用餐费。国内公务接待</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人次，共计支出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具体内容包括：市民宗委到我区开展两资项目调研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宗教场所调研</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支付汉源县统战部来我区开展民族团结示范区创建互观互检0.56万元；</w:t>
      </w:r>
      <w:r>
        <w:rPr>
          <w:rFonts w:hint="eastAsia" w:ascii="仿宋_GB2312" w:hAnsi="仿宋_GB2312" w:eastAsia="仿宋_GB2312" w:cs="仿宋_GB2312"/>
          <w:color w:val="auto"/>
          <w:sz w:val="32"/>
          <w:szCs w:val="32"/>
        </w:rPr>
        <w:t>市委统战部、市</w:t>
      </w:r>
      <w:r>
        <w:rPr>
          <w:rFonts w:hint="eastAsia" w:ascii="仿宋_GB2312" w:hAnsi="仿宋_GB2312" w:eastAsia="仿宋_GB2312" w:cs="仿宋_GB2312"/>
          <w:color w:val="auto"/>
          <w:sz w:val="32"/>
          <w:szCs w:val="32"/>
          <w:lang w:val="en-US" w:eastAsia="zh-CN"/>
        </w:rPr>
        <w:t>民宗委来我区开展春节前相关安全工作督查0.1万元。</w:t>
      </w:r>
    </w:p>
    <w:p w14:paraId="64BC37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外事接待支出0万元。</w:t>
      </w:r>
    </w:p>
    <w:p w14:paraId="04F9CEF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八、政府性基金预算支出决算情况说明</w:t>
      </w:r>
    </w:p>
    <w:p w14:paraId="50BD31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政府性基金预算财政拨款支出0万元。</w:t>
      </w:r>
      <w:r>
        <w:rPr>
          <w:rFonts w:hint="eastAsia" w:ascii="仿宋_GB2312" w:hAnsi="仿宋_GB2312" w:eastAsia="仿宋_GB2312" w:cs="仿宋_GB2312"/>
          <w:color w:val="auto"/>
          <w:kern w:val="2"/>
          <w:sz w:val="32"/>
          <w:szCs w:val="32"/>
          <w:highlight w:val="none"/>
          <w:lang w:val="en-US" w:eastAsia="zh-CN" w:bidi="ar-SA"/>
        </w:rPr>
        <w:t>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。与2023年度相比持平。</w:t>
      </w:r>
    </w:p>
    <w:p w14:paraId="18F4E3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九、国有资本经营预算支出决算情况说明</w:t>
      </w:r>
    </w:p>
    <w:p w14:paraId="4ECB6C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。与2023年度相比持平。</w:t>
      </w:r>
    </w:p>
    <w:p w14:paraId="701AF35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十、其他重要事项的情况说明</w:t>
      </w:r>
    </w:p>
    <w:p w14:paraId="28B561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w:t>
      </w:r>
    </w:p>
    <w:p w14:paraId="68356B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，区民宗局机关运行经费支出</w:t>
      </w:r>
      <w:r>
        <w:rPr>
          <w:rFonts w:hint="eastAsia" w:ascii="仿宋_GB2312" w:hAnsi="仿宋_GB2312" w:eastAsia="仿宋_GB2312" w:cs="仿宋_GB2312"/>
          <w:sz w:val="32"/>
          <w:szCs w:val="32"/>
          <w:lang w:val="en-US" w:eastAsia="zh-CN"/>
        </w:rPr>
        <w:t>16.14</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度减少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0.85万元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下降5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支出结构调整数据</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7DF36B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14:paraId="070AF588">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，区民宗局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6ACCFB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14:paraId="6ADBD96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截至2024年12月31日，乐山市金口河区民族宗教事务局共有车辆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4E104B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预算绩效管理情况</w:t>
      </w:r>
    </w:p>
    <w:p w14:paraId="07F7AF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hint="eastAsia" w:ascii="仿宋_GB2312" w:hAnsi="仿宋_GB2312" w:eastAsia="仿宋_GB2312" w:cs="仿宋_GB2312"/>
          <w:sz w:val="32"/>
          <w:szCs w:val="32"/>
          <w:lang w:eastAsia="zh-CN"/>
        </w:rPr>
        <w:t>2024年度</w:t>
      </w:r>
      <w:r>
        <w:rPr>
          <w:rFonts w:hint="eastAsia" w:ascii="仿宋_GB2312" w:hAnsi="仿宋_GB2312" w:eastAsia="仿宋_GB2312" w:cs="仿宋_GB2312"/>
          <w:sz w:val="32"/>
          <w:szCs w:val="32"/>
        </w:rPr>
        <w:t>预算编制阶段，组织对</w:t>
      </w:r>
      <w:r>
        <w:rPr>
          <w:rFonts w:hint="eastAsia" w:ascii="仿宋_GB2312" w:hAnsi="仿宋_GB2312" w:eastAsia="仿宋_GB2312" w:cs="仿宋_GB2312"/>
          <w:sz w:val="32"/>
          <w:szCs w:val="32"/>
          <w:lang w:val="en-US" w:eastAsia="zh-CN"/>
        </w:rPr>
        <w:t>宗教、民族工作机动金等2个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w:t>
      </w:r>
    </w:p>
    <w:p w14:paraId="70C5D4A8">
      <w:pPr>
        <w:spacing w:line="580" w:lineRule="exact"/>
        <w:ind w:firstLine="640" w:firstLineChars="200"/>
        <w:rPr>
          <w:rFonts w:ascii="仿宋_GB2312" w:hAnsi="仿宋_GB2312" w:eastAsia="仿宋_GB2312" w:cs="仿宋_GB2312"/>
          <w:color w:val="E54C5E" w:themeColor="accent6"/>
          <w:sz w:val="32"/>
          <w:szCs w:val="32"/>
          <w14:textFill>
            <w14:solidFill>
              <w14:schemeClr w14:val="accent6"/>
            </w14:solidFill>
          </w14:textFill>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2024年度</w:t>
      </w:r>
      <w:r>
        <w:rPr>
          <w:rFonts w:hint="eastAsia" w:ascii="仿宋_GB2312" w:hAnsi="仿宋_GB2312" w:eastAsia="仿宋_GB2312" w:cs="仿宋_GB2312"/>
          <w:sz w:val="32"/>
          <w:szCs w:val="32"/>
        </w:rPr>
        <w:t>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民宗局</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val="en-US" w:eastAsia="zh-CN"/>
        </w:rPr>
        <w:t>宗教、民族工作机动金</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民宗局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分。</w:t>
      </w:r>
    </w:p>
    <w:p w14:paraId="75D7B459">
      <w:pPr>
        <w:pStyle w:val="17"/>
        <w:numPr>
          <w:ilvl w:val="0"/>
          <w:numId w:val="0"/>
        </w:numPr>
        <w:rPr>
          <w:rFonts w:hint="eastAsia"/>
        </w:rPr>
      </w:pPr>
    </w:p>
    <w:p w14:paraId="7694B9F8">
      <w:pPr>
        <w:rPr>
          <w:rFonts w:hint="eastAsia"/>
        </w:rPr>
      </w:pPr>
    </w:p>
    <w:p w14:paraId="31F25476">
      <w:pPr>
        <w:pStyle w:val="17"/>
        <w:rPr>
          <w:rFonts w:hint="eastAsia"/>
        </w:rPr>
      </w:pPr>
    </w:p>
    <w:p w14:paraId="629F1BF1">
      <w:pPr>
        <w:rPr>
          <w:rFonts w:hint="eastAsia"/>
        </w:rPr>
      </w:pPr>
    </w:p>
    <w:p w14:paraId="7C6606E4">
      <w:pPr>
        <w:pStyle w:val="17"/>
        <w:rPr>
          <w:rFonts w:hint="eastAsia"/>
        </w:rPr>
      </w:pPr>
    </w:p>
    <w:p w14:paraId="0FAA391E">
      <w:pPr>
        <w:rPr>
          <w:rFonts w:hint="eastAsia"/>
        </w:rPr>
      </w:pPr>
    </w:p>
    <w:p w14:paraId="6F3415A7">
      <w:pPr>
        <w:pStyle w:val="7"/>
        <w:rPr>
          <w:rFonts w:hint="eastAsia"/>
        </w:rPr>
      </w:pPr>
    </w:p>
    <w:p w14:paraId="512B32C3">
      <w:pPr>
        <w:rPr>
          <w:rFonts w:hint="eastAsia"/>
        </w:rPr>
      </w:pPr>
    </w:p>
    <w:p w14:paraId="0B4D6C15">
      <w:pPr>
        <w:pStyle w:val="2"/>
        <w:rPr>
          <w:rFonts w:hint="eastAsia"/>
        </w:rPr>
      </w:pPr>
    </w:p>
    <w:p w14:paraId="65179C0C">
      <w:pPr>
        <w:pStyle w:val="3"/>
        <w:rPr>
          <w:rFonts w:hint="eastAsia"/>
        </w:rPr>
      </w:pPr>
    </w:p>
    <w:p w14:paraId="25EB1A32">
      <w:pPr>
        <w:pStyle w:val="3"/>
        <w:rPr>
          <w:rFonts w:hint="eastAsia"/>
        </w:rPr>
      </w:pPr>
    </w:p>
    <w:p w14:paraId="23DD7D99">
      <w:pPr>
        <w:pStyle w:val="3"/>
        <w:rPr>
          <w:rFonts w:hint="eastAsia"/>
        </w:rPr>
      </w:pPr>
    </w:p>
    <w:p w14:paraId="3F2D3263">
      <w:pPr>
        <w:pStyle w:val="3"/>
        <w:rPr>
          <w:rFonts w:hint="eastAsia"/>
        </w:rPr>
      </w:pPr>
    </w:p>
    <w:p w14:paraId="25EFAD7F">
      <w:pPr>
        <w:pStyle w:val="3"/>
        <w:rPr>
          <w:rFonts w:hint="eastAsia"/>
        </w:rPr>
      </w:pPr>
    </w:p>
    <w:p w14:paraId="4D8372AB">
      <w:pPr>
        <w:pStyle w:val="3"/>
        <w:rPr>
          <w:rFonts w:hint="eastAsia"/>
        </w:rPr>
      </w:pPr>
    </w:p>
    <w:p w14:paraId="4A2B0E4F">
      <w:pPr>
        <w:pStyle w:val="3"/>
        <w:rPr>
          <w:rFonts w:hint="eastAsia"/>
        </w:rPr>
      </w:pPr>
    </w:p>
    <w:p w14:paraId="28776FC6">
      <w:pPr>
        <w:pStyle w:val="3"/>
        <w:rPr>
          <w:rFonts w:hint="eastAsia"/>
        </w:rPr>
      </w:pPr>
    </w:p>
    <w:p w14:paraId="6B2FA257">
      <w:pPr>
        <w:pStyle w:val="3"/>
        <w:rPr>
          <w:rFonts w:hint="eastAsia"/>
        </w:rPr>
      </w:pPr>
    </w:p>
    <w:p w14:paraId="18255A94">
      <w:pPr>
        <w:pStyle w:val="3"/>
        <w:rPr>
          <w:rFonts w:hint="eastAsia"/>
        </w:rPr>
      </w:pPr>
    </w:p>
    <w:p w14:paraId="4E03FEA7">
      <w:pPr>
        <w:pStyle w:val="3"/>
        <w:rPr>
          <w:rFonts w:hint="eastAsia"/>
        </w:rPr>
      </w:pPr>
    </w:p>
    <w:p w14:paraId="388152F2">
      <w:pPr>
        <w:pStyle w:val="3"/>
        <w:rPr>
          <w:rFonts w:hint="eastAsia"/>
        </w:rPr>
      </w:pPr>
    </w:p>
    <w:p w14:paraId="25CD9B6E">
      <w:pPr>
        <w:pStyle w:val="3"/>
        <w:rPr>
          <w:rFonts w:hint="eastAsia"/>
        </w:rPr>
      </w:pPr>
    </w:p>
    <w:p w14:paraId="47B02B22">
      <w:pPr>
        <w:pStyle w:val="3"/>
        <w:rPr>
          <w:rFonts w:hint="eastAsia"/>
        </w:rPr>
      </w:pPr>
    </w:p>
    <w:p w14:paraId="0DC5A8F4">
      <w:pPr>
        <w:pStyle w:val="3"/>
        <w:rPr>
          <w:rFonts w:hint="eastAsia"/>
        </w:rPr>
      </w:pPr>
    </w:p>
    <w:p w14:paraId="64AED576">
      <w:pPr>
        <w:pStyle w:val="3"/>
        <w:rPr>
          <w:rFonts w:hint="eastAsia"/>
        </w:rPr>
      </w:pPr>
    </w:p>
    <w:p w14:paraId="053CBC5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名词解释</w:t>
      </w:r>
    </w:p>
    <w:p w14:paraId="16FA2C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14:paraId="7160ED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.年初结转和结余：指以前年度尚未完成、结转到本年按有关规定继续使用的资金。</w:t>
      </w:r>
    </w:p>
    <w:p w14:paraId="13F4B7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.年末结转和结余：指单位按有关规定结转到下年或以后年度继续使用的资金。</w:t>
      </w:r>
    </w:p>
    <w:p w14:paraId="52CBCA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.民族事务支出行政运行：反映用于行政单位的基本支出。</w:t>
      </w:r>
    </w:p>
    <w:p w14:paraId="404841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.民族事务支出民族工作专项：反映用于民族事务管理的专项支出。</w:t>
      </w:r>
    </w:p>
    <w:p w14:paraId="20ABAC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.民族事务支出其他民族事务支出：反映除项目以外其他用于民族事务方面的支出。</w:t>
      </w:r>
    </w:p>
    <w:p w14:paraId="5A8AEB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.统战事务和宗教事务支出：反映用于宗教管理方面的支出。</w:t>
      </w:r>
    </w:p>
    <w:p w14:paraId="1E88B2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.社会保障和就业支出行政事业单位离退休机关事业单位基本养老保险缴费支出：反映机关事业单位实施养老保险制度由单位缴纳的基本养老保险支出。</w:t>
      </w:r>
    </w:p>
    <w:p w14:paraId="3B8E7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.社会保障和就业支出行政事业单位离退休机关事业单位职业年金缴费支出：反映机关事业单位实施养老保险制度由单位缴纳的职业年金支出。</w:t>
      </w:r>
    </w:p>
    <w:p w14:paraId="290BE7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.社会保障和就业支出行政事业单位离退休其他行政事业单位离退休支出：反映其他用于行政事业单位离退休方面的支出。</w:t>
      </w:r>
    </w:p>
    <w:p w14:paraId="073B36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.社会保障和就业支出其他社会保障和就业支出其他社会保障和就业支出：反映其他用于社会保障和就业方面的支出。</w:t>
      </w:r>
    </w:p>
    <w:p w14:paraId="07CBC6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.卫生健康支出行政事业单位医疗行政单位医疗：反映财政部门集中安排的行政单位基本医疗保险缴费经费。</w:t>
      </w:r>
    </w:p>
    <w:p w14:paraId="2AE888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住房保障支出和住房改革支出住房公积金：反映行政事业单位按人力资源和社会保障部、财政部规定的基本工资和津贴补贴以及规定比例为职工缴纳的住房公积金。</w:t>
      </w:r>
    </w:p>
    <w:p w14:paraId="7630FB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.农林水支出巩固脱贫攻坚成果衔接乡村振兴其他巩固脱贫攻坚成果衔接乡村振兴支出：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反映除上述项目以外其他拥有巩固拓展脱贫攻坚成果同乡村振兴有效衔接方面的支出</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14:paraId="01A0FE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.基本支出：指为保障机构正常运转、完成日常工作任务而发生的人员支出和公用支出。</w:t>
      </w:r>
    </w:p>
    <w:p w14:paraId="1569D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.项目支出：指在基本支出之外为完成特定行政任务和事业发展目标所发生的支出。</w:t>
      </w:r>
    </w:p>
    <w:p w14:paraId="0F5939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4BBF3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机关运行经费：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14:paraId="6EC651BE">
      <w:pPr>
        <w:jc w:val="center"/>
        <w:rPr>
          <w:rFonts w:hint="eastAsia" w:ascii="仿宋_GB2312" w:hAnsi="仿宋_GB2312" w:eastAsia="仿宋_GB2312" w:cs="仿宋_GB2312"/>
          <w:b/>
          <w:bCs/>
          <w:sz w:val="32"/>
          <w:szCs w:val="32"/>
        </w:rPr>
      </w:pPr>
    </w:p>
    <w:p w14:paraId="202D4519">
      <w:pPr>
        <w:pStyle w:val="7"/>
        <w:rPr>
          <w:rFonts w:hint="eastAsia" w:ascii="仿宋_GB2312" w:hAnsi="仿宋_GB2312" w:eastAsia="仿宋_GB2312" w:cs="仿宋_GB2312"/>
          <w:b/>
          <w:bCs/>
          <w:sz w:val="32"/>
          <w:szCs w:val="32"/>
        </w:rPr>
      </w:pPr>
    </w:p>
    <w:p w14:paraId="1B2A9B90">
      <w:pPr>
        <w:rPr>
          <w:rFonts w:hint="eastAsia" w:ascii="仿宋_GB2312" w:hAnsi="仿宋_GB2312" w:eastAsia="仿宋_GB2312" w:cs="仿宋_GB2312"/>
          <w:b/>
          <w:bCs/>
          <w:sz w:val="32"/>
          <w:szCs w:val="32"/>
        </w:rPr>
      </w:pPr>
    </w:p>
    <w:p w14:paraId="6E19A4FB">
      <w:pPr>
        <w:pStyle w:val="7"/>
        <w:rPr>
          <w:rFonts w:hint="eastAsia" w:ascii="仿宋_GB2312" w:hAnsi="仿宋_GB2312" w:eastAsia="仿宋_GB2312" w:cs="仿宋_GB2312"/>
          <w:b/>
          <w:bCs/>
          <w:sz w:val="32"/>
          <w:szCs w:val="32"/>
        </w:rPr>
      </w:pPr>
    </w:p>
    <w:p w14:paraId="7CECDCD0">
      <w:pPr>
        <w:rPr>
          <w:rFonts w:hint="eastAsia" w:ascii="仿宋_GB2312" w:hAnsi="仿宋_GB2312" w:eastAsia="仿宋_GB2312" w:cs="仿宋_GB2312"/>
          <w:b/>
          <w:bCs/>
          <w:sz w:val="32"/>
          <w:szCs w:val="32"/>
        </w:rPr>
      </w:pPr>
    </w:p>
    <w:p w14:paraId="30199127">
      <w:pPr>
        <w:pStyle w:val="7"/>
        <w:rPr>
          <w:rFonts w:hint="eastAsia" w:ascii="仿宋_GB2312" w:hAnsi="仿宋_GB2312" w:eastAsia="仿宋_GB2312" w:cs="仿宋_GB2312"/>
          <w:b/>
          <w:bCs/>
          <w:sz w:val="32"/>
          <w:szCs w:val="32"/>
        </w:rPr>
      </w:pPr>
    </w:p>
    <w:p w14:paraId="01F438C2">
      <w:pPr>
        <w:rPr>
          <w:rFonts w:hint="eastAsia" w:ascii="仿宋_GB2312" w:hAnsi="仿宋_GB2312" w:eastAsia="仿宋_GB2312" w:cs="仿宋_GB2312"/>
          <w:b/>
          <w:bCs/>
          <w:sz w:val="32"/>
          <w:szCs w:val="32"/>
        </w:rPr>
      </w:pPr>
    </w:p>
    <w:p w14:paraId="09C40866">
      <w:pPr>
        <w:pStyle w:val="7"/>
        <w:rPr>
          <w:rFonts w:hint="eastAsia" w:ascii="仿宋_GB2312" w:hAnsi="仿宋_GB2312" w:eastAsia="仿宋_GB2312" w:cs="仿宋_GB2312"/>
          <w:b/>
          <w:bCs/>
          <w:sz w:val="32"/>
          <w:szCs w:val="32"/>
        </w:rPr>
      </w:pPr>
    </w:p>
    <w:p w14:paraId="5D643920">
      <w:pPr>
        <w:rPr>
          <w:rFonts w:hint="eastAsia" w:ascii="仿宋_GB2312" w:hAnsi="仿宋_GB2312" w:eastAsia="仿宋_GB2312" w:cs="仿宋_GB2312"/>
          <w:b/>
          <w:bCs/>
          <w:sz w:val="32"/>
          <w:szCs w:val="32"/>
        </w:rPr>
      </w:pPr>
    </w:p>
    <w:p w14:paraId="049A1E23">
      <w:pPr>
        <w:pStyle w:val="7"/>
        <w:rPr>
          <w:rFonts w:hint="eastAsia" w:ascii="仿宋_GB2312" w:hAnsi="仿宋_GB2312" w:eastAsia="仿宋_GB2312" w:cs="仿宋_GB2312"/>
          <w:b/>
          <w:bCs/>
          <w:sz w:val="32"/>
          <w:szCs w:val="32"/>
        </w:rPr>
      </w:pPr>
    </w:p>
    <w:p w14:paraId="090390C5">
      <w:pPr>
        <w:rPr>
          <w:rFonts w:hint="eastAsia"/>
        </w:rPr>
      </w:pPr>
    </w:p>
    <w:p w14:paraId="608CC07B">
      <w:pPr>
        <w:jc w:val="center"/>
        <w:rPr>
          <w:rFonts w:hint="eastAsia" w:ascii="仿宋_GB2312" w:hAnsi="仿宋_GB2312" w:eastAsia="仿宋_GB2312" w:cs="仿宋_GB2312"/>
          <w:b/>
          <w:bCs/>
          <w:sz w:val="32"/>
          <w:szCs w:val="32"/>
        </w:rPr>
      </w:pPr>
    </w:p>
    <w:p w14:paraId="4CF6D10C">
      <w:pPr>
        <w:numPr>
          <w:ilvl w:val="0"/>
          <w:numId w:val="2"/>
        </w:numPr>
        <w:jc w:val="center"/>
        <w:rPr>
          <w:rFonts w:hint="eastAsia" w:ascii="黑体" w:hAnsi="黑体" w:eastAsia="黑体" w:cs="黑体"/>
          <w:b/>
          <w:bCs/>
          <w:sz w:val="44"/>
          <w:szCs w:val="44"/>
        </w:rPr>
      </w:pPr>
      <w:r>
        <w:rPr>
          <w:rFonts w:hint="eastAsia" w:ascii="黑体" w:hAnsi="黑体" w:eastAsia="黑体" w:cs="黑体"/>
          <w:b/>
          <w:bCs/>
          <w:sz w:val="44"/>
          <w:szCs w:val="44"/>
        </w:rPr>
        <w:t>附件</w:t>
      </w:r>
    </w:p>
    <w:p w14:paraId="7A1AE19B">
      <w:pPr>
        <w:pStyle w:val="17"/>
        <w:numPr>
          <w:ilvl w:val="0"/>
          <w:numId w:val="0"/>
        </w:numPr>
        <w:rPr>
          <w:rFonts w:hint="default" w:eastAsia="黑体"/>
          <w:lang w:val="en-US" w:eastAsia="zh-CN"/>
        </w:rPr>
      </w:pPr>
      <w:r>
        <w:rPr>
          <w:rFonts w:hint="eastAsia"/>
          <w:lang w:eastAsia="zh-CN"/>
        </w:rPr>
        <w:t>附件</w:t>
      </w:r>
      <w:r>
        <w:rPr>
          <w:rFonts w:hint="eastAsia"/>
          <w:lang w:val="en-US" w:eastAsia="zh-CN"/>
        </w:rPr>
        <w:t>1</w:t>
      </w:r>
    </w:p>
    <w:p w14:paraId="67B82D3D">
      <w:pPr>
        <w:widowControl/>
        <w:spacing w:line="640" w:lineRule="exact"/>
        <w:contextualSpacing/>
        <w:jc w:val="center"/>
        <w:rPr>
          <w:rFonts w:ascii="方正仿宋_GBK" w:hAnsi="宋体" w:eastAsia="方正仿宋_GBK" w:cs="宋体"/>
          <w:color w:val="000000"/>
          <w:kern w:val="0"/>
          <w:sz w:val="33"/>
          <w:szCs w:val="33"/>
          <w:shd w:val="clear" w:color="auto" w:fill="FFFFFF"/>
        </w:rPr>
      </w:pPr>
      <w:r>
        <w:rPr>
          <w:rFonts w:hint="eastAsia" w:ascii="黑体" w:hAnsi="黑体" w:eastAsia="黑体" w:cs="黑体"/>
          <w:sz w:val="44"/>
          <w:szCs w:val="44"/>
          <w:shd w:val="clear" w:color="auto" w:fill="FFFFFF"/>
          <w:lang w:eastAsia="zh-CN"/>
        </w:rPr>
        <w:t>民宗局</w:t>
      </w:r>
      <w:r>
        <w:rPr>
          <w:rFonts w:hint="eastAsia" w:ascii="黑体" w:hAnsi="黑体" w:eastAsia="黑体" w:cs="黑体"/>
          <w:sz w:val="44"/>
          <w:szCs w:val="44"/>
          <w:shd w:val="clear" w:color="auto" w:fill="FFFFFF"/>
        </w:rPr>
        <w:t>部门整体支出绩效自评报告</w:t>
      </w:r>
    </w:p>
    <w:p w14:paraId="49ACEF3B">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一、</w:t>
      </w:r>
      <w:r>
        <w:rPr>
          <w:rFonts w:hint="eastAsia" w:ascii="仿宋" w:hAnsi="仿宋" w:eastAsia="仿宋" w:cs="仿宋"/>
          <w:color w:val="000000"/>
          <w:kern w:val="0"/>
          <w:sz w:val="32"/>
          <w:szCs w:val="32"/>
          <w:shd w:val="clear" w:color="auto" w:fill="FFFFFF"/>
          <w:lang w:val="zh-CN"/>
        </w:rPr>
        <w:t>部门概况</w:t>
      </w:r>
    </w:p>
    <w:p w14:paraId="7DCB52BB">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14:paraId="01319CD5">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乐山市金口河区民族宗教事务局（简称区民宗局）归口区委统战部领导，作为乐山市金口河区人民政府工作部门，为正科级。内设办公室和民族宗教股。</w:t>
      </w:r>
    </w:p>
    <w:p w14:paraId="270BCF3B">
      <w:pPr>
        <w:widowControl/>
        <w:numPr>
          <w:ilvl w:val="0"/>
          <w:numId w:val="3"/>
        </w:numPr>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14:paraId="2E562940">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贯彻执行党和国家关于民族宗教工作的方针、政策，当好区委、区政府在民族宗教工作方面的参谋和助手。</w:t>
      </w:r>
    </w:p>
    <w:p w14:paraId="07D61EA7">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开展民族宗教理论、民族宗教政策和民族问题等重大课题的调查研究，参与研究制定和完善全区民族宗教工作的政策和措施；拟订全区有关民族宗教工作的方针、政策和民族宗教经济、文化、教育及社会事业的发展战略规划；拟订有关民族事务管理的规范性文件；开展民族宗教政策，法规的宣传教育。</w:t>
      </w:r>
    </w:p>
    <w:p w14:paraId="4257800B">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宣传贯彻落实民族区域自治制度，办理少数民族权益保障事宜。</w:t>
      </w:r>
    </w:p>
    <w:p w14:paraId="3CB5C372">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贯彻落实民族关系“三个离不开”的原则方法，协调处理民族关系中的重大事宜，促进各民族间的平等团结，互相合作，共同进步，努力维护社会稳定和国家统一，组织承办民族团结进步表彰活动。</w:t>
      </w:r>
    </w:p>
    <w:p w14:paraId="3B1092A8">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研究提出民族地区经济发展的相关措施；研究提出少数民族和民族地区有关专项资金的分配与使用建议。</w:t>
      </w:r>
    </w:p>
    <w:p w14:paraId="09EA99CF">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在国家有关方针、政策和专项规划指导下，研究少数民族和民族地区教育、文化、科技、卫生、体育等方面的特殊问题并提出相关建议，承办相应的事务。</w:t>
      </w:r>
    </w:p>
    <w:p w14:paraId="4061A79A">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管理少数民族语言文字工作。指导区中小学校，抓好双语教育及少数民族语言文字翻译和民族民间传统文化古籍的搜集、整理。</w:t>
      </w:r>
    </w:p>
    <w:p w14:paraId="3094FE17">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协助有关部门做好少数民族干部队伍建设的调查研究和少数民族干部的培训、培养和使用工作。</w:t>
      </w:r>
    </w:p>
    <w:p w14:paraId="61863FBD">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会同区教育局等相关部门，做好每年高中、初中毕业生升学和公开招考国家公务员、事业干部等工作中少数民族族别的鉴定和少数民族口试、笔试工作。</w:t>
      </w:r>
    </w:p>
    <w:p w14:paraId="74E46913">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依法保障公民的宗教信仰自由，抓好全区宗教活动场所的管理，对全区的宗教情况进行调查研究，掌握动态和发展趋势，并向区委、区政府提出工作建议。</w:t>
      </w:r>
    </w:p>
    <w:p w14:paraId="615008AA">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会同有关部门，编制民族宗教工作中突发事件的应急预案。及时处理民族宗教工作方面的突发事件和影响社会稳定的问题。</w:t>
      </w:r>
    </w:p>
    <w:p w14:paraId="723978E6">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负责职责范围内的安全生产和职业健康、生态环境保护等工作；按照行政审批、综合执法等方面的相关要求，做好有关工作。</w:t>
      </w:r>
    </w:p>
    <w:p w14:paraId="3C45C3F2">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完成区委、区政府和市民宗委交办的其它事项。</w:t>
      </w:r>
    </w:p>
    <w:p w14:paraId="6E34A212">
      <w:pPr>
        <w:widowControl/>
        <w:numPr>
          <w:ilvl w:val="0"/>
          <w:numId w:val="3"/>
        </w:numPr>
        <w:tabs>
          <w:tab w:val="left" w:pos="3840"/>
        </w:tabs>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14:paraId="18EA7F9F">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区民宗局机关行政编制5名。保留工勤编制1名。现有行政编制6人，机关工勤2人。</w:t>
      </w:r>
    </w:p>
    <w:p w14:paraId="4AD33015">
      <w:pPr>
        <w:widowControl/>
        <w:numPr>
          <w:ilvl w:val="0"/>
          <w:numId w:val="3"/>
        </w:numPr>
        <w:tabs>
          <w:tab w:val="left" w:pos="3840"/>
        </w:tabs>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年度主要工作任务。</w:t>
      </w:r>
    </w:p>
    <w:p w14:paraId="019BF1C5">
      <w:pPr>
        <w:spacing w:line="640" w:lineRule="exact"/>
        <w:ind w:firstLine="964" w:firstLineChars="3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民族工作方面</w:t>
      </w:r>
    </w:p>
    <w:p w14:paraId="07E737F6">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一是持续开展民族团结进步示范创建。以习近平总书记关于加强和改进民族工作的重要思想为指导，以中华民族民族体意识为主线，全面深入持久开展民族团结进步示范创建。</w:t>
      </w:r>
    </w:p>
    <w:p w14:paraId="166715CC">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构建“嵌入式”社区结构和社区环境为目标，开展“细胞工程”。以村社区和企业单位为主要创建主体，以促进“交往交流交融”的空间、环境、制度建设，创造有利于各民族交往交流交融的条件。以促进“就业就学就医”为主要载体的活动为主要方式。</w:t>
      </w:r>
    </w:p>
    <w:p w14:paraId="214A803F">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武装干部”为主要目标的政治教育开展活动。一是组织党员教育、干部教育。党校开设一堂以中华民族民族体意识为主题，以习近平总书记关于加强和改进民族工作的重要思想为主要内容的政治课程。二是各级党组织开展学习。以党委（组）、党支部活动为载体，在党员干部中开展教育。</w:t>
      </w:r>
    </w:p>
    <w:p w14:paraId="71908166">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教育群众”为主要目标的宣传教育活动。一是组织线上教育。制作民族团结进步和铸牢中华民族共同体意识为内容的作品，通过新媒体手段推送，形成新形态的教育。二是组织线下活动。以“文化下乡”“民族团结杯”篮球赛等载体，积极引导群众参与。三是氛围营造。“铸牢中华民族共同体意识”主题项目，支持“文化长廊”“乡史馆”“村史馆”“校史馆”“非遗馆”等接近群众的展示点位建设，与文旅、农旅充分融合，形成以点带面，串珠成线的民族团结“示范带”。</w:t>
      </w:r>
    </w:p>
    <w:p w14:paraId="1CB69159">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二是开展民族类项目库建设和资金争取</w:t>
      </w:r>
    </w:p>
    <w:p w14:paraId="7DAB4C04">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推动项目建设和申报。一是全力保障和服务永胜县民主村“民族团结进步示范村项目”落地落实。二是以示范村项目申报为目标，开展项目库建设。</w:t>
      </w:r>
    </w:p>
    <w:p w14:paraId="54CF00C3">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项目库建设与资金争取。一是争取2024年省级民族团结进步示范村项目和中国少数民族特色村寨项目申报与争取。围绕区委区政府项目规划，落实项目前期规划资金和项目申报。</w:t>
      </w:r>
    </w:p>
    <w:p w14:paraId="5749F42C">
      <w:pPr>
        <w:spacing w:line="640" w:lineRule="exact"/>
        <w:ind w:firstLine="622"/>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宗教工作方面</w:t>
      </w:r>
    </w:p>
    <w:p w14:paraId="05F787E8">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一是体制机制建设</w:t>
      </w:r>
    </w:p>
    <w:p w14:paraId="1FD36C20">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完善宗教“三级网络两级责任”体系，形成宗教管理的风险排查、化解和依法管理体系。</w:t>
      </w:r>
    </w:p>
    <w:p w14:paraId="74182FDD">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二是项目建设</w:t>
      </w:r>
    </w:p>
    <w:p w14:paraId="46438747">
      <w:pPr>
        <w:spacing w:line="6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完成宗教项目落地。确保永胜乡天主教堂维修加固项目完工。</w:t>
      </w:r>
    </w:p>
    <w:p w14:paraId="3CC72ABA">
      <w:pPr>
        <w:spacing w:line="640" w:lineRule="exact"/>
        <w:ind w:firstLine="62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做好观音寺安全风险排查处置。</w:t>
      </w:r>
    </w:p>
    <w:p w14:paraId="4904B584">
      <w:pPr>
        <w:widowControl/>
        <w:numPr>
          <w:ilvl w:val="0"/>
          <w:numId w:val="3"/>
        </w:numPr>
        <w:tabs>
          <w:tab w:val="left" w:pos="3840"/>
        </w:tabs>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部门整体支出绩效目标。</w:t>
      </w:r>
    </w:p>
    <w:p w14:paraId="6B8D8BC9">
      <w:pPr>
        <w:spacing w:line="640" w:lineRule="exact"/>
        <w:ind w:firstLine="640" w:firstLineChars="20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促进民族团结进步，化解矛盾纠纷，救助困难少数民族群体，争取上级资金项目支持，落实好民族两资项目，提升各民族群众满意度，助力金口河区经济发展。</w:t>
      </w:r>
    </w:p>
    <w:p w14:paraId="1CF1FC3A">
      <w:pPr>
        <w:spacing w:line="6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坚持保护合法、制止非法、遏制极端、抵御</w:t>
      </w:r>
      <w:r>
        <w:rPr>
          <w:rFonts w:hint="eastAsia" w:ascii="仿宋" w:hAnsi="仿宋" w:eastAsia="仿宋" w:cs="仿宋"/>
          <w:color w:val="000000"/>
          <w:kern w:val="0"/>
          <w:sz w:val="32"/>
          <w:szCs w:val="32"/>
        </w:rPr>
        <w:t>渗透、打击犯罪的原则，保障公民宗教信仰自由，维护宗教和睦与社会和谐，规范宗教事务管理，提高宗教工作法治化水平。</w:t>
      </w:r>
    </w:p>
    <w:p w14:paraId="07BF8F5A">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二、部门财政资金收支情况</w:t>
      </w:r>
    </w:p>
    <w:p w14:paraId="5FDABF28">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14:paraId="4F2829B6">
      <w:pPr>
        <w:spacing w:line="6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度</w:t>
      </w:r>
      <w:r>
        <w:rPr>
          <w:rFonts w:hint="eastAsia" w:ascii="仿宋" w:hAnsi="仿宋" w:eastAsia="仿宋" w:cs="仿宋"/>
          <w:color w:val="000000"/>
          <w:kern w:val="0"/>
          <w:sz w:val="32"/>
          <w:szCs w:val="32"/>
        </w:rPr>
        <w:t>本单位收入总额</w:t>
      </w:r>
      <w:r>
        <w:rPr>
          <w:rFonts w:hint="eastAsia" w:ascii="仿宋" w:hAnsi="仿宋" w:eastAsia="仿宋" w:cs="仿宋"/>
          <w:color w:val="000000"/>
          <w:kern w:val="0"/>
          <w:sz w:val="32"/>
          <w:szCs w:val="32"/>
          <w:lang w:val="en-US" w:eastAsia="zh-CN"/>
        </w:rPr>
        <w:t>338.02</w:t>
      </w:r>
      <w:r>
        <w:rPr>
          <w:rFonts w:hint="eastAsia" w:ascii="仿宋" w:hAnsi="仿宋" w:eastAsia="仿宋" w:cs="仿宋"/>
          <w:color w:val="000000"/>
          <w:kern w:val="0"/>
          <w:sz w:val="32"/>
          <w:szCs w:val="32"/>
        </w:rPr>
        <w:t>万元，其中财政拨款收入为</w:t>
      </w:r>
      <w:r>
        <w:rPr>
          <w:rFonts w:hint="eastAsia" w:ascii="仿宋" w:hAnsi="仿宋" w:eastAsia="仿宋" w:cs="仿宋"/>
          <w:color w:val="000000"/>
          <w:kern w:val="0"/>
          <w:sz w:val="32"/>
          <w:szCs w:val="32"/>
          <w:lang w:val="en-US" w:eastAsia="zh-CN"/>
        </w:rPr>
        <w:t>338.02</w:t>
      </w:r>
      <w:r>
        <w:rPr>
          <w:rFonts w:hint="eastAsia" w:ascii="仿宋" w:hAnsi="仿宋" w:eastAsia="仿宋" w:cs="仿宋"/>
          <w:color w:val="000000"/>
          <w:kern w:val="0"/>
          <w:sz w:val="32"/>
          <w:szCs w:val="32"/>
        </w:rPr>
        <w:t>万元，占本年收入总额为100%。</w:t>
      </w:r>
    </w:p>
    <w:p w14:paraId="7ED32F66">
      <w:pPr>
        <w:widowControl/>
        <w:numPr>
          <w:ilvl w:val="0"/>
          <w:numId w:val="4"/>
        </w:numPr>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部门财政资金支出情况。</w:t>
      </w:r>
    </w:p>
    <w:p w14:paraId="4ED30047">
      <w:pPr>
        <w:spacing w:line="6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度</w:t>
      </w:r>
      <w:r>
        <w:rPr>
          <w:rFonts w:hint="eastAsia" w:ascii="仿宋" w:hAnsi="仿宋" w:eastAsia="仿宋" w:cs="仿宋"/>
          <w:color w:val="000000"/>
          <w:kern w:val="0"/>
          <w:sz w:val="32"/>
          <w:szCs w:val="32"/>
        </w:rPr>
        <w:t>本单位支出总额</w:t>
      </w:r>
      <w:r>
        <w:rPr>
          <w:rFonts w:hint="eastAsia" w:ascii="仿宋" w:hAnsi="仿宋" w:eastAsia="仿宋" w:cs="仿宋"/>
          <w:color w:val="000000"/>
          <w:kern w:val="0"/>
          <w:sz w:val="32"/>
          <w:szCs w:val="32"/>
          <w:lang w:val="en-US" w:eastAsia="zh-CN"/>
        </w:rPr>
        <w:t>338.02</w:t>
      </w:r>
      <w:r>
        <w:rPr>
          <w:rFonts w:hint="eastAsia" w:ascii="仿宋" w:hAnsi="仿宋" w:eastAsia="仿宋" w:cs="仿宋"/>
          <w:color w:val="000000"/>
          <w:kern w:val="0"/>
          <w:sz w:val="32"/>
          <w:szCs w:val="32"/>
        </w:rPr>
        <w:t>万元，其中基本支出</w:t>
      </w:r>
      <w:r>
        <w:rPr>
          <w:rFonts w:hint="eastAsia" w:ascii="仿宋" w:hAnsi="仿宋" w:eastAsia="仿宋" w:cs="仿宋"/>
          <w:color w:val="000000"/>
          <w:kern w:val="0"/>
          <w:sz w:val="32"/>
          <w:szCs w:val="32"/>
          <w:lang w:val="en-US" w:eastAsia="zh-CN"/>
        </w:rPr>
        <w:t>180.31</w:t>
      </w:r>
      <w:r>
        <w:rPr>
          <w:rFonts w:hint="eastAsia" w:ascii="仿宋" w:hAnsi="仿宋" w:eastAsia="仿宋" w:cs="仿宋"/>
          <w:color w:val="000000"/>
          <w:kern w:val="0"/>
          <w:sz w:val="32"/>
          <w:szCs w:val="32"/>
        </w:rPr>
        <w:t>万元，占总支出</w:t>
      </w:r>
      <w:r>
        <w:rPr>
          <w:rFonts w:hint="eastAsia" w:ascii="仿宋" w:hAnsi="仿宋" w:eastAsia="仿宋" w:cs="仿宋"/>
          <w:color w:val="000000"/>
          <w:kern w:val="0"/>
          <w:sz w:val="32"/>
          <w:szCs w:val="32"/>
          <w:lang w:val="en-US" w:eastAsia="zh-CN"/>
        </w:rPr>
        <w:t>53.34</w:t>
      </w:r>
      <w:r>
        <w:rPr>
          <w:rFonts w:hint="eastAsia" w:ascii="仿宋" w:hAnsi="仿宋" w:eastAsia="仿宋" w:cs="仿宋"/>
          <w:color w:val="000000"/>
          <w:kern w:val="0"/>
          <w:sz w:val="32"/>
          <w:szCs w:val="32"/>
        </w:rPr>
        <w:t>%，基本支出中人员支出</w:t>
      </w:r>
      <w:r>
        <w:rPr>
          <w:rFonts w:hint="eastAsia" w:ascii="仿宋" w:hAnsi="仿宋" w:eastAsia="仿宋" w:cs="仿宋"/>
          <w:color w:val="000000"/>
          <w:kern w:val="0"/>
          <w:sz w:val="32"/>
          <w:szCs w:val="32"/>
          <w:lang w:val="en-US" w:eastAsia="zh-CN"/>
        </w:rPr>
        <w:t>164.17</w:t>
      </w:r>
      <w:r>
        <w:rPr>
          <w:rFonts w:hint="eastAsia" w:ascii="仿宋" w:hAnsi="仿宋" w:eastAsia="仿宋" w:cs="仿宋"/>
          <w:color w:val="000000"/>
          <w:kern w:val="0"/>
          <w:sz w:val="32"/>
          <w:szCs w:val="32"/>
        </w:rPr>
        <w:t>万元，公用支出</w:t>
      </w:r>
      <w:r>
        <w:rPr>
          <w:rFonts w:hint="eastAsia" w:ascii="仿宋" w:hAnsi="仿宋" w:eastAsia="仿宋" w:cs="仿宋"/>
          <w:color w:val="000000"/>
          <w:kern w:val="0"/>
          <w:sz w:val="32"/>
          <w:szCs w:val="32"/>
          <w:lang w:val="en-US" w:eastAsia="zh-CN"/>
        </w:rPr>
        <w:t>16.14</w:t>
      </w:r>
      <w:r>
        <w:rPr>
          <w:rFonts w:hint="eastAsia" w:ascii="仿宋" w:hAnsi="仿宋" w:eastAsia="仿宋" w:cs="仿宋"/>
          <w:color w:val="000000"/>
          <w:kern w:val="0"/>
          <w:sz w:val="32"/>
          <w:szCs w:val="32"/>
        </w:rPr>
        <w:t>万元；项目支出</w:t>
      </w:r>
      <w:r>
        <w:rPr>
          <w:rFonts w:hint="eastAsia" w:ascii="仿宋" w:hAnsi="仿宋" w:eastAsia="仿宋" w:cs="仿宋"/>
          <w:color w:val="000000"/>
          <w:kern w:val="0"/>
          <w:sz w:val="32"/>
          <w:szCs w:val="32"/>
          <w:lang w:val="en-US" w:eastAsia="zh-CN"/>
        </w:rPr>
        <w:t>157.71</w:t>
      </w:r>
      <w:r>
        <w:rPr>
          <w:rFonts w:hint="eastAsia" w:ascii="仿宋" w:hAnsi="仿宋" w:eastAsia="仿宋" w:cs="仿宋"/>
          <w:color w:val="000000"/>
          <w:kern w:val="0"/>
          <w:sz w:val="32"/>
          <w:szCs w:val="32"/>
        </w:rPr>
        <w:t>万元，占总支出</w:t>
      </w:r>
      <w:r>
        <w:rPr>
          <w:rFonts w:hint="eastAsia" w:ascii="仿宋" w:hAnsi="仿宋" w:eastAsia="仿宋" w:cs="仿宋"/>
          <w:color w:val="000000"/>
          <w:kern w:val="0"/>
          <w:sz w:val="32"/>
          <w:szCs w:val="32"/>
          <w:lang w:val="en-US" w:eastAsia="zh-CN"/>
        </w:rPr>
        <w:t>46.66</w:t>
      </w:r>
      <w:r>
        <w:rPr>
          <w:rFonts w:hint="eastAsia" w:ascii="仿宋" w:hAnsi="仿宋" w:eastAsia="仿宋" w:cs="仿宋"/>
          <w:color w:val="000000"/>
          <w:kern w:val="0"/>
          <w:sz w:val="32"/>
          <w:szCs w:val="32"/>
        </w:rPr>
        <w:t>%。</w:t>
      </w:r>
    </w:p>
    <w:p w14:paraId="28BD2AA6">
      <w:pPr>
        <w:widowControl/>
        <w:numPr>
          <w:ilvl w:val="0"/>
          <w:numId w:val="4"/>
        </w:numPr>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部门财政资金结转结余情况。</w:t>
      </w:r>
    </w:p>
    <w:p w14:paraId="6F6CF5F9">
      <w:pPr>
        <w:spacing w:line="6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 xml:space="preserve">    </w:t>
      </w:r>
      <w:r>
        <w:rPr>
          <w:rFonts w:hint="eastAsia" w:ascii="仿宋" w:hAnsi="仿宋" w:eastAsia="仿宋" w:cs="仿宋"/>
          <w:color w:val="000000"/>
          <w:kern w:val="0"/>
          <w:sz w:val="32"/>
          <w:szCs w:val="32"/>
        </w:rPr>
        <w:t xml:space="preserve"> 无。</w:t>
      </w:r>
    </w:p>
    <w:p w14:paraId="03D6F3A2">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三、部门整体绩效管理情况</w:t>
      </w:r>
    </w:p>
    <w:p w14:paraId="5794D0F5">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（一）部门整体履职绩效分析。</w:t>
      </w:r>
    </w:p>
    <w:p w14:paraId="06DE9D26">
      <w:pPr>
        <w:pStyle w:val="6"/>
        <w:spacing w:line="640" w:lineRule="exact"/>
        <w:ind w:firstLine="640"/>
        <w:rPr>
          <w:rFonts w:hint="eastAsia" w:ascii="仿宋" w:hAnsi="仿宋" w:eastAsia="仿宋" w:cs="仿宋"/>
          <w:sz w:val="32"/>
          <w:szCs w:val="32"/>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rPr>
        <w:t>.</w:t>
      </w:r>
      <w:r>
        <w:rPr>
          <w:rFonts w:hint="eastAsia" w:ascii="仿宋" w:hAnsi="仿宋" w:eastAsia="仿宋" w:cs="仿宋"/>
          <w:b/>
          <w:bCs/>
          <w:sz w:val="32"/>
          <w:szCs w:val="32"/>
          <w:lang w:val="zh-CN"/>
        </w:rPr>
        <w:t>数量指标</w:t>
      </w:r>
      <w:r>
        <w:rPr>
          <w:rFonts w:hint="eastAsia" w:ascii="仿宋" w:hAnsi="仿宋" w:eastAsia="仿宋" w:cs="仿宋"/>
          <w:sz w:val="32"/>
          <w:szCs w:val="32"/>
          <w:lang w:val="zh-CN"/>
        </w:rPr>
        <w:t>。</w:t>
      </w:r>
    </w:p>
    <w:p w14:paraId="6729E331">
      <w:pPr>
        <w:spacing w:line="6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024年</w:t>
      </w:r>
      <w:r>
        <w:rPr>
          <w:rFonts w:hint="eastAsia" w:ascii="仿宋" w:hAnsi="仿宋" w:eastAsia="仿宋" w:cs="仿宋"/>
          <w:color w:val="000000"/>
          <w:kern w:val="0"/>
          <w:sz w:val="32"/>
          <w:szCs w:val="32"/>
          <w:lang w:val="en-US" w:eastAsia="zh-CN"/>
        </w:rPr>
        <w:t>度</w:t>
      </w:r>
      <w:r>
        <w:rPr>
          <w:rFonts w:hint="eastAsia" w:ascii="仿宋" w:hAnsi="仿宋" w:eastAsia="仿宋" w:cs="仿宋"/>
          <w:color w:val="000000"/>
          <w:kern w:val="0"/>
          <w:sz w:val="32"/>
          <w:szCs w:val="32"/>
        </w:rPr>
        <w:t>救助特殊困难家庭1户。全覆盖结对帮扶林丰村。调处少数民族纠纷12起。移风易俗宣传30次，发放宣传资料800余份。</w:t>
      </w:r>
    </w:p>
    <w:p w14:paraId="7FB14B4D">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2.社会效益。</w:t>
      </w:r>
    </w:p>
    <w:p w14:paraId="41F6E6D2">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围绕铸牢中华民族共同体意识主线，以创建全国民族团结进步示范区为抓手，完成创建国家级指标，全面完成分解的87项目标任务，做到机关单位有氛围、乡镇有特色、村社区有亮点，形成新时代民族工作格局，全面推进创建工作落地落实，扎实推进我区民族工作整体转变和提升。</w:t>
      </w:r>
    </w:p>
    <w:p w14:paraId="0FDFDD91">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牢牢把握新时代党的宗教工作理论，贯彻落实宗教政策，守牢政治底线。经常性联系宗教场所、宗教团体和信教群众，掌握思想状态和生活情况，了解需求和困难，宣传党的宗教政策。对存在的困难积极加以解决，推进宗教和顺和谐。</w:t>
      </w:r>
    </w:p>
    <w:p w14:paraId="23F57DCA">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3.可持续影响。</w:t>
      </w:r>
    </w:p>
    <w:p w14:paraId="53BFF81A">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通过创建全国民族团结进步示范区工作的持续开展，各民族交流交往交融，增强了铸牢中华民族共同体意识。通过对宗教政策的大力宣传及宗教活动场所的规范管理，促进全区宗教和顺和谐。</w:t>
      </w:r>
    </w:p>
    <w:p w14:paraId="548BBBCD">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（二）特定目标类项目绩效分析。</w:t>
      </w:r>
    </w:p>
    <w:p w14:paraId="2C76083A">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包括项目绩效目标制定、目标实现、支出控制、及时处置、执行进度、预算完成情况、资金结余率（低效无效率）和违规记录等情况。</w:t>
      </w:r>
    </w:p>
    <w:p w14:paraId="293C3706">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整体情况：区民宗局项目主要围绕民族工作和宗教工作开展。</w:t>
      </w:r>
    </w:p>
    <w:p w14:paraId="4B94C877">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lang w:val="zh-CN"/>
        </w:rPr>
        <w:t>在民族工作方面：处理民族地区突发事件，促进民族大团结，维护社会稳定。2024年</w:t>
      </w:r>
      <w:r>
        <w:rPr>
          <w:rFonts w:hint="eastAsia" w:ascii="仿宋" w:hAnsi="仿宋" w:eastAsia="仿宋" w:cs="仿宋"/>
          <w:color w:val="000000"/>
          <w:kern w:val="0"/>
          <w:sz w:val="32"/>
          <w:szCs w:val="32"/>
          <w:shd w:val="clear" w:color="auto" w:fill="FFFFFF"/>
          <w:lang w:val="en-US" w:eastAsia="zh-CN"/>
        </w:rPr>
        <w:t>度</w:t>
      </w:r>
      <w:r>
        <w:rPr>
          <w:rFonts w:hint="eastAsia" w:ascii="仿宋" w:hAnsi="仿宋" w:eastAsia="仿宋" w:cs="仿宋"/>
          <w:color w:val="000000"/>
          <w:kern w:val="0"/>
          <w:sz w:val="32"/>
          <w:szCs w:val="32"/>
          <w:shd w:val="clear" w:color="auto" w:fill="FFFFFF"/>
          <w:lang w:val="zh-CN"/>
        </w:rPr>
        <w:t>目标实现率90%，支出控制在预算范围内，执行进度为100%，预算完成情况为100%，资金结余率为0，无违规记录。</w:t>
      </w:r>
    </w:p>
    <w:p w14:paraId="73394C6A">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lang w:val="zh-CN"/>
        </w:rPr>
        <w:t>在宗教工作方面：做好宗教场所管理，保障信众的合法权利。2024年</w:t>
      </w:r>
      <w:r>
        <w:rPr>
          <w:rFonts w:hint="eastAsia" w:ascii="仿宋" w:hAnsi="仿宋" w:eastAsia="仿宋" w:cs="仿宋"/>
          <w:color w:val="000000"/>
          <w:kern w:val="0"/>
          <w:sz w:val="32"/>
          <w:szCs w:val="32"/>
          <w:shd w:val="clear" w:color="auto" w:fill="FFFFFF"/>
          <w:lang w:val="en-US" w:eastAsia="zh-CN"/>
        </w:rPr>
        <w:t>度</w:t>
      </w:r>
      <w:r>
        <w:rPr>
          <w:rFonts w:hint="eastAsia" w:ascii="仿宋" w:hAnsi="仿宋" w:eastAsia="仿宋" w:cs="仿宋"/>
          <w:color w:val="000000"/>
          <w:kern w:val="0"/>
          <w:sz w:val="32"/>
          <w:szCs w:val="32"/>
          <w:shd w:val="clear" w:color="auto" w:fill="FFFFFF"/>
          <w:lang w:val="zh-CN"/>
        </w:rPr>
        <w:t>目标实现率100%，支出控制在预算范围内，执行进度为100%，预算完成情况为100%，资金结余率为0，无违规记录。</w:t>
      </w:r>
    </w:p>
    <w:p w14:paraId="7978BE68">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p>
    <w:p w14:paraId="22135B69">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val="zh-CN"/>
        </w:rPr>
        <w:t>.50万以上项目：</w:t>
      </w:r>
      <w:r>
        <w:rPr>
          <w:rFonts w:hint="eastAsia" w:ascii="仿宋" w:hAnsi="仿宋" w:eastAsia="仿宋" w:cs="仿宋"/>
          <w:color w:val="000000"/>
          <w:kern w:val="0"/>
          <w:sz w:val="32"/>
          <w:szCs w:val="32"/>
          <w:shd w:val="clear" w:color="auto" w:fill="FFFFFF"/>
          <w:lang w:val="en-US" w:eastAsia="zh-CN"/>
        </w:rPr>
        <w:t>无</w:t>
      </w:r>
    </w:p>
    <w:p w14:paraId="31C99FA5">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（三）结果应用情况：加强项目管理、资金使用、监管等各方面工作，达到预期绩效。我局已在政务公开网站上完成财务预算和决算公开，接受群众监督。</w:t>
      </w:r>
    </w:p>
    <w:p w14:paraId="2518CC28">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四、评价结论及建议</w:t>
      </w:r>
    </w:p>
    <w:p w14:paraId="0AF76A10">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（一）评价结论。</w:t>
      </w:r>
    </w:p>
    <w:p w14:paraId="2B7F96E6">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1.项目资金执行情况分析</w:t>
      </w:r>
    </w:p>
    <w:p w14:paraId="5FB9AFA6">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我局2024年度项目资金9万元，实际到位9万元，资金到位率100%，到位资金支付率为100%。</w:t>
      </w:r>
    </w:p>
    <w:p w14:paraId="60DDC380">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2.项目资金管理情况。</w:t>
      </w:r>
    </w:p>
    <w:p w14:paraId="2E150981">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该项目资金由财政国库管理，采用财政授权支付方式支付项目相关款项，资金使用规范。</w:t>
      </w:r>
    </w:p>
    <w:p w14:paraId="11527F9E">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存在问题。</w:t>
      </w:r>
    </w:p>
    <w:p w14:paraId="6A728BDF">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14:paraId="6C4142A1">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改进建议。</w:t>
      </w:r>
    </w:p>
    <w:p w14:paraId="0AE92A12">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加强财经纪律学习，提高业务水平，提高资金使用效率。</w:t>
      </w:r>
    </w:p>
    <w:p w14:paraId="667F12E0">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p>
    <w:p w14:paraId="1811F6CA">
      <w:pPr>
        <w:widowControl/>
        <w:adjustRightInd w:val="0"/>
        <w:snapToGrid w:val="0"/>
        <w:spacing w:line="64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p>
    <w:p w14:paraId="56071D1E">
      <w:pPr>
        <w:spacing w:line="640" w:lineRule="exac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zh-CN"/>
        </w:rPr>
        <w:t xml:space="preserve"> </w:t>
      </w:r>
      <w:r>
        <w:rPr>
          <w:rFonts w:hint="eastAsia" w:ascii="仿宋" w:hAnsi="仿宋" w:eastAsia="仿宋" w:cs="仿宋"/>
          <w:color w:val="000000"/>
          <w:kern w:val="0"/>
          <w:sz w:val="32"/>
          <w:szCs w:val="32"/>
          <w:shd w:val="clear" w:color="auto" w:fill="FFFFFF"/>
          <w:lang w:val="en-US" w:eastAsia="zh-CN"/>
        </w:rPr>
        <w:t xml:space="preserve">              </w:t>
      </w:r>
    </w:p>
    <w:p w14:paraId="7029E9D9">
      <w:pPr>
        <w:pStyle w:val="2"/>
        <w:rPr>
          <w:rFonts w:hint="eastAsia" w:ascii="仿宋" w:hAnsi="仿宋" w:eastAsia="仿宋" w:cs="仿宋"/>
          <w:color w:val="000000"/>
          <w:kern w:val="0"/>
          <w:sz w:val="32"/>
          <w:szCs w:val="32"/>
          <w:shd w:val="clear" w:color="auto" w:fill="FFFFFF"/>
          <w:lang w:val="en-US" w:eastAsia="zh-CN"/>
        </w:rPr>
      </w:pPr>
    </w:p>
    <w:p w14:paraId="72927BC2">
      <w:pPr>
        <w:pStyle w:val="3"/>
        <w:rPr>
          <w:rFonts w:hint="eastAsia" w:ascii="仿宋" w:hAnsi="仿宋" w:eastAsia="仿宋" w:cs="仿宋"/>
          <w:color w:val="000000"/>
          <w:kern w:val="0"/>
          <w:sz w:val="32"/>
          <w:szCs w:val="32"/>
          <w:shd w:val="clear" w:color="auto" w:fill="FFFFFF"/>
          <w:lang w:val="en-US" w:eastAsia="zh-CN"/>
        </w:rPr>
      </w:pPr>
    </w:p>
    <w:p w14:paraId="14D3CA9E">
      <w:pPr>
        <w:pStyle w:val="3"/>
        <w:rPr>
          <w:rFonts w:hint="eastAsia" w:ascii="仿宋" w:hAnsi="仿宋" w:eastAsia="仿宋" w:cs="仿宋"/>
          <w:color w:val="000000"/>
          <w:kern w:val="0"/>
          <w:sz w:val="32"/>
          <w:szCs w:val="32"/>
          <w:shd w:val="clear" w:color="auto" w:fill="FFFFFF"/>
          <w:lang w:val="en-US" w:eastAsia="zh-CN"/>
        </w:rPr>
      </w:pPr>
    </w:p>
    <w:p w14:paraId="5374EC10">
      <w:pPr>
        <w:pStyle w:val="2"/>
        <w:rPr>
          <w:rFonts w:hint="eastAsia" w:ascii="仿宋" w:hAnsi="仿宋" w:eastAsia="仿宋" w:cs="仿宋"/>
          <w:color w:val="FF0000"/>
          <w:kern w:val="0"/>
          <w:sz w:val="32"/>
          <w:szCs w:val="32"/>
        </w:rPr>
      </w:pPr>
    </w:p>
    <w:p w14:paraId="35E71C9B">
      <w:pPr>
        <w:pStyle w:val="3"/>
        <w:rPr>
          <w:rFonts w:hint="eastAsia" w:ascii="仿宋" w:hAnsi="仿宋" w:eastAsia="仿宋" w:cs="仿宋"/>
          <w:color w:val="FF0000"/>
          <w:kern w:val="0"/>
          <w:sz w:val="32"/>
          <w:szCs w:val="32"/>
        </w:rPr>
      </w:pPr>
    </w:p>
    <w:p w14:paraId="1558E088">
      <w:pPr>
        <w:pStyle w:val="3"/>
        <w:rPr>
          <w:rFonts w:hint="eastAsia" w:ascii="仿宋" w:hAnsi="仿宋" w:eastAsia="仿宋" w:cs="仿宋"/>
          <w:color w:val="FF0000"/>
          <w:kern w:val="0"/>
          <w:sz w:val="32"/>
          <w:szCs w:val="32"/>
        </w:rPr>
      </w:pPr>
    </w:p>
    <w:p w14:paraId="6390229B">
      <w:pPr>
        <w:pStyle w:val="3"/>
        <w:rPr>
          <w:rFonts w:hint="eastAsia" w:ascii="仿宋" w:hAnsi="仿宋" w:eastAsia="仿宋" w:cs="仿宋"/>
          <w:color w:val="FF0000"/>
          <w:kern w:val="0"/>
          <w:sz w:val="32"/>
          <w:szCs w:val="32"/>
        </w:rPr>
      </w:pPr>
    </w:p>
    <w:p w14:paraId="563FCB27">
      <w:pPr>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p w14:paraId="07E4CF83">
      <w:pPr>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度民族工作机动金</w:t>
      </w:r>
      <w:r>
        <w:rPr>
          <w:rFonts w:hint="eastAsia" w:ascii="仿宋_GB2312" w:hAnsi="仿宋_GB2312" w:eastAsia="仿宋_GB2312" w:cs="仿宋_GB2312"/>
          <w:b/>
          <w:bCs/>
          <w:color w:val="000000" w:themeColor="text1"/>
          <w:sz w:val="32"/>
          <w:szCs w:val="32"/>
          <w14:textFill>
            <w14:solidFill>
              <w14:schemeClr w14:val="tx1"/>
            </w14:solidFill>
          </w14:textFill>
        </w:rPr>
        <w:t>项目支出绩效自评报告</w:t>
      </w:r>
    </w:p>
    <w:p w14:paraId="70415070">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一、项目概况</w:t>
      </w:r>
    </w:p>
    <w:p w14:paraId="2EC9BB70">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（一）项目基本情况。</w:t>
      </w:r>
    </w:p>
    <w:p w14:paraId="6611E584">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机动金主要用于全区民族团结进步事业、解决民族工作和民族地区特殊需要的财政专项资金。民族工作机动金的使用范围是民族地区在政治、经济、文化和社会事方面在重大活动和特殊困难的经济补助；少数民族和民族工作中特殊活动的开展和重大特殊问题研究的经费补助；处理各民族之间发生的有关影响民族关系和民族团结方面的重大突发事件和特殊问题的经费补助；开展民族团结进步创建、维护社会稳定工作经费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我单位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民族工作机动金</w:t>
      </w:r>
      <w:r>
        <w:rPr>
          <w:rFonts w:hint="eastAsia" w:ascii="仿宋_GB2312" w:hAnsi="仿宋_GB2312" w:eastAsia="仿宋_GB2312" w:cs="仿宋_GB2312"/>
          <w:color w:val="000000" w:themeColor="text1"/>
          <w:sz w:val="32"/>
          <w:szCs w:val="32"/>
          <w14:textFill>
            <w14:solidFill>
              <w14:schemeClr w14:val="tx1"/>
            </w14:solidFill>
          </w14:textFill>
        </w:rPr>
        <w:t>项目预算金额为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万元，全年执行数为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万元。我单位严格按照财务资金管理办法进行申请和使用，符合财务资金管理办法等相关规定。</w:t>
      </w:r>
    </w:p>
    <w:p w14:paraId="50BBCE37">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（二）项目绩效目标。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2359404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机动金项目充分体现了党和国家对少数民族群众的关爱之情，让少数民族群众感受到了民族政策的温暖，它是党和政府联系各族群众的“连心钱”。用于全区民族团结进步事业，开展民族工作的相关工作调研及少数民族矛盾纠纷排查等，为维护民族地区稳定提供了坚实的保障。</w:t>
      </w:r>
    </w:p>
    <w:p w14:paraId="518D2EE5">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（三）项目自评步骤及方法。</w:t>
      </w:r>
    </w:p>
    <w:p w14:paraId="12F8D27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我单位建立有完善的财务管理制度、有专职财务人员、处理账务以及进行会计核算。经自查，我单位严格按照项目资金管理办法执行、规范会计核算。</w:t>
      </w:r>
    </w:p>
    <w:p w14:paraId="448DC4A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二、项目资金申报及使用情况</w:t>
      </w:r>
    </w:p>
    <w:p w14:paraId="6160CF4E">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（一）项目资金申报及批复情况。</w:t>
      </w:r>
    </w:p>
    <w:p w14:paraId="2BF7141C">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项目为年初预算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7万元</w:t>
      </w:r>
      <w:r>
        <w:rPr>
          <w:rFonts w:hint="eastAsia" w:ascii="仿宋_GB2312" w:hAnsi="仿宋_GB2312" w:eastAsia="仿宋_GB2312" w:cs="仿宋_GB2312"/>
          <w:color w:val="000000" w:themeColor="text1"/>
          <w:sz w:val="32"/>
          <w:szCs w:val="32"/>
          <w14:textFill>
            <w14:solidFill>
              <w14:schemeClr w14:val="tx1"/>
            </w14:solidFill>
          </w14:textFill>
        </w:rPr>
        <w:t>，经审核批复使用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7万元</w:t>
      </w:r>
      <w:r>
        <w:rPr>
          <w:rFonts w:hint="eastAsia" w:ascii="仿宋_GB2312" w:hAnsi="仿宋_GB2312" w:eastAsia="仿宋_GB2312" w:cs="仿宋_GB2312"/>
          <w:color w:val="000000" w:themeColor="text1"/>
          <w:sz w:val="32"/>
          <w:szCs w:val="32"/>
          <w14:textFill>
            <w14:solidFill>
              <w14:schemeClr w14:val="tx1"/>
            </w14:solidFill>
          </w14:textFill>
        </w:rPr>
        <w:t>。</w:t>
      </w:r>
    </w:p>
    <w:p w14:paraId="30A9EAFF">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（二）资金计划、到位及使用情况。</w:t>
      </w:r>
    </w:p>
    <w:p w14:paraId="4DCF6808">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民族工作机动</w:t>
      </w:r>
      <w:r>
        <w:rPr>
          <w:rFonts w:hint="eastAsia" w:ascii="仿宋_GB2312" w:hAnsi="仿宋_GB2312" w:eastAsia="仿宋_GB2312" w:cs="仿宋_GB2312"/>
          <w:color w:val="000000" w:themeColor="text1"/>
          <w:sz w:val="32"/>
          <w:szCs w:val="32"/>
          <w14:textFill>
            <w14:solidFill>
              <w14:schemeClr w14:val="tx1"/>
            </w14:solidFill>
          </w14:textFill>
        </w:rPr>
        <w:t>项目全年预算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万元，资金实际到位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万元，资金到位率为100%。截至</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12月31日全年执行数为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万元，全部用于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开展民族团结进步、维护社会稳定相关工作的支付；所有的</w:t>
      </w:r>
      <w:r>
        <w:rPr>
          <w:rFonts w:hint="eastAsia" w:ascii="仿宋_GB2312" w:hAnsi="仿宋_GB2312" w:eastAsia="仿宋_GB2312" w:cs="仿宋_GB2312"/>
          <w:color w:val="000000" w:themeColor="text1"/>
          <w:sz w:val="32"/>
          <w:szCs w:val="32"/>
          <w14:textFill>
            <w14:solidFill>
              <w14:schemeClr w14:val="tx1"/>
            </w14:solidFill>
          </w14:textFill>
        </w:rPr>
        <w:t>支付依据合规合法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0B7D98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（三）项目财务管理情况。</w:t>
      </w:r>
    </w:p>
    <w:p w14:paraId="7E88DA9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该项目财务管理制度健全，严格执行财务管理制度，账务处理及时，会计核算规范。</w:t>
      </w:r>
    </w:p>
    <w:p w14:paraId="6587320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三、项目实施及管理情况</w:t>
      </w:r>
    </w:p>
    <w:p w14:paraId="461F296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（一）项目组织架构及实施流程。</w:t>
      </w:r>
    </w:p>
    <w:p w14:paraId="7FF6A3E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财务管理实行统一领导、分级负责、归口管理的方式。项目经费按照规定用途和程序，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所有的支付必须</w:t>
      </w:r>
      <w:r>
        <w:rPr>
          <w:rFonts w:hint="eastAsia" w:ascii="仿宋_GB2312" w:hAnsi="仿宋_GB2312" w:eastAsia="仿宋_GB2312" w:cs="仿宋_GB2312"/>
          <w:color w:val="000000" w:themeColor="text1"/>
          <w:sz w:val="32"/>
          <w:szCs w:val="32"/>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分管领导、单位负责人</w:t>
      </w:r>
      <w:r>
        <w:rPr>
          <w:rFonts w:hint="eastAsia" w:ascii="仿宋_GB2312" w:hAnsi="仿宋_GB2312" w:eastAsia="仿宋_GB2312" w:cs="仿宋_GB2312"/>
          <w:color w:val="000000" w:themeColor="text1"/>
          <w:sz w:val="32"/>
          <w:szCs w:val="32"/>
          <w14:textFill>
            <w14:solidFill>
              <w14:schemeClr w14:val="tx1"/>
            </w14:solidFill>
          </w14:textFill>
        </w:rPr>
        <w:t>签字盖章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后再由财务人员审核后才能支付</w:t>
      </w:r>
      <w:r>
        <w:rPr>
          <w:rFonts w:hint="eastAsia" w:ascii="仿宋_GB2312" w:hAnsi="仿宋_GB2312" w:eastAsia="仿宋_GB2312" w:cs="仿宋_GB2312"/>
          <w:color w:val="000000" w:themeColor="text1"/>
          <w:sz w:val="32"/>
          <w:szCs w:val="32"/>
          <w14:textFill>
            <w14:solidFill>
              <w14:schemeClr w14:val="tx1"/>
            </w14:solidFill>
          </w14:textFill>
        </w:rPr>
        <w:t>。</w:t>
      </w:r>
    </w:p>
    <w:p w14:paraId="3FA099B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（二）项目管理情况。</w:t>
      </w:r>
    </w:p>
    <w:p w14:paraId="216EE13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该项目严格按照财政资金管理使用办法，及时兑现，资金无挤占、挪用、截留、贪污等违纪违法行为，确保了资金的安全高效使用。</w:t>
      </w:r>
    </w:p>
    <w:p w14:paraId="15B74DFE">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（三）项目监管情况。</w:t>
      </w:r>
    </w:p>
    <w:p w14:paraId="572ADEA6">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对项目全过程进行监管，确保项目顺利实施。</w:t>
      </w:r>
    </w:p>
    <w:p w14:paraId="5B2FA08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四、项目绩效情况</w:t>
      </w:r>
    </w:p>
    <w:p w14:paraId="140099B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（一）项目完成情况。</w:t>
      </w:r>
    </w:p>
    <w:p w14:paraId="1863DC6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协调少数民族矛盾纠纷4次，开展民族工作调研2次，救助特殊困群众3人</w:t>
      </w:r>
      <w:r>
        <w:rPr>
          <w:rFonts w:hint="eastAsia" w:ascii="仿宋_GB2312" w:hAnsi="仿宋_GB2312" w:eastAsia="仿宋_GB2312" w:cs="仿宋_GB2312"/>
          <w:color w:val="000000" w:themeColor="text1"/>
          <w:sz w:val="32"/>
          <w:szCs w:val="32"/>
          <w14:textFill>
            <w14:solidFill>
              <w14:schemeClr w14:val="tx1"/>
            </w14:solidFill>
          </w14:textFill>
        </w:rPr>
        <w:t>。</w:t>
      </w:r>
    </w:p>
    <w:p w14:paraId="4377A451">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（二）项目效益情况。</w:t>
      </w:r>
    </w:p>
    <w:p w14:paraId="3F142758">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民族工作机动金用于全区民族团结进步事业、解决民族工作和民族事务特殊需要，为全区各民族稳定、民生、发展</w:t>
      </w:r>
    </w:p>
    <w:p w14:paraId="22F70372">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“三件大事提供了坚实的保障。有力促进了少数民族和民族地区经济发展。该项目的社会效益明显，群众的满意度高。</w:t>
      </w:r>
    </w:p>
    <w:p w14:paraId="5865B65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五、评价结论及建议</w:t>
      </w:r>
    </w:p>
    <w:p w14:paraId="46763A21">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（一）评价结论。</w:t>
      </w:r>
    </w:p>
    <w:p w14:paraId="3011709C">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通过项目资金的分配使用。财务管理健全规范，没有发生违法违规现象，该项目做到了使用规范、程序透明、达到预期绩效目标，提高群众满意度，保证了目标任务的圆满完成。</w:t>
      </w:r>
    </w:p>
    <w:p w14:paraId="640D4A5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（二）存在的问题。</w:t>
      </w:r>
    </w:p>
    <w:p w14:paraId="07D70C4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14:paraId="3E36410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（三）相关建议。</w:t>
      </w:r>
    </w:p>
    <w:p w14:paraId="5E95FCCD">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14:paraId="5B51E576">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14:paraId="1D631C3C">
      <w:pPr>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度民族团结进步项目</w:t>
      </w:r>
      <w:r>
        <w:rPr>
          <w:rFonts w:hint="eastAsia" w:ascii="仿宋_GB2312" w:hAnsi="仿宋_GB2312" w:eastAsia="仿宋_GB2312" w:cs="仿宋_GB2312"/>
          <w:b/>
          <w:bCs/>
          <w:color w:val="000000" w:themeColor="text1"/>
          <w:sz w:val="32"/>
          <w:szCs w:val="32"/>
          <w14:textFill>
            <w14:solidFill>
              <w14:schemeClr w14:val="tx1"/>
            </w14:solidFill>
          </w14:textFill>
        </w:rPr>
        <w:t>支出绩效自评报告</w:t>
      </w:r>
    </w:p>
    <w:p w14:paraId="75C9607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一、项目概况</w:t>
      </w:r>
    </w:p>
    <w:p w14:paraId="20E16D35">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深入实施《关于全面深入持久开展民族团结进步，铸牢中华民族共同体意识》（中办发[2018]65号和《四川省全面深入持久开展民族团结进步工作，铸牢中华民族共同意识实施方案》（川委厅[2019]59号）的实施意见，按照区委区政府工作部署，我单位必须加快推动民族团结进工作，此项目由我局负责具体施实。</w:t>
      </w:r>
    </w:p>
    <w:p w14:paraId="61CED53E">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（一）项目资金申报及批复情况。</w:t>
      </w:r>
    </w:p>
    <w:p w14:paraId="55AEA64B">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为充分展示党领导全区各族人民团结奋进取得的光辉成就，展现各族群众凝心聚力、昂扬的精神风貌，</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民族团结进步项目</w:t>
      </w:r>
      <w:r>
        <w:rPr>
          <w:rFonts w:hint="eastAsia" w:ascii="仿宋_GB2312" w:hAnsi="仿宋_GB2312" w:eastAsia="仿宋_GB2312" w:cs="仿宋_GB2312"/>
          <w:color w:val="000000" w:themeColor="text1"/>
          <w:sz w:val="32"/>
          <w:szCs w:val="32"/>
          <w14:textFill>
            <w14:solidFill>
              <w14:schemeClr w14:val="tx1"/>
            </w14:solidFill>
          </w14:textFill>
        </w:rPr>
        <w:t>是由本级政府预算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截止2024年12月31日财政已全额下达民族团结进步项目经费25万元。</w:t>
      </w:r>
    </w:p>
    <w:p w14:paraId="00DA5494">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（二）项目绩效目标。</w:t>
      </w:r>
    </w:p>
    <w:p w14:paraId="2195A14B">
      <w:pPr>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充分展示党领导全区各族人民团结奋进取得的光辉成就，展现各族群众凝心聚力、昂扬的精神风貌，2024年是我区两个彝族乡成立40周年，以“全面贯彻落实党的二十大精神”，深入巩固全国民族团结进步示范区成果，建设团结进步幸福“新彝区”为主题，巩固我区团结进步和谐的良好局面，促进经济社会高质量发展铸牢中华民族共同体意识。</w:t>
      </w:r>
    </w:p>
    <w:p w14:paraId="17F2B909">
      <w:pPr>
        <w:rPr>
          <w:rFonts w:hint="eastAsia" w:ascii="仿宋_GB2312" w:hAnsi="仿宋_GB2312" w:eastAsia="仿宋_GB2312" w:cs="仿宋_GB2312"/>
          <w:color w:val="000000" w:themeColor="text1"/>
          <w:sz w:val="32"/>
          <w:szCs w:val="32"/>
          <w14:textFill>
            <w14:solidFill>
              <w14:schemeClr w14:val="tx1"/>
            </w14:solidFill>
          </w14:textFill>
        </w:rPr>
      </w:pPr>
    </w:p>
    <w:p w14:paraId="6AE9E80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二、项目实施及管理情况</w:t>
      </w:r>
    </w:p>
    <w:p w14:paraId="13C7157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（一）资金计划、到位及使用情况。</w:t>
      </w:r>
    </w:p>
    <w:p w14:paraId="30E7CED3">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1．资金计划及到位。</w:t>
      </w:r>
    </w:p>
    <w:p w14:paraId="206A3B01">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民族团结进步项目</w:t>
      </w:r>
      <w:r>
        <w:rPr>
          <w:rFonts w:hint="eastAsia" w:ascii="仿宋_GB2312" w:hAnsi="仿宋_GB2312" w:eastAsia="仿宋_GB2312" w:cs="仿宋_GB2312"/>
          <w:color w:val="000000" w:themeColor="text1"/>
          <w:sz w:val="32"/>
          <w:szCs w:val="32"/>
          <w14:textFill>
            <w14:solidFill>
              <w14:schemeClr w14:val="tx1"/>
            </w14:solidFill>
          </w14:textFill>
        </w:rPr>
        <w:t>全年预算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万元，资金实际到位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万元，资金到位率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572C278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2．资金使用。</w:t>
      </w:r>
    </w:p>
    <w:p w14:paraId="46E0C6A9">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民族团结进步项目</w:t>
      </w:r>
      <w:r>
        <w:rPr>
          <w:rFonts w:hint="eastAsia" w:ascii="仿宋_GB2312" w:hAnsi="仿宋_GB2312" w:eastAsia="仿宋_GB2312" w:cs="仿宋_GB2312"/>
          <w:color w:val="000000" w:themeColor="text1"/>
          <w:sz w:val="32"/>
          <w:szCs w:val="32"/>
          <w14:textFill>
            <w14:solidFill>
              <w14:schemeClr w14:val="tx1"/>
            </w14:solidFill>
          </w14:textFill>
        </w:rPr>
        <w:t>全年预算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使用项目资金25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E8FACF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（二）项目财务管理情况。</w:t>
      </w:r>
    </w:p>
    <w:p w14:paraId="201EDFB6">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我单位建立有完善的财务管理制度、有专职财务人员、会计处理账务以及进行会计核算。经自查，我单位严格按照项目资金管理办法执行财务管理制度、严格处理财务、规范会计核算。</w:t>
      </w:r>
    </w:p>
    <w:p w14:paraId="594ADF1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（三）项目组织实施情况。</w:t>
      </w:r>
    </w:p>
    <w:p w14:paraId="6544DA7F">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族团结进步</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严格按照资金使用用途安排该专项资金的支出使用，严格落实专项资金的申拨、使用审批手续，充分发挥资金使用效益。</w:t>
      </w:r>
    </w:p>
    <w:p w14:paraId="1DEDFB36">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三、项目绩效情况</w:t>
      </w:r>
    </w:p>
    <w:p w14:paraId="02C64A43">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（一）项目完成情况。</w:t>
      </w:r>
    </w:p>
    <w:p w14:paraId="1B84066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民族团结进步的项目资金用于举办金口河区2024年度庆祝共安彝族乡、和平彝族乡成立40周年文艺晚会（民族团结进步模范集体、模范个人表扬大会的专项支付。</w:t>
      </w:r>
    </w:p>
    <w:p w14:paraId="0817ACD0">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（二）项目效益情况。</w:t>
      </w:r>
    </w:p>
    <w:p w14:paraId="2F15C1A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施具有计划性，制定实施方案或计划，组织机构健全，职责分工明确，有具体的实施时间，有明确的工作程序，资金需要财政足额保障，具有相应的质量检查、验收等必要的控制措施或手段，有针对突发事件或未知风险的应急措施等。</w:t>
      </w:r>
    </w:p>
    <w:p w14:paraId="127A502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四、问题及建议</w:t>
      </w:r>
    </w:p>
    <w:p w14:paraId="1E8F6544">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（一）存在的问题。</w:t>
      </w:r>
    </w:p>
    <w:p w14:paraId="6C535FC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14:paraId="0D472723">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（二）相关建议。</w:t>
      </w:r>
    </w:p>
    <w:p w14:paraId="385BF69B">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14:paraId="412B687C">
      <w:pPr>
        <w:pStyle w:val="2"/>
        <w:rPr>
          <w:rFonts w:hint="eastAsia" w:ascii="仿宋_GB2312" w:hAnsi="仿宋_GB2312" w:eastAsia="仿宋_GB2312" w:cs="仿宋_GB2312"/>
          <w:color w:val="FF0000"/>
          <w:sz w:val="32"/>
          <w:szCs w:val="32"/>
          <w:lang w:val="en-US" w:eastAsia="zh-CN"/>
        </w:rPr>
      </w:pPr>
    </w:p>
    <w:p w14:paraId="373D5420">
      <w:pPr>
        <w:pStyle w:val="3"/>
        <w:rPr>
          <w:rFonts w:hint="eastAsia" w:ascii="仿宋_GB2312" w:hAnsi="仿宋_GB2312" w:eastAsia="仿宋_GB2312" w:cs="仿宋_GB2312"/>
          <w:color w:val="FF0000"/>
          <w:sz w:val="32"/>
          <w:szCs w:val="32"/>
          <w:lang w:val="en-US" w:eastAsia="zh-CN"/>
        </w:rPr>
      </w:pPr>
    </w:p>
    <w:p w14:paraId="7B4C9D2E">
      <w:pPr>
        <w:pStyle w:val="3"/>
        <w:rPr>
          <w:rFonts w:hint="eastAsia" w:ascii="仿宋_GB2312" w:hAnsi="仿宋_GB2312" w:eastAsia="仿宋_GB2312" w:cs="仿宋_GB2312"/>
          <w:color w:val="FF0000"/>
          <w:sz w:val="32"/>
          <w:szCs w:val="32"/>
          <w:lang w:val="en-US" w:eastAsia="zh-CN"/>
        </w:rPr>
      </w:pPr>
    </w:p>
    <w:p w14:paraId="1943B729">
      <w:pPr>
        <w:pStyle w:val="3"/>
        <w:rPr>
          <w:rFonts w:hint="eastAsia" w:ascii="仿宋_GB2312" w:hAnsi="仿宋_GB2312" w:eastAsia="仿宋_GB2312" w:cs="仿宋_GB2312"/>
          <w:color w:val="FF0000"/>
          <w:sz w:val="32"/>
          <w:szCs w:val="32"/>
          <w:lang w:val="en-US" w:eastAsia="zh-CN"/>
        </w:rPr>
      </w:pPr>
    </w:p>
    <w:p w14:paraId="2A81CFA2">
      <w:pPr>
        <w:pStyle w:val="3"/>
        <w:rPr>
          <w:rFonts w:hint="eastAsia" w:ascii="仿宋_GB2312" w:hAnsi="仿宋_GB2312" w:eastAsia="仿宋_GB2312" w:cs="仿宋_GB2312"/>
          <w:color w:val="FF0000"/>
          <w:sz w:val="32"/>
          <w:szCs w:val="32"/>
          <w:lang w:val="en-US" w:eastAsia="zh-CN"/>
        </w:rPr>
      </w:pPr>
    </w:p>
    <w:p w14:paraId="601AAB0C">
      <w:pPr>
        <w:pStyle w:val="3"/>
        <w:rPr>
          <w:rFonts w:hint="eastAsia" w:ascii="仿宋_GB2312" w:hAnsi="仿宋_GB2312" w:eastAsia="仿宋_GB2312" w:cs="仿宋_GB2312"/>
          <w:color w:val="FF0000"/>
          <w:sz w:val="32"/>
          <w:szCs w:val="32"/>
          <w:lang w:val="en-US" w:eastAsia="zh-CN"/>
        </w:rPr>
      </w:pPr>
    </w:p>
    <w:p w14:paraId="54B3D07B">
      <w:pPr>
        <w:pStyle w:val="3"/>
        <w:rPr>
          <w:rFonts w:hint="eastAsia" w:ascii="仿宋_GB2312" w:hAnsi="仿宋_GB2312" w:eastAsia="仿宋_GB2312" w:cs="仿宋_GB2312"/>
          <w:color w:val="FF0000"/>
          <w:sz w:val="32"/>
          <w:szCs w:val="32"/>
          <w:lang w:val="en-US" w:eastAsia="zh-CN"/>
        </w:rPr>
      </w:pPr>
    </w:p>
    <w:p w14:paraId="17FF29A1">
      <w:pPr>
        <w:pStyle w:val="3"/>
        <w:rPr>
          <w:rFonts w:hint="eastAsia" w:ascii="仿宋_GB2312" w:hAnsi="仿宋_GB2312" w:eastAsia="仿宋_GB2312" w:cs="仿宋_GB2312"/>
          <w:color w:val="FF0000"/>
          <w:sz w:val="32"/>
          <w:szCs w:val="32"/>
          <w:lang w:val="en-US" w:eastAsia="zh-CN"/>
        </w:rPr>
      </w:pPr>
    </w:p>
    <w:p w14:paraId="70C2531F">
      <w:pPr>
        <w:pStyle w:val="3"/>
        <w:rPr>
          <w:rFonts w:hint="eastAsia" w:ascii="仿宋_GB2312" w:hAnsi="仿宋_GB2312" w:eastAsia="仿宋_GB2312" w:cs="仿宋_GB2312"/>
          <w:color w:val="FF0000"/>
          <w:sz w:val="32"/>
          <w:szCs w:val="32"/>
          <w:lang w:val="en-US" w:eastAsia="zh-CN"/>
        </w:rPr>
      </w:pPr>
    </w:p>
    <w:p w14:paraId="56639E8C">
      <w:pPr>
        <w:pStyle w:val="3"/>
        <w:ind w:left="0" w:leftChars="0" w:firstLine="0" w:firstLineChars="0"/>
        <w:rPr>
          <w:rFonts w:hint="eastAsia" w:ascii="仿宋_GB2312" w:hAnsi="仿宋_GB2312" w:eastAsia="仿宋_GB2312" w:cs="仿宋_GB2312"/>
          <w:color w:val="FF0000"/>
          <w:sz w:val="32"/>
          <w:szCs w:val="32"/>
          <w:lang w:val="en-US" w:eastAsia="zh-CN"/>
        </w:rPr>
      </w:pPr>
    </w:p>
    <w:p w14:paraId="714516B9">
      <w:pPr>
        <w:pStyle w:val="3"/>
        <w:ind w:left="0" w:leftChars="0" w:firstLine="0" w:firstLineChars="0"/>
        <w:rPr>
          <w:rFonts w:hint="eastAsia" w:ascii="仿宋_GB2312" w:hAnsi="仿宋_GB2312" w:eastAsia="仿宋_GB2312" w:cs="仿宋_GB2312"/>
          <w:color w:val="FF0000"/>
          <w:sz w:val="32"/>
          <w:szCs w:val="32"/>
          <w:lang w:val="en-US" w:eastAsia="zh-CN"/>
        </w:rPr>
      </w:pPr>
    </w:p>
    <w:p w14:paraId="401773CB">
      <w:pPr>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附件4</w:t>
      </w:r>
    </w:p>
    <w:p w14:paraId="6A93851B">
      <w:pPr>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度宗教工作专项</w:t>
      </w:r>
      <w:r>
        <w:rPr>
          <w:rFonts w:hint="eastAsia" w:ascii="仿宋_GB2312" w:hAnsi="仿宋_GB2312" w:eastAsia="仿宋_GB2312" w:cs="仿宋_GB2312"/>
          <w:b/>
          <w:bCs/>
          <w:color w:val="000000" w:themeColor="text1"/>
          <w:sz w:val="32"/>
          <w:szCs w:val="32"/>
          <w14:textFill>
            <w14:solidFill>
              <w14:schemeClr w14:val="tx1"/>
            </w14:solidFill>
          </w14:textFill>
        </w:rPr>
        <w:t>支出绩效自评报告</w:t>
      </w:r>
    </w:p>
    <w:p w14:paraId="4C7DBFB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一、项目概况</w:t>
      </w:r>
    </w:p>
    <w:p w14:paraId="13744B9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（一）项目基本情况</w:t>
      </w:r>
    </w:p>
    <w:p w14:paraId="50E7545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牢牢把握新时代党的宗教工作理论，贯彻落实宗教政策，守牢政治底线。经常性联系宗教场所、宗教团体和信教群众，掌握思想状态和生活情况，了解需求和困难，宣传党的宗教政策，对存在的困难积极加以解决。</w:t>
      </w:r>
    </w:p>
    <w:p w14:paraId="1003132F">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（二）项目资金申报及批复情况。</w:t>
      </w:r>
    </w:p>
    <w:p w14:paraId="26ACDAC0">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度</w:t>
      </w:r>
      <w:r>
        <w:rPr>
          <w:rFonts w:hint="eastAsia" w:ascii="仿宋_GB2312" w:hAnsi="仿宋_GB2312" w:eastAsia="仿宋_GB2312" w:cs="仿宋_GB2312"/>
          <w:color w:val="000000" w:themeColor="text1"/>
          <w:sz w:val="32"/>
          <w:szCs w:val="32"/>
          <w14:textFill>
            <w14:solidFill>
              <w14:schemeClr w14:val="tx1"/>
            </w14:solidFill>
          </w14:textFill>
        </w:rPr>
        <w:t>宗教经费是由本级政府预算2万元。我单位严格按照财务资金管理办法进行申请和使用，符合财务资金管理办法等相关规定。</w:t>
      </w:r>
    </w:p>
    <w:p w14:paraId="1B0B6A21">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（三）项目绩效目标。</w:t>
      </w:r>
    </w:p>
    <w:p w14:paraId="3FFAE72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保护合法、制止非法、遏制极端、抵御渗透、打击犯罪，加强宗教领域的监督和治理；加强宗教场所管理，在信教群众中开展法治宣传教育，引导信教公民尊法、学法、守法、用法，爱国爱教、独立自主；对宗教场所及临时活动地点加强管理，建立应急机制防范重大事故或者发生违犯宗教禁忌等危害公民权利、破坏民族团结、影响社会安全稳定等事件。</w:t>
      </w:r>
    </w:p>
    <w:p w14:paraId="57EBEE7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（四）项目资金申报相符性。</w:t>
      </w:r>
    </w:p>
    <w:p w14:paraId="790096E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绩效目标设置数量指标、质量指标、社会效益指标等，绩效目标和绩效指标可量化可考核，相匹配，全面完整，契合政策或项目实质，与部门的长期规划目标、年度工作目标相一致，产出和效果相关联，满意度指标预测满意。</w:t>
      </w:r>
    </w:p>
    <w:p w14:paraId="1ED40BD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二、项目实施及管理情况</w:t>
      </w:r>
    </w:p>
    <w:p w14:paraId="54ADCF2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（一）资金计划、到位及使用情况。</w:t>
      </w:r>
    </w:p>
    <w:p w14:paraId="23D9E920">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1．资金计划及时到位。</w:t>
      </w:r>
    </w:p>
    <w:p w14:paraId="1E6E814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宗教经费项目全年预算2万元，资金实际到位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万元，资金到位率为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34B8144C">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3．资金使用。</w:t>
      </w:r>
    </w:p>
    <w:p w14:paraId="4CCF36C5">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12月31日全年执行数为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万元，全部用于开展宗教相关工作，支付程序依据合规合法。</w:t>
      </w:r>
    </w:p>
    <w:p w14:paraId="4978F0D4">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（二）项目财务管理情况。</w:t>
      </w:r>
    </w:p>
    <w:p w14:paraId="4C61EA7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我单位建立有完善的财务管理制度、有专职财务人员、会计处理账务以及进行会计核算。经自查，我单位严格按照项目资金管理办法执行财务管理制度、严格处理财务、规范会计核算。</w:t>
      </w:r>
    </w:p>
    <w:p w14:paraId="447B3115">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（三）项目组织实施情况。</w:t>
      </w:r>
    </w:p>
    <w:p w14:paraId="5285272C">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宗教经费项目严格按照专项资金使用用途安排该专项资金的支出使用，严格落实专项资金的申拨、使用审批手续，充分发挥资金使用效益。</w:t>
      </w:r>
    </w:p>
    <w:p w14:paraId="11DCF2B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三、项目绩效情况</w:t>
      </w:r>
    </w:p>
    <w:p w14:paraId="71A37983">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（一）项目完成情况。</w:t>
      </w:r>
    </w:p>
    <w:p w14:paraId="0EFC3D9F">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一是认真贯彻落实党的宗教工作基本方针，切实保护信教群众根本利益，切实保障了宗教工作的稳定局面。</w:t>
      </w:r>
    </w:p>
    <w:p w14:paraId="49E45A51">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二是定期对宗教场所开展常规安全检查，及时发现并消除安全隐患，保障信众人身安全。</w:t>
      </w:r>
    </w:p>
    <w:p w14:paraId="2F01875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三是印制宣传材料、举办专题坝坝会等形式在广大群众中大力宣传党的宗教方针政策，形成信教群众宗教生活合法有序的良好局面。</w:t>
      </w:r>
    </w:p>
    <w:p w14:paraId="65E9EFF5">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（二）项目效益情况。</w:t>
      </w:r>
    </w:p>
    <w:p w14:paraId="62958E45">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实施具有计划性，制定实施方案或计划，组织机构健全，职责分工明确，有具体的实施时间，有明确的工作程序，资金需要财政足额保障，有针对突发事件或未知风险的应急措施等。</w:t>
      </w:r>
    </w:p>
    <w:p w14:paraId="3C9183D3">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四、问题及建议</w:t>
      </w:r>
    </w:p>
    <w:p w14:paraId="4411287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（一）存在的问题。</w:t>
      </w:r>
    </w:p>
    <w:p w14:paraId="3B6E61B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宗教中国化方向，推动我区宗教健康发展。一是我区宗教和信教群众老龄化、民间性突出，宗教和宗教场所管理难度大，更多从帮扶解困、心理建设方面，与群众心连心，促进群众与党心连心。二是坚持宗教依法治理，推动宗教“两乱”治理，即坚持“只减不增，逐步化解”积极稳妥解决面临的两难问题。三是坚决守牢底线，防范化解风险挑战。进一步健全完善宗教三级网络建设，压实两级责任，加强监管、强化联动、坚决打击，防止“灰犀牛”“黑天鹅”事件在我区的发生。</w:t>
      </w:r>
    </w:p>
    <w:p w14:paraId="4E50BF5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（二）相关建议。</w:t>
      </w:r>
    </w:p>
    <w:p w14:paraId="23833244">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加强与财政的对接，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争取预算资金提高对宗教场所的全方面管理</w:t>
      </w:r>
      <w:r>
        <w:rPr>
          <w:rFonts w:hint="eastAsia" w:ascii="仿宋_GB2312" w:hAnsi="仿宋_GB2312" w:eastAsia="仿宋_GB2312" w:cs="仿宋_GB2312"/>
          <w:color w:val="000000" w:themeColor="text1"/>
          <w:sz w:val="32"/>
          <w:szCs w:val="32"/>
          <w14:textFill>
            <w14:solidFill>
              <w14:schemeClr w14:val="tx1"/>
            </w14:solidFill>
          </w14:textFill>
        </w:rPr>
        <w:t>。</w:t>
      </w:r>
    </w:p>
    <w:p w14:paraId="78B982AA">
      <w:pPr>
        <w:ind w:firstLine="640" w:firstLineChars="200"/>
        <w:rPr>
          <w:rFonts w:hint="eastAsia" w:ascii="仿宋_GB2312" w:hAnsi="仿宋_GB2312" w:eastAsia="仿宋_GB2312" w:cs="仿宋_GB2312"/>
          <w:color w:val="FF0000"/>
          <w:sz w:val="32"/>
          <w:szCs w:val="32"/>
        </w:rPr>
      </w:pPr>
    </w:p>
    <w:p w14:paraId="70515B88">
      <w:pPr>
        <w:ind w:firstLine="640" w:firstLineChars="200"/>
        <w:rPr>
          <w:rFonts w:hint="eastAsia" w:ascii="仿宋_GB2312" w:hAnsi="仿宋_GB2312" w:eastAsia="仿宋_GB2312" w:cs="仿宋_GB2312"/>
          <w:color w:val="FF0000"/>
          <w:sz w:val="32"/>
          <w:szCs w:val="32"/>
        </w:rPr>
      </w:pPr>
    </w:p>
    <w:p w14:paraId="04BBA1A7">
      <w:pPr>
        <w:ind w:firstLine="640" w:firstLineChars="200"/>
        <w:rPr>
          <w:rFonts w:hint="eastAsia" w:ascii="仿宋_GB2312" w:hAnsi="仿宋_GB2312" w:eastAsia="仿宋_GB2312" w:cs="仿宋_GB2312"/>
          <w:color w:val="FF0000"/>
          <w:sz w:val="32"/>
          <w:szCs w:val="32"/>
        </w:rPr>
      </w:pPr>
    </w:p>
    <w:p w14:paraId="6D9634CC">
      <w:pPr>
        <w:pStyle w:val="2"/>
        <w:rPr>
          <w:rFonts w:hint="eastAsia" w:ascii="仿宋_GB2312" w:hAnsi="仿宋_GB2312" w:eastAsia="仿宋_GB2312" w:cs="仿宋_GB2312"/>
          <w:color w:val="FF0000"/>
          <w:sz w:val="32"/>
          <w:szCs w:val="32"/>
        </w:rPr>
      </w:pPr>
    </w:p>
    <w:p w14:paraId="05546ABA">
      <w:pPr>
        <w:pStyle w:val="3"/>
        <w:rPr>
          <w:rFonts w:hint="eastAsia" w:ascii="仿宋_GB2312" w:hAnsi="仿宋_GB2312" w:eastAsia="仿宋_GB2312" w:cs="仿宋_GB2312"/>
          <w:color w:val="FF0000"/>
          <w:sz w:val="32"/>
          <w:szCs w:val="32"/>
        </w:rPr>
      </w:pPr>
    </w:p>
    <w:p w14:paraId="5AAE96F5">
      <w:pPr>
        <w:pStyle w:val="3"/>
        <w:rPr>
          <w:rFonts w:hint="eastAsia" w:ascii="仿宋_GB2312" w:hAnsi="仿宋_GB2312" w:eastAsia="仿宋_GB2312" w:cs="仿宋_GB2312"/>
          <w:color w:val="FF0000"/>
          <w:sz w:val="32"/>
          <w:szCs w:val="32"/>
        </w:rPr>
      </w:pPr>
    </w:p>
    <w:p w14:paraId="086848C4">
      <w:pPr>
        <w:pStyle w:val="3"/>
        <w:rPr>
          <w:rFonts w:hint="eastAsia" w:ascii="仿宋_GB2312" w:hAnsi="仿宋_GB2312" w:eastAsia="仿宋_GB2312" w:cs="仿宋_GB2312"/>
          <w:color w:val="FF0000"/>
          <w:sz w:val="32"/>
          <w:szCs w:val="32"/>
        </w:rPr>
      </w:pPr>
    </w:p>
    <w:p w14:paraId="1A95574C">
      <w:pPr>
        <w:pStyle w:val="3"/>
        <w:rPr>
          <w:rFonts w:hint="eastAsia" w:ascii="仿宋_GB2312" w:hAnsi="仿宋_GB2312" w:eastAsia="仿宋_GB2312" w:cs="仿宋_GB2312"/>
          <w:color w:val="FF0000"/>
          <w:sz w:val="32"/>
          <w:szCs w:val="32"/>
        </w:rPr>
      </w:pPr>
    </w:p>
    <w:p w14:paraId="0FD66D16">
      <w:pPr>
        <w:pStyle w:val="3"/>
        <w:rPr>
          <w:rFonts w:hint="eastAsia" w:ascii="仿宋_GB2312" w:hAnsi="仿宋_GB2312" w:eastAsia="仿宋_GB2312" w:cs="仿宋_GB2312"/>
          <w:color w:val="FF0000"/>
          <w:sz w:val="32"/>
          <w:szCs w:val="32"/>
        </w:rPr>
      </w:pPr>
    </w:p>
    <w:p w14:paraId="625E6E69">
      <w:pPr>
        <w:pStyle w:val="3"/>
        <w:rPr>
          <w:rFonts w:hint="eastAsia" w:ascii="仿宋_GB2312" w:hAnsi="仿宋_GB2312" w:eastAsia="仿宋_GB2312" w:cs="仿宋_GB2312"/>
          <w:color w:val="FF0000"/>
          <w:sz w:val="32"/>
          <w:szCs w:val="32"/>
        </w:rPr>
      </w:pPr>
    </w:p>
    <w:p w14:paraId="1ABA74B4">
      <w:pPr>
        <w:pStyle w:val="3"/>
        <w:rPr>
          <w:rFonts w:hint="eastAsia" w:ascii="仿宋_GB2312" w:hAnsi="仿宋_GB2312" w:eastAsia="仿宋_GB2312" w:cs="仿宋_GB2312"/>
          <w:color w:val="FF0000"/>
          <w:sz w:val="32"/>
          <w:szCs w:val="32"/>
        </w:rPr>
      </w:pPr>
    </w:p>
    <w:p w14:paraId="4C282CFA">
      <w:pPr>
        <w:pStyle w:val="3"/>
        <w:rPr>
          <w:rFonts w:hint="eastAsia" w:ascii="仿宋_GB2312" w:hAnsi="仿宋_GB2312" w:eastAsia="仿宋_GB2312" w:cs="仿宋_GB2312"/>
          <w:color w:val="FF0000"/>
          <w:sz w:val="32"/>
          <w:szCs w:val="32"/>
        </w:rPr>
      </w:pPr>
    </w:p>
    <w:p w14:paraId="1F1AE363">
      <w:pPr>
        <w:pStyle w:val="3"/>
        <w:rPr>
          <w:rFonts w:hint="eastAsia" w:ascii="仿宋_GB2312" w:hAnsi="仿宋_GB2312" w:eastAsia="仿宋_GB2312" w:cs="仿宋_GB2312"/>
          <w:color w:val="FF0000"/>
          <w:sz w:val="32"/>
          <w:szCs w:val="32"/>
        </w:rPr>
      </w:pPr>
    </w:p>
    <w:p w14:paraId="798A9B73">
      <w:pPr>
        <w:pStyle w:val="3"/>
        <w:rPr>
          <w:rFonts w:hint="eastAsia" w:ascii="仿宋_GB2312" w:hAnsi="仿宋_GB2312" w:eastAsia="仿宋_GB2312" w:cs="仿宋_GB2312"/>
          <w:color w:val="FF0000"/>
          <w:sz w:val="32"/>
          <w:szCs w:val="32"/>
        </w:rPr>
      </w:pPr>
    </w:p>
    <w:p w14:paraId="21533D23">
      <w:pPr>
        <w:pStyle w:val="3"/>
        <w:rPr>
          <w:rFonts w:hint="eastAsia" w:ascii="仿宋_GB2312" w:hAnsi="仿宋_GB2312" w:eastAsia="仿宋_GB2312" w:cs="仿宋_GB2312"/>
          <w:color w:val="FF0000"/>
          <w:sz w:val="32"/>
          <w:szCs w:val="32"/>
        </w:rPr>
      </w:pPr>
    </w:p>
    <w:p w14:paraId="6427526F">
      <w:pPr>
        <w:ind w:firstLine="640" w:firstLineChars="200"/>
        <w:rPr>
          <w:rFonts w:hint="eastAsia" w:ascii="仿宋_GB2312" w:hAnsi="仿宋_GB2312" w:eastAsia="仿宋_GB2312" w:cs="仿宋_GB2312"/>
          <w:color w:val="FF0000"/>
          <w:sz w:val="32"/>
          <w:szCs w:val="32"/>
        </w:rPr>
      </w:pPr>
    </w:p>
    <w:p w14:paraId="12E47A5D">
      <w:pPr>
        <w:rPr>
          <w:rFonts w:hint="eastAsia" w:ascii="仿宋_GB2312" w:hAnsi="仿宋_GB2312" w:eastAsia="仿宋_GB2312" w:cs="仿宋_GB2312"/>
          <w:color w:val="FF0000"/>
          <w:sz w:val="32"/>
          <w:szCs w:val="32"/>
        </w:rPr>
      </w:pPr>
    </w:p>
    <w:p w14:paraId="18AE316D">
      <w:pPr>
        <w:jc w:val="center"/>
        <w:rPr>
          <w:rFonts w:hint="eastAsia" w:ascii="仿宋_GB2312" w:hAnsi="仿宋_GB2312" w:eastAsia="仿宋_GB2312" w:cs="仿宋_GB2312"/>
          <w:b/>
          <w:bCs/>
          <w:sz w:val="32"/>
          <w:szCs w:val="32"/>
        </w:rPr>
      </w:pPr>
      <w:bookmarkStart w:id="18" w:name="_GoBack"/>
      <w:r>
        <w:rPr>
          <w:rFonts w:hint="eastAsia" w:ascii="仿宋_GB2312" w:hAnsi="仿宋_GB2312" w:eastAsia="仿宋_GB2312" w:cs="仿宋_GB2312"/>
          <w:b/>
          <w:bCs/>
          <w:sz w:val="32"/>
          <w:szCs w:val="32"/>
        </w:rPr>
        <w:t>第五部分 附表</w:t>
      </w:r>
    </w:p>
    <w:bookmarkEnd w:id="18"/>
    <w:p w14:paraId="7E55108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2783AA6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538C4A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5495CE6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3228BA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14:paraId="48FB77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14:paraId="3407600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14:paraId="66F13B2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14:paraId="32F368F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14:paraId="4EE0BF7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14:paraId="4768A3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14:paraId="5A834F3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14:paraId="705C69F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14:paraId="6D3E6CDA">
      <w:pPr>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十四、国有资本经营预算财政拨款支出决算表</w:t>
      </w:r>
    </w:p>
    <w:p w14:paraId="2D0A2E7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B24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9350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9350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248A1"/>
    <w:multiLevelType w:val="singleLevel"/>
    <w:tmpl w:val="D3A248A1"/>
    <w:lvl w:ilvl="0" w:tentative="0">
      <w:start w:val="4"/>
      <w:numFmt w:val="chineseCounting"/>
      <w:suff w:val="space"/>
      <w:lvlText w:val="第%1部分"/>
      <w:lvlJc w:val="left"/>
      <w:rPr>
        <w:rFonts w:hint="eastAsia"/>
      </w:rPr>
    </w:lvl>
  </w:abstractNum>
  <w:abstractNum w:abstractNumId="1">
    <w:nsid w:val="04140944"/>
    <w:multiLevelType w:val="singleLevel"/>
    <w:tmpl w:val="04140944"/>
    <w:lvl w:ilvl="0" w:tentative="0">
      <w:start w:val="1"/>
      <w:numFmt w:val="decimal"/>
      <w:lvlText w:val="%1."/>
      <w:lvlJc w:val="left"/>
      <w:pPr>
        <w:tabs>
          <w:tab w:val="left" w:pos="312"/>
        </w:tabs>
      </w:pPr>
    </w:lvl>
  </w:abstractNum>
  <w:abstractNum w:abstractNumId="2">
    <w:nsid w:val="359E135D"/>
    <w:multiLevelType w:val="singleLevel"/>
    <w:tmpl w:val="359E135D"/>
    <w:lvl w:ilvl="0" w:tentative="0">
      <w:start w:val="2"/>
      <w:numFmt w:val="chineseCounting"/>
      <w:suff w:val="nothing"/>
      <w:lvlText w:val="（%1）"/>
      <w:lvlJc w:val="left"/>
      <w:rPr>
        <w:rFonts w:hint="eastAsia"/>
      </w:rPr>
    </w:lvl>
  </w:abstractNum>
  <w:abstractNum w:abstractNumId="3">
    <w:nsid w:val="5A7BDC7B"/>
    <w:multiLevelType w:val="singleLevel"/>
    <w:tmpl w:val="5A7BDC7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DQwNTI3Njg0ZjBiMzYwZmRmNWQ4YzgxNDQyZTgifQ=="/>
    <w:docVar w:name="KSO_WPS_MARK_KEY" w:val="f91b1ee7-ec8e-4637-b2f7-23e2fd9386f9"/>
  </w:docVars>
  <w:rsids>
    <w:rsidRoot w:val="1A783A61"/>
    <w:rsid w:val="003E6BF2"/>
    <w:rsid w:val="022D740A"/>
    <w:rsid w:val="07023D71"/>
    <w:rsid w:val="0AB02100"/>
    <w:rsid w:val="0D73211D"/>
    <w:rsid w:val="10F0644E"/>
    <w:rsid w:val="15CA4090"/>
    <w:rsid w:val="1784490A"/>
    <w:rsid w:val="1A783A61"/>
    <w:rsid w:val="1AF917BA"/>
    <w:rsid w:val="1B084769"/>
    <w:rsid w:val="1B64355D"/>
    <w:rsid w:val="1CF06B1C"/>
    <w:rsid w:val="1EDB4BF3"/>
    <w:rsid w:val="20784D5F"/>
    <w:rsid w:val="20E90AA7"/>
    <w:rsid w:val="21FC4B41"/>
    <w:rsid w:val="22016FF4"/>
    <w:rsid w:val="233F21B8"/>
    <w:rsid w:val="246851A0"/>
    <w:rsid w:val="28196D3A"/>
    <w:rsid w:val="29A046C2"/>
    <w:rsid w:val="29B453BA"/>
    <w:rsid w:val="32867890"/>
    <w:rsid w:val="36FC3E71"/>
    <w:rsid w:val="37C79D6D"/>
    <w:rsid w:val="45DE30BD"/>
    <w:rsid w:val="494D47E1"/>
    <w:rsid w:val="4D4D305A"/>
    <w:rsid w:val="4D6D001D"/>
    <w:rsid w:val="4EC07803"/>
    <w:rsid w:val="55FF7CF8"/>
    <w:rsid w:val="59DB691C"/>
    <w:rsid w:val="5B236549"/>
    <w:rsid w:val="622C3954"/>
    <w:rsid w:val="627959E9"/>
    <w:rsid w:val="64A05CB5"/>
    <w:rsid w:val="664214D2"/>
    <w:rsid w:val="66CF63DE"/>
    <w:rsid w:val="6A450B27"/>
    <w:rsid w:val="6AED777A"/>
    <w:rsid w:val="709C1A26"/>
    <w:rsid w:val="71832683"/>
    <w:rsid w:val="795B3F22"/>
    <w:rsid w:val="797C1A82"/>
    <w:rsid w:val="7B167964"/>
    <w:rsid w:val="7EF73785"/>
    <w:rsid w:val="7F7015F9"/>
    <w:rsid w:val="FAEB9FE0"/>
    <w:rsid w:val="FD7F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6">
    <w:name w:val="Normal Indent"/>
    <w:basedOn w:val="1"/>
    <w:next w:val="1"/>
    <w:qFormat/>
    <w:uiPriority w:val="0"/>
    <w:pPr>
      <w:ind w:firstLine="420" w:firstLineChars="200"/>
    </w:pPr>
  </w:style>
  <w:style w:type="paragraph" w:styleId="7">
    <w:name w:val="Body Text"/>
    <w:basedOn w:val="1"/>
    <w:next w:val="1"/>
    <w:qFormat/>
    <w:uiPriority w:val="99"/>
    <w:pPr>
      <w:spacing w:beforeLines="30"/>
    </w:pPr>
    <w:rPr>
      <w:rFonts w:ascii="仿宋_GB2312" w:eastAsia="仿宋_GB2312"/>
      <w:kern w:val="0"/>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FollowedHyperlink"/>
    <w:basedOn w:val="14"/>
    <w:qFormat/>
    <w:uiPriority w:val="0"/>
    <w:rPr>
      <w:color w:val="222222"/>
      <w:u w:val="none"/>
    </w:rPr>
  </w:style>
  <w:style w:type="character" w:styleId="16">
    <w:name w:val="Hyperlink"/>
    <w:basedOn w:val="14"/>
    <w:qFormat/>
    <w:uiPriority w:val="0"/>
    <w:rPr>
      <w:color w:val="222222"/>
      <w:u w:val="none"/>
    </w:rPr>
  </w:style>
  <w:style w:type="paragraph" w:customStyle="1" w:styleId="1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8">
    <w:name w:val="标题 2 字符"/>
    <w:basedOn w:val="14"/>
    <w:link w:val="5"/>
    <w:qFormat/>
    <w:uiPriority w:val="9"/>
    <w:rPr>
      <w:rFonts w:asciiTheme="majorHAnsi" w:hAnsiTheme="majorHAnsi" w:eastAsiaTheme="majorEastAsia" w:cstheme="majorBidi"/>
      <w:b/>
      <w:bCs/>
      <w:sz w:val="32"/>
      <w:szCs w:val="32"/>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manualLayout>
          <c:xMode val="edge"/>
          <c:yMode val="edge"/>
          <c:x val="0.257912539260691"/>
          <c:y val="0.0148746281342966"/>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1058.79</c:v>
                </c:pt>
              </c:numCache>
            </c:numRef>
          </c:val>
        </c:ser>
        <c:ser>
          <c:idx val="1"/>
          <c:order val="1"/>
          <c:tx>
            <c:strRef>
              <c:f>Sheet1!$B$1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338.02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97207597"/>
        <c:axId val="973253955"/>
      </c:barChart>
      <c:catAx>
        <c:axId val="497207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253955"/>
        <c:crosses val="autoZero"/>
        <c:auto val="1"/>
        <c:lblAlgn val="ctr"/>
        <c:lblOffset val="100"/>
        <c:noMultiLvlLbl val="0"/>
      </c:catAx>
      <c:valAx>
        <c:axId val="9732539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20759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b5e6879-88af-4dc2-a6eb-4dd216b6fe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6431505194491"/>
          <c:y val="0.0280492987675308"/>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c:v>
                </c:pt>
                <c:pt idx="7">
                  <c:v>其他收入</c:v>
                </c:pt>
              </c:strCache>
            </c:strRef>
          </c:cat>
          <c:val>
            <c:numRef>
              <c:f>Sheet1!$B$2:$B$9</c:f>
              <c:numCache>
                <c:formatCode>General</c:formatCode>
                <c:ptCount val="8"/>
                <c:pt idx="0">
                  <c:v>338.02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9eeecfa-bf94-4156-af44-5635d50d2d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 </c:v>
                </c:pt>
              </c:strCache>
            </c:strRef>
          </c:cat>
          <c:val>
            <c:numRef>
              <c:f>Sheet1!$B$2:$B$6</c:f>
              <c:numCache>
                <c:formatCode>General</c:formatCode>
                <c:ptCount val="5"/>
                <c:pt idx="0">
                  <c:v>180.31</c:v>
                </c:pt>
                <c:pt idx="1">
                  <c:v>157.71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0618c2f-1405-4a08-8891-a788da4be6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c:rich>
      </c:tx>
      <c:layout>
        <c:manualLayout>
          <c:xMode val="edge"/>
          <c:yMode val="edge"/>
          <c:x val="0.257912539260691"/>
          <c:y val="0.0148746281342966"/>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1058.79</c:v>
                </c:pt>
              </c:numCache>
            </c:numRef>
          </c:val>
        </c:ser>
        <c:ser>
          <c:idx val="1"/>
          <c:order val="1"/>
          <c:tx>
            <c:strRef>
              <c:f>Sheet1!$B$1</c:f>
              <c:strCache>
                <c:ptCount val="1"/>
                <c:pt idx="0">
                  <c:v>2024年度</c:v>
                </c:pt>
              </c:strCache>
            </c:strRef>
          </c:tx>
          <c:spPr>
            <a:gradFill>
              <a:gsLst>
                <a:gs pos="50000">
                  <a:schemeClr val="accent5"/>
                </a:gs>
                <a:gs pos="0">
                  <a:schemeClr val="accent5">
                    <a:lumMod val="25000"/>
                    <a:lumOff val="75000"/>
                  </a:schemeClr>
                </a:gs>
                <a:gs pos="100000">
                  <a:schemeClr val="accent5">
                    <a:lumMod val="85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338.02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97207597"/>
        <c:axId val="973253955"/>
      </c:barChart>
      <c:catAx>
        <c:axId val="497207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253955"/>
        <c:crosses val="autoZero"/>
        <c:auto val="1"/>
        <c:lblAlgn val="ctr"/>
        <c:lblOffset val="100"/>
        <c:noMultiLvlLbl val="0"/>
      </c:catAx>
      <c:valAx>
        <c:axId val="9732539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20759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7bcd008-6cf3-41d9-85f0-64fd74b4ca9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p>
        </c:rich>
      </c:tx>
      <c:layout>
        <c:manualLayout>
          <c:xMode val="edge"/>
          <c:yMode val="edge"/>
          <c:x val="0.146170572602078"/>
          <c:y val="0.00956226094347637"/>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2023年度</c:v>
                </c:pt>
              </c:strCache>
            </c:strRef>
          </c:tx>
          <c:spPr>
            <a:solidFill>
              <a:srgbClr val="7030A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1058.79</c:v>
                </c:pt>
              </c:numCache>
            </c:numRef>
          </c:val>
        </c:ser>
        <c:ser>
          <c:idx val="1"/>
          <c:order val="1"/>
          <c:tx>
            <c:strRef>
              <c:f>Sheet1!$B$1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338.02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97207597"/>
        <c:axId val="973253955"/>
      </c:barChart>
      <c:catAx>
        <c:axId val="497207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253955"/>
        <c:crosses val="autoZero"/>
        <c:auto val="1"/>
        <c:lblAlgn val="ctr"/>
        <c:lblOffset val="100"/>
        <c:noMultiLvlLbl val="0"/>
      </c:catAx>
      <c:valAx>
        <c:axId val="9732539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20759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2d5a924-d930-4997-85dd-b11e732c08c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dLbl>
              <c:idx val="1"/>
              <c:layout>
                <c:manualLayout>
                  <c:x val="-0.0307359381643337"/>
                  <c:y val="0.03506935227648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47172153737318"/>
                  <c:y val="0.004820885491980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49734476089561"/>
                  <c:y val="-0.04890378830340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1155707589029"/>
                  <c:y val="-0.02823423324984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社会保障和就业支出</c:v>
                </c:pt>
                <c:pt idx="2">
                  <c:v>卫生健康支出</c:v>
                </c:pt>
                <c:pt idx="3">
                  <c:v>农林水支出</c:v>
                </c:pt>
                <c:pt idx="4">
                  <c:v>住房保障支出</c:v>
                </c:pt>
                <c:pt idx="5">
                  <c:v>节能环保支出</c:v>
                </c:pt>
                <c:pt idx="6">
                  <c:v>城乡社区支出</c:v>
                </c:pt>
                <c:pt idx="7">
                  <c:v>公共安全支出</c:v>
                </c:pt>
                <c:pt idx="8">
                  <c:v>教育支出</c:v>
                </c:pt>
              </c:strCache>
            </c:strRef>
          </c:cat>
          <c:val>
            <c:numRef>
              <c:f>Sheet1!$B$2:$B$10</c:f>
              <c:numCache>
                <c:formatCode>General</c:formatCode>
                <c:ptCount val="9"/>
                <c:pt idx="0">
                  <c:v>290.6</c:v>
                </c:pt>
                <c:pt idx="1">
                  <c:v>28.67</c:v>
                </c:pt>
                <c:pt idx="2">
                  <c:v>5.3</c:v>
                </c:pt>
                <c:pt idx="3">
                  <c:v>0.47</c:v>
                </c:pt>
                <c:pt idx="4">
                  <c:v>12.99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3529838125151"/>
          <c:y val="0.134296642583935"/>
          <c:w val="0.713336554723363"/>
          <c:h val="0.16128346791330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c3ce243-b1f7-49eb-ad04-21354e642f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2">
                  <c:v>0.96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76969c6-f522-4dba-ae82-2b82d9b86f9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5941</Words>
  <Characters>6442</Characters>
  <Lines>0</Lines>
  <Paragraphs>0</Paragraphs>
  <TotalTime>24</TotalTime>
  <ScaleCrop>false</ScaleCrop>
  <LinksUpToDate>false</LinksUpToDate>
  <CharactersWithSpaces>6495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2024-08-28T19:02:00Z</dcterms:created>
  <dc:creator>Administrator</dc:creator>
  <cp:lastModifiedBy>丁方玉</cp:lastModifiedBy>
  <dcterms:modified xsi:type="dcterms:W3CDTF">2025-09-17T08:55:37Z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D01DB93FC86E4080975C2FCE935CE2A9_13</vt:lpwstr>
  </property>
  <property fmtid="{D5CDD505-2E9C-101B-9397-08002B2CF9AE}" pid="4" name="KSOTemplateDocerSaveRecord">
    <vt:lpwstr>eyJoZGlkIjoiZGZlOWU1YWIwOTBlMDQ3MzkxZTAxMWZhNGUwMjc1OTAiLCJ1c2VySWQiOiIxNzA4MzgxOTAyIn0=</vt:lpwstr>
  </property>
</Properties>
</file>