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78441"/>
      <w:bookmarkStart w:id="2" w:name="_Toc15306267"/>
      <w:bookmarkStart w:id="3" w:name="_Toc15396475"/>
      <w:bookmarkStart w:id="4" w:name="_Toc15377425"/>
      <w:bookmarkStart w:id="5" w:name="_Toc15377193"/>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方正小标宋简体" w:hAnsi="方正小标宋简体" w:eastAsia="方正小标宋简体" w:cs="方正小标宋简体"/>
          <w:color w:val="000000"/>
          <w:kern w:val="0"/>
          <w:sz w:val="55"/>
          <w:szCs w:val="55"/>
          <w:lang w:val="en-US" w:eastAsia="zh-CN" w:bidi="ar"/>
        </w:rPr>
      </w:pPr>
      <w:r>
        <w:rPr>
          <w:rFonts w:hint="eastAsia" w:ascii="方正小标宋简体" w:hAnsi="方正小标宋简体" w:eastAsia="方正小标宋简体" w:cs="方正小标宋简体"/>
          <w:color w:val="000000"/>
          <w:kern w:val="0"/>
          <w:sz w:val="55"/>
          <w:szCs w:val="55"/>
          <w:lang w:val="en-US" w:eastAsia="zh-CN" w:bidi="ar"/>
        </w:rPr>
        <w:t>2024年度</w:t>
      </w:r>
    </w:p>
    <w:p>
      <w:pPr>
        <w:keepNext w:val="0"/>
        <w:keepLines w:val="0"/>
        <w:widowControl/>
        <w:suppressLineNumbers w:val="0"/>
        <w:jc w:val="left"/>
      </w:pPr>
      <w:r>
        <w:rPr>
          <w:rFonts w:ascii="方正小标宋简体" w:hAnsi="方正小标宋简体" w:eastAsia="方正小标宋简体" w:cs="方正小标宋简体"/>
          <w:color w:val="000000"/>
          <w:kern w:val="0"/>
          <w:sz w:val="55"/>
          <w:szCs w:val="55"/>
          <w:lang w:val="en-US" w:eastAsia="zh-CN" w:bidi="ar"/>
        </w:rPr>
        <w:t xml:space="preserve">四川省乐山市金口河区红十字会 </w:t>
      </w:r>
    </w:p>
    <w:p>
      <w:pPr>
        <w:keepNext w:val="0"/>
        <w:keepLines w:val="0"/>
        <w:widowControl/>
        <w:suppressLineNumbers w:val="0"/>
        <w:ind w:firstLine="2750" w:firstLineChars="500"/>
        <w:jc w:val="left"/>
        <w:rPr>
          <w:rFonts w:hint="default"/>
          <w:lang w:val="en-US"/>
        </w:rPr>
      </w:pPr>
      <w:r>
        <w:rPr>
          <w:rFonts w:hint="eastAsia" w:ascii="方正小标宋简体" w:hAnsi="方正小标宋简体" w:eastAsia="方正小标宋简体" w:cs="方正小标宋简体"/>
          <w:color w:val="000000"/>
          <w:kern w:val="0"/>
          <w:sz w:val="55"/>
          <w:szCs w:val="55"/>
          <w:lang w:val="en-US" w:eastAsia="zh-CN" w:bidi="ar"/>
        </w:rPr>
        <w:t>单位决算公开</w:t>
      </w:r>
    </w:p>
    <w:p>
      <w:pPr>
        <w:pStyle w:val="21"/>
        <w:rPr>
          <w:rFonts w:hint="eastAsia" w:ascii="Times New Roman" w:hAnsi="Times New Roman" w:eastAsia="黑体"/>
          <w:lang w:val="en-US" w:eastAsia="zh-C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26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val="en-US" w:eastAsia="zh-CN"/>
        </w:rPr>
        <w:t>单位</w:t>
      </w:r>
      <w:r>
        <w:rPr>
          <w:rFonts w:hint="eastAsia" w:ascii="Times New Roman" w:hAnsi="Times New Roman" w:eastAsia="黑体" w:cs="黑体"/>
          <w:color w:val="auto"/>
          <w:sz w:val="32"/>
          <w:szCs w:val="32"/>
          <w:highlight w:val="none"/>
        </w:rPr>
        <w:t>概况</w:t>
      </w:r>
    </w:p>
    <w:p>
      <w:pPr>
        <w:pStyle w:val="14"/>
        <w:adjustRightInd w:val="0"/>
        <w:snapToGrid w:val="0"/>
        <w:spacing w:line="440" w:lineRule="exact"/>
        <w:ind w:left="0" w:leftChars="0" w:firstLine="64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lang w:eastAsia="zh-CN"/>
        </w:rPr>
        <w:t>职责</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4-5</w:t>
      </w:r>
    </w:p>
    <w:p>
      <w:pPr>
        <w:pStyle w:val="14"/>
        <w:keepNext w:val="0"/>
        <w:keepLines w:val="0"/>
        <w:pageBreakBefore w:val="0"/>
        <w:widowControl w:val="0"/>
        <w:tabs>
          <w:tab w:val="center" w:pos="4153"/>
          <w:tab w:val="right" w:pos="7666"/>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eastAsia="zh-CN"/>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eastAsia="zh-CN"/>
        </w:rPr>
        <w:tab/>
      </w:r>
      <w:r>
        <w:rPr>
          <w:rFonts w:hint="eastAsia" w:ascii="仿宋" w:hAnsi="仿宋" w:eastAsia="仿宋" w:cs="仿宋"/>
          <w:sz w:val="24"/>
          <w:szCs w:val="24"/>
          <w:lang w:val="en-US" w:eastAsia="zh-CN"/>
        </w:rPr>
        <w:t xml:space="preserve">   5</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6  </w:t>
      </w:r>
      <w:r>
        <w:rPr>
          <w:rFonts w:hint="eastAsia" w:eastAsia="仿宋_GB2312" w:cs="仿宋_GB2312"/>
          <w:color w:val="auto"/>
          <w:sz w:val="32"/>
          <w:szCs w:val="32"/>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6-7 </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7-8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8-9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9-10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12 -13  </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14-15</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val="en-US" w:eastAsia="zh-CN"/>
        </w:rPr>
        <w:t xml:space="preserve"> </w:t>
      </w:r>
      <w:r>
        <w:rPr>
          <w:rFonts w:hint="eastAsia" w:cs="仿宋"/>
          <w:sz w:val="24"/>
          <w:szCs w:val="24"/>
          <w:lang w:val="en-US" w:eastAsia="zh-CN"/>
        </w:rPr>
        <w:t xml:space="preserve">         </w:t>
      </w:r>
      <w:r>
        <w:rPr>
          <w:rFonts w:hint="eastAsia" w:ascii="仿宋" w:hAnsi="仿宋" w:eastAsia="仿宋" w:cs="仿宋"/>
          <w:sz w:val="24"/>
          <w:szCs w:val="24"/>
          <w:lang w:eastAsia="zh-CN"/>
        </w:rPr>
        <w:t>……………………………………</w:t>
      </w:r>
      <w:r>
        <w:rPr>
          <w:rFonts w:hint="eastAsia" w:cs="仿宋"/>
          <w:sz w:val="24"/>
          <w:szCs w:val="24"/>
          <w:lang w:val="en-US" w:eastAsia="zh-CN"/>
        </w:rPr>
        <w:t xml:space="preserve">  16-18</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cs="仿宋"/>
          <w:sz w:val="24"/>
          <w:szCs w:val="24"/>
          <w:lang w:val="en-US" w:eastAsia="zh-CN"/>
        </w:rPr>
        <w:t xml:space="preserve">   19-25</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cs="仿宋"/>
          <w:sz w:val="24"/>
          <w:szCs w:val="24"/>
          <w:lang w:val="en-US" w:eastAsia="zh-CN"/>
        </w:rPr>
        <w:t xml:space="preserve">    26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bCs/>
          <w:color w:val="auto"/>
          <w:sz w:val="32"/>
          <w:szCs w:val="32"/>
          <w:highlight w:val="none"/>
        </w:rPr>
        <w:t>注：请部门根据实际注明页码</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6" w:name="_Toc15377196"/>
      <w:bookmarkStart w:id="7" w:name="_Toc15396599"/>
      <w:r>
        <w:rPr>
          <w:rFonts w:hint="eastAsia" w:ascii="Times New Roman" w:hAnsi="Times New Roman" w:eastAsia="仿宋_GB2312" w:cs="仿宋_GB2312"/>
          <w:b/>
          <w:color w:val="auto"/>
          <w:sz w:val="32"/>
          <w:szCs w:val="32"/>
          <w:highlight w:val="none"/>
        </w:rPr>
        <w:br w:type="page"/>
      </w:r>
    </w:p>
    <w:p>
      <w:pPr>
        <w:pStyle w:val="3"/>
        <w:jc w:val="center"/>
        <w:rPr>
          <w:rStyle w:val="30"/>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eastAsia="方正小标宋简体" w:cs="方正小标宋简体"/>
          <w:b w:val="0"/>
          <w:color w:val="auto"/>
          <w:highlight w:val="none"/>
          <w:lang w:val="en-US" w:eastAsia="zh-CN"/>
        </w:rPr>
        <w:t>单位</w:t>
      </w:r>
      <w:r>
        <w:rPr>
          <w:rStyle w:val="30"/>
          <w:rFonts w:hint="eastAsia" w:ascii="Times New Roman" w:hAnsi="Times New Roman" w:eastAsia="方正小标宋简体" w:cs="方正小标宋简体"/>
          <w:b w:val="0"/>
          <w:bCs w:val="0"/>
          <w:color w:val="auto"/>
          <w:highlight w:val="none"/>
        </w:rPr>
        <w:t>概况</w:t>
      </w:r>
      <w:bookmarkEnd w:id="6"/>
      <w:bookmarkEnd w:id="7"/>
    </w:p>
    <w:p>
      <w:pPr>
        <w:widowControl/>
        <w:jc w:val="left"/>
        <w:rPr>
          <w:rFonts w:ascii="Times New Roman" w:hAnsi="Times New Roman" w:eastAsia="黑体"/>
          <w:color w:val="auto"/>
          <w:sz w:val="32"/>
          <w:szCs w:val="32"/>
          <w:highlight w:val="none"/>
        </w:rPr>
      </w:pPr>
    </w:p>
    <w:p>
      <w:pPr>
        <w:pStyle w:val="4"/>
        <w:numPr>
          <w:ilvl w:val="0"/>
          <w:numId w:val="1"/>
        </w:numPr>
        <w:ind w:left="840" w:leftChars="0" w:firstLineChars="0"/>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val="en-US" w:eastAsia="zh-CN"/>
        </w:rPr>
        <w:t>单位</w:t>
      </w:r>
      <w:r>
        <w:rPr>
          <w:rFonts w:hint="eastAsia" w:ascii="Times New Roman" w:hAnsi="Times New Roman" w:eastAsia="黑体"/>
          <w:b w:val="0"/>
          <w:color w:val="auto"/>
          <w:highlight w:val="none"/>
          <w:lang w:eastAsia="zh-CN"/>
        </w:rPr>
        <w:t>职责</w:t>
      </w:r>
      <w:bookmarkStart w:id="8" w:name="_Toc15377200"/>
      <w:bookmarkStart w:id="9" w:name="_Toc15396601"/>
    </w:p>
    <w:p>
      <w:pPr>
        <w:pStyle w:val="4"/>
        <w:numPr>
          <w:ilvl w:val="0"/>
          <w:numId w:val="0"/>
        </w:numP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乐山市金口河区红十字会的主要职责是：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1.传播国际红十字运动知识和国际人道主义法，宣传、执行《中华人民共和国红十字会法》和《中华人民共和国红十字标志使用办法》等法律、法规，遵循《中国红十字会章程》，依法建会、治会、兴会，依法纠正滥用红十字标志现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2.开展救灾的准备工作，在自然灾害和突发事件中，开展救户和救助工作；根据自然灾害和突发事件的具体情况，在辖区内发出呼吁，依法接受组织和个人的捐赠，及时向灾区和受难者提供急需的人道主义救援。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3.开展人道领域的社会公益服务活动和卫生救护、防病常识的宣传普及，组织社会捐助，进行初级卫生救护培训，组织群众参加现场救护；推动无偿献血和非血缘关系骨髓移植工作及推动遗体（器官）捐献工作；开展预防控制艾滋病宣传，关系爱护艾滋病病毒感染者、患者及其他救助工作；开展其他人道救助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4.开展公民特别是青少年的人道主义和社会主义精神文明教育等红十字活动。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5.宣传国际红十字与新月运动的基本原则和日内瓦公约及其附加议定书。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6.根据中国红十字会总会和省、市红十字会的部署，参加国际和国内人道主义救援工作，开展其他人道救助工作。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7.负责职责范围内的安全生产和职业健康，生态环境保护等工作。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eastAsia" w:ascii="Times New Roman" w:hAnsi="Times New Roman" w:eastAsia="黑体"/>
          <w:b w:val="0"/>
          <w:color w:val="auto"/>
          <w:highlight w:val="none"/>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8.完成区委、区政府交办的其他任务。</w:t>
      </w:r>
    </w:p>
    <w:p>
      <w:pPr>
        <w:pStyle w:val="4"/>
        <w:rPr>
          <w:rStyle w:val="31"/>
          <w:rFonts w:ascii="Times New Roman" w:hAnsi="Times New Roman"/>
          <w:b w:val="0"/>
          <w:bCs w:val="0"/>
          <w:color w:val="auto"/>
          <w:highlight w:val="none"/>
        </w:rPr>
      </w:pPr>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8"/>
      <w:bookmarkEnd w:id="9"/>
    </w:p>
    <w:p>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乐山市金口河区红十字会</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pPr>
        <w:pStyle w:val="2"/>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纳入</w:t>
      </w:r>
      <w:r>
        <w:rPr>
          <w:sz w:val="32"/>
          <w:szCs w:val="32"/>
        </w:rPr>
        <w:t>乐山市金口河区红十字会</w:t>
      </w:r>
      <w:r>
        <w:rPr>
          <w:rFonts w:hint="eastAsia" w:ascii="Times New Roman" w:hAnsi="Times New Roman" w:eastAsia="仿宋_GB2312" w:cs="仿宋_GB2312"/>
          <w:color w:val="auto"/>
          <w:sz w:val="32"/>
          <w:szCs w:val="32"/>
          <w:highlight w:val="none"/>
          <w:lang w:eastAsia="zh-CN"/>
        </w:rPr>
        <w:t>2024年度</w:t>
      </w:r>
      <w:r>
        <w:rPr>
          <w:rFonts w:hint="eastAsia" w:ascii="Times New Roman"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rPr>
        <w:t>决算编制范围的二级预算单位包括：</w:t>
      </w:r>
      <w:r>
        <w:rPr>
          <w:rFonts w:hint="eastAsia" w:ascii="Times New Roman" w:cs="仿宋_GB2312"/>
          <w:color w:val="auto"/>
          <w:sz w:val="32"/>
          <w:szCs w:val="32"/>
          <w:highlight w:val="none"/>
          <w:lang w:val="en-US" w:eastAsia="zh-CN"/>
        </w:rPr>
        <w:t>无</w:t>
      </w:r>
    </w:p>
    <w:p>
      <w:pPr>
        <w:pStyle w:val="2"/>
        <w:adjustRightInd w:val="0"/>
        <w:snapToGrid w:val="0"/>
        <w:spacing w:before="93" w:line="600" w:lineRule="exact"/>
        <w:ind w:firstLine="1120" w:firstLineChars="350"/>
        <w:rPr>
          <w:rFonts w:hint="eastAsia" w:ascii="Times New Roman" w:hAnsi="Times New Roman" w:eastAsia="仿宋_GB2312" w:cs="仿宋_GB2312"/>
          <w:color w:val="auto"/>
          <w:sz w:val="32"/>
          <w:szCs w:val="32"/>
          <w:highlight w:val="none"/>
        </w:rPr>
      </w:pP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10" w:name="_Toc15396602"/>
      <w:bookmarkStart w:id="11"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0"/>
      <w:bookmarkEnd w:id="11"/>
    </w:p>
    <w:p>
      <w:pPr>
        <w:rPr>
          <w:rFonts w:ascii="Times New Roman" w:hAnsi="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2" w:name="_Toc15396603"/>
      <w:bookmarkStart w:id="1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12"/>
      <w:bookmarkEnd w:id="1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110.17</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12.71</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11.53</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人员经费增加。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drawing>
          <wp:inline distT="0" distB="0" distL="114300" distR="114300">
            <wp:extent cx="4502150" cy="2780665"/>
            <wp:effectExtent l="4445" t="5080" r="8255" b="14605"/>
            <wp:docPr id="32"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96604"/>
      <w:bookmarkStart w:id="15" w:name="_Toc15377206"/>
      <w:r>
        <w:rPr>
          <w:rFonts w:hint="eastAsia" w:ascii="Times New Roman" w:hAnsi="Times New Roman" w:eastAsia="黑体"/>
          <w:color w:val="auto"/>
          <w:sz w:val="32"/>
          <w:szCs w:val="32"/>
          <w:highlight w:val="none"/>
          <w:lang w:eastAsia="zh-CN"/>
        </w:rPr>
        <w:t>二、收入决算情况说明</w:t>
      </w:r>
      <w:bookmarkEnd w:id="14"/>
      <w:bookmarkEnd w:id="1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110.17万元，其中：一般公共预算财政拨款收入110.17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w:t>
      </w:r>
      <w:r>
        <w:rPr>
          <w:rFonts w:hint="eastAsia" w:eastAsia="仿宋_GB2312" w:cs="仿宋_GB2312"/>
          <w:b/>
          <w:bCs/>
          <w:color w:val="auto"/>
          <w:sz w:val="32"/>
          <w:szCs w:val="32"/>
          <w:highlight w:val="none"/>
          <w:lang w:val="en-US" w:eastAsia="zh-CN"/>
        </w:rPr>
        <w:t>单位</w:t>
      </w:r>
      <w:r>
        <w:rPr>
          <w:rFonts w:hint="eastAsia" w:ascii="Times New Roman" w:hAnsi="Times New Roman" w:eastAsia="仿宋_GB2312" w:cs="仿宋_GB2312"/>
          <w:b/>
          <w:bCs/>
          <w:color w:val="auto"/>
          <w:sz w:val="32"/>
          <w:szCs w:val="32"/>
          <w:highlight w:val="none"/>
          <w:lang w:eastAsia="zh-CN"/>
        </w:rPr>
        <w:t>涉及的收入）</w:t>
      </w:r>
    </w:p>
    <w:p>
      <w:pPr>
        <w:ind w:firstLine="210" w:firstLineChars="10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412750</wp:posOffset>
            </wp:positionH>
            <wp:positionV relativeFrom="paragraph">
              <wp:posOffset>60960</wp:posOffset>
            </wp:positionV>
            <wp:extent cx="4093210" cy="2258060"/>
            <wp:effectExtent l="4445" t="4445" r="17145" b="23495"/>
            <wp:wrapSquare wrapText="bothSides"/>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ind w:firstLine="1280" w:firstLineChars="400"/>
        <w:rPr>
          <w:rFonts w:hint="eastAsia"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t xml:space="preserve">                  </w:t>
      </w:r>
    </w:p>
    <w:p>
      <w:pPr>
        <w:ind w:firstLine="1280" w:firstLineChars="400"/>
        <w:rPr>
          <w:rFonts w:hint="eastAsia" w:eastAsia="仿宋_GB2312" w:cs="仿宋_GB2312"/>
          <w:color w:val="auto"/>
          <w:sz w:val="32"/>
          <w:szCs w:val="32"/>
          <w:highlight w:val="none"/>
          <w:lang w:val="en-US" w:eastAsia="zh-CN"/>
        </w:rPr>
      </w:pPr>
    </w:p>
    <w:p>
      <w:pPr>
        <w:ind w:firstLine="1280" w:firstLineChars="400"/>
        <w:rPr>
          <w:rFonts w:hint="eastAsia" w:eastAsia="仿宋_GB2312" w:cs="仿宋_GB2312"/>
          <w:color w:val="auto"/>
          <w:sz w:val="32"/>
          <w:szCs w:val="32"/>
          <w:highlight w:val="none"/>
          <w:lang w:val="en-US" w:eastAsia="zh-CN"/>
        </w:rPr>
      </w:pPr>
    </w:p>
    <w:p>
      <w:pPr>
        <w:ind w:firstLine="1280" w:firstLineChars="400"/>
        <w:rPr>
          <w:rFonts w:hint="eastAsia" w:eastAsia="仿宋_GB2312" w:cs="仿宋_GB2312"/>
          <w:color w:val="auto"/>
          <w:sz w:val="32"/>
          <w:szCs w:val="32"/>
          <w:highlight w:val="none"/>
          <w:lang w:val="en-US" w:eastAsia="zh-CN"/>
        </w:rPr>
      </w:pPr>
    </w:p>
    <w:p>
      <w:pPr>
        <w:ind w:firstLine="1280" w:firstLineChars="400"/>
        <w:rPr>
          <w:rFonts w:hint="eastAsia" w:eastAsia="仿宋_GB2312" w:cs="仿宋_GB2312"/>
          <w:color w:val="auto"/>
          <w:sz w:val="32"/>
          <w:szCs w:val="32"/>
          <w:highlight w:val="none"/>
          <w:lang w:val="en-US" w:eastAsia="zh-CN"/>
        </w:rPr>
      </w:pPr>
    </w:p>
    <w:p>
      <w:pPr>
        <w:ind w:firstLine="1280" w:firstLineChars="4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6" w:name="_Toc15377207"/>
      <w:bookmarkStart w:id="17"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16"/>
      <w:bookmarkEnd w:id="1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110.17</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92.04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83.53</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18.14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16.46</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w:t>
      </w:r>
      <w:r>
        <w:rPr>
          <w:rFonts w:hint="eastAsia" w:eastAsia="仿宋_GB2312" w:cs="仿宋_GB2312"/>
          <w:b/>
          <w:bCs/>
          <w:color w:val="auto"/>
          <w:sz w:val="32"/>
          <w:szCs w:val="32"/>
          <w:highlight w:val="none"/>
          <w:lang w:val="en-US" w:eastAsia="zh-CN"/>
        </w:rPr>
        <w:t>单位</w:t>
      </w:r>
      <w:r>
        <w:rPr>
          <w:rFonts w:hint="eastAsia" w:ascii="Times New Roman" w:hAnsi="Times New Roman" w:eastAsia="仿宋_GB2312" w:cs="仿宋_GB2312"/>
          <w:b/>
          <w:bCs/>
          <w:color w:val="auto"/>
          <w:sz w:val="32"/>
          <w:szCs w:val="32"/>
          <w:highlight w:val="none"/>
          <w:lang w:eastAsia="zh-CN"/>
        </w:rPr>
        <w:t>涉及的支出）</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223385" cy="2389505"/>
            <wp:effectExtent l="4445" t="4445" r="20320" b="6350"/>
            <wp:docPr id="33"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31"/>
          <w:rFonts w:ascii="Times New Roman" w:hAnsi="Times New Roman" w:eastAsia="黑体"/>
          <w:b w:val="0"/>
          <w:color w:val="auto"/>
          <w:highlight w:val="none"/>
        </w:rPr>
      </w:pPr>
      <w:bookmarkStart w:id="18" w:name="_Toc15377208"/>
      <w:bookmarkStart w:id="19" w:name="_Toc15396606"/>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18"/>
      <w:bookmarkEnd w:id="19"/>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110.17</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12.71</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11.53</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预算经费增加。</w:t>
      </w:r>
    </w:p>
    <w:p>
      <w:pPr>
        <w:spacing w:line="600" w:lineRule="exact"/>
        <w:ind w:firstLine="420" w:firstLineChars="20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1312" behindDoc="0" locked="0" layoutInCell="1" allowOverlap="1">
            <wp:simplePos x="0" y="0"/>
            <wp:positionH relativeFrom="column">
              <wp:posOffset>344170</wp:posOffset>
            </wp:positionH>
            <wp:positionV relativeFrom="paragraph">
              <wp:posOffset>233045</wp:posOffset>
            </wp:positionV>
            <wp:extent cx="4301490" cy="2421255"/>
            <wp:effectExtent l="4445" t="5080" r="18415" b="12065"/>
            <wp:wrapSquare wrapText="bothSides"/>
            <wp:docPr id="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outlineLvl w:val="1"/>
        <w:rPr>
          <w:rStyle w:val="31"/>
          <w:rFonts w:ascii="Times New Roman" w:hAnsi="Times New Roman" w:eastAsia="黑体"/>
          <w:b w:val="0"/>
          <w:color w:val="auto"/>
          <w:highlight w:val="none"/>
        </w:rPr>
      </w:pPr>
      <w:bookmarkStart w:id="20" w:name="_Toc15396607"/>
      <w:bookmarkStart w:id="21"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20"/>
      <w:bookmarkEnd w:id="2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110.17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%。与2023年度相比，一般公共预算财政拨款支出增加12.71万元，增长11.53%。主要变动原因是预算经费增加。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2336" behindDoc="1" locked="0" layoutInCell="1" allowOverlap="1">
            <wp:simplePos x="0" y="0"/>
            <wp:positionH relativeFrom="column">
              <wp:posOffset>607060</wp:posOffset>
            </wp:positionH>
            <wp:positionV relativeFrom="paragraph">
              <wp:posOffset>159385</wp:posOffset>
            </wp:positionV>
            <wp:extent cx="3912235" cy="1974215"/>
            <wp:effectExtent l="4445" t="4445" r="7620" b="21590"/>
            <wp:wrapNone/>
            <wp:docPr id="34"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一般公共预算财政拨款支出决算变动情况）（柱状图）</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110.17</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%；科学技术支出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100.63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91.34</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2.55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2.31</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6.99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6.34</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（注：仅罗列本</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涉及的全部功能分类科目，至类级）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2336" behindDoc="1" locked="0" layoutInCell="1" allowOverlap="1">
            <wp:simplePos x="0" y="0"/>
            <wp:positionH relativeFrom="column">
              <wp:posOffset>537845</wp:posOffset>
            </wp:positionH>
            <wp:positionV relativeFrom="paragraph">
              <wp:posOffset>246380</wp:posOffset>
            </wp:positionV>
            <wp:extent cx="3807460" cy="2268220"/>
            <wp:effectExtent l="4445" t="4445" r="17145" b="13335"/>
            <wp:wrapNone/>
            <wp:docPr id="36"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8460"/>
      <w:bookmarkStart w:id="26" w:name="_Toc15377213"/>
      <w:bookmarkStart w:id="27"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110.17</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pPr>
        <w:numPr>
          <w:ilvl w:val="0"/>
          <w:numId w:val="2"/>
        </w:num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68.55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     2.</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18.14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机关事业单位基本养老保险缴费</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numPr>
          <w:ilvl w:val="0"/>
          <w:numId w:val="0"/>
        </w:num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机关事业单位职业年金缴费</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4.24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p>
    <w:p>
      <w:pPr>
        <w:numPr>
          <w:ilvl w:val="0"/>
          <w:numId w:val="0"/>
        </w:num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2.55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numPr>
          <w:ilvl w:val="0"/>
          <w:numId w:val="0"/>
        </w:numPr>
        <w:spacing w:line="600" w:lineRule="exact"/>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6.住房保障（类）住房改革支出（款）住房公积金（项）：支出决算为6.99万元，完成预算100%，决算数等于预算数。</w:t>
      </w:r>
    </w:p>
    <w:p>
      <w:pPr>
        <w:numPr>
          <w:ilvl w:val="0"/>
          <w:numId w:val="0"/>
        </w:numPr>
        <w:spacing w:line="600" w:lineRule="exact"/>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7.社会保障和就业（类）残疾人事业（款）残疾人就业支出（项）：支出决算为0.75万元，完成预算100%，决算数等于预算数。</w:t>
      </w:r>
    </w:p>
    <w:p>
      <w:pPr>
        <w:numPr>
          <w:ilvl w:val="0"/>
          <w:numId w:val="0"/>
        </w:numPr>
        <w:spacing w:line="600" w:lineRule="exact"/>
        <w:rPr>
          <w:rFonts w:hint="eastAsia" w:ascii="Times New Roman" w:hAnsi="Times New Roman" w:eastAsia="仿宋_GB2312" w:cs="仿宋_GB2312"/>
          <w:b/>
          <w:bCs/>
          <w:color w:val="auto"/>
          <w:kern w:val="2"/>
          <w:sz w:val="32"/>
          <w:szCs w:val="32"/>
          <w:highlight w:val="none"/>
          <w:lang w:val="en-US" w:eastAsia="zh-CN" w:bidi="ar-SA"/>
        </w:rPr>
      </w:pPr>
      <w:r>
        <w:rPr>
          <w:rFonts w:hint="eastAsia" w:eastAsia="仿宋_GB2312" w:cs="仿宋_GB2312"/>
          <w:b/>
          <w:bCs/>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（项）：支出决算为0.</w:t>
      </w:r>
      <w:r>
        <w:rPr>
          <w:rFonts w:hint="eastAsia" w:eastAsia="仿宋_GB2312" w:cs="仿宋_GB2312"/>
          <w:color w:val="auto"/>
          <w:kern w:val="2"/>
          <w:sz w:val="32"/>
          <w:szCs w:val="32"/>
          <w:highlight w:val="none"/>
          <w:lang w:val="en-US" w:eastAsia="zh-CN" w:bidi="ar-SA"/>
        </w:rPr>
        <w:t>46</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涉及的全部功能分类科目，至项级。上述“预算”口径为全年预算数。增减变动原因为决算数&lt;项级&gt;和全年预算数&lt;项级&gt;比较，与预算数持平可以不写原因）</w:t>
      </w:r>
    </w:p>
    <w:p>
      <w:pPr>
        <w:tabs>
          <w:tab w:val="right" w:pos="8306"/>
        </w:tabs>
        <w:spacing w:line="600" w:lineRule="exact"/>
        <w:ind w:firstLine="640"/>
        <w:outlineLvl w:val="1"/>
        <w:rPr>
          <w:rStyle w:val="31"/>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28"/>
      <w:bookmarkEnd w:id="29"/>
      <w:r>
        <w:rPr>
          <w:rStyle w:val="31"/>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92.04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85.01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7.03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实际支出涉及的经济分类科目）</w:t>
      </w:r>
    </w:p>
    <w:p>
      <w:pPr>
        <w:spacing w:line="600" w:lineRule="exact"/>
        <w:ind w:firstLine="640"/>
        <w:outlineLvl w:val="1"/>
        <w:rPr>
          <w:rStyle w:val="31"/>
          <w:rFonts w:ascii="Times New Roman" w:hAnsi="Times New Roman" w:eastAsia="黑体"/>
          <w:b w:val="0"/>
          <w:color w:val="auto"/>
          <w:highlight w:val="none"/>
        </w:rPr>
      </w:pPr>
      <w:bookmarkStart w:id="30" w:name="_Toc15377215"/>
      <w:bookmarkStart w:id="31" w:name="_Toc15396609"/>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30"/>
      <w:bookmarkEnd w:id="3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0.4</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0.08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0.8</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接待人数减少。</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0.4</w:t>
      </w:r>
      <w:r>
        <w:rPr>
          <w:rFonts w:hint="eastAsia" w:ascii="仿宋_GB2312" w:hAnsi="仿宋_GB2312" w:eastAsia="仿宋_GB2312" w:cs="仿宋_GB2312"/>
          <w:color w:val="auto"/>
          <w:kern w:val="2"/>
          <w:sz w:val="32"/>
          <w:szCs w:val="32"/>
          <w:highlight w:val="none"/>
          <w:lang w:val="en-US" w:eastAsia="zh-CN" w:bidi="ar-SA"/>
        </w:rPr>
        <w:t>万元，占0.8%。具体情况如下：</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drawing>
          <wp:anchor distT="0" distB="0" distL="114300" distR="114300" simplePos="0" relativeHeight="251662336" behindDoc="1" locked="0" layoutInCell="1" allowOverlap="1">
            <wp:simplePos x="0" y="0"/>
            <wp:positionH relativeFrom="column">
              <wp:posOffset>1243330</wp:posOffset>
            </wp:positionH>
            <wp:positionV relativeFrom="paragraph">
              <wp:posOffset>106045</wp:posOffset>
            </wp:positionV>
            <wp:extent cx="2800350" cy="2051050"/>
            <wp:effectExtent l="4445" t="4445" r="14605" b="20955"/>
            <wp:wrapNone/>
            <wp:docPr id="105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开支内容包括：</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（团组名称、出访地点、取得成效等）</w:t>
      </w:r>
    </w:p>
    <w:p>
      <w:pPr>
        <w:numPr>
          <w:ilvl w:val="0"/>
          <w:numId w:val="2"/>
        </w:numPr>
        <w:spacing w:line="600" w:lineRule="exact"/>
        <w:ind w:left="0" w:leftChars="0" w:firstLine="64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（具体工作）所需的公务用车燃料费、维修费、过路过桥费、保险费等支出。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0.4万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0.08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0.8</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接待人员减少</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eastAsia="仿宋_GB2312" w:cs="仿宋_GB2312"/>
          <w:color w:val="auto"/>
          <w:kern w:val="2"/>
          <w:sz w:val="32"/>
          <w:szCs w:val="32"/>
          <w:highlight w:val="none"/>
          <w:lang w:val="en-US" w:eastAsia="zh-CN" w:bidi="ar-SA"/>
        </w:rPr>
        <w:t>单位上级</w:t>
      </w:r>
      <w:r>
        <w:rPr>
          <w:rFonts w:hint="eastAsia" w:ascii="Times New Roman" w:hAnsi="Times New Roman" w:eastAsia="仿宋_GB2312" w:cs="仿宋_GB2312"/>
          <w:color w:val="auto"/>
          <w:kern w:val="2"/>
          <w:sz w:val="32"/>
          <w:szCs w:val="32"/>
          <w:highlight w:val="none"/>
          <w:lang w:val="en-US" w:eastAsia="zh-CN" w:bidi="ar-SA"/>
        </w:rPr>
        <w:t>(执行公务、开展业务活动开支的交通费、住宿费、用餐费等)。国内公务接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lang w:val="en-US" w:eastAsia="zh-CN"/>
        </w:rPr>
        <w:t>30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0.4</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（接待具体项目、金额）。</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万元，主要用于无（具体项目）。外事接待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34" w:name="_Toc15377218"/>
      <w:bookmarkStart w:id="35" w:name="_Toc15396610"/>
    </w:p>
    <w:p>
      <w:pPr>
        <w:spacing w:line="600" w:lineRule="exact"/>
        <w:ind w:firstLine="640"/>
        <w:outlineLvl w:val="1"/>
        <w:rPr>
          <w:rStyle w:val="31"/>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34"/>
      <w:bookmarkEnd w:id="3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36" w:name="_Toc15396611"/>
      <w:bookmarkStart w:id="37" w:name="_Toc15377219"/>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36"/>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38" w:name="_Toc15396612"/>
      <w:bookmarkStart w:id="39" w:name="_Toc15377221"/>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38"/>
      <w:bookmarkEnd w:id="39"/>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乐山市金口河区红十字会</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%（或与2023年度决算数持平）。主要原因是</w:t>
      </w:r>
      <w:r>
        <w:rPr>
          <w:rFonts w:hint="eastAsia" w:eastAsia="仿宋_GB2312" w:cs="仿宋_GB2312"/>
          <w:color w:val="auto"/>
          <w:kern w:val="2"/>
          <w:sz w:val="32"/>
          <w:szCs w:val="32"/>
          <w:highlight w:val="none"/>
          <w:lang w:val="en-US" w:eastAsia="zh-CN" w:bidi="ar-SA"/>
        </w:rPr>
        <w:t>无</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乐山市金口河区红十字会</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万元。主要用于无（具体工作）。授予中小企业合同金额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乐山市金口河区红十字会</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辆，其他用车主要是用于无。单价100万元（含）以上设备（不含车辆）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红十字会</w:t>
      </w:r>
      <w:r>
        <w:rPr>
          <w:rFonts w:hint="eastAsia" w:ascii="Times New Roman" w:hAnsi="Times New Roman" w:eastAsia="仿宋_GB2312" w:cs="仿宋_GB2312"/>
          <w:color w:val="auto"/>
          <w:kern w:val="2"/>
          <w:sz w:val="32"/>
          <w:szCs w:val="32"/>
          <w:highlight w:val="none"/>
          <w:lang w:val="en-US" w:eastAsia="zh-CN" w:bidi="ar-SA"/>
        </w:rPr>
        <w:t>（项目名称）等</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红十字会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部门整体（含部门预算项目）绩效自评报告等专项预算项目绩效自评报告，其中，</w:t>
      </w:r>
      <w:r>
        <w:rPr>
          <w:rFonts w:hint="eastAsia" w:eastAsia="仿宋_GB2312" w:cs="仿宋_GB2312"/>
          <w:color w:val="auto"/>
          <w:kern w:val="2"/>
          <w:sz w:val="32"/>
          <w:szCs w:val="32"/>
          <w:highlight w:val="none"/>
          <w:lang w:val="en-US" w:eastAsia="zh-CN" w:bidi="ar-SA"/>
        </w:rPr>
        <w:t>红十字会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93</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优</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专项预算项目绩效自评得分为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。绩效自评报告详见附件。</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如不涉及，可根据实际修改表述。）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96613"/>
      <w:bookmarkStart w:id="44" w:name="_Toc15377225"/>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pPr>
        <w:spacing w:line="600" w:lineRule="exact"/>
        <w:jc w:val="left"/>
        <w:rPr>
          <w:rFonts w:ascii="Times New Roman" w:hAnsi="Times New Roman"/>
          <w:b/>
          <w:color w:val="auto"/>
          <w:sz w:val="44"/>
          <w:szCs w:val="44"/>
          <w:highlight w:val="none"/>
        </w:rPr>
      </w:pP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5.社会保障和就业（类）行政事业单位离退休（款）事业单位离退休（项）：指离退休人员的支出。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6.社会保障和就业（类）行政事业单位离退休（款）未归口管理的行政单位离退休（项）：指离退休人员的支出。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7.社会保障和就业（类）行政事业单位离退休（款）机关事业单位基本养老保险缴费支出（项）：指部门实施养老保险制度由单位缴纳的养老保险费的支出。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8.社会保障和就业（类）行政事业单位离退休（款）机关事业单位职业年金缴费支出（项）：指部门实施养老保险制度由单位缴纳的职业年金的支出。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9.社会保障和就业（类）其他社会保障和就业（款）其他社会保障和就业支出（项）：指除上述项目外，其他用于行政事业单位离退休方面的支出。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10.卫生健康（类）卫生健康支出（类）行政事业单位医疗（款）事业单位医疗（项）：指行政单位及参公管理事业单位用于缴纳单位基本医疗保险支出。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11.住房保障（类）住房改革支出（款）住房公积金（项）：指由单位及其在职职工按规定缴存的住房公积金支出。 </w:t>
      </w:r>
    </w:p>
    <w:p>
      <w:pPr>
        <w:spacing w:line="600" w:lineRule="exact"/>
        <w:ind w:firstLine="64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12.住房保障（类）城乡社区住宅（款）住房公积金管理（项）：指经财政部门批准用于住房公积金管理机关的管理费用支出。</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w:t>
      </w:r>
      <w:r>
        <w:rPr>
          <w:rFonts w:hint="eastAsia" w:ascii="仿宋" w:hAnsi="仿宋" w:eastAsia="仿宋"/>
          <w:b/>
          <w:sz w:val="32"/>
          <w:szCs w:val="32"/>
          <w:lang w:val="en-US" w:eastAsia="zh-CN"/>
        </w:rPr>
        <w:t>4</w:t>
      </w:r>
      <w:r>
        <w:rPr>
          <w:rFonts w:hint="eastAsia" w:ascii="仿宋" w:hAnsi="仿宋" w:eastAsia="仿宋"/>
          <w:b/>
          <w:sz w:val="32"/>
          <w:szCs w:val="32"/>
        </w:rPr>
        <w:t>年政府收支分类科目》增减内容。）</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设备购置费、办公用房水电费以及其他费用。</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实际列支情况罗列，并根据本</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职责职能增减名词解释内容）</w:t>
      </w:r>
    </w:p>
    <w:p>
      <w:pPr>
        <w:spacing w:line="600" w:lineRule="exact"/>
        <w:jc w:val="center"/>
        <w:rPr>
          <w:rStyle w:val="30"/>
          <w:rFonts w:hint="eastAsia" w:ascii="Times New Roman" w:hAnsi="Times New Roman" w:eastAsia="黑体"/>
          <w:b w:val="0"/>
          <w:color w:val="auto"/>
          <w:highlight w:val="none"/>
          <w:lang w:eastAsia="zh-CN"/>
        </w:rPr>
      </w:pPr>
      <w:bookmarkStart w:id="4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6"/>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val="en-US" w:eastAsia="zh-CN"/>
        </w:rPr>
      </w:pPr>
      <w:r>
        <w:rPr>
          <w:rFonts w:hint="eastAsia" w:eastAsia="方正小标宋简体" w:cs="Times New Roman"/>
          <w:b w:val="0"/>
          <w:bCs/>
          <w:sz w:val="44"/>
          <w:szCs w:val="44"/>
          <w:highlight w:val="none"/>
          <w:shd w:val="clear" w:color="auto" w:fill="FFFFFF"/>
          <w:lang w:val="en-US" w:eastAsia="zh-CN"/>
        </w:rPr>
        <w:t>乐山市金口河区红十字会</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2024年单位</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黑体" w:cs="Times New Roman"/>
          <w:color w:val="000000"/>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lang w:val="zh-CN"/>
        </w:rPr>
      </w:pPr>
      <w:r>
        <w:rPr>
          <w:rFonts w:hint="eastAsia" w:ascii="黑体" w:hAnsi="黑体" w:eastAsia="黑体" w:cs="黑体"/>
          <w:color w:val="auto"/>
          <w:kern w:val="0"/>
          <w:sz w:val="32"/>
          <w:szCs w:val="32"/>
          <w:shd w:val="clear" w:color="auto" w:fill="FFFFFF"/>
        </w:rPr>
        <w:t>一、</w:t>
      </w:r>
      <w:r>
        <w:rPr>
          <w:rFonts w:hint="eastAsia" w:ascii="黑体" w:hAnsi="黑体" w:eastAsia="黑体" w:cs="黑体"/>
          <w:color w:val="auto"/>
          <w:kern w:val="0"/>
          <w:sz w:val="32"/>
          <w:szCs w:val="32"/>
          <w:shd w:val="clear" w:color="auto" w:fill="FFFFFF"/>
          <w:lang w:val="en-US" w:eastAsia="zh-CN"/>
        </w:rPr>
        <w:t>单位</w:t>
      </w:r>
      <w:r>
        <w:rPr>
          <w:rFonts w:hint="eastAsia" w:ascii="黑体" w:hAnsi="黑体" w:eastAsia="黑体" w:cs="黑体"/>
          <w:color w:val="auto"/>
          <w:kern w:val="0"/>
          <w:sz w:val="32"/>
          <w:szCs w:val="32"/>
          <w:shd w:val="clear" w:color="auto" w:fill="FFFFFF"/>
          <w:lang w:val="zh-CN"/>
        </w:rPr>
        <w:t>基本情况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（一）机构组成。</w:t>
      </w:r>
    </w:p>
    <w:p>
      <w:pPr>
        <w:keepNext w:val="0"/>
        <w:keepLines w:val="0"/>
        <w:pageBreakBefore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中共乐山市金口河区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机构编制委员会《关于区红十字会机构编制事项的通知》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金编委</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号）通知精神，</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红十字会属</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委正科级群团组织，核定事业编制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名，设常务副会长1名，副会长（秘书长）1名，</w:t>
      </w:r>
      <w:r>
        <w:rPr>
          <w:rFonts w:hint="eastAsia" w:ascii="仿宋_GB2312" w:hAnsi="仿宋_GB2312" w:eastAsia="仿宋_GB2312" w:cs="仿宋_GB2312"/>
          <w:color w:val="auto"/>
          <w:sz w:val="32"/>
          <w:szCs w:val="32"/>
          <w:lang w:val="en-US" w:eastAsia="zh-CN"/>
        </w:rPr>
        <w:t>专职监事长</w:t>
      </w:r>
      <w:r>
        <w:rPr>
          <w:rFonts w:hint="eastAsia" w:ascii="仿宋_GB2312" w:hAnsi="仿宋_GB2312" w:eastAsia="仿宋_GB2312" w:cs="仿宋_GB2312"/>
          <w:color w:val="auto"/>
          <w:sz w:val="32"/>
          <w:szCs w:val="32"/>
        </w:rPr>
        <w:t>1名，内设综合股1个。</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w:t>
      </w:r>
      <w:r>
        <w:rPr>
          <w:rFonts w:hint="eastAsia" w:ascii="楷体_GB2312" w:hAnsi="楷体_GB2312" w:eastAsia="楷体_GB2312" w:cs="楷体_GB2312"/>
          <w:color w:val="auto"/>
          <w:kern w:val="0"/>
          <w:sz w:val="32"/>
          <w:szCs w:val="32"/>
          <w:shd w:val="clear" w:color="auto" w:fill="FFFFFF"/>
          <w:lang w:val="en-US" w:eastAsia="zh-CN"/>
        </w:rPr>
        <w:t>二</w:t>
      </w:r>
      <w:r>
        <w:rPr>
          <w:rFonts w:hint="eastAsia" w:ascii="楷体_GB2312" w:hAnsi="楷体_GB2312" w:eastAsia="楷体_GB2312" w:cs="楷体_GB2312"/>
          <w:color w:val="auto"/>
          <w:kern w:val="0"/>
          <w:sz w:val="32"/>
          <w:szCs w:val="32"/>
          <w:shd w:val="clear" w:color="auto" w:fill="FFFFFF"/>
          <w:lang w:val="zh-CN"/>
        </w:rPr>
        <w:t>）机构职能和人员概况。</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rPr>
        <w:t>乐山市金口河区</w:t>
      </w:r>
      <w:r>
        <w:rPr>
          <w:rFonts w:hint="eastAsia" w:ascii="仿宋_GB2312" w:hAnsi="仿宋_GB2312" w:eastAsia="仿宋_GB2312" w:cs="仿宋_GB2312"/>
          <w:color w:val="auto"/>
          <w:kern w:val="0"/>
          <w:sz w:val="32"/>
          <w:szCs w:val="32"/>
          <w:shd w:val="clear" w:color="auto" w:fill="FFFFFF"/>
          <w:lang w:val="zh-CN" w:eastAsia="zh-CN"/>
        </w:rPr>
        <w:t>红十字会（以下简称</w:t>
      </w:r>
      <w:r>
        <w:rPr>
          <w:rFonts w:hint="eastAsia" w:ascii="仿宋_GB2312" w:hAnsi="仿宋_GB2312" w:eastAsia="仿宋_GB2312" w:cs="仿宋_GB2312"/>
          <w:color w:val="auto"/>
          <w:kern w:val="0"/>
          <w:sz w:val="32"/>
          <w:szCs w:val="32"/>
          <w:shd w:val="clear" w:color="auto" w:fill="FFFFFF"/>
          <w:lang w:val="en-US" w:eastAsia="zh-CN"/>
        </w:rPr>
        <w:t>区</w:t>
      </w:r>
      <w:r>
        <w:rPr>
          <w:rFonts w:hint="eastAsia" w:ascii="仿宋_GB2312" w:hAnsi="仿宋_GB2312" w:eastAsia="仿宋_GB2312" w:cs="仿宋_GB2312"/>
          <w:color w:val="auto"/>
          <w:kern w:val="0"/>
          <w:sz w:val="32"/>
          <w:szCs w:val="32"/>
          <w:shd w:val="clear" w:color="auto" w:fill="FFFFFF"/>
          <w:lang w:val="zh-CN" w:eastAsia="zh-CN"/>
        </w:rPr>
        <w:t>红十字会）主要职能：</w:t>
      </w:r>
      <w:r>
        <w:rPr>
          <w:rFonts w:hint="eastAsia" w:ascii="仿宋_GB2312" w:hAnsi="仿宋_GB2312" w:eastAsia="仿宋_GB2312" w:cs="仿宋_GB2312"/>
          <w:color w:val="auto"/>
          <w:sz w:val="32"/>
          <w:szCs w:val="32"/>
        </w:rPr>
        <w:t>一是贯彻国家红十字会工作的有关法律、法规和政策、研究拟定</w:t>
      </w:r>
      <w:r>
        <w:rPr>
          <w:rFonts w:hint="eastAsia" w:ascii="仿宋_GB2312" w:hAnsi="仿宋_GB2312" w:eastAsia="仿宋_GB2312" w:cs="仿宋_GB2312"/>
          <w:color w:val="auto"/>
          <w:sz w:val="32"/>
          <w:szCs w:val="32"/>
          <w:lang w:val="en-US" w:eastAsia="zh-CN"/>
        </w:rPr>
        <w:t>金口河区</w:t>
      </w:r>
      <w:r>
        <w:rPr>
          <w:rFonts w:hint="eastAsia" w:ascii="仿宋_GB2312" w:hAnsi="仿宋_GB2312" w:eastAsia="仿宋_GB2312" w:cs="仿宋_GB2312"/>
          <w:color w:val="auto"/>
          <w:sz w:val="32"/>
          <w:szCs w:val="32"/>
        </w:rPr>
        <w:t>红十字会工作发展规划、实施计划并组织实施；二是按照《中国红十字会章程》规定，依法开展全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红十字会工作；三是开展备灾救灾工作，在自然灾害和突发事件中，协助政府实施赈灾救援；四是开展人道主义领域内的社区服务和社会公益活动：组织开展群众性初级卫生救护训练和现场急救工作，普及卫生救护和防灾、防病知识；按照中国红十字会总会的部署，参加国际人道主义救援工作；五是组织管理红十字会志愿者队伍，开展无偿献血工作；六是依法开展和推动遗体、器官（组织）捐献工作；开展艾滋病预防控制宣传和教育、关心爱护艾滋病病毒感染者、患者及其他人道救助工作；七是开展有益于青少年身心健康、弘扬人道主义精神的红十字会青少年活动；八是完成</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政府和中国红十字会总会、省市红十字会交办的其他工作。</w:t>
      </w:r>
    </w:p>
    <w:p>
      <w:pPr>
        <w:keepNext w:val="0"/>
        <w:keepLines w:val="0"/>
        <w:pageBreakBefore w:val="0"/>
        <w:widowControl/>
        <w:tabs>
          <w:tab w:val="left" w:pos="3840"/>
        </w:tabs>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zh-CN"/>
        </w:rPr>
      </w:pPr>
      <w:r>
        <w:rPr>
          <w:rFonts w:hint="eastAsia" w:ascii="仿宋_GB2312" w:hAnsi="仿宋_GB2312" w:eastAsia="仿宋_GB2312" w:cs="仿宋_GB2312"/>
          <w:color w:val="auto"/>
          <w:sz w:val="32"/>
          <w:szCs w:val="32"/>
          <w:lang w:val="en-US" w:eastAsia="zh-CN"/>
        </w:rPr>
        <w:t>郑鸿</w:t>
      </w:r>
      <w:r>
        <w:rPr>
          <w:rFonts w:hint="eastAsia" w:ascii="仿宋_GB2312" w:hAnsi="仿宋_GB2312" w:eastAsia="仿宋_GB2312" w:cs="仿宋_GB2312"/>
          <w:color w:val="auto"/>
          <w:sz w:val="32"/>
          <w:szCs w:val="32"/>
        </w:rPr>
        <w:t>同志担任常务副会长，</w:t>
      </w:r>
      <w:r>
        <w:rPr>
          <w:rFonts w:hint="eastAsia" w:ascii="仿宋_GB2312" w:hAnsi="仿宋_GB2312" w:eastAsia="仿宋_GB2312" w:cs="仿宋_GB2312"/>
          <w:color w:val="auto"/>
          <w:sz w:val="32"/>
          <w:szCs w:val="32"/>
          <w:lang w:val="en-US" w:eastAsia="zh-CN"/>
        </w:rPr>
        <w:t>叶洪兵</w:t>
      </w:r>
      <w:r>
        <w:rPr>
          <w:rFonts w:hint="eastAsia" w:ascii="仿宋_GB2312" w:hAnsi="仿宋_GB2312" w:eastAsia="仿宋_GB2312" w:cs="仿宋_GB2312"/>
          <w:color w:val="auto"/>
          <w:sz w:val="32"/>
          <w:szCs w:val="32"/>
        </w:rPr>
        <w:t>同志担任副会长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王代娟同志担任监事长，办公室工作人员2</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韩晓波、白杨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w:t>
      </w:r>
      <w:r>
        <w:rPr>
          <w:rFonts w:hint="eastAsia" w:ascii="楷体_GB2312" w:hAnsi="楷体_GB2312" w:eastAsia="楷体_GB2312" w:cs="楷体_GB2312"/>
          <w:color w:val="auto"/>
          <w:kern w:val="0"/>
          <w:sz w:val="32"/>
          <w:szCs w:val="32"/>
          <w:shd w:val="clear" w:color="auto" w:fill="FFFFFF"/>
          <w:lang w:val="en-US" w:eastAsia="zh-CN"/>
        </w:rPr>
        <w:t>三</w:t>
      </w:r>
      <w:r>
        <w:rPr>
          <w:rFonts w:hint="eastAsia" w:ascii="楷体_GB2312" w:hAnsi="楷体_GB2312" w:eastAsia="楷体_GB2312" w:cs="楷体_GB2312"/>
          <w:color w:val="auto"/>
          <w:kern w:val="0"/>
          <w:sz w:val="32"/>
          <w:szCs w:val="32"/>
          <w:shd w:val="clear" w:color="auto" w:fill="FFFFFF"/>
          <w:lang w:val="zh-CN"/>
        </w:rPr>
        <w:t>）年度主要工作任务。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1.</w:t>
      </w:r>
      <w:r>
        <w:rPr>
          <w:rFonts w:hint="eastAsia" w:ascii="仿宋_GB2312" w:hAnsi="Times New Roman" w:eastAsia="仿宋_GB2312" w:cs="仿宋_GB2312"/>
          <w:kern w:val="2"/>
          <w:sz w:val="32"/>
          <w:szCs w:val="32"/>
          <w:lang w:val="en-US" w:eastAsia="zh-CN" w:bidi="ar"/>
        </w:rPr>
        <w:t>全年召开党组会议研究党建问题和意识形态工作4次，召开</w:t>
      </w:r>
      <w:r>
        <w:rPr>
          <w:rFonts w:hint="eastAsia" w:ascii="仿宋_GB2312" w:hAnsi="仿宋_GB2312" w:eastAsia="仿宋_GB2312" w:cs="仿宋_GB2312"/>
          <w:sz w:val="32"/>
          <w:szCs w:val="32"/>
          <w:lang w:val="en-US" w:eastAsia="zh-CN"/>
        </w:rPr>
        <w:t>理论中心组学习</w:t>
      </w:r>
      <w:r>
        <w:rPr>
          <w:rFonts w:hint="eastAsia" w:ascii="仿宋_GB2312" w:hAnsi="Times New Roman" w:eastAsia="仿宋_GB2312" w:cs="仿宋_GB2312"/>
          <w:kern w:val="2"/>
          <w:sz w:val="32"/>
          <w:szCs w:val="32"/>
          <w:lang w:val="en-US" w:eastAsia="zh-CN" w:bidi="ar"/>
        </w:rPr>
        <w:t>（扩大）</w:t>
      </w:r>
      <w:r>
        <w:rPr>
          <w:rFonts w:hint="eastAsia" w:ascii="仿宋_GB2312" w:hAnsi="仿宋_GB2312" w:eastAsia="仿宋_GB2312" w:cs="仿宋_GB2312"/>
          <w:sz w:val="32"/>
          <w:szCs w:val="32"/>
          <w:lang w:val="en-US" w:eastAsia="zh-CN"/>
        </w:rPr>
        <w:t>会议12次，全面有效推进了区红十字会党建工作</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5" w:lineRule="exact"/>
        <w:ind w:left="0"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Times New Roman" w:eastAsia="仿宋_GB2312" w:cs="仿宋_GB2312"/>
          <w:kern w:val="2"/>
          <w:sz w:val="32"/>
          <w:szCs w:val="32"/>
          <w:lang w:val="en-US" w:eastAsia="zh-CN" w:bidi="ar"/>
        </w:rPr>
        <w:t>积极开展宣传和志愿者服务活动，提升红十字会社会影响力。</w:t>
      </w:r>
    </w:p>
    <w:p>
      <w:pPr>
        <w:keepNext w:val="0"/>
        <w:keepLines w:val="0"/>
        <w:pageBreakBefore w:val="0"/>
        <w:kinsoku/>
        <w:wordWrap/>
        <w:overflowPunct/>
        <w:topLinePunct w:val="0"/>
        <w:autoSpaceDE/>
        <w:autoSpaceDN/>
        <w:bidi w:val="0"/>
        <w:adjustRightInd/>
        <w:snapToGrid/>
        <w:spacing w:line="615" w:lineRule="exact"/>
        <w:ind w:right="0" w:rightChars="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全年开展宣传和志愿服务活动23场，发放宣传资料5000余份，宣传物品4000余份，</w:t>
      </w:r>
      <w:r>
        <w:rPr>
          <w:rFonts w:hint="eastAsia" w:ascii="仿宋_GB2312" w:hAnsi="仿宋_GB2312" w:eastAsia="仿宋_GB2312" w:cs="仿宋_GB2312"/>
          <w:kern w:val="2"/>
          <w:sz w:val="32"/>
          <w:szCs w:val="32"/>
          <w:lang w:val="en-US" w:eastAsia="zh-CN" w:bidi="ar-SA"/>
        </w:rPr>
        <w:t>受益群众达10000余人。</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通过宣传和志愿者服务活动，广大群众不但了解了造血干细胞捐献、人体器官和遗体捐献，以及白血病、先心病儿童救助申请流程和红十字运动、防灾减灾等知识，而且增强了防灾减灾意识，提升了逃生和应急避险能力。其中，336人</w:t>
      </w:r>
      <w:r>
        <w:rPr>
          <w:rFonts w:hint="eastAsia" w:ascii="仿宋_GB2312" w:hAnsi="仿宋_GB2312" w:eastAsia="仿宋_GB2312" w:cs="仿宋_GB2312"/>
          <w:i w:val="0"/>
          <w:iCs w:val="0"/>
          <w:caps w:val="0"/>
          <w:color w:val="auto"/>
          <w:spacing w:val="0"/>
          <w:sz w:val="32"/>
          <w:szCs w:val="32"/>
          <w:shd w:val="clear" w:color="auto" w:fill="FFFFFF"/>
          <w:lang w:val="en-US" w:eastAsia="zh-CN"/>
        </w:rPr>
        <w:t>登记成</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造血干细胞、</w:t>
      </w:r>
      <w:r>
        <w:rPr>
          <w:rFonts w:hint="eastAsia" w:ascii="仿宋_GB2312" w:hAnsi="仿宋_GB2312" w:eastAsia="仿宋_GB2312" w:cs="仿宋_GB2312"/>
          <w:i w:val="0"/>
          <w:iCs w:val="0"/>
          <w:caps w:val="0"/>
          <w:color w:val="auto"/>
          <w:spacing w:val="0"/>
          <w:sz w:val="32"/>
          <w:szCs w:val="32"/>
          <w:shd w:val="clear" w:color="auto" w:fill="FFFFFF"/>
          <w:lang w:val="en-US" w:eastAsia="zh-CN"/>
        </w:rPr>
        <w:t>人体器官和</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遗体</w:t>
      </w:r>
      <w:r>
        <w:rPr>
          <w:rFonts w:hint="eastAsia" w:ascii="仿宋_GB2312" w:hAnsi="仿宋_GB2312" w:eastAsia="仿宋_GB2312" w:cs="仿宋_GB2312"/>
          <w:i w:val="0"/>
          <w:iCs w:val="0"/>
          <w:caps w:val="0"/>
          <w:color w:val="auto"/>
          <w:spacing w:val="0"/>
          <w:sz w:val="32"/>
          <w:szCs w:val="32"/>
          <w:shd w:val="clear" w:color="auto" w:fill="FFFFFF"/>
          <w:lang w:val="en-US" w:eastAsia="zh-CN"/>
        </w:rPr>
        <w:t>捐献志愿者，区检察院</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1名志愿者于2月2日在四川省人民医院成功捐献造血干细胞，成为2024年乐山市第一例造血干细胞捐献者</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扎实开展应急救护员培训和普及培训，提高民众应对突发事件的反响能力和现场自救互救能力，其中应急救</w:t>
      </w:r>
      <w:r>
        <w:rPr>
          <w:rFonts w:hint="eastAsia" w:ascii="仿宋_GB2312" w:hAnsi="仿宋_GB2312" w:eastAsia="仿宋_GB2312" w:cs="仿宋_GB2312"/>
          <w:i w:val="0"/>
          <w:iCs w:val="0"/>
          <w:caps w:val="0"/>
          <w:color w:val="auto"/>
          <w:spacing w:val="0"/>
          <w:sz w:val="32"/>
          <w:szCs w:val="32"/>
          <w:shd w:val="clear" w:color="auto" w:fill="FFFFFF"/>
          <w:lang w:val="en-US" w:eastAsia="zh-CN"/>
        </w:rPr>
        <w:t>护培训“进机关、进学校、进企业、进社区、进农村”的相关要求，扎实开展应急救护员培训和普及培训。全年在机关、企事业单位干部职工、中小学、幼儿园教师和消防队员中开展应急救护员培训5场，培训学员176人（颁证率100%），在永和镇第二小学、共安彝族乡小学、金河镇小学和吉星村、林丰村开展应急救护普及培训5场，培训学生和群众1000余人。两项培训均超额完成市下目标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5" w:lineRule="exact"/>
        <w:ind w:left="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加大人道资源动员及人道救助工作，为党和政府分忧解难。</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认真当好党和政府人道领域的工作助手，以“改善最易受损害群体境况”为工作出发点和落脚点，加大人道资源动员，全年争取到各种捐赠款物折合人民币139.</w:t>
      </w:r>
      <w:r>
        <w:rPr>
          <w:rFonts w:hint="eastAsia" w:ascii="仿宋_GB2312" w:hAnsi="仿宋_GB2312" w:eastAsia="仿宋_GB2312" w:cs="仿宋_GB2312"/>
          <w:color w:val="auto"/>
          <w:kern w:val="0"/>
          <w:sz w:val="32"/>
          <w:szCs w:val="32"/>
          <w:lang w:val="en-US" w:eastAsia="zh-CN" w:bidi="ar"/>
        </w:rPr>
        <w:t>82</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万元。其中，现金109万元，物资折合人民币30.</w:t>
      </w:r>
      <w:r>
        <w:rPr>
          <w:rFonts w:hint="eastAsia" w:ascii="仿宋_GB2312" w:hAnsi="仿宋_GB2312" w:eastAsia="仿宋_GB2312" w:cs="仿宋_GB2312"/>
          <w:color w:val="auto"/>
          <w:kern w:val="0"/>
          <w:sz w:val="32"/>
          <w:szCs w:val="32"/>
          <w:lang w:val="en-US" w:eastAsia="zh-CN" w:bidi="ar"/>
        </w:rPr>
        <w:t>82</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万元。</w:t>
      </w:r>
    </w:p>
    <w:p>
      <w:pPr>
        <w:keepNext w:val="0"/>
        <w:keepLines w:val="0"/>
        <w:pageBreakBefore w:val="0"/>
        <w:widowControl w:val="0"/>
        <w:kinsoku/>
        <w:wordWrap/>
        <w:overflowPunct/>
        <w:topLinePunct w:val="0"/>
        <w:autoSpaceDE/>
        <w:autoSpaceDN/>
        <w:bidi w:val="0"/>
        <w:adjustRightInd/>
        <w:snapToGrid/>
        <w:spacing w:line="615"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i w:val="0"/>
          <w:iCs w:val="0"/>
          <w:caps w:val="0"/>
          <w:color w:val="auto"/>
          <w:spacing w:val="0"/>
          <w:sz w:val="32"/>
          <w:szCs w:val="32"/>
          <w:shd w:val="clear" w:color="auto" w:fill="FFFFFF"/>
          <w:lang w:val="en-US" w:eastAsia="zh-CN"/>
        </w:rPr>
        <w:t>实施好“博爱家园”项目，为巩固拓展脱贫攻坚成果同乡村振兴的有效衔接贡献力量。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继续与省、市红十字会和对口帮扶县红十字会对接，争取资金，增加应急物资储。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7.主动联系企业、社会各界爱心人士，适时开展募捐活动，积累人道救助基金。</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en-US" w:eastAsia="zh-CN"/>
        </w:rPr>
        <w:t>（四）</w:t>
      </w:r>
      <w:r>
        <w:rPr>
          <w:rFonts w:hint="eastAsia" w:ascii="楷体_GB2312" w:hAnsi="楷体_GB2312" w:eastAsia="楷体_GB2312" w:cs="楷体_GB2312"/>
          <w:color w:val="auto"/>
          <w:kern w:val="0"/>
          <w:sz w:val="32"/>
          <w:szCs w:val="32"/>
          <w:shd w:val="clear" w:color="auto" w:fill="FFFFFF"/>
          <w:lang w:val="zh-CN"/>
        </w:rPr>
        <w:t>部门整体支出绩效目标。</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0"/>
          <w:sz w:val="32"/>
          <w:szCs w:val="32"/>
          <w:shd w:val="clear" w:color="auto" w:fill="FFFFFF"/>
          <w:lang w:val="zh-CN" w:eastAsia="zh-CN" w:bidi="ar-SA"/>
        </w:rPr>
        <w:t>保障红十字会正常运转，更好的开展救援、救灾的相关工作；开展应急救护培训；参与、推动无偿献血、遗体和人体器</w:t>
      </w:r>
      <w:r>
        <w:rPr>
          <w:rFonts w:hint="eastAsia" w:ascii="仿宋_GB2312" w:hAnsi="仿宋_GB2312" w:eastAsia="仿宋_GB2312" w:cs="仿宋_GB2312"/>
          <w:b w:val="0"/>
          <w:bCs w:val="0"/>
          <w:color w:val="auto"/>
          <w:kern w:val="2"/>
          <w:sz w:val="32"/>
          <w:szCs w:val="32"/>
          <w:lang w:val="zh-CN" w:eastAsia="zh-CN" w:bidi="ar-SA"/>
        </w:rPr>
        <w:t>官捐献工作。</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开展应急救护培训及宣传工作，普及应急救护、防灾避险和卫生健康知识，救灾物资储备，开展人道救助工作。</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二、</w:t>
      </w:r>
      <w:r>
        <w:rPr>
          <w:rFonts w:hint="eastAsia" w:ascii="黑体" w:hAnsi="黑体" w:eastAsia="黑体" w:cs="黑体"/>
          <w:color w:val="auto"/>
          <w:kern w:val="0"/>
          <w:sz w:val="32"/>
          <w:szCs w:val="32"/>
          <w:shd w:val="clear" w:color="auto" w:fill="FFFFFF"/>
          <w:lang w:val="en-US" w:eastAsia="zh-CN"/>
        </w:rPr>
        <w:t>单位</w:t>
      </w:r>
      <w:r>
        <w:rPr>
          <w:rFonts w:hint="eastAsia" w:ascii="黑体" w:hAnsi="黑体" w:eastAsia="黑体" w:cs="黑体"/>
          <w:color w:val="auto"/>
          <w:kern w:val="0"/>
          <w:sz w:val="32"/>
          <w:szCs w:val="32"/>
          <w:shd w:val="clear" w:color="auto" w:fill="FFFFFF"/>
        </w:rPr>
        <w:t>财政资金收支情况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zh-CN"/>
        </w:rPr>
      </w:pPr>
      <w:r>
        <w:rPr>
          <w:rFonts w:hint="eastAsia" w:ascii="仿宋_GB2312" w:hAnsi="仿宋_GB2312" w:eastAsia="仿宋_GB2312" w:cs="仿宋_GB2312"/>
          <w:color w:val="auto"/>
          <w:kern w:val="0"/>
          <w:sz w:val="32"/>
          <w:szCs w:val="32"/>
          <w:shd w:val="clear" w:color="auto" w:fill="FFFFFF"/>
          <w:lang w:val="en-US" w:eastAsia="zh-CN"/>
        </w:rPr>
        <w:t>区红十字会2024年决算总收入</w:t>
      </w:r>
      <w:r>
        <w:rPr>
          <w:rFonts w:hint="eastAsia" w:ascii="仿宋_GB2312" w:hAnsi="仿宋_GB2312" w:eastAsia="仿宋_GB2312" w:cs="仿宋_GB2312"/>
          <w:color w:val="auto"/>
          <w:sz w:val="32"/>
          <w:szCs w:val="32"/>
          <w:lang w:val="en-US" w:eastAsia="zh-CN"/>
        </w:rPr>
        <w:t>110.17</w:t>
      </w:r>
      <w:r>
        <w:rPr>
          <w:rFonts w:hint="eastAsia" w:ascii="仿宋_GB2312" w:hAnsi="仿宋_GB2312" w:eastAsia="仿宋_GB2312" w:cs="仿宋_GB2312"/>
          <w:color w:val="auto"/>
          <w:kern w:val="0"/>
          <w:sz w:val="32"/>
          <w:szCs w:val="32"/>
          <w:shd w:val="clear" w:color="auto" w:fill="FFFFFF"/>
          <w:lang w:val="en-US" w:eastAsia="zh-CN"/>
        </w:rPr>
        <w:t>万元，其中一般公共预算收入110.17万元，占100%。</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w:t>
      </w:r>
      <w:r>
        <w:rPr>
          <w:rFonts w:hint="eastAsia" w:ascii="楷体_GB2312" w:hAnsi="楷体_GB2312" w:eastAsia="楷体_GB2312" w:cs="楷体_GB2312"/>
          <w:color w:val="auto"/>
          <w:kern w:val="0"/>
          <w:sz w:val="32"/>
          <w:szCs w:val="32"/>
          <w:shd w:val="clear" w:color="auto" w:fill="FFFFFF"/>
          <w:lang w:val="en-US" w:eastAsia="zh-CN"/>
        </w:rPr>
        <w:t>二</w:t>
      </w:r>
      <w:r>
        <w:rPr>
          <w:rFonts w:hint="eastAsia" w:ascii="楷体_GB2312" w:hAnsi="楷体_GB2312" w:eastAsia="楷体_GB2312" w:cs="楷体_GB2312"/>
          <w:color w:val="auto"/>
          <w:kern w:val="0"/>
          <w:sz w:val="32"/>
          <w:szCs w:val="32"/>
          <w:shd w:val="clear" w:color="auto" w:fill="FFFFFF"/>
          <w:lang w:val="zh-CN"/>
        </w:rPr>
        <w:t>）部门财政资金支出情况。</w:t>
      </w:r>
    </w:p>
    <w:p>
      <w:pPr>
        <w:pStyle w:val="16"/>
        <w:keepNext w:val="0"/>
        <w:keepLines w:val="0"/>
        <w:pageBreakBefore w:val="0"/>
        <w:numPr>
          <w:ilvl w:val="0"/>
          <w:numId w:val="0"/>
        </w:numPr>
        <w:kinsoku/>
        <w:wordWrap/>
        <w:overflowPunct/>
        <w:topLinePunct w:val="0"/>
        <w:autoSpaceDE/>
        <w:autoSpaceDN/>
        <w:bidi w:val="0"/>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zh-CN" w:eastAsia="zh-CN" w:bidi="ar-SA"/>
        </w:rPr>
      </w:pPr>
      <w:r>
        <w:rPr>
          <w:rFonts w:hint="eastAsia" w:ascii="仿宋_GB2312" w:hAnsi="仿宋_GB2312" w:eastAsia="仿宋_GB2312" w:cs="仿宋_GB2312"/>
          <w:b w:val="0"/>
          <w:bCs w:val="0"/>
          <w:color w:val="auto"/>
          <w:kern w:val="0"/>
          <w:sz w:val="32"/>
          <w:szCs w:val="32"/>
          <w:shd w:val="clear" w:color="auto" w:fill="FFFFFF"/>
          <w:lang w:val="en-US" w:eastAsia="zh-CN" w:bidi="ar-SA"/>
        </w:rPr>
        <w:t>区红十字会2024年决算总支出110.17万元， 其中</w:t>
      </w:r>
      <w:r>
        <w:rPr>
          <w:rFonts w:hint="eastAsia" w:ascii="仿宋_GB2312" w:hAnsi="仿宋_GB2312" w:eastAsia="仿宋_GB2312" w:cs="仿宋_GB2312"/>
          <w:b w:val="0"/>
          <w:bCs w:val="0"/>
          <w:color w:val="auto"/>
          <w:kern w:val="0"/>
          <w:sz w:val="32"/>
          <w:szCs w:val="32"/>
          <w:shd w:val="clear" w:color="auto" w:fill="FFFFFF"/>
          <w:lang w:val="zh-CN" w:eastAsia="zh-CN" w:bidi="ar-SA"/>
        </w:rPr>
        <w:t>基本支出</w:t>
      </w:r>
      <w:r>
        <w:rPr>
          <w:rFonts w:hint="eastAsia" w:ascii="仿宋_GB2312" w:hAnsi="仿宋_GB2312" w:eastAsia="仿宋_GB2312" w:cs="仿宋_GB2312"/>
          <w:b w:val="0"/>
          <w:bCs w:val="0"/>
          <w:color w:val="auto"/>
          <w:kern w:val="0"/>
          <w:sz w:val="32"/>
          <w:szCs w:val="32"/>
          <w:shd w:val="clear" w:color="auto" w:fill="FFFFFF"/>
          <w:lang w:val="en-US" w:eastAsia="zh-CN" w:bidi="ar-SA"/>
        </w:rPr>
        <w:t xml:space="preserve"> 92.04万元，占83.54%。项目支出18.14万元，占16.46%。</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三、</w:t>
      </w:r>
      <w:r>
        <w:rPr>
          <w:rFonts w:hint="eastAsia" w:ascii="黑体" w:hAnsi="黑体" w:eastAsia="黑体" w:cs="黑体"/>
          <w:color w:val="auto"/>
          <w:kern w:val="0"/>
          <w:sz w:val="32"/>
          <w:szCs w:val="32"/>
          <w:shd w:val="clear" w:color="auto" w:fill="FFFFFF"/>
          <w:lang w:val="en-US" w:eastAsia="zh-CN"/>
        </w:rPr>
        <w:t>单位</w:t>
      </w:r>
      <w:r>
        <w:rPr>
          <w:rFonts w:hint="eastAsia" w:ascii="黑体" w:hAnsi="黑体" w:eastAsia="黑体" w:cs="黑体"/>
          <w:color w:val="auto"/>
          <w:kern w:val="0"/>
          <w:sz w:val="32"/>
          <w:szCs w:val="32"/>
          <w:shd w:val="clear" w:color="auto" w:fill="FFFFFF"/>
        </w:rPr>
        <w:t>整体绩效管理情况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w:t>
      </w:r>
      <w:r>
        <w:rPr>
          <w:rFonts w:hint="eastAsia" w:ascii="楷体_GB2312" w:hAnsi="楷体_GB2312" w:eastAsia="楷体_GB2312" w:cs="楷体_GB2312"/>
          <w:color w:val="auto"/>
          <w:kern w:val="0"/>
          <w:sz w:val="32"/>
          <w:szCs w:val="32"/>
          <w:shd w:val="clear" w:color="auto" w:fill="FFFFFF"/>
          <w:lang w:val="en-US" w:eastAsia="zh-CN"/>
        </w:rPr>
        <w:t>单位</w:t>
      </w:r>
      <w:r>
        <w:rPr>
          <w:rFonts w:hint="eastAsia" w:ascii="楷体_GB2312" w:hAnsi="楷体_GB2312" w:eastAsia="楷体_GB2312" w:cs="楷体_GB2312"/>
          <w:color w:val="auto"/>
          <w:kern w:val="0"/>
          <w:sz w:val="32"/>
          <w:szCs w:val="32"/>
          <w:shd w:val="clear" w:color="auto" w:fill="FFFFFF"/>
          <w:lang w:val="zh-CN"/>
        </w:rPr>
        <w:t>整体履职绩效分析。</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1.单位</w:t>
      </w:r>
      <w:bookmarkStart w:id="61" w:name="_GoBack"/>
      <w:bookmarkEnd w:id="61"/>
      <w:r>
        <w:rPr>
          <w:rFonts w:hint="eastAsia" w:ascii="仿宋_GB2312" w:hAnsi="仿宋_GB2312" w:eastAsia="仿宋_GB2312" w:cs="仿宋_GB2312"/>
          <w:color w:val="auto"/>
          <w:kern w:val="0"/>
          <w:sz w:val="32"/>
          <w:szCs w:val="32"/>
          <w:shd w:val="clear" w:color="auto" w:fill="FFFFFF"/>
          <w:lang w:val="en-US" w:eastAsia="zh-CN"/>
        </w:rPr>
        <w:t>管理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rPr>
        <w:t>按照综合预算的原则，</w:t>
      </w:r>
      <w:r>
        <w:rPr>
          <w:rFonts w:hint="eastAsia" w:ascii="仿宋_GB2312" w:hAnsi="仿宋_GB2312" w:eastAsia="仿宋_GB2312" w:cs="仿宋_GB2312"/>
          <w:color w:val="auto"/>
          <w:sz w:val="32"/>
          <w:szCs w:val="32"/>
          <w:lang w:val="en-US" w:eastAsia="zh-CN"/>
        </w:rPr>
        <w:t>区红十字会</w:t>
      </w:r>
      <w:r>
        <w:rPr>
          <w:rFonts w:hint="eastAsia" w:ascii="仿宋_GB2312" w:hAnsi="仿宋_GB2312" w:eastAsia="仿宋_GB2312" w:cs="仿宋_GB2312"/>
          <w:color w:val="auto"/>
          <w:kern w:val="0"/>
          <w:sz w:val="32"/>
          <w:szCs w:val="32"/>
        </w:rPr>
        <w:t>所有收入和支出均纳入部门预算管理。</w:t>
      </w:r>
      <w:r>
        <w:rPr>
          <w:rFonts w:hint="eastAsia" w:ascii="仿宋_GB2312" w:hAnsi="仿宋_GB2312" w:eastAsia="仿宋_GB2312" w:cs="仿宋_GB2312"/>
          <w:color w:val="auto"/>
          <w:kern w:val="0"/>
          <w:sz w:val="32"/>
          <w:szCs w:val="32"/>
          <w:shd w:val="clear" w:color="auto" w:fill="FFFFFF"/>
          <w:lang w:val="en-US" w:eastAsia="zh-CN"/>
        </w:rPr>
        <w:t>2024年区红十字会根据单位工作需要以及人员经费进行了资金预算，并对除人员基本经费以外的资金依照其使用作用进行细化编制。</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2.资金执行</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基本支出为92.04万元，主要是用于单位职工的工资薪金及各项保险缴费、福利和日常工作时的接待、办公支出，保障单位基本运转。</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项目支出为18.14万元，本单位预算项目2个。主要用于办公设备购置、人道救助物资购置、</w:t>
      </w:r>
      <w:r>
        <w:rPr>
          <w:rFonts w:hint="eastAsia" w:ascii="仿宋_GB2312" w:hAnsi="仿宋_GB2312" w:eastAsia="仿宋_GB2312" w:cs="仿宋_GB2312"/>
          <w:color w:val="auto"/>
          <w:kern w:val="0"/>
          <w:sz w:val="32"/>
          <w:szCs w:val="32"/>
          <w:shd w:val="clear" w:color="auto" w:fill="FFFFFF"/>
          <w:lang w:val="en-US" w:eastAsia="zh-CN"/>
        </w:rPr>
        <w:tab/>
      </w:r>
      <w:r>
        <w:rPr>
          <w:rFonts w:hint="eastAsia" w:ascii="仿宋_GB2312" w:hAnsi="仿宋_GB2312" w:eastAsia="仿宋_GB2312" w:cs="仿宋_GB2312"/>
          <w:color w:val="auto"/>
          <w:kern w:val="0"/>
          <w:sz w:val="32"/>
          <w:szCs w:val="32"/>
          <w:shd w:val="clear" w:color="auto" w:fill="FFFFFF"/>
          <w:lang w:val="en-US" w:eastAsia="zh-CN"/>
        </w:rPr>
        <w:t>应急救灾物资储备和救灾备灾工作。</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3.资金完成</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区红十字会2024年度全面完成区委、区政府规定的和市下达的各项工作任务，年初资金预算精细、明晰，资金使用、量入为出，资金用途与支出要求相匹配，有效提高资金的使用率、合理化。资金支出无违规、预警记录现象。</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4.内部控制管理：我单位严格按照相关文件规定，建立健全单位财务管理制度、单位内控管理制度。</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5.完成结果：资金做到专款专用，资金支付依据和开支标准合法合规。严格执行财经管理制度，依法接受财政、审计等有关部门及社会的监督，不存在违反动态监控规则进行支付的行为；无政府性债务、非税收入；政府采购严格按照采购办法组织实施；无违纪违规行为。</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（二）特定目标类项目绩效分析。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整体情况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区红十字会2024年项目支出为18.14万元，预算项目2个。</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bCs/>
          <w:color w:val="auto"/>
          <w:kern w:val="0"/>
          <w:sz w:val="44"/>
          <w:szCs w:val="32"/>
          <w:shd w:val="clear" w:color="auto" w:fill="FFFFFF"/>
          <w:lang w:val="en-US" w:eastAsia="zh-CN" w:bidi="ar-SA"/>
        </w:rPr>
      </w:pPr>
      <w:r>
        <w:rPr>
          <w:rFonts w:hint="eastAsia" w:ascii="仿宋_GB2312" w:hAnsi="仿宋_GB2312" w:eastAsia="仿宋_GB2312" w:cs="仿宋_GB2312"/>
          <w:b w:val="0"/>
          <w:bCs w:val="0"/>
          <w:color w:val="auto"/>
          <w:kern w:val="0"/>
          <w:sz w:val="32"/>
          <w:szCs w:val="32"/>
          <w:shd w:val="clear" w:color="auto" w:fill="FFFFFF"/>
          <w:lang w:val="en-US" w:eastAsia="zh-CN" w:bidi="ar-SA"/>
        </w:rPr>
        <w:t>保运转</w:t>
      </w:r>
      <w:r>
        <w:rPr>
          <w:rFonts w:hint="eastAsia" w:ascii="仿宋_GB2312" w:hAnsi="仿宋_GB2312" w:eastAsia="仿宋_GB2312" w:cs="仿宋_GB2312"/>
          <w:b w:val="0"/>
          <w:bCs w:val="0"/>
          <w:color w:val="auto"/>
          <w:kern w:val="0"/>
          <w:sz w:val="32"/>
          <w:szCs w:val="32"/>
          <w:shd w:val="clear" w:color="auto" w:fill="FFFFFF"/>
          <w:lang w:val="zh-CN" w:eastAsia="zh-CN" w:bidi="ar-SA"/>
        </w:rPr>
        <w:t>：</w:t>
      </w:r>
      <w:r>
        <w:rPr>
          <w:rFonts w:hint="eastAsia" w:ascii="仿宋_GB2312" w:hAnsi="仿宋_GB2312" w:eastAsia="仿宋_GB2312" w:cs="仿宋_GB2312"/>
          <w:b w:val="0"/>
          <w:bCs w:val="0"/>
          <w:color w:val="auto"/>
          <w:kern w:val="0"/>
          <w:sz w:val="32"/>
          <w:szCs w:val="32"/>
          <w:shd w:val="clear" w:color="auto" w:fill="FFFFFF"/>
          <w:lang w:val="en-US" w:eastAsia="zh-CN" w:bidi="ar-SA"/>
        </w:rPr>
        <w:t>2024年保运转</w:t>
      </w:r>
      <w:r>
        <w:rPr>
          <w:rFonts w:hint="eastAsia" w:ascii="仿宋_GB2312" w:hAnsi="仿宋_GB2312" w:eastAsia="仿宋_GB2312" w:cs="仿宋_GB2312"/>
          <w:b w:val="0"/>
          <w:bCs w:val="0"/>
          <w:color w:val="auto"/>
          <w:kern w:val="0"/>
          <w:sz w:val="32"/>
          <w:szCs w:val="32"/>
          <w:shd w:val="clear" w:color="auto" w:fill="FFFFFF"/>
          <w:lang w:val="zh-CN" w:eastAsia="zh-CN" w:bidi="ar-SA"/>
        </w:rPr>
        <w:t>经费支出</w:t>
      </w:r>
      <w:r>
        <w:rPr>
          <w:rFonts w:hint="eastAsia" w:ascii="仿宋_GB2312" w:hAnsi="仿宋_GB2312" w:eastAsia="仿宋_GB2312" w:cs="仿宋_GB2312"/>
          <w:b w:val="0"/>
          <w:bCs w:val="0"/>
          <w:color w:val="auto"/>
          <w:kern w:val="0"/>
          <w:sz w:val="32"/>
          <w:szCs w:val="32"/>
          <w:shd w:val="clear" w:color="auto" w:fill="FFFFFF"/>
          <w:lang w:val="en-US" w:eastAsia="zh-CN" w:bidi="ar-SA"/>
        </w:rPr>
        <w:t>4.11万元。用于</w:t>
      </w:r>
      <w:r>
        <w:rPr>
          <w:rFonts w:hint="eastAsia" w:ascii="仿宋_GB2312" w:hAnsi="仿宋_GB2312" w:eastAsia="仿宋_GB2312" w:cs="仿宋_GB2312"/>
          <w:b w:val="0"/>
          <w:bCs w:val="0"/>
          <w:color w:val="auto"/>
          <w:kern w:val="0"/>
          <w:sz w:val="32"/>
          <w:szCs w:val="32"/>
          <w:shd w:val="clear" w:color="auto" w:fill="FFFFFF"/>
          <w:lang w:val="zh-CN" w:eastAsia="zh-CN" w:bidi="ar-SA"/>
        </w:rPr>
        <w:t>保障红十字会</w:t>
      </w:r>
      <w:r>
        <w:rPr>
          <w:rFonts w:hint="eastAsia" w:ascii="仿宋_GB2312" w:hAnsi="仿宋_GB2312" w:eastAsia="仿宋_GB2312" w:cs="仿宋_GB2312"/>
          <w:b w:val="0"/>
          <w:bCs w:val="0"/>
          <w:color w:val="auto"/>
          <w:kern w:val="0"/>
          <w:sz w:val="32"/>
          <w:szCs w:val="32"/>
          <w:shd w:val="clear" w:color="auto" w:fill="FFFFFF"/>
          <w:lang w:val="en-US" w:eastAsia="zh-CN" w:bidi="ar-SA"/>
        </w:rPr>
        <w:t>工作</w:t>
      </w:r>
      <w:r>
        <w:rPr>
          <w:rFonts w:hint="eastAsia" w:ascii="仿宋_GB2312" w:hAnsi="仿宋_GB2312" w:eastAsia="仿宋_GB2312" w:cs="仿宋_GB2312"/>
          <w:b w:val="0"/>
          <w:bCs w:val="0"/>
          <w:color w:val="auto"/>
          <w:kern w:val="0"/>
          <w:sz w:val="32"/>
          <w:szCs w:val="32"/>
          <w:shd w:val="clear" w:color="auto" w:fill="FFFFFF"/>
          <w:lang w:val="zh-CN" w:eastAsia="zh-CN" w:bidi="ar-SA"/>
        </w:rPr>
        <w:t>正常运转，更好的开展救援、救灾的相关工作；开展应急救护培训；参与、推动无偿献血、遗体和人体器</w:t>
      </w:r>
      <w:r>
        <w:rPr>
          <w:rFonts w:hint="eastAsia" w:ascii="仿宋_GB2312" w:hAnsi="仿宋_GB2312" w:eastAsia="仿宋_GB2312" w:cs="仿宋_GB2312"/>
          <w:b w:val="0"/>
          <w:bCs w:val="0"/>
          <w:color w:val="auto"/>
          <w:kern w:val="2"/>
          <w:sz w:val="32"/>
          <w:szCs w:val="32"/>
          <w:lang w:val="zh-CN" w:eastAsia="zh-CN" w:bidi="ar-SA"/>
        </w:rPr>
        <w:t>官捐献工作。</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zh-CN"/>
        </w:rPr>
      </w:pPr>
      <w:r>
        <w:rPr>
          <w:rFonts w:hint="eastAsia" w:ascii="仿宋_GB2312" w:hAnsi="仿宋_GB2312" w:eastAsia="仿宋_GB2312" w:cs="仿宋_GB2312"/>
          <w:color w:val="auto"/>
          <w:kern w:val="0"/>
          <w:sz w:val="32"/>
          <w:szCs w:val="32"/>
          <w:shd w:val="clear" w:color="auto" w:fill="FFFFFF"/>
          <w:lang w:val="en-US" w:eastAsia="zh-CN"/>
        </w:rPr>
        <w:t>救灾备灾：2024年备灾救灾经费支出14.03万元，用于开展备灾救灾工作，建立红十字应急救援体系，开展人道救助、应急救护培训，救灾物资储备、普及应急救护、防灾避险和卫生健康知识。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50</w:t>
      </w:r>
      <w:r>
        <w:rPr>
          <w:rFonts w:hint="eastAsia" w:ascii="仿宋_GB2312" w:hAnsi="仿宋_GB2312" w:eastAsia="仿宋_GB2312" w:cs="仿宋_GB2312"/>
          <w:color w:val="auto"/>
          <w:kern w:val="0"/>
          <w:sz w:val="32"/>
          <w:szCs w:val="32"/>
          <w:shd w:val="clear" w:color="auto" w:fill="FFFFFF"/>
          <w:lang w:val="zh-CN"/>
        </w:rPr>
        <w:t>万以上项目：</w:t>
      </w:r>
      <w:r>
        <w:rPr>
          <w:rFonts w:hint="eastAsia" w:ascii="仿宋_GB2312" w:hAnsi="仿宋_GB2312" w:eastAsia="仿宋_GB2312" w:cs="仿宋_GB2312"/>
          <w:color w:val="auto"/>
          <w:kern w:val="0"/>
          <w:sz w:val="32"/>
          <w:szCs w:val="32"/>
          <w:shd w:val="clear" w:color="auto" w:fill="FFFFFF"/>
          <w:lang w:val="en-US" w:eastAsia="zh-CN"/>
        </w:rPr>
        <w:t>无</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lang w:val="zh-CN"/>
        </w:rPr>
      </w:pPr>
      <w:r>
        <w:rPr>
          <w:rFonts w:hint="eastAsia" w:ascii="黑体" w:hAnsi="黑体" w:eastAsia="黑体" w:cs="黑体"/>
          <w:color w:val="auto"/>
          <w:kern w:val="0"/>
          <w:sz w:val="32"/>
          <w:szCs w:val="32"/>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信息公开：在规定时间内将报告于政府门户网站上进行公开，对于今年的绩效评价结果，我会将严格用于明年度的预算安排。</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自评质量：2024年部门预算编制合理，各项目标按计划、进度执行，各项经费开支按预算实施，财政收支平衡，达到预期绩效目标。</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整改反馈：经过自查，内部控制制度存在不完善等问题，本单位立即进行了修改、完善，保证制度的建立健全。</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zh-CN"/>
        </w:rPr>
      </w:pPr>
      <w:r>
        <w:rPr>
          <w:rFonts w:hint="eastAsia" w:ascii="仿宋_GB2312" w:hAnsi="仿宋_GB2312" w:eastAsia="仿宋_GB2312" w:cs="仿宋_GB2312"/>
          <w:color w:val="auto"/>
          <w:kern w:val="0"/>
          <w:sz w:val="32"/>
          <w:szCs w:val="32"/>
          <w:shd w:val="clear" w:color="auto" w:fill="FFFFFF"/>
          <w:lang w:val="en-US" w:eastAsia="zh-CN"/>
        </w:rPr>
        <w:t>区</w:t>
      </w:r>
      <w:r>
        <w:rPr>
          <w:rFonts w:hint="eastAsia" w:ascii="仿宋_GB2312" w:hAnsi="仿宋_GB2312" w:eastAsia="仿宋_GB2312" w:cs="仿宋_GB2312"/>
          <w:color w:val="auto"/>
          <w:kern w:val="0"/>
          <w:sz w:val="32"/>
          <w:szCs w:val="32"/>
          <w:shd w:val="clear" w:color="auto" w:fill="FFFFFF"/>
          <w:lang w:val="zh-CN" w:eastAsia="zh-CN"/>
        </w:rPr>
        <w:t>红十字会根据《</w:t>
      </w:r>
      <w:r>
        <w:rPr>
          <w:rFonts w:hint="eastAsia" w:ascii="仿宋_GB2312" w:hAnsi="仿宋_GB2312" w:eastAsia="仿宋_GB2312" w:cs="仿宋_GB2312"/>
          <w:color w:val="auto"/>
          <w:kern w:val="0"/>
          <w:sz w:val="32"/>
          <w:szCs w:val="32"/>
          <w:shd w:val="clear" w:color="auto" w:fill="FFFFFF"/>
          <w:lang w:val="en-US" w:eastAsia="zh-CN"/>
        </w:rPr>
        <w:t>金口河区</w:t>
      </w:r>
      <w:r>
        <w:rPr>
          <w:rFonts w:hint="eastAsia" w:ascii="仿宋_GB2312" w:hAnsi="仿宋_GB2312" w:eastAsia="仿宋_GB2312" w:cs="仿宋_GB2312"/>
          <w:color w:val="auto"/>
          <w:kern w:val="0"/>
          <w:sz w:val="32"/>
          <w:szCs w:val="32"/>
          <w:shd w:val="clear" w:color="auto" w:fill="FFFFFF"/>
          <w:lang w:val="zh-CN" w:eastAsia="zh-CN"/>
        </w:rPr>
        <w:t>财政局关于开展20</w:t>
      </w:r>
      <w:r>
        <w:rPr>
          <w:rFonts w:hint="eastAsia" w:ascii="仿宋_GB2312" w:hAnsi="仿宋_GB2312" w:eastAsia="仿宋_GB2312" w:cs="仿宋_GB2312"/>
          <w:color w:val="auto"/>
          <w:kern w:val="0"/>
          <w:sz w:val="32"/>
          <w:szCs w:val="32"/>
          <w:shd w:val="clear" w:color="auto" w:fill="FFFFFF"/>
          <w:lang w:val="en-US" w:eastAsia="zh-CN"/>
        </w:rPr>
        <w:t>24</w:t>
      </w:r>
      <w:r>
        <w:rPr>
          <w:rFonts w:hint="eastAsia" w:ascii="仿宋_GB2312" w:hAnsi="仿宋_GB2312" w:eastAsia="仿宋_GB2312" w:cs="仿宋_GB2312"/>
          <w:color w:val="auto"/>
          <w:kern w:val="0"/>
          <w:sz w:val="32"/>
          <w:szCs w:val="32"/>
          <w:shd w:val="clear" w:color="auto" w:fill="FFFFFF"/>
          <w:lang w:val="zh-CN" w:eastAsia="zh-CN"/>
        </w:rPr>
        <w:t>年部门整体、项目和政策支出绩效评价工作的通知》文件精神，</w:t>
      </w:r>
      <w:r>
        <w:rPr>
          <w:rFonts w:hint="eastAsia" w:ascii="仿宋_GB2312" w:hAnsi="仿宋_GB2312" w:eastAsia="仿宋_GB2312" w:cs="仿宋_GB2312"/>
          <w:color w:val="auto"/>
          <w:kern w:val="0"/>
          <w:sz w:val="32"/>
          <w:szCs w:val="32"/>
          <w:shd w:val="clear" w:color="auto" w:fill="FFFFFF"/>
          <w:lang w:val="en-US" w:eastAsia="zh-CN"/>
        </w:rPr>
        <w:t>认真组织开展了对本部门整体支出绩效评价工作，经对本部门整体绩效综合自评，绩效评价</w:t>
      </w:r>
      <w:r>
        <w:rPr>
          <w:rFonts w:hint="eastAsia" w:ascii="仿宋_GB2312" w:hAnsi="仿宋_GB2312" w:eastAsia="仿宋_GB2312" w:cs="仿宋_GB2312"/>
          <w:color w:val="auto"/>
          <w:kern w:val="0"/>
          <w:sz w:val="32"/>
          <w:szCs w:val="32"/>
          <w:shd w:val="clear" w:color="auto" w:fill="FFFFFF"/>
          <w:lang w:val="zh-CN" w:eastAsia="zh-CN"/>
        </w:rPr>
        <w:t>得分：</w:t>
      </w:r>
      <w:r>
        <w:rPr>
          <w:rFonts w:hint="eastAsia" w:ascii="仿宋_GB2312" w:hAnsi="仿宋_GB2312" w:eastAsia="仿宋_GB2312" w:cs="仿宋_GB2312"/>
          <w:color w:val="auto"/>
          <w:kern w:val="0"/>
          <w:sz w:val="32"/>
          <w:szCs w:val="32"/>
          <w:shd w:val="clear" w:color="auto" w:fill="FFFFFF"/>
          <w:lang w:val="en-US" w:eastAsia="zh-CN"/>
        </w:rPr>
        <w:t>93</w:t>
      </w:r>
      <w:r>
        <w:rPr>
          <w:rFonts w:hint="eastAsia" w:ascii="仿宋_GB2312" w:hAnsi="仿宋_GB2312" w:eastAsia="仿宋_GB2312" w:cs="仿宋_GB2312"/>
          <w:color w:val="auto"/>
          <w:kern w:val="0"/>
          <w:sz w:val="32"/>
          <w:szCs w:val="32"/>
          <w:shd w:val="clear" w:color="auto" w:fill="FFFFFF"/>
          <w:lang w:val="zh-CN" w:eastAsia="zh-CN"/>
        </w:rPr>
        <w:t>分，评价结果：优。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en-US" w:eastAsia="zh-CN"/>
        </w:rPr>
        <w:t>（二）</w:t>
      </w:r>
      <w:r>
        <w:rPr>
          <w:rFonts w:hint="eastAsia" w:ascii="楷体_GB2312" w:hAnsi="楷体_GB2312" w:eastAsia="楷体_GB2312" w:cs="楷体_GB2312"/>
          <w:color w:val="auto"/>
          <w:kern w:val="0"/>
          <w:sz w:val="32"/>
          <w:szCs w:val="32"/>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预算编制有待更精准。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w:t>
      </w:r>
      <w:r>
        <w:rPr>
          <w:rFonts w:hint="eastAsia" w:ascii="楷体_GB2312" w:hAnsi="楷体_GB2312" w:eastAsia="楷体_GB2312" w:cs="楷体_GB2312"/>
          <w:color w:val="auto"/>
          <w:kern w:val="0"/>
          <w:sz w:val="32"/>
          <w:szCs w:val="32"/>
          <w:shd w:val="clear" w:color="auto" w:fill="FFFFFF"/>
          <w:lang w:val="en-US" w:eastAsia="zh-CN"/>
        </w:rPr>
        <w:t>三</w:t>
      </w:r>
      <w:r>
        <w:rPr>
          <w:rFonts w:hint="eastAsia" w:ascii="楷体_GB2312" w:hAnsi="楷体_GB2312" w:eastAsia="楷体_GB2312" w:cs="楷体_GB2312"/>
          <w:color w:val="auto"/>
          <w:kern w:val="0"/>
          <w:sz w:val="32"/>
          <w:szCs w:val="32"/>
          <w:shd w:val="clear" w:color="auto" w:fill="FFFFFF"/>
          <w:lang w:val="zh-CN"/>
        </w:rPr>
        <w:t>）改进建议。</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eastAsia="zh-CN"/>
        </w:rPr>
      </w:pP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eastAsia="zh-CN"/>
        </w:rPr>
        <w:t>加大对资金的预算精准度和使用前瞻性预算。</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2.进一步完善各项内部控制制度，加大对资金风险点的排查。</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420" w:firstLineChars="200"/>
        <w:contextualSpacing/>
        <w:jc w:val="left"/>
        <w:textAlignment w:val="auto"/>
        <w:rPr>
          <w:rFonts w:hint="eastAsia" w:ascii="仿宋_GB2312" w:hAnsi="宋体" w:eastAsia="仿宋_GB2312" w:cs="宋体"/>
          <w:color w:val="auto"/>
          <w:kern w:val="0"/>
          <w:szCs w:val="32"/>
          <w:shd w:val="clear" w:color="auto" w:fill="FFFFFF"/>
          <w:lang w:val="zh-CN" w:eastAsia="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widowControl/>
        <w:jc w:val="center"/>
        <w:rPr>
          <w:rFonts w:hint="eastAsia" w:ascii="Times New Roman" w:hAnsi="Times New Roman" w:eastAsia="黑体"/>
          <w:color w:val="auto"/>
          <w:sz w:val="44"/>
          <w:szCs w:val="44"/>
          <w:highlight w:val="none"/>
        </w:rPr>
      </w:pPr>
      <w:bookmarkStart w:id="47" w:name="_Toc15396618"/>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五部分 附表</w:t>
      </w:r>
      <w:bookmarkEnd w:id="45"/>
      <w:bookmarkEnd w:id="47"/>
      <w:bookmarkStart w:id="48"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0"/>
      <w:r>
        <w:rPr>
          <w:rFonts w:hint="eastAsia" w:ascii="Times New Roman" w:hAnsi="Times New Roman" w:eastAsia="仿宋_GB2312" w:cs="仿宋_GB2312"/>
          <w:color w:val="auto"/>
          <w:sz w:val="32"/>
          <w:szCs w:val="32"/>
          <w:highlight w:val="none"/>
        </w:rPr>
        <w:t>二、收入决算表</w:t>
      </w:r>
      <w:bookmarkEnd w:id="4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1"/>
      <w:r>
        <w:rPr>
          <w:rFonts w:hint="eastAsia" w:ascii="Times New Roman" w:hAnsi="Times New Roman" w:eastAsia="仿宋_GB2312" w:cs="仿宋_GB2312"/>
          <w:color w:val="auto"/>
          <w:sz w:val="32"/>
          <w:szCs w:val="32"/>
          <w:highlight w:val="none"/>
        </w:rPr>
        <w:t>三、支出决算表</w:t>
      </w:r>
      <w:bookmarkEnd w:id="5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2"/>
      <w:r>
        <w:rPr>
          <w:rFonts w:hint="eastAsia" w:ascii="Times New Roman" w:hAnsi="Times New Roman" w:eastAsia="仿宋_GB2312" w:cs="仿宋_GB2312"/>
          <w:color w:val="auto"/>
          <w:sz w:val="32"/>
          <w:szCs w:val="32"/>
          <w:highlight w:val="none"/>
        </w:rPr>
        <w:t>四、财政拨款收入支出决算总表</w:t>
      </w:r>
      <w:bookmarkEnd w:id="5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3"/>
      <w:r>
        <w:rPr>
          <w:rFonts w:hint="eastAsia" w:ascii="Times New Roman" w:hAnsi="Times New Roman" w:eastAsia="仿宋_GB2312" w:cs="仿宋_GB2312"/>
          <w:color w:val="auto"/>
          <w:sz w:val="32"/>
          <w:szCs w:val="32"/>
          <w:highlight w:val="none"/>
        </w:rPr>
        <w:t>五、财政拨款支出决算明细表</w:t>
      </w:r>
      <w:bookmarkEnd w:id="52"/>
      <w:bookmarkStart w:id="53"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5"/>
      <w:r>
        <w:rPr>
          <w:rFonts w:hint="eastAsia" w:ascii="Times New Roman" w:hAnsi="Times New Roman" w:eastAsia="仿宋_GB2312" w:cs="仿宋_GB2312"/>
          <w:color w:val="auto"/>
          <w:sz w:val="32"/>
          <w:szCs w:val="32"/>
          <w:highlight w:val="none"/>
        </w:rPr>
        <w:t>七、一般公共预算财政拨款支出决算明细表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6"/>
      <w:r>
        <w:rPr>
          <w:rFonts w:hint="eastAsia" w:ascii="Times New Roman" w:hAnsi="Times New Roman" w:eastAsia="仿宋_GB2312" w:cs="仿宋_GB2312"/>
          <w:color w:val="auto"/>
          <w:sz w:val="32"/>
          <w:szCs w:val="32"/>
          <w:highlight w:val="none"/>
        </w:rPr>
        <w:t>八、一般公共预算财政拨款基本支出决算表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7"/>
      <w:r>
        <w:rPr>
          <w:rFonts w:hint="eastAsia" w:ascii="Times New Roman" w:hAnsi="Times New Roman" w:eastAsia="仿宋_GB2312" w:cs="仿宋_GB2312"/>
          <w:color w:val="auto"/>
          <w:sz w:val="32"/>
          <w:szCs w:val="32"/>
          <w:highlight w:val="none"/>
        </w:rPr>
        <w:t>九、一般公共预算财政拨款项目支出决算表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8"/>
      <w:r>
        <w:rPr>
          <w:rFonts w:hint="eastAsia" w:ascii="Times New Roman" w:hAnsi="Times New Roman" w:eastAsia="仿宋_GB2312" w:cs="仿宋_GB2312"/>
          <w:color w:val="auto"/>
          <w:sz w:val="32"/>
          <w:szCs w:val="32"/>
          <w:highlight w:val="none"/>
        </w:rPr>
        <w:t>十、</w:t>
      </w:r>
      <w:bookmarkEnd w:id="57"/>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9"/>
      <w:r>
        <w:rPr>
          <w:rFonts w:hint="eastAsia" w:ascii="Times New Roman" w:hAnsi="Times New Roman" w:eastAsia="仿宋_GB2312" w:cs="仿宋_GB2312"/>
          <w:color w:val="auto"/>
          <w:sz w:val="32"/>
          <w:szCs w:val="32"/>
          <w:highlight w:val="none"/>
        </w:rPr>
        <w:t>十一、</w:t>
      </w:r>
      <w:bookmarkEnd w:id="58"/>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30"/>
      <w:r>
        <w:rPr>
          <w:rFonts w:hint="eastAsia" w:ascii="Times New Roman" w:hAnsi="Times New Roman" w:eastAsia="仿宋_GB2312" w:cs="仿宋_GB2312"/>
          <w:color w:val="auto"/>
          <w:sz w:val="32"/>
          <w:szCs w:val="32"/>
          <w:highlight w:val="none"/>
        </w:rPr>
        <w:t>十二、</w:t>
      </w:r>
      <w:bookmarkEnd w:id="59"/>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0" w:name="_Toc15396631"/>
      <w:r>
        <w:rPr>
          <w:rFonts w:hint="eastAsia" w:ascii="Times New Roman" w:hAnsi="Times New Roman" w:eastAsia="仿宋_GB2312" w:cs="仿宋_GB2312"/>
          <w:color w:val="auto"/>
          <w:sz w:val="32"/>
          <w:szCs w:val="32"/>
          <w:highlight w:val="none"/>
        </w:rPr>
        <w:t>十三、</w:t>
      </w:r>
      <w:bookmarkEnd w:id="60"/>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7" w:type="first"/>
      <w:footerReference r:id="rId6"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A2B"/>
    <w:multiLevelType w:val="singleLevel"/>
    <w:tmpl w:val="26B40A2B"/>
    <w:lvl w:ilvl="0" w:tentative="0">
      <w:start w:val="1"/>
      <w:numFmt w:val="chineseCounting"/>
      <w:suff w:val="nothing"/>
      <w:lvlText w:val="%1、"/>
      <w:lvlJc w:val="left"/>
      <w:pPr>
        <w:ind w:left="840"/>
      </w:pPr>
      <w:rPr>
        <w:rFonts w:hint="eastAsia"/>
      </w:rPr>
    </w:lvl>
  </w:abstractNum>
  <w:abstractNum w:abstractNumId="1">
    <w:nsid w:val="683C035B"/>
    <w:multiLevelType w:val="singleLevel"/>
    <w:tmpl w:val="683C035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zg2NGU0NDk2NjQ5NzIxYTkyZjc0MmQyY2M0N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C40969"/>
    <w:rsid w:val="02FEBE30"/>
    <w:rsid w:val="04916F1E"/>
    <w:rsid w:val="05C173E2"/>
    <w:rsid w:val="061E35DE"/>
    <w:rsid w:val="066E0107"/>
    <w:rsid w:val="07211D1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C98289E"/>
    <w:rsid w:val="1D155CEE"/>
    <w:rsid w:val="1D1638FE"/>
    <w:rsid w:val="1D5805A3"/>
    <w:rsid w:val="1DF1288B"/>
    <w:rsid w:val="1E312DEB"/>
    <w:rsid w:val="1E740ACF"/>
    <w:rsid w:val="1E9D0594"/>
    <w:rsid w:val="1FF35744"/>
    <w:rsid w:val="1FF6BC77"/>
    <w:rsid w:val="2186353C"/>
    <w:rsid w:val="23860B96"/>
    <w:rsid w:val="240371BF"/>
    <w:rsid w:val="244F3473"/>
    <w:rsid w:val="24C97D99"/>
    <w:rsid w:val="25A718F0"/>
    <w:rsid w:val="25BB59F6"/>
    <w:rsid w:val="260F557C"/>
    <w:rsid w:val="268362C1"/>
    <w:rsid w:val="26970054"/>
    <w:rsid w:val="281408E2"/>
    <w:rsid w:val="29FD04D3"/>
    <w:rsid w:val="2A16744D"/>
    <w:rsid w:val="2AAD1B5F"/>
    <w:rsid w:val="2BFF7BC6"/>
    <w:rsid w:val="2C8A61B5"/>
    <w:rsid w:val="2DF04E50"/>
    <w:rsid w:val="2E586DFA"/>
    <w:rsid w:val="2E76495E"/>
    <w:rsid w:val="2F040D46"/>
    <w:rsid w:val="2F6B035B"/>
    <w:rsid w:val="2FAE5751"/>
    <w:rsid w:val="2FB1A395"/>
    <w:rsid w:val="2FD9A7D8"/>
    <w:rsid w:val="2FDBF714"/>
    <w:rsid w:val="30AB6865"/>
    <w:rsid w:val="319F7F4E"/>
    <w:rsid w:val="32BD1EF1"/>
    <w:rsid w:val="3304709D"/>
    <w:rsid w:val="33A773CB"/>
    <w:rsid w:val="33FC76B3"/>
    <w:rsid w:val="349D6851"/>
    <w:rsid w:val="36AA5135"/>
    <w:rsid w:val="36BE0DA7"/>
    <w:rsid w:val="376B6AA6"/>
    <w:rsid w:val="376D39B2"/>
    <w:rsid w:val="37B502A5"/>
    <w:rsid w:val="37E16F03"/>
    <w:rsid w:val="37F53A3B"/>
    <w:rsid w:val="389B6C89"/>
    <w:rsid w:val="38D469F0"/>
    <w:rsid w:val="39627CCD"/>
    <w:rsid w:val="397BAF1F"/>
    <w:rsid w:val="3AB79AF3"/>
    <w:rsid w:val="3AE834C0"/>
    <w:rsid w:val="3B7EF35A"/>
    <w:rsid w:val="3B9FDB6C"/>
    <w:rsid w:val="3BF5BC2F"/>
    <w:rsid w:val="3C37572C"/>
    <w:rsid w:val="3CEBA265"/>
    <w:rsid w:val="3D98207C"/>
    <w:rsid w:val="3DEE7CF3"/>
    <w:rsid w:val="3E740A63"/>
    <w:rsid w:val="3E78745D"/>
    <w:rsid w:val="3EE17838"/>
    <w:rsid w:val="3F55381A"/>
    <w:rsid w:val="3F7F7599"/>
    <w:rsid w:val="3FF4CAE0"/>
    <w:rsid w:val="3FF7B227"/>
    <w:rsid w:val="44BD69EB"/>
    <w:rsid w:val="44E268DA"/>
    <w:rsid w:val="450D13D7"/>
    <w:rsid w:val="45506656"/>
    <w:rsid w:val="45EA380F"/>
    <w:rsid w:val="47902473"/>
    <w:rsid w:val="486A6C7A"/>
    <w:rsid w:val="493F3E72"/>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CC5D8D"/>
    <w:rsid w:val="56E47B74"/>
    <w:rsid w:val="57175D52"/>
    <w:rsid w:val="57BD3DD4"/>
    <w:rsid w:val="5A5F6122"/>
    <w:rsid w:val="5AF92295"/>
    <w:rsid w:val="5B022F52"/>
    <w:rsid w:val="5B250254"/>
    <w:rsid w:val="5BDD79E6"/>
    <w:rsid w:val="5BF561CA"/>
    <w:rsid w:val="5BFF5DFC"/>
    <w:rsid w:val="5C2F7D76"/>
    <w:rsid w:val="5CCB6CBB"/>
    <w:rsid w:val="5CD71FC4"/>
    <w:rsid w:val="5D1F11B5"/>
    <w:rsid w:val="5D695134"/>
    <w:rsid w:val="5DAE1B18"/>
    <w:rsid w:val="5DE7D9E5"/>
    <w:rsid w:val="5E8343A9"/>
    <w:rsid w:val="5ECEC941"/>
    <w:rsid w:val="5FBF9FF3"/>
    <w:rsid w:val="5FCD4E2C"/>
    <w:rsid w:val="5FEF394A"/>
    <w:rsid w:val="5FF67715"/>
    <w:rsid w:val="61227EAA"/>
    <w:rsid w:val="62BF3928"/>
    <w:rsid w:val="632A1297"/>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025602"/>
    <w:rsid w:val="712A28F1"/>
    <w:rsid w:val="715C0E4B"/>
    <w:rsid w:val="71992E7C"/>
    <w:rsid w:val="72233669"/>
    <w:rsid w:val="72734D90"/>
    <w:rsid w:val="729130E1"/>
    <w:rsid w:val="73160E6D"/>
    <w:rsid w:val="7332FE48"/>
    <w:rsid w:val="73AB61DA"/>
    <w:rsid w:val="73AD73D5"/>
    <w:rsid w:val="73B6EB34"/>
    <w:rsid w:val="73FA497D"/>
    <w:rsid w:val="744731E5"/>
    <w:rsid w:val="74BBD01D"/>
    <w:rsid w:val="74ED5379"/>
    <w:rsid w:val="75842A89"/>
    <w:rsid w:val="759727BC"/>
    <w:rsid w:val="75DEEEC2"/>
    <w:rsid w:val="75E32345"/>
    <w:rsid w:val="76E3355F"/>
    <w:rsid w:val="76FF5125"/>
    <w:rsid w:val="776F6FFA"/>
    <w:rsid w:val="778769C8"/>
    <w:rsid w:val="77A75DCA"/>
    <w:rsid w:val="77DC22F5"/>
    <w:rsid w:val="783E271A"/>
    <w:rsid w:val="78616DE9"/>
    <w:rsid w:val="78E875D7"/>
    <w:rsid w:val="79086DAD"/>
    <w:rsid w:val="790A14F7"/>
    <w:rsid w:val="79D7FD79"/>
    <w:rsid w:val="79EE5BA4"/>
    <w:rsid w:val="7A894339"/>
    <w:rsid w:val="7AD284E8"/>
    <w:rsid w:val="7AFF7572"/>
    <w:rsid w:val="7B6C7DFB"/>
    <w:rsid w:val="7BBFBED0"/>
    <w:rsid w:val="7BC3E394"/>
    <w:rsid w:val="7C1F3737"/>
    <w:rsid w:val="7CBFC87B"/>
    <w:rsid w:val="7CFE0F48"/>
    <w:rsid w:val="7D272ABC"/>
    <w:rsid w:val="7D480840"/>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Arial" w:hAnsi="Arial" w:cs="Arial"/>
      <w:b/>
      <w:bCs/>
      <w:sz w:val="32"/>
      <w:szCs w:val="32"/>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9"/>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23&#20915;&#31639;\&#24188;&#20799;&#25945;&#24072;&#24037;&#3616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2023&#20915;&#31639;\&#24188;&#20799;&#25945;&#24072;&#24037;&#3616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2023&#20915;&#31639;\&#24188;&#20799;&#25945;&#24072;&#24037;&#3616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023&#20915;&#31639;\&#24188;&#20799;&#25945;&#24072;&#24037;&#3616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023&#20915;&#31639;\&#24188;&#20799;&#25945;&#24072;&#24037;&#3616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2023&#20915;&#31639;\&#24188;&#20799;&#25945;&#24072;&#24037;&#3616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509_&#31246;&#27454;&#35745;&#31639;_&#21171;&#21153;&#25253;&#3722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r>
              <a:rPr lang="en-US" altLang="zh-CN"/>
              <a:t>                                     </a:t>
            </a:r>
            <a:r>
              <a:t>（单位：万元）</a:t>
            </a:r>
          </a:p>
        </c:rich>
      </c:tx>
      <c:layout>
        <c:manualLayout>
          <c:xMode val="edge"/>
          <c:yMode val="edge"/>
          <c:x val="0.2825"/>
          <c:y val="0.055739058629232"/>
        </c:manualLayout>
      </c:layout>
      <c:overlay val="0"/>
      <c:spPr>
        <a:noFill/>
        <a:ln>
          <a:noFill/>
        </a:ln>
        <a:effectLst/>
      </c:spPr>
    </c:title>
    <c:autoTitleDeleted val="0"/>
    <c:plotArea>
      <c:layout/>
      <c:barChart>
        <c:barDir val="col"/>
        <c:grouping val="clustered"/>
        <c:varyColors val="0"/>
        <c:ser>
          <c:idx val="0"/>
          <c:order val="0"/>
          <c:tx>
            <c:strRef>
              <c:f>[幼儿教师工资.xlsx]Sheet2!$A$2</c:f>
              <c:strCache>
                <c:ptCount val="1"/>
                <c:pt idx="0">
                  <c:v>2023</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delete val="1"/>
          </c:dLbls>
          <c:cat>
            <c:strRef>
              <c:f>[幼儿教师工资.xlsx]Sheet2!$B$1:$C$1</c:f>
              <c:strCache>
                <c:ptCount val="2"/>
                <c:pt idx="0">
                  <c:v>收入</c:v>
                </c:pt>
                <c:pt idx="1">
                  <c:v>支出</c:v>
                </c:pt>
              </c:strCache>
            </c:strRef>
          </c:cat>
          <c:val>
            <c:numRef>
              <c:f>[幼儿教师工资.xlsx]Sheet2!$B$2:$C$2</c:f>
              <c:numCache>
                <c:formatCode>General</c:formatCode>
                <c:ptCount val="2"/>
                <c:pt idx="0">
                  <c:v>97.46</c:v>
                </c:pt>
                <c:pt idx="1">
                  <c:v>97.46</c:v>
                </c:pt>
              </c:numCache>
            </c:numRef>
          </c:val>
        </c:ser>
        <c:ser>
          <c:idx val="1"/>
          <c:order val="1"/>
          <c:tx>
            <c:strRef>
              <c:f>[幼儿教师工资.xlsx]Sheet2!$A$3</c:f>
              <c:strCache>
                <c:ptCount val="1"/>
                <c:pt idx="0">
                  <c:v>2024</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delete val="1"/>
          </c:dLbls>
          <c:cat>
            <c:strRef>
              <c:f>[幼儿教师工资.xlsx]Sheet2!$B$1:$C$1</c:f>
              <c:strCache>
                <c:ptCount val="2"/>
                <c:pt idx="0">
                  <c:v>收入</c:v>
                </c:pt>
                <c:pt idx="1">
                  <c:v>支出</c:v>
                </c:pt>
              </c:strCache>
            </c:strRef>
          </c:cat>
          <c:val>
            <c:numRef>
              <c:f>[幼儿教师工资.xlsx]Sheet2!$B$3:$C$3</c:f>
              <c:numCache>
                <c:formatCode>General</c:formatCode>
                <c:ptCount val="2"/>
                <c:pt idx="0">
                  <c:v>110.17</c:v>
                </c:pt>
                <c:pt idx="1">
                  <c:v>110.17</c:v>
                </c:pt>
              </c:numCache>
            </c:numRef>
          </c:val>
        </c:ser>
        <c:dLbls>
          <c:showLegendKey val="0"/>
          <c:showVal val="0"/>
          <c:showCatName val="0"/>
          <c:showSerName val="0"/>
          <c:showPercent val="0"/>
          <c:showBubbleSize val="0"/>
        </c:dLbls>
        <c:gapWidth val="246"/>
        <c:overlap val="-28"/>
        <c:axId val="270305870"/>
        <c:axId val="137227915"/>
      </c:barChart>
      <c:catAx>
        <c:axId val="2703058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227915"/>
        <c:crosses val="autoZero"/>
        <c:auto val="1"/>
        <c:lblAlgn val="ctr"/>
        <c:lblOffset val="100"/>
        <c:noMultiLvlLbl val="0"/>
      </c:catAx>
      <c:valAx>
        <c:axId val="13722791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30587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4</a:t>
            </a:r>
            <a:r>
              <a:t>年收入决算结构图（单位：万元）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2"/>
              </a:solidFill>
              <a:ln>
                <a:solidFill>
                  <a:schemeClr val="bg1"/>
                </a:solidFill>
              </a:ln>
              <a:effectLst/>
            </c:spPr>
          </c:dPt>
          <c:dPt>
            <c:idx val="1"/>
            <c:bubble3D val="0"/>
            <c:spPr>
              <a:solidFill>
                <a:schemeClr val="accent4"/>
              </a:solidFill>
              <a:ln>
                <a:solidFill>
                  <a:schemeClr val="bg1"/>
                </a:solidFill>
              </a:ln>
              <a:effectLst/>
            </c:spPr>
          </c:dPt>
          <c:dPt>
            <c:idx val="2"/>
            <c:bubble3D val="0"/>
            <c:spPr>
              <a:solidFill>
                <a:schemeClr val="accent6"/>
              </a:solidFill>
              <a:ln>
                <a:solidFill>
                  <a:schemeClr val="bg1"/>
                </a:solidFill>
              </a:ln>
              <a:effectLst/>
            </c:spPr>
          </c:dPt>
          <c:dPt>
            <c:idx val="3"/>
            <c:bubble3D val="0"/>
            <c:spPr>
              <a:solidFill>
                <a:schemeClr val="accent2">
                  <a:lumMod val="60000"/>
                </a:schemeClr>
              </a:solidFill>
              <a:ln>
                <a:solidFill>
                  <a:schemeClr val="bg1"/>
                </a:solidFill>
              </a:ln>
              <a:effectLst/>
            </c:spPr>
          </c:dPt>
          <c:dPt>
            <c:idx val="4"/>
            <c:bubble3D val="0"/>
            <c:spPr>
              <a:solidFill>
                <a:schemeClr val="accent4">
                  <a:lumMod val="60000"/>
                </a:schemeClr>
              </a:solidFill>
              <a:ln>
                <a:solidFill>
                  <a:schemeClr val="bg1"/>
                </a:solidFill>
              </a:ln>
              <a:effectLst/>
            </c:spPr>
          </c:dPt>
          <c:dPt>
            <c:idx val="5"/>
            <c:bubble3D val="0"/>
            <c:spPr>
              <a:solidFill>
                <a:schemeClr val="accent6">
                  <a:lumMod val="60000"/>
                </a:schemeClr>
              </a:solidFill>
              <a:ln>
                <a:solidFill>
                  <a:schemeClr val="bg1"/>
                </a:solidFill>
              </a:ln>
              <a:effectLst/>
            </c:spPr>
          </c:dPt>
          <c:dPt>
            <c:idx val="6"/>
            <c:bubble3D val="0"/>
            <c:spPr>
              <a:solidFill>
                <a:schemeClr val="accent2">
                  <a:lumMod val="80000"/>
                  <a:lumOff val="20000"/>
                </a:schemeClr>
              </a:solidFill>
              <a:ln>
                <a:solidFill>
                  <a:schemeClr val="bg1"/>
                </a:solidFill>
              </a:ln>
              <a:effectLst/>
            </c:spPr>
          </c:dPt>
          <c:dPt>
            <c:idx val="7"/>
            <c:bubble3D val="0"/>
            <c:spPr>
              <a:solidFill>
                <a:schemeClr val="accent4">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[幼儿教师工资.xlsx]Sheet2!$A$62:$H$62</c:f>
              <c:strCache>
                <c:ptCount val="8"/>
                <c:pt idx="0">
                  <c:v>一般公共预算财政拨款</c:v>
                </c:pt>
                <c:pt idx="1">
                  <c:v>政府性基金预算财政拨款</c:v>
                </c:pt>
                <c:pt idx="2">
                  <c:v>国有资本经营预算财政拨款</c:v>
                </c:pt>
                <c:pt idx="3">
                  <c:v>上级补助收入</c:v>
                </c:pt>
                <c:pt idx="4">
                  <c:v>事业收入</c:v>
                </c:pt>
                <c:pt idx="5">
                  <c:v>经营收入</c:v>
                </c:pt>
                <c:pt idx="6">
                  <c:v>附属单位上缴收入</c:v>
                </c:pt>
                <c:pt idx="7">
                  <c:v>其他收入</c:v>
                </c:pt>
              </c:strCache>
            </c:strRef>
          </c:cat>
          <c:val>
            <c:numRef>
              <c:f>[幼儿教师工资.xlsx]Sheet2!$A$63:$H$63</c:f>
              <c:numCache>
                <c:formatCode>General</c:formatCode>
                <c:ptCount val="8"/>
                <c:pt idx="0">
                  <c:v>110.17</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[幼儿教师工资.xlsx]Sheet2!$A$19:$E$19</c:f>
              <c:strCache>
                <c:ptCount val="5"/>
                <c:pt idx="0">
                  <c:v>基本支出</c:v>
                </c:pt>
                <c:pt idx="1">
                  <c:v>项目支出</c:v>
                </c:pt>
                <c:pt idx="2">
                  <c:v>上缴上级支出</c:v>
                </c:pt>
                <c:pt idx="3">
                  <c:v>经营支出</c:v>
                </c:pt>
                <c:pt idx="4">
                  <c:v>对附属单位补助支出</c:v>
                </c:pt>
              </c:strCache>
            </c:strRef>
          </c:cat>
          <c:val>
            <c:numRef>
              <c:f>[幼儿教师工资.xlsx]Sheet2!$A$20:$E$20</c:f>
              <c:numCache>
                <c:formatCode>General</c:formatCode>
                <c:ptCount val="5"/>
                <c:pt idx="0">
                  <c:v>92.04</c:v>
                </c:pt>
                <c:pt idx="1">
                  <c:v>18.14</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r>
              <a:rPr lang="en-US" altLang="zh-CN"/>
              <a:t>                                     </a:t>
            </a:r>
            <a:r>
              <a:t>（单位：万元）</a:t>
            </a:r>
          </a:p>
        </c:rich>
      </c:tx>
      <c:layout>
        <c:manualLayout>
          <c:xMode val="edge"/>
          <c:yMode val="edge"/>
          <c:x val="0.280102256699577"/>
          <c:y val="0.00786782061369001"/>
        </c:manualLayout>
      </c:layout>
      <c:overlay val="0"/>
      <c:spPr>
        <a:noFill/>
        <a:ln>
          <a:noFill/>
        </a:ln>
        <a:effectLst/>
      </c:spPr>
    </c:title>
    <c:autoTitleDeleted val="0"/>
    <c:plotArea>
      <c:layout/>
      <c:barChart>
        <c:barDir val="col"/>
        <c:grouping val="clustered"/>
        <c:varyColors val="0"/>
        <c:ser>
          <c:idx val="0"/>
          <c:order val="0"/>
          <c:tx>
            <c:strRef>
              <c:f>[幼儿教师工资.xlsx]Sheet2!$A$2</c:f>
              <c:strCache>
                <c:ptCount val="1"/>
                <c:pt idx="0">
                  <c:v>2023</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delete val="1"/>
          </c:dLbls>
          <c:cat>
            <c:strRef>
              <c:f>[幼儿教师工资.xlsx]Sheet2!$B$1:$C$1</c:f>
              <c:strCache>
                <c:ptCount val="2"/>
                <c:pt idx="0">
                  <c:v>收入</c:v>
                </c:pt>
                <c:pt idx="1">
                  <c:v>支出</c:v>
                </c:pt>
              </c:strCache>
            </c:strRef>
          </c:cat>
          <c:val>
            <c:numRef>
              <c:f>[幼儿教师工资.xlsx]Sheet2!$B$2:$C$2</c:f>
              <c:numCache>
                <c:formatCode>General</c:formatCode>
                <c:ptCount val="2"/>
                <c:pt idx="0">
                  <c:v>97.46</c:v>
                </c:pt>
                <c:pt idx="1">
                  <c:v>97.46</c:v>
                </c:pt>
              </c:numCache>
            </c:numRef>
          </c:val>
        </c:ser>
        <c:ser>
          <c:idx val="1"/>
          <c:order val="1"/>
          <c:tx>
            <c:strRef>
              <c:f>[幼儿教师工资.xlsx]Sheet2!$A$3</c:f>
              <c:strCache>
                <c:ptCount val="1"/>
                <c:pt idx="0">
                  <c:v>2024</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delete val="1"/>
          </c:dLbls>
          <c:cat>
            <c:strRef>
              <c:f>[幼儿教师工资.xlsx]Sheet2!$B$1:$C$1</c:f>
              <c:strCache>
                <c:ptCount val="2"/>
                <c:pt idx="0">
                  <c:v>收入</c:v>
                </c:pt>
                <c:pt idx="1">
                  <c:v>支出</c:v>
                </c:pt>
              </c:strCache>
            </c:strRef>
          </c:cat>
          <c:val>
            <c:numRef>
              <c:f>[幼儿教师工资.xlsx]Sheet2!$B$3:$C$3</c:f>
              <c:numCache>
                <c:formatCode>General</c:formatCode>
                <c:ptCount val="2"/>
                <c:pt idx="0">
                  <c:v>110.17</c:v>
                </c:pt>
                <c:pt idx="1">
                  <c:v>110.17</c:v>
                </c:pt>
              </c:numCache>
            </c:numRef>
          </c:val>
        </c:ser>
        <c:dLbls>
          <c:showLegendKey val="0"/>
          <c:showVal val="0"/>
          <c:showCatName val="0"/>
          <c:showSerName val="0"/>
          <c:showPercent val="0"/>
          <c:showBubbleSize val="0"/>
        </c:dLbls>
        <c:gapWidth val="246"/>
        <c:overlap val="-28"/>
        <c:axId val="270305870"/>
        <c:axId val="137227915"/>
      </c:barChart>
      <c:catAx>
        <c:axId val="2703058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227915"/>
        <c:crosses val="autoZero"/>
        <c:auto val="1"/>
        <c:lblAlgn val="ctr"/>
        <c:lblOffset val="100"/>
        <c:noMultiLvlLbl val="0"/>
      </c:catAx>
      <c:valAx>
        <c:axId val="13722791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30587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      （单位：万元）</a:t>
            </a:r>
          </a:p>
        </c:rich>
      </c:tx>
      <c:layout>
        <c:manualLayout>
          <c:xMode val="edge"/>
          <c:yMode val="edge"/>
          <c:x val="0.205968699544674"/>
          <c:y val="0.0490064686751725"/>
        </c:manualLayout>
      </c:layout>
      <c:overlay val="0"/>
      <c:spPr>
        <a:noFill/>
        <a:ln>
          <a:noFill/>
        </a:ln>
        <a:effectLst/>
      </c:spPr>
    </c:title>
    <c:autoTitleDeleted val="0"/>
    <c:plotArea>
      <c:layout/>
      <c:barChart>
        <c:barDir val="col"/>
        <c:grouping val="clustered"/>
        <c:varyColors val="0"/>
        <c:ser>
          <c:idx val="0"/>
          <c:order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[幼儿教师工资.xlsx]Sheet2!$A$6:$B$6</c:f>
              <c:strCache>
                <c:ptCount val="2"/>
                <c:pt idx="0">
                  <c:v>2023年</c:v>
                </c:pt>
                <c:pt idx="1">
                  <c:v>2024年</c:v>
                </c:pt>
              </c:strCache>
            </c:strRef>
          </c:cat>
          <c:val>
            <c:numRef>
              <c:f>[幼儿教师工资.xlsx]Sheet2!$A$7:$B$7</c:f>
              <c:numCache>
                <c:formatCode>General</c:formatCode>
                <c:ptCount val="2"/>
                <c:pt idx="0">
                  <c:v>97.46</c:v>
                </c:pt>
                <c:pt idx="1">
                  <c:v>110.17</c:v>
                </c:pt>
              </c:numCache>
            </c:numRef>
          </c:val>
        </c:ser>
        <c:dLbls>
          <c:showLegendKey val="0"/>
          <c:showVal val="1"/>
          <c:showCatName val="0"/>
          <c:showSerName val="0"/>
          <c:showPercent val="0"/>
          <c:showBubbleSize val="0"/>
        </c:dLbls>
        <c:gapWidth val="246"/>
        <c:overlap val="-28"/>
        <c:axId val="232902721"/>
        <c:axId val="560400298"/>
      </c:barChart>
      <c:catAx>
        <c:axId val="2329027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0400298"/>
        <c:crosses val="autoZero"/>
        <c:auto val="1"/>
        <c:lblAlgn val="ctr"/>
        <c:lblOffset val="100"/>
        <c:noMultiLvlLbl val="0"/>
      </c:catAx>
      <c:valAx>
        <c:axId val="56040029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290272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r>
              <a:rPr lang="en-US" altLang="zh-CN"/>
              <a:t>               </a:t>
            </a:r>
            <a:r>
              <a:t>（单位：万元）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[幼儿教师工资.xlsx]Sheet2!$A$28:$G$28</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[幼儿教师工资.xlsx]Sheet2!$A$29:$G$29</c:f>
              <c:numCache>
                <c:formatCode>General</c:formatCode>
                <c:ptCount val="7"/>
                <c:pt idx="0">
                  <c:v>0</c:v>
                </c:pt>
                <c:pt idx="2">
                  <c:v>0</c:v>
                </c:pt>
                <c:pt idx="3">
                  <c:v>0</c:v>
                </c:pt>
                <c:pt idx="4">
                  <c:v>100.63</c:v>
                </c:pt>
                <c:pt idx="5">
                  <c:v>2.55</c:v>
                </c:pt>
                <c:pt idx="6">
                  <c:v>6.99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40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2024</a:t>
            </a:r>
            <a:r>
              <a:rPr altLang="en-US" sz="1400" b="1" i="0" u="none" strike="noStrike" baseline="0">
                <a:solidFill>
                  <a:srgbClr val="333333"/>
                </a:solidFill>
                <a:latin typeface="宋体" panose="02010600030101010101" charset="-122"/>
                <a:ea typeface="宋体" panose="02010600030101010101" charset="-122"/>
                <a:cs typeface="宋体" panose="02010600030101010101" charset="-122"/>
              </a:rPr>
              <a:t>年“三公”经费财政拨款支出结构（单位：万元）</a:t>
            </a:r>
            <a:endParaRPr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rgbClr val="7CDB05"/>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[202509_税款计算_劳务报酬.xls]Sheet1!$C$150:$E$150</c:f>
              <c:strCache>
                <c:ptCount val="3"/>
                <c:pt idx="0">
                  <c:v>因公出国（境）费支出</c:v>
                </c:pt>
                <c:pt idx="1">
                  <c:v>公务用车购置及运行维护费支出</c:v>
                </c:pt>
                <c:pt idx="2">
                  <c:v>公务接待费支出</c:v>
                </c:pt>
              </c:strCache>
            </c:strRef>
          </c:cat>
          <c:val>
            <c:numRef>
              <c:f>[202509_税款计算_劳务报酬.xls]Sheet1!$C$151:$E$151</c:f>
              <c:numCache>
                <c:formatCode>General</c:formatCode>
                <c:ptCount val="3"/>
                <c:pt idx="0">
                  <c:v>0</c:v>
                </c:pt>
                <c:pt idx="1">
                  <c:v>0</c:v>
                </c:pt>
                <c:pt idx="2">
                  <c:v>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8698</Words>
  <Characters>9260</Characters>
  <Lines>61</Lines>
  <Paragraphs>17</Paragraphs>
  <TotalTime>8</TotalTime>
  <ScaleCrop>false</ScaleCrop>
  <LinksUpToDate>false</LinksUpToDate>
  <CharactersWithSpaces>9443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韩晓波</cp:lastModifiedBy>
  <cp:lastPrinted>2025-08-06T17:34:00Z</cp:lastPrinted>
  <dcterms:modified xsi:type="dcterms:W3CDTF">2025-09-26T08:57:50Z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04787F2533EB45DC91BCDE4AB213247F</vt:lpwstr>
  </property>
  <property fmtid="{D5CDD505-2E9C-101B-9397-08002B2CF9AE}" pid="4" name="KSOTemplateDocerSaveRecord">
    <vt:lpwstr>eyJoZGlkIjoiYTA2NDQ3Mjg1ZGEwZjJhOGRiNTUyYWM4YmIzMjdhYzAiLCJ1c2VySWQiOiIxNTA2MTQ0OTMyIn0=</vt:lpwstr>
  </property>
</Properties>
</file>