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FF017">
      <w:pPr>
        <w:pStyle w:val="8"/>
        <w:jc w:val="center"/>
        <w:rPr>
          <w:rFonts w:hint="eastAsia" w:ascii="方正小标宋简体" w:hAnsi="宋体" w:eastAsia="方正小标宋简体" w:cs="Times New Roman"/>
          <w:color w:val="auto"/>
          <w:kern w:val="2"/>
          <w:sz w:val="44"/>
          <w:szCs w:val="44"/>
          <w:highlight w:val="none"/>
          <w:lang w:val="en-US" w:eastAsia="zh-CN" w:bidi="ar-SA"/>
        </w:rPr>
      </w:pPr>
    </w:p>
    <w:p w14:paraId="0EAC736F">
      <w:pPr>
        <w:pStyle w:val="8"/>
        <w:jc w:val="center"/>
        <w:rPr>
          <w:rFonts w:hint="eastAsia" w:ascii="方正小标宋简体" w:hAnsi="宋体" w:eastAsia="方正小标宋简体" w:cs="Times New Roman"/>
          <w:color w:val="auto"/>
          <w:kern w:val="2"/>
          <w:sz w:val="44"/>
          <w:szCs w:val="44"/>
          <w:highlight w:val="none"/>
          <w:lang w:val="en-US" w:eastAsia="zh-CN" w:bidi="ar-SA"/>
        </w:rPr>
      </w:pPr>
    </w:p>
    <w:p w14:paraId="33FCCBF6">
      <w:pPr>
        <w:pStyle w:val="8"/>
        <w:jc w:val="both"/>
        <w:rPr>
          <w:rFonts w:hint="eastAsia" w:ascii="方正小标宋简体" w:hAnsi="宋体" w:eastAsia="方正小标宋简体" w:cs="Times New Roman"/>
          <w:color w:val="auto"/>
          <w:kern w:val="2"/>
          <w:sz w:val="44"/>
          <w:szCs w:val="44"/>
          <w:highlight w:val="none"/>
          <w:lang w:val="en-US" w:eastAsia="zh-CN" w:bidi="ar-SA"/>
        </w:rPr>
      </w:pPr>
    </w:p>
    <w:p w14:paraId="3D1FBBCC">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bookmarkStart w:id="0" w:name="_Toc15377194"/>
      <w:bookmarkStart w:id="1" w:name="_Toc15378442"/>
      <w:bookmarkStart w:id="2" w:name="_Toc15396598"/>
      <w:bookmarkStart w:id="3" w:name="_Toc15396476"/>
      <w:bookmarkStart w:id="4" w:name="_Toc15377426"/>
      <w:r>
        <w:rPr>
          <w:rFonts w:hint="eastAsia" w:ascii="方正小标宋简体" w:hAnsi="宋体" w:eastAsia="方正小标宋简体" w:cs="Times New Roman"/>
          <w:color w:val="auto"/>
          <w:kern w:val="2"/>
          <w:sz w:val="44"/>
          <w:szCs w:val="44"/>
          <w:highlight w:val="none"/>
          <w:lang w:val="en-US" w:eastAsia="zh-CN" w:bidi="ar-SA"/>
        </w:rPr>
        <w:t>四川省</w:t>
      </w:r>
      <w:bookmarkStart w:id="5" w:name="_Toc15306268"/>
      <w:r>
        <w:rPr>
          <w:rFonts w:hint="eastAsia" w:ascii="方正小标宋简体" w:hAnsi="宋体" w:eastAsia="方正小标宋简体" w:cs="Times New Roman"/>
          <w:color w:val="auto"/>
          <w:kern w:val="2"/>
          <w:sz w:val="44"/>
          <w:szCs w:val="44"/>
          <w:highlight w:val="none"/>
          <w:lang w:val="en-US" w:eastAsia="zh-CN" w:bidi="ar-SA"/>
        </w:rPr>
        <w:t>乐山市金口河区</w:t>
      </w:r>
    </w:p>
    <w:p w14:paraId="28A68267">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审计局单位决算</w:t>
      </w:r>
      <w:bookmarkEnd w:id="0"/>
      <w:bookmarkEnd w:id="1"/>
      <w:bookmarkEnd w:id="2"/>
      <w:bookmarkEnd w:id="3"/>
      <w:bookmarkEnd w:id="4"/>
      <w:bookmarkEnd w:id="5"/>
    </w:p>
    <w:p w14:paraId="16D3B3BB">
      <w:pPr>
        <w:pStyle w:val="8"/>
        <w:rPr>
          <w:rFonts w:hint="eastAsia" w:ascii="Times New Roman" w:hAnsi="Times New Roman" w:eastAsia="方正小标宋简体" w:cs="Times New Roman"/>
          <w:color w:val="auto"/>
          <w:kern w:val="2"/>
          <w:sz w:val="44"/>
          <w:szCs w:val="44"/>
          <w:highlight w:val="none"/>
          <w:lang w:val="en-US" w:eastAsia="zh-CN" w:bidi="ar-SA"/>
        </w:rPr>
      </w:pPr>
      <w:r>
        <w:rPr>
          <w:rFonts w:ascii="Times New Roman" w:hAnsi="Times New Roman" w:eastAsia="方正小标宋简体"/>
          <w:color w:val="auto"/>
          <w:sz w:val="36"/>
          <w:szCs w:val="36"/>
          <w:highlight w:val="none"/>
        </w:rPr>
        <w:br w:type="page"/>
      </w:r>
      <w:bookmarkStart w:id="6" w:name="_Toc15377193"/>
      <w:bookmarkStart w:id="7" w:name="_Toc15396597"/>
      <w:bookmarkStart w:id="8" w:name="_Toc15306267"/>
      <w:bookmarkStart w:id="9" w:name="_Toc15378441"/>
      <w:bookmarkStart w:id="10" w:name="_Toc15377425"/>
      <w:bookmarkStart w:id="11" w:name="_Toc15396475"/>
    </w:p>
    <w:bookmarkEnd w:id="6"/>
    <w:bookmarkEnd w:id="7"/>
    <w:bookmarkEnd w:id="8"/>
    <w:bookmarkEnd w:id="9"/>
    <w:bookmarkEnd w:id="10"/>
    <w:bookmarkEnd w:id="11"/>
    <w:p w14:paraId="453820EE">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72564FB6">
      <w:pPr>
        <w:widowControl/>
        <w:jc w:val="center"/>
        <w:rPr>
          <w:rFonts w:ascii="Times New Roman" w:hAnsi="Times New Roman" w:eastAsia="黑体" w:cstheme="minorBidi"/>
          <w:color w:val="auto"/>
          <w:sz w:val="28"/>
          <w:szCs w:val="28"/>
          <w:highlight w:val="none"/>
        </w:rPr>
      </w:pPr>
    </w:p>
    <w:p w14:paraId="20DEC4FE">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rPr>
        <w:t>日</w:t>
      </w:r>
    </w:p>
    <w:p w14:paraId="79BADAD5">
      <w:pPr>
        <w:rPr>
          <w:rFonts w:ascii="Times New Roman" w:hAnsi="Times New Roman"/>
          <w:color w:val="auto"/>
          <w:highlight w:val="none"/>
        </w:rPr>
      </w:pPr>
    </w:p>
    <w:p w14:paraId="084D405B">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31E3DFF6">
      <w:pPr>
        <w:pStyle w:val="14"/>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 xml:space="preserve"> </w:t>
      </w:r>
      <w:r>
        <w:rPr>
          <w:rFonts w:hint="eastAsia"/>
          <w:sz w:val="24"/>
          <w:lang w:eastAsia="zh-CN"/>
        </w:rPr>
        <w:t>…………………………………………………………………</w:t>
      </w:r>
      <w:r>
        <w:rPr>
          <w:rFonts w:hint="eastAsia"/>
          <w:sz w:val="24"/>
          <w:lang w:val="en-US" w:eastAsia="zh-CN"/>
        </w:rPr>
        <w:t>1</w:t>
      </w:r>
    </w:p>
    <w:p w14:paraId="0CA4F592">
      <w:pPr>
        <w:pStyle w:val="14"/>
        <w:adjustRightInd w:val="0"/>
        <w:snapToGrid w:val="0"/>
        <w:spacing w:line="440" w:lineRule="exact"/>
        <w:jc w:val="left"/>
        <w:rPr>
          <w:rFonts w:hint="eastAsia" w:ascii="Times New Roman" w:hAnsi="Times New Roman" w:eastAsia="仿宋_GB2312" w:cs="仿宋_GB2312"/>
          <w:color w:val="auto"/>
          <w:sz w:val="32"/>
          <w:szCs w:val="32"/>
          <w:highlight w:val="none"/>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4</w:t>
      </w:r>
    </w:p>
    <w:p w14:paraId="354506A4">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2024年度</w:t>
      </w:r>
      <w:r>
        <w:rPr>
          <w:rFonts w:hint="eastAsia"/>
          <w:color w:val="auto"/>
          <w:sz w:val="24"/>
          <w:highlight w:val="none"/>
          <w:lang w:eastAsia="zh-CN"/>
        </w:rPr>
        <w:t>单位</w:t>
      </w:r>
      <w:r>
        <w:rPr>
          <w:rFonts w:hint="eastAsia"/>
          <w:color w:val="auto"/>
          <w:sz w:val="24"/>
          <w:highlight w:val="none"/>
        </w:rPr>
        <w:t>决算情况说明</w:t>
      </w:r>
    </w:p>
    <w:p w14:paraId="60561997">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r>
        <w:rPr>
          <w:rFonts w:hint="eastAsia"/>
          <w:sz w:val="24"/>
          <w:lang w:eastAsia="zh-CN"/>
        </w:rPr>
        <w:t>………………………………………………</w:t>
      </w:r>
      <w:r>
        <w:rPr>
          <w:rFonts w:hint="eastAsia"/>
          <w:sz w:val="24"/>
          <w:lang w:val="en-US" w:eastAsia="zh-CN"/>
        </w:rPr>
        <w:t>5</w:t>
      </w:r>
    </w:p>
    <w:p w14:paraId="5582D43E">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r>
        <w:rPr>
          <w:rFonts w:hint="eastAsia"/>
          <w:sz w:val="24"/>
          <w:lang w:eastAsia="zh-CN"/>
        </w:rPr>
        <w:t>…………………………………………………………</w:t>
      </w:r>
      <w:r>
        <w:rPr>
          <w:rFonts w:hint="eastAsia"/>
          <w:sz w:val="24"/>
          <w:lang w:val="en-US" w:eastAsia="zh-CN"/>
        </w:rPr>
        <w:t>5</w:t>
      </w:r>
    </w:p>
    <w:p w14:paraId="780E3C38">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r>
        <w:rPr>
          <w:rFonts w:hint="eastAsia"/>
          <w:sz w:val="24"/>
          <w:lang w:eastAsia="zh-CN"/>
        </w:rPr>
        <w:t>…………………………………………………………</w:t>
      </w:r>
      <w:r>
        <w:rPr>
          <w:rFonts w:hint="eastAsia"/>
          <w:sz w:val="24"/>
          <w:lang w:val="en-US" w:eastAsia="zh-CN"/>
        </w:rPr>
        <w:t>5</w:t>
      </w:r>
    </w:p>
    <w:p w14:paraId="10315C22">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r>
        <w:rPr>
          <w:rFonts w:hint="eastAsia"/>
          <w:sz w:val="24"/>
          <w:lang w:eastAsia="zh-CN"/>
        </w:rPr>
        <w:t>……………………………………</w:t>
      </w:r>
      <w:r>
        <w:rPr>
          <w:rFonts w:hint="eastAsia"/>
          <w:sz w:val="24"/>
          <w:lang w:val="en-US" w:eastAsia="zh-CN"/>
        </w:rPr>
        <w:t>7</w:t>
      </w:r>
    </w:p>
    <w:p w14:paraId="5B0ADACE">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r>
        <w:rPr>
          <w:rFonts w:hint="eastAsia"/>
          <w:sz w:val="24"/>
          <w:lang w:eastAsia="zh-CN"/>
        </w:rPr>
        <w:t>………………………………</w:t>
      </w:r>
      <w:r>
        <w:rPr>
          <w:rFonts w:hint="eastAsia"/>
          <w:sz w:val="24"/>
          <w:lang w:val="en-US" w:eastAsia="zh-CN"/>
        </w:rPr>
        <w:t>8</w:t>
      </w:r>
    </w:p>
    <w:p w14:paraId="63A69BF4">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r>
        <w:rPr>
          <w:rFonts w:hint="eastAsia"/>
          <w:sz w:val="24"/>
          <w:lang w:eastAsia="zh-CN"/>
        </w:rPr>
        <w:t>…………………………</w:t>
      </w:r>
      <w:r>
        <w:rPr>
          <w:rFonts w:hint="eastAsia"/>
          <w:sz w:val="24"/>
          <w:lang w:val="en-US" w:eastAsia="zh-CN"/>
        </w:rPr>
        <w:t>11</w:t>
      </w:r>
    </w:p>
    <w:p w14:paraId="44B8256D">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sz w:val="24"/>
          <w:lang w:eastAsia="zh-CN"/>
        </w:rPr>
        <w:t>………………………………</w:t>
      </w:r>
      <w:r>
        <w:rPr>
          <w:rFonts w:hint="eastAsia"/>
          <w:sz w:val="24"/>
          <w:lang w:val="en-US" w:eastAsia="zh-CN"/>
        </w:rPr>
        <w:t>11</w:t>
      </w:r>
    </w:p>
    <w:p w14:paraId="2E853402">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r>
        <w:rPr>
          <w:rFonts w:hint="eastAsia"/>
          <w:sz w:val="24"/>
          <w:lang w:eastAsia="zh-CN"/>
        </w:rPr>
        <w:t>………………………………………</w:t>
      </w:r>
      <w:r>
        <w:rPr>
          <w:rFonts w:hint="eastAsia"/>
          <w:sz w:val="24"/>
          <w:lang w:val="en-US" w:eastAsia="zh-CN"/>
        </w:rPr>
        <w:t>13</w:t>
      </w:r>
    </w:p>
    <w:p w14:paraId="7205C030">
      <w:pPr>
        <w:pStyle w:val="14"/>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hint="eastAsia"/>
          <w:sz w:val="24"/>
          <w:lang w:eastAsia="zh-CN"/>
        </w:rPr>
        <w:t>……………………………………</w:t>
      </w:r>
      <w:r>
        <w:rPr>
          <w:rFonts w:hint="eastAsia"/>
          <w:sz w:val="24"/>
          <w:lang w:val="en-US" w:eastAsia="zh-CN"/>
        </w:rPr>
        <w:t>13</w:t>
      </w:r>
    </w:p>
    <w:p w14:paraId="4B2CB1C5">
      <w:pPr>
        <w:pStyle w:val="14"/>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hint="eastAsia"/>
          <w:sz w:val="24"/>
          <w:lang w:eastAsia="zh-CN"/>
        </w:rPr>
        <w:t>…………………………………………………</w:t>
      </w:r>
      <w:r>
        <w:rPr>
          <w:rFonts w:hint="eastAsia"/>
          <w:sz w:val="24"/>
          <w:lang w:val="en-US" w:eastAsia="zh-CN"/>
        </w:rPr>
        <w:t>14</w:t>
      </w:r>
    </w:p>
    <w:p w14:paraId="2C38C96F">
      <w:pPr>
        <w:pStyle w:val="14"/>
        <w:adjustRightInd w:val="0"/>
        <w:snapToGrid w:val="0"/>
        <w:spacing w:line="440" w:lineRule="exact"/>
        <w:ind w:left="0" w:leftChars="0" w:firstLine="0" w:firstLineChars="0"/>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sz w:val="24"/>
          <w:lang w:eastAsia="zh-CN"/>
        </w:rPr>
        <w:t>…………………………………………………………………</w:t>
      </w:r>
      <w:r>
        <w:rPr>
          <w:rFonts w:hint="eastAsia"/>
          <w:sz w:val="24"/>
          <w:lang w:val="en-US" w:eastAsia="zh-CN"/>
        </w:rPr>
        <w:t>16</w:t>
      </w:r>
    </w:p>
    <w:p w14:paraId="7703605A">
      <w:pPr>
        <w:pStyle w:val="14"/>
        <w:adjustRightInd w:val="0"/>
        <w:snapToGrid w:val="0"/>
        <w:spacing w:line="440" w:lineRule="exact"/>
        <w:ind w:left="0" w:leftChars="0" w:firstLine="0" w:firstLineChars="0"/>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sz w:val="24"/>
          <w:lang w:eastAsia="zh-CN"/>
        </w:rPr>
        <w:t>………………………………………………………………………</w:t>
      </w:r>
      <w:r>
        <w:rPr>
          <w:rFonts w:hint="eastAsia"/>
          <w:sz w:val="24"/>
          <w:lang w:val="en-US" w:eastAsia="zh-CN"/>
        </w:rPr>
        <w:t>20</w:t>
      </w:r>
    </w:p>
    <w:p w14:paraId="19B18FA7">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307B0C3D">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734F8427">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0A310DEA">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6E073A30">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00920D74">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50EF4C12">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05766D19">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7B04A942">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662C1A43">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36EF62B9">
      <w:pPr>
        <w:pStyle w:val="14"/>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3FE2A67A">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6A15907B">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4D880CAC">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2134D18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jc w:val="left"/>
        <w:textAlignment w:val="auto"/>
        <w:rPr>
          <w:rFonts w:hint="eastAsia" w:ascii="Times New Roman" w:hAnsi="Times New Roman" w:eastAsia="仿宋_GB2312" w:cs="仿宋_GB2312"/>
          <w:color w:val="auto"/>
          <w:sz w:val="32"/>
          <w:szCs w:val="32"/>
          <w:highlight w:val="none"/>
        </w:rPr>
      </w:pPr>
      <w:r>
        <w:rPr>
          <w:rFonts w:ascii="仿宋" w:hAnsi="仿宋" w:eastAsia="仿宋"/>
          <w:b/>
          <w:color w:val="auto"/>
          <w:sz w:val="24"/>
          <w:highlight w:val="none"/>
        </w:rPr>
        <w:br w:type="page"/>
      </w:r>
    </w:p>
    <w:p w14:paraId="5A2F7812">
      <w:pPr>
        <w:pStyle w:val="5"/>
        <w:jc w:val="center"/>
        <w:rPr>
          <w:rFonts w:hint="eastAsia" w:ascii="Times New Roman" w:hAnsi="Times New Roman" w:eastAsia="方正小标宋简体" w:cs="方正小标宋简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12" w:name="_Toc15396599"/>
      <w:bookmarkStart w:id="13" w:name="_Toc15377196"/>
    </w:p>
    <w:bookmarkEnd w:id="12"/>
    <w:bookmarkEnd w:id="13"/>
    <w:p w14:paraId="7161DA80">
      <w:pPr>
        <w:pStyle w:val="5"/>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9"/>
          <w:rFonts w:hint="eastAsia" w:ascii="黑体" w:hAnsi="黑体" w:eastAsia="黑体"/>
          <w:b w:val="0"/>
          <w:bCs w:val="0"/>
          <w:color w:val="auto"/>
          <w:highlight w:val="none"/>
        </w:rPr>
        <w:t>概况</w:t>
      </w:r>
    </w:p>
    <w:p w14:paraId="6E0486D1">
      <w:pPr>
        <w:widowControl/>
        <w:jc w:val="left"/>
        <w:rPr>
          <w:rFonts w:ascii="黑体" w:eastAsia="黑体"/>
          <w:color w:val="auto"/>
          <w:sz w:val="32"/>
          <w:szCs w:val="32"/>
          <w:highlight w:val="none"/>
        </w:rPr>
      </w:pPr>
    </w:p>
    <w:p w14:paraId="0D088E41">
      <w:pPr>
        <w:pStyle w:val="6"/>
        <w:numPr>
          <w:ilvl w:val="0"/>
          <w:numId w:val="1"/>
        </w:numPr>
        <w:rPr>
          <w:rStyle w:val="30"/>
          <w:rFonts w:hint="eastAsia" w:ascii="黑体" w:hAnsi="黑体" w:eastAsia="黑体"/>
          <w:b w:val="0"/>
          <w:bCs w:val="0"/>
          <w:color w:val="auto"/>
          <w:highlight w:val="none"/>
          <w:lang w:eastAsia="zh-CN"/>
        </w:rPr>
      </w:pPr>
      <w:r>
        <w:rPr>
          <w:rStyle w:val="30"/>
          <w:rFonts w:hint="eastAsia" w:ascii="黑体" w:hAnsi="黑体" w:eastAsia="黑体"/>
          <w:b w:val="0"/>
          <w:bCs w:val="0"/>
          <w:color w:val="auto"/>
          <w:highlight w:val="none"/>
          <w:lang w:eastAsia="zh-CN"/>
        </w:rPr>
        <w:t>主要职责</w:t>
      </w:r>
    </w:p>
    <w:p w14:paraId="1C7436A0">
      <w:pPr>
        <w:pStyle w:val="15"/>
        <w:keepNext w:val="0"/>
        <w:keepLines w:val="0"/>
        <w:widowControl/>
        <w:suppressLineNumbers w:val="0"/>
        <w:spacing w:before="0" w:beforeAutospacing="0" w:after="0" w:afterAutospacing="0" w:line="578" w:lineRule="atLeast"/>
        <w:ind w:right="0" w:firstLine="640" w:firstLineChars="200"/>
        <w:jc w:val="both"/>
        <w:rPr>
          <w:rFonts w:hint="default" w:ascii="仿宋_GB2312" w:hAnsi="Times New Roman" w:eastAsia="仿宋_GB2312" w:cs="仿宋_GB2312"/>
          <w:color w:val="333333"/>
          <w:sz w:val="32"/>
          <w:szCs w:val="32"/>
          <w:lang w:val="en-US" w:eastAsia="zh-CN"/>
        </w:rPr>
      </w:pPr>
      <w:r>
        <w:rPr>
          <w:rFonts w:hint="eastAsia" w:ascii="仿宋_GB2312" w:hAnsi="Times New Roman" w:eastAsia="仿宋_GB2312" w:cs="仿宋_GB2312"/>
          <w:color w:val="333333"/>
          <w:sz w:val="32"/>
          <w:szCs w:val="32"/>
          <w:lang w:val="en-US" w:eastAsia="zh-CN"/>
        </w:rPr>
        <w:t>区审计局的主要职责是：</w:t>
      </w:r>
    </w:p>
    <w:p w14:paraId="36FD385E">
      <w:pPr>
        <w:pStyle w:val="15"/>
        <w:keepNext w:val="0"/>
        <w:keepLines w:val="0"/>
        <w:widowControl/>
        <w:suppressLineNumbers w:val="0"/>
        <w:spacing w:before="0" w:beforeAutospacing="0" w:after="0" w:afterAutospacing="0" w:line="578" w:lineRule="atLeast"/>
        <w:ind w:right="0" w:firstLine="640" w:firstLineChars="20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14:paraId="1141AC6B">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2.拟订全区有关审计工作规范性文件。贯彻执行国家、省、市、区有关审计工作的方针、政策和法律法规。制定并组织实施全区专业领域审计工作规划。参与拟订财政经济及相关规范性文件。对直接审计、调查和核查的事项依法进行审计评价，作出审计决定或提出审计建议。</w:t>
      </w:r>
    </w:p>
    <w:p w14:paraId="38D39045">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和区政府有关部门通报审计情况和审计结果。依法向社会公布审计结果。</w:t>
      </w:r>
    </w:p>
    <w:p w14:paraId="653E0C41">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4.直接审计下列事项，出具审计报告，在法定职权范围内作出审计决定，包括:</w:t>
      </w:r>
    </w:p>
    <w:p w14:paraId="554B42AC">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（1）国家、省、市、区有关重大政策措施贯彻落实情况。</w:t>
      </w:r>
    </w:p>
    <w:p w14:paraId="6D87FF76">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（2）区级预算执行情况和其他财政收支，区委和区政府各部门（含直属单位)预算执行情况和其他财政收支。</w:t>
      </w:r>
    </w:p>
    <w:p w14:paraId="5B452809">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（3）使用区级财政资金的事业单位（含直属单位）和社会团体的财务收支。</w:t>
      </w:r>
    </w:p>
    <w:p w14:paraId="7D06C21B">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（4）区级政府投资和以区级政府投资为主的建设项目的预算执行情况和决算，区级重大公共工程项目的资金管理使用和建设运营情况。</w:t>
      </w:r>
    </w:p>
    <w:p w14:paraId="6707C887">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（5）自然资源管理、污染防治和生态保护与修复情况。</w:t>
      </w:r>
    </w:p>
    <w:p w14:paraId="5FCE14D7">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（6）区属国有企业和地方金融机构、国有资本占控股或主导地位的企业和金融机构境内外资产、负债和损益,区政府部门驻外非经营性机构的财务收支。</w:t>
      </w:r>
    </w:p>
    <w:p w14:paraId="29681A08">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（7）有关社会保障基金、社会捐赠资金、安全生产和职业健康财政资金以及其他基金、资金的财务收支。</w:t>
      </w:r>
    </w:p>
    <w:p w14:paraId="1DFC697A">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（8）国际组织和外国政府在金口河区援助、贷款项目。</w:t>
      </w:r>
    </w:p>
    <w:p w14:paraId="1F9B7AB4">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（9）法律法规规定的其他事项。</w:t>
      </w:r>
    </w:p>
    <w:p w14:paraId="0EAC84E6">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5.按规定对区党政主要领导干部及其他单位主要负责人实施经济责任审计和自然资源资产离任审计。</w:t>
      </w:r>
    </w:p>
    <w:p w14:paraId="7B325F1D">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6.组织实施对国家财经法律法规、规章、政策和宏观调控措施执行情况、财政预算管理及国有资产管理使用等与区级财政收支有关的特定事项进行专项审计调查。</w:t>
      </w:r>
    </w:p>
    <w:p w14:paraId="198AD23C">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7.依法检查审计决定执行情况，督促整改审计查出的问题，依法办理被审计单位对审计决定提请行政复议、行政诉讼或区政府裁决中的有关事项，协助配合有关部门查处相关重大案件。</w:t>
      </w:r>
    </w:p>
    <w:p w14:paraId="07D95B9A">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8.指导和监督内部审计工作，核查社会审计机构对依法属于审计监督对象的单位出具的相关审计报告。</w:t>
      </w:r>
    </w:p>
    <w:p w14:paraId="773CB3A0">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9.组织开展审计领域内的交流与合作，指导和组织开展信息技术在审计领域的应用。</w:t>
      </w:r>
    </w:p>
    <w:p w14:paraId="144AC66F">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10.负责职责范围内的安全生产和职业健康、生态环境保护；按照行政审批、综合执法等方面的相关要求，做好有关工作。</w:t>
      </w:r>
    </w:p>
    <w:p w14:paraId="6C999CFE">
      <w:pPr>
        <w:pStyle w:val="15"/>
        <w:keepNext w:val="0"/>
        <w:keepLines w:val="0"/>
        <w:widowControl/>
        <w:suppressLineNumbers w:val="0"/>
        <w:spacing w:before="0" w:beforeAutospacing="0" w:after="0" w:afterAutospacing="0" w:line="578"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333333"/>
          <w:sz w:val="32"/>
          <w:szCs w:val="32"/>
        </w:rPr>
        <w:t>11.完成区委、区政府交办的其他工作。</w:t>
      </w:r>
    </w:p>
    <w:p w14:paraId="40516C39">
      <w:pPr>
        <w:pStyle w:val="15"/>
        <w:keepNext w:val="0"/>
        <w:keepLines w:val="0"/>
        <w:widowControl/>
        <w:suppressLineNumbers w:val="0"/>
        <w:spacing w:before="0" w:beforeAutospacing="0" w:after="0" w:afterAutospacing="0" w:line="578" w:lineRule="atLeast"/>
        <w:ind w:left="0" w:right="0" w:firstLine="640"/>
        <w:jc w:val="both"/>
        <w:rPr>
          <w:rFonts w:hint="default"/>
          <w:lang w:val="en-US" w:eastAsia="zh-CN"/>
        </w:rPr>
      </w:pPr>
      <w:r>
        <w:rPr>
          <w:rFonts w:hint="eastAsia" w:ascii="仿宋_GB2312" w:hAnsi="Times New Roman" w:eastAsia="仿宋_GB2312" w:cs="仿宋_GB2312"/>
          <w:color w:val="333333"/>
          <w:sz w:val="32"/>
          <w:szCs w:val="32"/>
        </w:rPr>
        <w:t>12.职能转变。进一步完善审计管理体制，加强审计工作统筹，明晰职能定位，理顺内部职责关系，优化审计资源配置，充实加强一线审计力量。优化审计工作机制，坚持科技强审，完善业务流程，改进工作方式，加强与有关部门的沟通协调，充分调动内部审计和社会审计力量，增强监督合力。</w:t>
      </w:r>
    </w:p>
    <w:p w14:paraId="28BB87B3">
      <w:pPr>
        <w:pStyle w:val="6"/>
        <w:ind w:firstLine="960" w:firstLineChars="300"/>
        <w:rPr>
          <w:rStyle w:val="30"/>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4"/>
      <w:bookmarkEnd w:id="15"/>
    </w:p>
    <w:p w14:paraId="2F25DA6C">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乐山市金口河区审计局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2F2F3757">
      <w:pPr>
        <w:pStyle w:val="8"/>
        <w:adjustRightInd w:val="0"/>
        <w:snapToGrid w:val="0"/>
        <w:spacing w:before="93" w:line="600" w:lineRule="exact"/>
        <w:ind w:firstLine="672" w:firstLineChars="210"/>
        <w:rPr>
          <w:rFonts w:ascii="Times New Roman" w:hAnsi="Times New Roman" w:eastAsia="仿宋"/>
          <w:color w:val="auto"/>
          <w:kern w:val="0"/>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乐山市金口河区审计局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w:t>
      </w:r>
      <w:r>
        <w:rPr>
          <w:rFonts w:hint="eastAsia" w:ascii="Times New Roman" w:cs="仿宋_GB2312"/>
          <w:color w:val="auto"/>
          <w:sz w:val="32"/>
          <w:szCs w:val="32"/>
          <w:highlight w:val="none"/>
          <w:lang w:eastAsia="zh-CN"/>
        </w:rPr>
        <w:t>无。</w:t>
      </w:r>
      <w:r>
        <w:rPr>
          <w:rFonts w:ascii="Times New Roman" w:hAnsi="Times New Roman" w:eastAsia="仿宋"/>
          <w:color w:val="auto"/>
          <w:sz w:val="32"/>
          <w:szCs w:val="32"/>
          <w:highlight w:val="none"/>
        </w:rPr>
        <w:br w:type="page"/>
      </w:r>
    </w:p>
    <w:p w14:paraId="48C98FF8">
      <w:pPr>
        <w:pStyle w:val="5"/>
        <w:ind w:right="440"/>
        <w:jc w:val="center"/>
        <w:rPr>
          <w:rStyle w:val="29"/>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2024年度</w:t>
      </w:r>
      <w:r>
        <w:rPr>
          <w:rStyle w:val="29"/>
          <w:rFonts w:hint="eastAsia" w:ascii="黑体" w:hAnsi="黑体" w:eastAsia="黑体"/>
          <w:b w:val="0"/>
          <w:bCs/>
          <w:color w:val="auto"/>
          <w:highlight w:val="none"/>
          <w:lang w:eastAsia="zh-CN"/>
        </w:rPr>
        <w:t>单位</w:t>
      </w:r>
      <w:r>
        <w:rPr>
          <w:rStyle w:val="29"/>
          <w:rFonts w:hint="eastAsia" w:ascii="黑体" w:hAnsi="黑体" w:eastAsia="黑体"/>
          <w:b w:val="0"/>
          <w:bCs/>
          <w:color w:val="auto"/>
          <w:highlight w:val="none"/>
        </w:rPr>
        <w:t>决算情况说明</w:t>
      </w:r>
    </w:p>
    <w:p w14:paraId="2C37BE1E">
      <w:pPr>
        <w:rPr>
          <w:rFonts w:ascii="Times New Roman" w:hAnsi="Times New Roman"/>
          <w:color w:val="auto"/>
          <w:highlight w:val="none"/>
        </w:rPr>
      </w:pPr>
    </w:p>
    <w:p w14:paraId="170386E9">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6" w:name="_Toc15396603"/>
      <w:bookmarkStart w:id="17"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6"/>
      <w:bookmarkEnd w:id="17"/>
    </w:p>
    <w:p w14:paraId="152DAAD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eastAsia="仿宋_GB2312" w:cs="仿宋_GB2312"/>
          <w:color w:val="auto"/>
          <w:sz w:val="32"/>
          <w:szCs w:val="32"/>
          <w:highlight w:val="none"/>
          <w:lang w:eastAsia="zh-CN"/>
        </w:rPr>
        <w:t>总计</w:t>
      </w:r>
      <w:r>
        <w:rPr>
          <w:rFonts w:hint="eastAsia" w:eastAsia="仿宋_GB2312" w:cs="仿宋_GB2312"/>
          <w:color w:val="auto"/>
          <w:sz w:val="32"/>
          <w:szCs w:val="32"/>
          <w:highlight w:val="none"/>
          <w:lang w:val="en-US" w:eastAsia="zh-CN"/>
        </w:rPr>
        <w:t>334.43万元，</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eastAsia="仿宋_GB2312" w:cs="仿宋_GB2312"/>
          <w:color w:val="auto"/>
          <w:sz w:val="32"/>
          <w:szCs w:val="32"/>
          <w:highlight w:val="none"/>
          <w:lang w:val="en-US" w:eastAsia="zh-CN"/>
        </w:rPr>
        <w:t>336.36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eastAsia="仿宋_GB2312" w:cs="仿宋_GB2312"/>
          <w:color w:val="auto"/>
          <w:sz w:val="32"/>
          <w:szCs w:val="32"/>
          <w:highlight w:val="none"/>
          <w:lang w:eastAsia="zh-CN"/>
        </w:rPr>
        <w:t>总计增加</w:t>
      </w:r>
      <w:r>
        <w:rPr>
          <w:rFonts w:hint="eastAsia" w:eastAsia="仿宋_GB2312" w:cs="仿宋_GB2312"/>
          <w:color w:val="auto"/>
          <w:sz w:val="32"/>
          <w:szCs w:val="32"/>
          <w:highlight w:val="none"/>
          <w:lang w:val="en-US" w:eastAsia="zh-CN"/>
        </w:rPr>
        <w:t>9.27万元，增长2.85%，</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总计减少</w:t>
      </w:r>
      <w:r>
        <w:rPr>
          <w:rFonts w:hint="eastAsia" w:eastAsia="仿宋_GB2312" w:cs="仿宋_GB2312"/>
          <w:color w:val="auto"/>
          <w:sz w:val="32"/>
          <w:szCs w:val="32"/>
          <w:highlight w:val="none"/>
          <w:lang w:val="en-US" w:eastAsia="zh-CN"/>
        </w:rPr>
        <w:t>68.2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16.86</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委托中介经费支出减少。</w:t>
      </w:r>
    </w:p>
    <w:p w14:paraId="06FAACC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2C12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A147B2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8" w:name="_Toc15377206"/>
      <w:bookmarkStart w:id="19" w:name="_Toc15396604"/>
    </w:p>
    <w:p w14:paraId="3D9EDB9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18"/>
      <w:bookmarkEnd w:id="19"/>
    </w:p>
    <w:p w14:paraId="11B1490D">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334.43万元，其中：一般公共预算财政拨款收入334.42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3631E2A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29845</wp:posOffset>
            </wp:positionV>
            <wp:extent cx="5256530" cy="2988310"/>
            <wp:effectExtent l="5080" t="4445" r="15240" b="1714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50A273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03C349BF">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368494E2">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7BFA730D">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622078B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079B04B2">
      <w:pPr>
        <w:ind w:firstLine="800" w:firstLineChars="250"/>
        <w:rPr>
          <w:rFonts w:hint="eastAsia" w:ascii="Times New Roman" w:hAnsi="Times New Roman" w:eastAsia="仿宋_GB2312" w:cs="仿宋_GB2312"/>
          <w:color w:val="auto"/>
          <w:sz w:val="32"/>
          <w:szCs w:val="32"/>
          <w:highlight w:val="none"/>
          <w:lang w:eastAsia="zh-CN"/>
        </w:rPr>
      </w:pPr>
    </w:p>
    <w:p w14:paraId="643598B1">
      <w:pPr>
        <w:ind w:firstLine="800" w:firstLineChars="250"/>
        <w:rPr>
          <w:rFonts w:hint="eastAsia" w:ascii="Times New Roman" w:hAnsi="Times New Roman" w:eastAsia="仿宋_GB2312" w:cs="仿宋_GB2312"/>
          <w:color w:val="auto"/>
          <w:sz w:val="32"/>
          <w:szCs w:val="32"/>
          <w:highlight w:val="none"/>
          <w:lang w:eastAsia="zh-CN"/>
        </w:rPr>
      </w:pPr>
    </w:p>
    <w:p w14:paraId="1145F282">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0DB8F61C">
      <w:pPr>
        <w:ind w:firstLine="800" w:firstLineChars="250"/>
        <w:rPr>
          <w:rFonts w:hint="eastAsia" w:ascii="Times New Roman" w:hAnsi="Times New Roman" w:eastAsia="仿宋_GB2312" w:cs="仿宋_GB2312"/>
          <w:color w:val="auto"/>
          <w:sz w:val="32"/>
          <w:szCs w:val="32"/>
          <w:highlight w:val="none"/>
          <w:lang w:eastAsia="zh-CN"/>
        </w:rPr>
      </w:pPr>
    </w:p>
    <w:p w14:paraId="111493A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0" w:name="_Toc15377207"/>
      <w:bookmarkStart w:id="21"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0"/>
      <w:bookmarkEnd w:id="21"/>
    </w:p>
    <w:p w14:paraId="020A6F8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336.36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231.36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68.78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31.21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74D2661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5D535152">
      <w:pPr>
        <w:ind w:firstLine="800" w:firstLineChars="250"/>
        <w:rPr>
          <w:rFonts w:hint="eastAsia" w:ascii="Times New Roman" w:hAnsi="Times New Roman" w:eastAsia="仿宋_GB2312" w:cs="仿宋_GB2312"/>
          <w:color w:val="auto"/>
          <w:sz w:val="32"/>
          <w:szCs w:val="32"/>
          <w:highlight w:val="none"/>
          <w:lang w:eastAsia="zh-CN"/>
        </w:rPr>
      </w:pPr>
    </w:p>
    <w:p w14:paraId="6A30AE1A">
      <w:pPr>
        <w:ind w:firstLine="800" w:firstLineChars="250"/>
        <w:rPr>
          <w:rFonts w:hint="eastAsia" w:ascii="Times New Roman" w:hAnsi="Times New Roman" w:eastAsia="仿宋_GB2312" w:cs="仿宋_GB2312"/>
          <w:color w:val="auto"/>
          <w:sz w:val="32"/>
          <w:szCs w:val="32"/>
          <w:highlight w:val="none"/>
          <w:lang w:eastAsia="zh-CN"/>
        </w:rPr>
      </w:pPr>
    </w:p>
    <w:p w14:paraId="170DC57D">
      <w:pPr>
        <w:ind w:firstLine="800" w:firstLineChars="250"/>
        <w:rPr>
          <w:rFonts w:hint="eastAsia" w:ascii="Times New Roman" w:hAnsi="Times New Roman" w:eastAsia="仿宋_GB2312" w:cs="仿宋_GB2312"/>
          <w:color w:val="auto"/>
          <w:sz w:val="32"/>
          <w:szCs w:val="32"/>
          <w:highlight w:val="none"/>
          <w:lang w:eastAsia="zh-CN"/>
        </w:rPr>
      </w:pPr>
    </w:p>
    <w:p w14:paraId="4B64110C">
      <w:pPr>
        <w:ind w:firstLine="800" w:firstLineChars="250"/>
        <w:rPr>
          <w:rFonts w:hint="eastAsia" w:ascii="Times New Roman" w:hAnsi="Times New Roman" w:eastAsia="仿宋_GB2312" w:cs="仿宋_GB2312"/>
          <w:color w:val="auto"/>
          <w:sz w:val="32"/>
          <w:szCs w:val="32"/>
          <w:highlight w:val="none"/>
          <w:lang w:eastAsia="zh-CN"/>
        </w:rPr>
      </w:pPr>
    </w:p>
    <w:p w14:paraId="19F99393">
      <w:pPr>
        <w:ind w:firstLine="800" w:firstLineChars="250"/>
        <w:rPr>
          <w:rFonts w:hint="eastAsia" w:ascii="Times New Roman" w:hAnsi="Times New Roman" w:eastAsia="仿宋_GB2312" w:cs="仿宋_GB2312"/>
          <w:color w:val="auto"/>
          <w:sz w:val="32"/>
          <w:szCs w:val="32"/>
          <w:highlight w:val="none"/>
          <w:lang w:eastAsia="zh-CN"/>
        </w:rPr>
      </w:pPr>
    </w:p>
    <w:p w14:paraId="0057EF2A">
      <w:pPr>
        <w:rPr>
          <w:rFonts w:hint="eastAsia" w:ascii="Times New Roman" w:hAnsi="Times New Roman" w:eastAsia="仿宋_GB2312" w:cs="仿宋_GB2312"/>
          <w:color w:val="auto"/>
          <w:sz w:val="32"/>
          <w:szCs w:val="32"/>
          <w:highlight w:val="none"/>
          <w:lang w:eastAsia="zh-CN"/>
        </w:rPr>
      </w:pPr>
      <w:r>
        <w:rPr>
          <w:rFonts w:hint="eastAsia" w:ascii="仿宋" w:hAnsi="仿宋" w:eastAsia="仿宋" w:cs="仿宋"/>
          <w:sz w:val="32"/>
          <w:szCs w:val="32"/>
          <w:lang w:eastAsia="zh-CN"/>
        </w:rPr>
        <w:drawing>
          <wp:inline distT="0" distB="0" distL="114300" distR="114300">
            <wp:extent cx="5217795" cy="2750185"/>
            <wp:effectExtent l="4445" t="5080" r="1651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0A6A74">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4A365DE4">
      <w:pPr>
        <w:ind w:firstLine="800" w:firstLineChars="250"/>
        <w:rPr>
          <w:rFonts w:hint="eastAsia" w:ascii="Times New Roman" w:hAnsi="Times New Roman" w:eastAsia="仿宋_GB2312" w:cs="仿宋_GB2312"/>
          <w:color w:val="auto"/>
          <w:sz w:val="32"/>
          <w:szCs w:val="32"/>
          <w:highlight w:val="none"/>
          <w:lang w:eastAsia="zh-CN"/>
        </w:rPr>
      </w:pPr>
    </w:p>
    <w:p w14:paraId="4BBBAA8D">
      <w:pPr>
        <w:spacing w:line="600" w:lineRule="exact"/>
        <w:ind w:firstLine="640" w:firstLineChars="200"/>
        <w:outlineLvl w:val="1"/>
        <w:rPr>
          <w:rStyle w:val="30"/>
          <w:rFonts w:ascii="Times New Roman" w:hAnsi="Times New Roman" w:eastAsia="黑体"/>
          <w:b w:val="0"/>
          <w:color w:val="auto"/>
          <w:highlight w:val="none"/>
        </w:rPr>
      </w:pPr>
      <w:bookmarkStart w:id="22" w:name="_Toc15377208"/>
      <w:bookmarkStart w:id="23"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2"/>
      <w:bookmarkEnd w:id="23"/>
    </w:p>
    <w:p w14:paraId="28C1366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334.42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w:t>
      </w:r>
      <w:r>
        <w:rPr>
          <w:rFonts w:hint="eastAsia" w:eastAsia="仿宋_GB2312" w:cs="仿宋_GB2312"/>
          <w:color w:val="auto"/>
          <w:kern w:val="2"/>
          <w:sz w:val="32"/>
          <w:szCs w:val="32"/>
          <w:highlight w:val="none"/>
          <w:lang w:val="en-US" w:eastAsia="zh-CN" w:bidi="ar-SA"/>
        </w:rPr>
        <w:t>增加9.26万元，增长</w:t>
      </w:r>
      <w:bookmarkStart w:id="64" w:name="_GoBack"/>
      <w:bookmarkEnd w:id="64"/>
      <w:r>
        <w:rPr>
          <w:rFonts w:hint="eastAsia" w:eastAsia="仿宋_GB2312" w:cs="仿宋_GB2312"/>
          <w:color w:val="auto"/>
          <w:sz w:val="32"/>
          <w:szCs w:val="32"/>
          <w:highlight w:val="none"/>
          <w:lang w:val="en-US" w:eastAsia="zh-CN"/>
        </w:rPr>
        <w:t>2.85%，</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总计减少</w:t>
      </w:r>
      <w:r>
        <w:rPr>
          <w:rFonts w:hint="eastAsia" w:eastAsia="仿宋_GB2312" w:cs="仿宋_GB2312"/>
          <w:color w:val="auto"/>
          <w:sz w:val="32"/>
          <w:szCs w:val="32"/>
          <w:highlight w:val="none"/>
          <w:lang w:val="en-US" w:eastAsia="zh-CN"/>
        </w:rPr>
        <w:t>68.2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16.86</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委托中介经费支出减少。</w:t>
      </w:r>
    </w:p>
    <w:p w14:paraId="17771945">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-12065</wp:posOffset>
            </wp:positionH>
            <wp:positionV relativeFrom="paragraph">
              <wp:posOffset>182880</wp:posOffset>
            </wp:positionV>
            <wp:extent cx="5256530" cy="2988310"/>
            <wp:effectExtent l="5080" t="4445" r="15240"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234528F">
      <w:pPr>
        <w:pStyle w:val="2"/>
        <w:rPr>
          <w:rFonts w:hint="eastAsia"/>
          <w:lang w:val="en-US" w:eastAsia="zh-CN"/>
        </w:rPr>
      </w:pPr>
    </w:p>
    <w:p w14:paraId="3EB76088">
      <w:pPr>
        <w:pStyle w:val="2"/>
        <w:rPr>
          <w:rFonts w:hint="eastAsia"/>
          <w:lang w:val="en-US" w:eastAsia="zh-CN"/>
        </w:rPr>
      </w:pPr>
    </w:p>
    <w:p w14:paraId="2991D96C">
      <w:pPr>
        <w:pStyle w:val="2"/>
        <w:rPr>
          <w:rFonts w:hint="eastAsia" w:ascii="Times New Roman" w:hAnsi="Times New Roman" w:eastAsia="仿宋_GB2312" w:cs="仿宋_GB2312"/>
          <w:color w:val="auto"/>
          <w:kern w:val="2"/>
          <w:sz w:val="32"/>
          <w:szCs w:val="32"/>
          <w:highlight w:val="none"/>
          <w:lang w:val="en-US" w:eastAsia="zh-CN" w:bidi="ar-SA"/>
        </w:rPr>
      </w:pPr>
    </w:p>
    <w:p w14:paraId="1B53D467">
      <w:pPr>
        <w:pStyle w:val="8"/>
        <w:rPr>
          <w:rFonts w:hint="eastAsia" w:ascii="Times New Roman" w:hAnsi="Times New Roman" w:eastAsia="仿宋_GB2312" w:cs="仿宋_GB2312"/>
          <w:color w:val="auto"/>
          <w:kern w:val="2"/>
          <w:sz w:val="32"/>
          <w:szCs w:val="32"/>
          <w:highlight w:val="none"/>
          <w:lang w:val="en-US" w:eastAsia="zh-CN" w:bidi="ar-SA"/>
        </w:rPr>
      </w:pPr>
    </w:p>
    <w:p w14:paraId="47456433">
      <w:pPr>
        <w:pStyle w:val="8"/>
        <w:rPr>
          <w:rFonts w:hint="eastAsia" w:ascii="Times New Roman" w:hAnsi="Times New Roman" w:eastAsia="仿宋_GB2312" w:cs="仿宋_GB2312"/>
          <w:color w:val="auto"/>
          <w:kern w:val="2"/>
          <w:sz w:val="32"/>
          <w:szCs w:val="32"/>
          <w:highlight w:val="none"/>
          <w:lang w:val="en-US" w:eastAsia="zh-CN" w:bidi="ar-SA"/>
        </w:rPr>
      </w:pPr>
    </w:p>
    <w:p w14:paraId="751CCDEE">
      <w:pPr>
        <w:pStyle w:val="8"/>
        <w:rPr>
          <w:rFonts w:hint="eastAsia" w:ascii="Times New Roman" w:hAnsi="Times New Roman" w:eastAsia="仿宋_GB2312" w:cs="仿宋_GB2312"/>
          <w:color w:val="auto"/>
          <w:kern w:val="2"/>
          <w:sz w:val="32"/>
          <w:szCs w:val="32"/>
          <w:highlight w:val="none"/>
          <w:lang w:val="en-US" w:eastAsia="zh-CN" w:bidi="ar-SA"/>
        </w:rPr>
      </w:pPr>
    </w:p>
    <w:p w14:paraId="03339A25">
      <w:pPr>
        <w:pStyle w:val="8"/>
        <w:rPr>
          <w:rFonts w:hint="eastAsia" w:ascii="Times New Roman" w:hAnsi="Times New Roman" w:eastAsia="仿宋_GB2312" w:cs="仿宋_GB2312"/>
          <w:color w:val="auto"/>
          <w:kern w:val="2"/>
          <w:sz w:val="32"/>
          <w:szCs w:val="32"/>
          <w:highlight w:val="none"/>
          <w:lang w:val="en-US" w:eastAsia="zh-CN" w:bidi="ar-SA"/>
        </w:rPr>
      </w:pPr>
    </w:p>
    <w:p w14:paraId="229C8BE5">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D4ACB8E">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1E0F5F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01E57D1">
      <w:pPr>
        <w:spacing w:line="600" w:lineRule="exact"/>
        <w:ind w:firstLine="640" w:firstLineChars="200"/>
        <w:outlineLvl w:val="1"/>
        <w:rPr>
          <w:rStyle w:val="30"/>
          <w:rFonts w:ascii="Times New Roman" w:hAnsi="Times New Roman" w:eastAsia="黑体"/>
          <w:b w:val="0"/>
          <w:color w:val="auto"/>
          <w:highlight w:val="none"/>
        </w:rPr>
      </w:pPr>
      <w:bookmarkStart w:id="24" w:name="_Toc15377209"/>
      <w:bookmarkStart w:id="25"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4"/>
      <w:bookmarkEnd w:id="25"/>
    </w:p>
    <w:p w14:paraId="4F703FA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6"/>
    </w:p>
    <w:p w14:paraId="4E4C4BA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334.42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99.42</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68.2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16.86</w:t>
      </w:r>
      <w:r>
        <w:rPr>
          <w:rFonts w:hint="eastAsia" w:ascii="Times New Roman" w:hAnsi="Times New Roman"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lang w:eastAsia="zh-CN"/>
        </w:rPr>
        <w:t>委托中介经费支出减少。</w:t>
      </w:r>
    </w:p>
    <w:p w14:paraId="093F2866">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09D9576">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67227281">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24A8CD5">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C1D95D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0CD6B9E">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BABB437">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403F33A">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8871606">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5080</wp:posOffset>
            </wp:positionH>
            <wp:positionV relativeFrom="paragraph">
              <wp:posOffset>-2700655</wp:posOffset>
            </wp:positionV>
            <wp:extent cx="5256530" cy="2988310"/>
            <wp:effectExtent l="5080" t="4445" r="15240" b="1714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29A2044">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0190986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A2C79B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7"/>
    </w:p>
    <w:p w14:paraId="7A8C27E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334.42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268.45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80.27</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44.48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13.3</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6.07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1.82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15.42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4.61</w:t>
      </w:r>
      <w:r>
        <w:rPr>
          <w:rFonts w:hint="eastAsia" w:ascii="Times New Roman" w:hAnsi="Times New Roman" w:eastAsia="仿宋_GB2312" w:cs="仿宋_GB2312"/>
          <w:color w:val="auto"/>
          <w:kern w:val="2"/>
          <w:sz w:val="32"/>
          <w:szCs w:val="32"/>
          <w:highlight w:val="none"/>
          <w:lang w:val="en-US" w:eastAsia="zh-CN" w:bidi="ar-SA"/>
        </w:rPr>
        <w:t>%；</w:t>
      </w:r>
    </w:p>
    <w:p w14:paraId="1CDBE7BD">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default"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-20955</wp:posOffset>
            </wp:positionH>
            <wp:positionV relativeFrom="paragraph">
              <wp:posOffset>260985</wp:posOffset>
            </wp:positionV>
            <wp:extent cx="5256530" cy="2988310"/>
            <wp:effectExtent l="5080" t="4445" r="1524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F32060A">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EAA94D1">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497819E0">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591D149">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5C5CF15">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6051C8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43896DCC">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5A6674E">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4A1751A">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2BC4AC0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FE7D5C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8"/>
    </w:p>
    <w:p w14:paraId="090176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9" w:name="_Toc15378460"/>
      <w:bookmarkStart w:id="30" w:name="_Toc15377213"/>
      <w:bookmarkStart w:id="31"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334.42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9"/>
      <w:bookmarkEnd w:id="30"/>
      <w:bookmarkEnd w:id="31"/>
    </w:p>
    <w:p w14:paraId="69903F9C">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ascii="仿宋" w:hAnsi="仿宋" w:eastAsia="仿宋" w:cs="仿宋"/>
          <w:b/>
          <w:color w:val="000000"/>
          <w:sz w:val="32"/>
          <w:szCs w:val="32"/>
        </w:rPr>
        <w:t>1.</w:t>
      </w:r>
      <w:r>
        <w:rPr>
          <w:rFonts w:hint="eastAsia" w:ascii="仿宋" w:hAnsi="仿宋" w:eastAsia="仿宋" w:cs="仿宋"/>
          <w:b/>
          <w:color w:val="000000"/>
          <w:sz w:val="32"/>
          <w:szCs w:val="32"/>
        </w:rPr>
        <w:t>一般公共服务（类）审计事务（款）行政运行（项）:</w:t>
      </w:r>
      <w:r>
        <w:rPr>
          <w:rFonts w:hint="eastAsia" w:ascii="仿宋" w:hAnsi="仿宋" w:eastAsia="仿宋" w:cs="仿宋"/>
          <w:b w:val="0"/>
          <w:color w:val="000000"/>
          <w:sz w:val="32"/>
          <w:szCs w:val="32"/>
        </w:rPr>
        <w:t> 支出决算为</w:t>
      </w:r>
      <w:r>
        <w:rPr>
          <w:rFonts w:hint="eastAsia" w:ascii="仿宋" w:hAnsi="仿宋" w:eastAsia="仿宋" w:cs="仿宋"/>
          <w:b w:val="0"/>
          <w:color w:val="000000"/>
          <w:sz w:val="32"/>
          <w:szCs w:val="32"/>
          <w:lang w:val="en-US" w:eastAsia="zh-CN"/>
        </w:rPr>
        <w:t>101.04</w:t>
      </w:r>
      <w:r>
        <w:rPr>
          <w:rFonts w:hint="eastAsia" w:ascii="仿宋" w:hAnsi="仿宋" w:eastAsia="仿宋" w:cs="仿宋"/>
          <w:b w:val="0"/>
          <w:color w:val="000000"/>
          <w:sz w:val="32"/>
          <w:szCs w:val="32"/>
        </w:rPr>
        <w:t>万元，完成预算100%。</w:t>
      </w:r>
    </w:p>
    <w:p w14:paraId="217489D5">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rPr>
      </w:pPr>
      <w:r>
        <w:rPr>
          <w:rFonts w:hint="eastAsia" w:ascii="仿宋" w:hAnsi="仿宋" w:eastAsia="仿宋" w:cs="仿宋"/>
          <w:b/>
          <w:color w:val="000000"/>
          <w:sz w:val="32"/>
          <w:szCs w:val="32"/>
        </w:rPr>
        <w:t>2.一般公共服务（类）审计事务（款）</w:t>
      </w:r>
      <w:r>
        <w:rPr>
          <w:rFonts w:hint="eastAsia" w:ascii="仿宋" w:hAnsi="仿宋" w:eastAsia="仿宋" w:cs="仿宋"/>
          <w:b/>
          <w:color w:val="000000"/>
          <w:sz w:val="32"/>
          <w:szCs w:val="32"/>
          <w:lang w:eastAsia="zh-CN"/>
        </w:rPr>
        <w:t>信息化建设</w:t>
      </w:r>
      <w:r>
        <w:rPr>
          <w:rFonts w:hint="eastAsia" w:ascii="仿宋" w:hAnsi="仿宋" w:eastAsia="仿宋" w:cs="仿宋"/>
          <w:b/>
          <w:color w:val="000000"/>
          <w:sz w:val="32"/>
          <w:szCs w:val="32"/>
        </w:rPr>
        <w:t>（项）: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w:t>
      </w:r>
      <w:r>
        <w:rPr>
          <w:rFonts w:hint="eastAsia" w:ascii="仿宋" w:hAnsi="仿宋" w:eastAsia="仿宋" w:cs="仿宋"/>
          <w:b w:val="0"/>
          <w:color w:val="000000"/>
          <w:sz w:val="32"/>
          <w:szCs w:val="32"/>
        </w:rPr>
        <w:t>万元，完成预算</w:t>
      </w:r>
      <w:r>
        <w:rPr>
          <w:rFonts w:hint="eastAsia" w:ascii="仿宋" w:hAnsi="仿宋" w:eastAsia="仿宋" w:cs="仿宋"/>
          <w:b w:val="0"/>
          <w:color w:val="000000"/>
          <w:sz w:val="32"/>
          <w:szCs w:val="32"/>
          <w:lang w:val="en-US" w:eastAsia="zh-CN"/>
        </w:rPr>
        <w:t>100</w:t>
      </w:r>
      <w:r>
        <w:rPr>
          <w:rFonts w:hint="eastAsia" w:ascii="仿宋" w:hAnsi="仿宋" w:eastAsia="仿宋" w:cs="仿宋"/>
          <w:b w:val="0"/>
          <w:color w:val="000000"/>
          <w:sz w:val="32"/>
          <w:szCs w:val="32"/>
        </w:rPr>
        <w:t>%。</w:t>
      </w:r>
    </w:p>
    <w:p w14:paraId="36DDDD5B">
      <w:pPr>
        <w:pStyle w:val="15"/>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.一般公共服务（类）审计事务（款）审计业务（项）: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19.66</w:t>
      </w:r>
      <w:r>
        <w:rPr>
          <w:rFonts w:hint="eastAsia" w:ascii="仿宋" w:hAnsi="仿宋" w:eastAsia="仿宋" w:cs="仿宋"/>
          <w:b w:val="0"/>
          <w:color w:val="000000"/>
          <w:sz w:val="32"/>
          <w:szCs w:val="32"/>
        </w:rPr>
        <w:t>万元，完成预算100%。</w:t>
      </w:r>
    </w:p>
    <w:p w14:paraId="629478A9">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4.一般公共服务（类）审计事务（款）事业运行（项）: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64.35</w:t>
      </w:r>
      <w:r>
        <w:rPr>
          <w:rFonts w:hint="eastAsia" w:ascii="仿宋" w:hAnsi="仿宋" w:eastAsia="仿宋" w:cs="仿宋"/>
          <w:b w:val="0"/>
          <w:color w:val="000000"/>
          <w:sz w:val="32"/>
          <w:szCs w:val="32"/>
        </w:rPr>
        <w:t>万元，完成预算100%。</w:t>
      </w:r>
    </w:p>
    <w:p w14:paraId="55EDC682">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5.一般公共服务（类）审计事务（款）其他审计事务支出（项）: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84.34</w:t>
      </w:r>
      <w:r>
        <w:rPr>
          <w:rFonts w:hint="eastAsia" w:ascii="仿宋" w:hAnsi="仿宋" w:eastAsia="仿宋" w:cs="仿宋"/>
          <w:b w:val="0"/>
          <w:color w:val="000000"/>
          <w:sz w:val="32"/>
          <w:szCs w:val="32"/>
        </w:rPr>
        <w:t>万元，完成预算100%。</w:t>
      </w:r>
    </w:p>
    <w:p w14:paraId="4E6D01AF">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 6.社会保障和就业支出（类）行政事业单位</w:t>
      </w:r>
      <w:r>
        <w:rPr>
          <w:rFonts w:hint="eastAsia" w:ascii="仿宋" w:hAnsi="仿宋" w:eastAsia="仿宋" w:cs="仿宋"/>
          <w:b/>
          <w:color w:val="000000"/>
          <w:sz w:val="32"/>
          <w:szCs w:val="32"/>
          <w:lang w:eastAsia="zh-CN"/>
        </w:rPr>
        <w:t>养老支出</w:t>
      </w:r>
      <w:r>
        <w:rPr>
          <w:rFonts w:hint="eastAsia" w:ascii="仿宋" w:hAnsi="仿宋" w:eastAsia="仿宋" w:cs="仿宋"/>
          <w:b/>
          <w:color w:val="000000"/>
          <w:sz w:val="32"/>
          <w:szCs w:val="32"/>
        </w:rPr>
        <w:t>（款）机关事业单位基本养老保险缴费支出（项）: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18.82</w:t>
      </w:r>
      <w:r>
        <w:rPr>
          <w:rFonts w:hint="eastAsia" w:ascii="仿宋" w:hAnsi="仿宋" w:eastAsia="仿宋" w:cs="仿宋"/>
          <w:b w:val="0"/>
          <w:color w:val="000000"/>
          <w:sz w:val="32"/>
          <w:szCs w:val="32"/>
        </w:rPr>
        <w:t>万元，完成预算100%。</w:t>
      </w:r>
    </w:p>
    <w:p w14:paraId="2FB9AD31">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仿宋" w:hAnsi="仿宋" w:eastAsia="仿宋" w:cs="仿宋"/>
          <w:b/>
          <w:color w:val="000000"/>
          <w:sz w:val="32"/>
          <w:szCs w:val="32"/>
        </w:rPr>
        <w:t>7.社会保障和就业支出（类）行政事业单位</w:t>
      </w:r>
      <w:r>
        <w:rPr>
          <w:rFonts w:hint="eastAsia" w:ascii="仿宋" w:hAnsi="仿宋" w:eastAsia="仿宋" w:cs="仿宋"/>
          <w:b/>
          <w:color w:val="000000"/>
          <w:sz w:val="32"/>
          <w:szCs w:val="32"/>
          <w:lang w:eastAsia="zh-CN"/>
        </w:rPr>
        <w:t>养老支出</w:t>
      </w:r>
      <w:r>
        <w:rPr>
          <w:rFonts w:hint="eastAsia" w:ascii="仿宋" w:hAnsi="仿宋" w:eastAsia="仿宋" w:cs="仿宋"/>
          <w:b/>
          <w:color w:val="000000"/>
          <w:sz w:val="32"/>
          <w:szCs w:val="32"/>
        </w:rPr>
        <w:t>（款）机关事业单位职业年金缴费支出（项）: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9.41</w:t>
      </w:r>
      <w:r>
        <w:rPr>
          <w:rFonts w:hint="eastAsia" w:ascii="仿宋" w:hAnsi="仿宋" w:eastAsia="仿宋" w:cs="仿宋"/>
          <w:b w:val="0"/>
          <w:color w:val="000000"/>
          <w:sz w:val="32"/>
          <w:szCs w:val="32"/>
        </w:rPr>
        <w:t>万元，完成预算100%。</w:t>
      </w:r>
    </w:p>
    <w:p w14:paraId="53516F0B">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8.社会保障和就业支出（类）行政事业单位</w:t>
      </w:r>
      <w:r>
        <w:rPr>
          <w:rFonts w:hint="eastAsia" w:ascii="仿宋" w:hAnsi="仿宋" w:eastAsia="仿宋" w:cs="仿宋"/>
          <w:b/>
          <w:color w:val="000000"/>
          <w:sz w:val="32"/>
          <w:szCs w:val="32"/>
          <w:lang w:eastAsia="zh-CN"/>
        </w:rPr>
        <w:t>养老支出</w:t>
      </w:r>
      <w:r>
        <w:rPr>
          <w:rFonts w:hint="eastAsia" w:ascii="仿宋" w:hAnsi="仿宋" w:eastAsia="仿宋" w:cs="仿宋"/>
          <w:b/>
          <w:color w:val="000000"/>
          <w:sz w:val="32"/>
          <w:szCs w:val="32"/>
        </w:rPr>
        <w:t>（款）其他行政事业单位</w:t>
      </w:r>
      <w:r>
        <w:rPr>
          <w:rFonts w:hint="eastAsia" w:ascii="仿宋" w:hAnsi="仿宋" w:eastAsia="仿宋" w:cs="仿宋"/>
          <w:b/>
          <w:color w:val="000000"/>
          <w:sz w:val="32"/>
          <w:szCs w:val="32"/>
          <w:lang w:eastAsia="zh-CN"/>
        </w:rPr>
        <w:t>养老</w:t>
      </w:r>
      <w:r>
        <w:rPr>
          <w:rFonts w:hint="eastAsia" w:ascii="仿宋" w:hAnsi="仿宋" w:eastAsia="仿宋" w:cs="仿宋"/>
          <w:b/>
          <w:color w:val="000000"/>
          <w:sz w:val="32"/>
          <w:szCs w:val="32"/>
        </w:rPr>
        <w:t>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1.6</w:t>
      </w:r>
      <w:r>
        <w:rPr>
          <w:rFonts w:hint="eastAsia" w:ascii="仿宋" w:hAnsi="仿宋" w:eastAsia="仿宋" w:cs="仿宋"/>
          <w:b w:val="0"/>
          <w:color w:val="000000"/>
          <w:sz w:val="32"/>
          <w:szCs w:val="32"/>
        </w:rPr>
        <w:t>万元，完成预算100%。</w:t>
      </w:r>
    </w:p>
    <w:p w14:paraId="05ECF0EA">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rPr>
      </w:pPr>
      <w:r>
        <w:rPr>
          <w:rFonts w:hint="eastAsia" w:ascii="仿宋" w:hAnsi="仿宋" w:eastAsia="仿宋" w:cs="仿宋"/>
          <w:b/>
          <w:color w:val="000000"/>
          <w:sz w:val="32"/>
          <w:szCs w:val="32"/>
        </w:rPr>
        <w:t>9.</w:t>
      </w:r>
      <w:r>
        <w:rPr>
          <w:rFonts w:hint="eastAsia" w:ascii="仿宋" w:hAnsi="仿宋" w:eastAsia="仿宋" w:cs="仿宋"/>
          <w:b/>
          <w:color w:val="000000"/>
          <w:sz w:val="32"/>
          <w:szCs w:val="32"/>
          <w:lang w:eastAsia="zh-CN"/>
        </w:rPr>
        <w:t>残疾人事业</w:t>
      </w:r>
      <w:r>
        <w:rPr>
          <w:rFonts w:hint="eastAsia" w:ascii="仿宋" w:hAnsi="仿宋" w:eastAsia="仿宋" w:cs="仿宋"/>
          <w:b/>
          <w:color w:val="000000"/>
          <w:sz w:val="32"/>
          <w:szCs w:val="32"/>
        </w:rPr>
        <w:t>（类）</w:t>
      </w:r>
      <w:r>
        <w:rPr>
          <w:rFonts w:hint="eastAsia" w:ascii="仿宋" w:hAnsi="仿宋" w:eastAsia="仿宋" w:cs="仿宋"/>
          <w:b/>
          <w:color w:val="000000"/>
          <w:sz w:val="32"/>
          <w:szCs w:val="32"/>
          <w:lang w:eastAsia="zh-CN"/>
        </w:rPr>
        <w:t>残疾人就业</w:t>
      </w:r>
      <w:r>
        <w:rPr>
          <w:rFonts w:hint="eastAsia" w:ascii="仿宋" w:hAnsi="仿宋" w:eastAsia="仿宋" w:cs="仿宋"/>
          <w:b/>
          <w:color w:val="000000"/>
          <w:sz w:val="32"/>
          <w:szCs w:val="32"/>
        </w:rPr>
        <w:t>（款）</w:t>
      </w:r>
      <w:r>
        <w:rPr>
          <w:rFonts w:hint="eastAsia" w:ascii="仿宋" w:hAnsi="仿宋" w:eastAsia="仿宋" w:cs="仿宋"/>
          <w:b/>
          <w:color w:val="000000"/>
          <w:sz w:val="32"/>
          <w:szCs w:val="32"/>
          <w:lang w:eastAsia="zh-CN"/>
        </w:rPr>
        <w:t>残疾人就业</w:t>
      </w:r>
      <w:r>
        <w:rPr>
          <w:rFonts w:hint="eastAsia" w:ascii="仿宋" w:hAnsi="仿宋" w:eastAsia="仿宋" w:cs="仿宋"/>
          <w:b/>
          <w:color w:val="000000"/>
          <w:sz w:val="32"/>
          <w:szCs w:val="32"/>
        </w:rPr>
        <w:t>（项）: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2.06</w:t>
      </w:r>
      <w:r>
        <w:rPr>
          <w:rFonts w:hint="eastAsia" w:ascii="仿宋" w:hAnsi="仿宋" w:eastAsia="仿宋" w:cs="仿宋"/>
          <w:b w:val="0"/>
          <w:color w:val="000000"/>
          <w:sz w:val="32"/>
          <w:szCs w:val="32"/>
        </w:rPr>
        <w:t>万元，完成预算100%。</w:t>
      </w:r>
    </w:p>
    <w:p w14:paraId="0F727BC8">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.社会保障和就业支出（类）其他社会保障就业支出（款）其他社会保障就业支出（项）: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12.59</w:t>
      </w:r>
      <w:r>
        <w:rPr>
          <w:rFonts w:hint="eastAsia" w:ascii="仿宋" w:hAnsi="仿宋" w:eastAsia="仿宋" w:cs="仿宋"/>
          <w:b w:val="0"/>
          <w:color w:val="000000"/>
          <w:sz w:val="32"/>
          <w:szCs w:val="32"/>
        </w:rPr>
        <w:t>万元，完成预算100%。</w:t>
      </w:r>
    </w:p>
    <w:p w14:paraId="2D658C8B">
      <w:pPr>
        <w:pStyle w:val="15"/>
        <w:keepNext w:val="0"/>
        <w:keepLines w:val="0"/>
        <w:widowControl/>
        <w:suppressLineNumbers w:val="0"/>
        <w:spacing w:before="0" w:beforeAutospacing="0" w:after="0" w:afterAutospacing="0" w:line="600" w:lineRule="atLeast"/>
        <w:ind w:right="0" w:firstLine="643" w:firstLineChars="200"/>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1</w:t>
      </w: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.卫生健康教育（类）行政事业单位医疗（款）行政单位医疗（项）: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2.75</w:t>
      </w:r>
      <w:r>
        <w:rPr>
          <w:rFonts w:hint="eastAsia" w:ascii="仿宋" w:hAnsi="仿宋" w:eastAsia="仿宋" w:cs="仿宋"/>
          <w:b w:val="0"/>
          <w:color w:val="000000"/>
          <w:sz w:val="32"/>
          <w:szCs w:val="32"/>
        </w:rPr>
        <w:t>万元，完成预算100%。</w:t>
      </w:r>
    </w:p>
    <w:p w14:paraId="454AB50F">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1</w:t>
      </w: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.卫生健康教育（类）行政事业单位医疗（款）事业单位医疗（项）: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2.42</w:t>
      </w:r>
      <w:r>
        <w:rPr>
          <w:rFonts w:hint="eastAsia" w:ascii="仿宋" w:hAnsi="仿宋" w:eastAsia="仿宋" w:cs="仿宋"/>
          <w:b w:val="0"/>
          <w:color w:val="000000"/>
          <w:sz w:val="32"/>
          <w:szCs w:val="32"/>
        </w:rPr>
        <w:t>万元，完成预算100%。</w:t>
      </w:r>
    </w:p>
    <w:p w14:paraId="1F206D66">
      <w:pPr>
        <w:pStyle w:val="15"/>
        <w:keepNext w:val="0"/>
        <w:keepLines w:val="0"/>
        <w:widowControl/>
        <w:suppressLineNumbers w:val="0"/>
        <w:spacing w:before="0" w:beforeAutospacing="0" w:after="0" w:afterAutospacing="0" w:line="600" w:lineRule="atLeast"/>
        <w:ind w:left="0" w:right="0" w:firstLine="643"/>
        <w:jc w:val="both"/>
        <w:rPr>
          <w:rFonts w:hint="eastAsia" w:ascii="仿宋" w:hAnsi="仿宋" w:eastAsia="仿宋" w:cs="仿宋"/>
          <w:b w:val="0"/>
          <w:color w:val="000000"/>
          <w:sz w:val="32"/>
          <w:szCs w:val="32"/>
          <w:lang w:eastAsia="zh-CN"/>
        </w:rPr>
      </w:pPr>
      <w:r>
        <w:rPr>
          <w:rFonts w:hint="eastAsia" w:ascii="仿宋" w:hAnsi="仿宋" w:eastAsia="仿宋" w:cs="仿宋"/>
          <w:b/>
          <w:color w:val="000000"/>
          <w:sz w:val="32"/>
          <w:szCs w:val="32"/>
        </w:rPr>
        <w:t> 1</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.卫生健康教育（类）行政事业单位医疗（款）</w:t>
      </w:r>
      <w:r>
        <w:rPr>
          <w:rFonts w:hint="eastAsia" w:ascii="仿宋" w:hAnsi="仿宋" w:eastAsia="仿宋" w:cs="仿宋"/>
          <w:b/>
          <w:color w:val="000000"/>
          <w:sz w:val="32"/>
          <w:szCs w:val="32"/>
          <w:lang w:eastAsia="zh-CN"/>
        </w:rPr>
        <w:t>公务员</w:t>
      </w:r>
      <w:r>
        <w:rPr>
          <w:rFonts w:hint="eastAsia" w:ascii="仿宋" w:hAnsi="仿宋" w:eastAsia="仿宋" w:cs="仿宋"/>
          <w:b/>
          <w:color w:val="000000"/>
          <w:sz w:val="32"/>
          <w:szCs w:val="32"/>
        </w:rPr>
        <w:t>医疗</w:t>
      </w:r>
      <w:r>
        <w:rPr>
          <w:rFonts w:hint="eastAsia" w:ascii="仿宋" w:hAnsi="仿宋" w:eastAsia="仿宋" w:cs="仿宋"/>
          <w:b/>
          <w:color w:val="000000"/>
          <w:sz w:val="32"/>
          <w:szCs w:val="32"/>
          <w:lang w:eastAsia="zh-CN"/>
        </w:rPr>
        <w:t>补助</w:t>
      </w:r>
      <w:r>
        <w:rPr>
          <w:rFonts w:hint="eastAsia" w:ascii="仿宋" w:hAnsi="仿宋" w:eastAsia="仿宋" w:cs="仿宋"/>
          <w:b/>
          <w:color w:val="000000"/>
          <w:sz w:val="32"/>
          <w:szCs w:val="32"/>
        </w:rPr>
        <w:t>（项）: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0.9</w:t>
      </w:r>
      <w:r>
        <w:rPr>
          <w:rFonts w:hint="eastAsia" w:ascii="仿宋" w:hAnsi="仿宋" w:eastAsia="仿宋" w:cs="仿宋"/>
          <w:b w:val="0"/>
          <w:color w:val="000000"/>
          <w:sz w:val="32"/>
          <w:szCs w:val="32"/>
        </w:rPr>
        <w:t>万元，完成预算100%。</w:t>
      </w:r>
    </w:p>
    <w:p w14:paraId="37D6B08D">
      <w:pPr>
        <w:pStyle w:val="15"/>
        <w:keepNext w:val="0"/>
        <w:keepLines w:val="0"/>
        <w:widowControl/>
        <w:suppressLineNumbers w:val="0"/>
        <w:spacing w:before="0" w:beforeAutospacing="0" w:after="0" w:afterAutospacing="0" w:line="600" w:lineRule="atLeast"/>
        <w:ind w:right="0" w:firstLine="643" w:firstLineChars="200"/>
        <w:jc w:val="both"/>
        <w:rPr>
          <w:rFonts w:hint="eastAsia" w:ascii="仿宋" w:hAnsi="仿宋" w:eastAsia="仿宋" w:cs="仿宋"/>
          <w:b w:val="0"/>
          <w:color w:val="000000"/>
          <w:sz w:val="32"/>
          <w:szCs w:val="32"/>
        </w:rPr>
      </w:pPr>
      <w:r>
        <w:rPr>
          <w:rFonts w:hint="eastAsia" w:ascii="仿宋" w:hAnsi="仿宋" w:eastAsia="仿宋" w:cs="仿宋"/>
          <w:b/>
          <w:color w:val="000000"/>
          <w:sz w:val="32"/>
          <w:szCs w:val="32"/>
        </w:rPr>
        <w:t>1</w:t>
      </w: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.住房保障支出（类）住房改革支出（款）住房公积金（项）:</w:t>
      </w:r>
      <w:r>
        <w:rPr>
          <w:rFonts w:hint="eastAsia" w:ascii="仿宋" w:hAnsi="仿宋" w:eastAsia="仿宋" w:cs="仿宋"/>
          <w:b w:val="0"/>
          <w:color w:val="000000"/>
          <w:sz w:val="32"/>
          <w:szCs w:val="32"/>
        </w:rPr>
        <w:t>支出决算为</w:t>
      </w:r>
      <w:r>
        <w:rPr>
          <w:rFonts w:hint="eastAsia" w:ascii="仿宋" w:hAnsi="仿宋" w:eastAsia="仿宋" w:cs="仿宋"/>
          <w:b w:val="0"/>
          <w:color w:val="000000"/>
          <w:sz w:val="32"/>
          <w:szCs w:val="32"/>
          <w:lang w:val="en-US" w:eastAsia="zh-CN"/>
        </w:rPr>
        <w:t>15.42</w:t>
      </w:r>
      <w:r>
        <w:rPr>
          <w:rFonts w:hint="eastAsia" w:ascii="仿宋" w:hAnsi="仿宋" w:eastAsia="仿宋" w:cs="仿宋"/>
          <w:b w:val="0"/>
          <w:color w:val="000000"/>
          <w:sz w:val="32"/>
          <w:szCs w:val="32"/>
        </w:rPr>
        <w:t>万元，完成预算100%。</w:t>
      </w:r>
    </w:p>
    <w:p w14:paraId="2CD322A5">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1CA45AC9">
      <w:pPr>
        <w:tabs>
          <w:tab w:val="right" w:pos="8306"/>
        </w:tabs>
        <w:spacing w:line="600" w:lineRule="exact"/>
        <w:ind w:firstLine="640"/>
        <w:outlineLvl w:val="1"/>
        <w:rPr>
          <w:rStyle w:val="30"/>
          <w:rFonts w:ascii="Times New Roman" w:hAnsi="Times New Roman"/>
          <w:color w:val="auto"/>
          <w:highlight w:val="none"/>
        </w:rPr>
      </w:pPr>
      <w:bookmarkStart w:id="32" w:name="_Toc15396608"/>
      <w:bookmarkStart w:id="33"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2"/>
      <w:bookmarkEnd w:id="33"/>
      <w:r>
        <w:rPr>
          <w:rStyle w:val="30"/>
          <w:rFonts w:ascii="Times New Roman" w:hAnsi="Times New Roman" w:eastAsia="黑体"/>
          <w:b w:val="0"/>
          <w:color w:val="auto"/>
          <w:highlight w:val="none"/>
        </w:rPr>
        <w:tab/>
      </w:r>
    </w:p>
    <w:p w14:paraId="1BED66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229.42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6E247F2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199.8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29.61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8BACD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CFD7A92">
      <w:pPr>
        <w:spacing w:line="600" w:lineRule="exact"/>
        <w:ind w:firstLine="640"/>
        <w:outlineLvl w:val="1"/>
        <w:rPr>
          <w:rStyle w:val="30"/>
          <w:rFonts w:ascii="Times New Roman" w:hAnsi="Times New Roman" w:eastAsia="黑体"/>
          <w:b w:val="0"/>
          <w:color w:val="auto"/>
          <w:highlight w:val="none"/>
        </w:rPr>
      </w:pPr>
      <w:bookmarkStart w:id="34" w:name="_Toc15377215"/>
      <w:bookmarkStart w:id="35" w:name="_Toc15396609"/>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4"/>
      <w:bookmarkEnd w:id="35"/>
    </w:p>
    <w:p w14:paraId="2073D44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6"/>
    </w:p>
    <w:p w14:paraId="224F40E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0.79</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98.2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8.14</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14:paraId="4FD280C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7"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7"/>
    </w:p>
    <w:p w14:paraId="6B7E67E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0.79</w:t>
      </w:r>
      <w:r>
        <w:rPr>
          <w:rFonts w:hint="eastAsia" w:ascii="仿宋_GB2312" w:hAnsi="仿宋_GB2312" w:eastAsia="仿宋_GB2312" w:cs="仿宋_GB2312"/>
          <w:color w:val="auto"/>
          <w:kern w:val="2"/>
          <w:sz w:val="32"/>
          <w:szCs w:val="32"/>
          <w:highlight w:val="none"/>
          <w:lang w:val="en-US" w:eastAsia="zh-CN" w:bidi="ar-SA"/>
        </w:rPr>
        <w:t>万元，占100%。具体情况如下：</w:t>
      </w:r>
    </w:p>
    <w:p w14:paraId="1B27F60B">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sz w:val="32"/>
          <w:szCs w:val="32"/>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7305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6329436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eastAsia="仿宋_GB2312" w:cs="仿宋_GB2312"/>
          <w:color w:val="auto"/>
          <w:kern w:val="2"/>
          <w:sz w:val="32"/>
          <w:szCs w:val="32"/>
          <w:highlight w:val="none"/>
          <w:lang w:val="en-US" w:eastAsia="zh-CN" w:bidi="ar-SA"/>
        </w:rPr>
        <w:t>度</w:t>
      </w:r>
      <w:r>
        <w:rPr>
          <w:rFonts w:hint="eastAsia" w:ascii="Times New Roman" w:hAnsi="Times New Roman" w:eastAsia="仿宋_GB2312" w:cs="仿宋_GB2312"/>
          <w:color w:val="auto"/>
          <w:kern w:val="2"/>
          <w:sz w:val="32"/>
          <w:szCs w:val="32"/>
          <w:highlight w:val="none"/>
          <w:lang w:val="en-US" w:eastAsia="zh-CN" w:bidi="ar-SA"/>
        </w:rPr>
        <w:t>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17F4F4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7D87F8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73EA17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7A28EC4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0.79万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98.2</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8.14</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其中：</w:t>
      </w:r>
    </w:p>
    <w:p w14:paraId="151C0C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0.79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9</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114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0.79</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ascii="仿宋_GB2312" w:hAnsi="Times New Roman" w:eastAsia="仿宋_GB2312" w:cs="仿宋_GB2312"/>
          <w:i w:val="0"/>
          <w:caps w:val="0"/>
          <w:color w:val="333333"/>
          <w:spacing w:val="0"/>
          <w:sz w:val="31"/>
          <w:szCs w:val="31"/>
          <w:shd w:val="clear" w:color="auto" w:fill="FFFFFF"/>
        </w:rPr>
        <w:t>上级检查指导</w:t>
      </w:r>
      <w:r>
        <w:rPr>
          <w:rFonts w:hint="eastAsia" w:ascii="仿宋_GB2312" w:hAnsi="Times New Roman" w:eastAsia="仿宋_GB2312" w:cs="仿宋_GB2312"/>
          <w:i w:val="0"/>
          <w:caps w:val="0"/>
          <w:color w:val="333333"/>
          <w:spacing w:val="0"/>
          <w:sz w:val="31"/>
          <w:szCs w:val="31"/>
          <w:shd w:val="clear" w:color="auto" w:fill="FFFFFF"/>
        </w:rPr>
        <w:t>和其他区县审计局沟通交流我局审计业务工作等共计</w:t>
      </w:r>
      <w:r>
        <w:rPr>
          <w:rFonts w:hint="eastAsia" w:ascii="仿宋_GB2312" w:eastAsia="仿宋_GB2312" w:cs="仿宋_GB2312"/>
          <w:i w:val="0"/>
          <w:caps w:val="0"/>
          <w:color w:val="333333"/>
          <w:spacing w:val="0"/>
          <w:sz w:val="31"/>
          <w:szCs w:val="31"/>
          <w:shd w:val="clear" w:color="auto" w:fill="FFFFFF"/>
          <w:lang w:val="en-US" w:eastAsia="zh-CN"/>
        </w:rPr>
        <w:t>0.79</w:t>
      </w:r>
      <w:r>
        <w:rPr>
          <w:rFonts w:hint="eastAsia" w:ascii="仿宋_GB2312" w:hAnsi="Times New Roman" w:eastAsia="仿宋_GB2312" w:cs="仿宋_GB2312"/>
          <w:i w:val="0"/>
          <w:caps w:val="0"/>
          <w:color w:val="333333"/>
          <w:spacing w:val="0"/>
          <w:sz w:val="31"/>
          <w:szCs w:val="31"/>
          <w:shd w:val="clear" w:color="auto" w:fill="FFFFFF"/>
        </w:rPr>
        <w:t>万元</w:t>
      </w:r>
      <w:r>
        <w:rPr>
          <w:rFonts w:hint="eastAsia" w:ascii="仿宋_GB2312" w:eastAsia="仿宋_GB2312" w:cs="仿宋_GB2312"/>
          <w:i w:val="0"/>
          <w:caps w:val="0"/>
          <w:color w:val="333333"/>
          <w:spacing w:val="0"/>
          <w:sz w:val="31"/>
          <w:szCs w:val="31"/>
          <w:shd w:val="clear" w:color="auto" w:fill="FFFFFF"/>
          <w:lang w:eastAsia="zh-CN"/>
        </w:rPr>
        <w:t>。</w:t>
      </w:r>
      <w:r>
        <w:rPr>
          <w:rFonts w:hint="eastAsia" w:ascii="Times New Roman" w:hAnsi="Times New Roman" w:eastAsia="仿宋_GB2312" w:cs="仿宋_GB2312"/>
          <w:color w:val="auto"/>
          <w:kern w:val="2"/>
          <w:sz w:val="32"/>
          <w:szCs w:val="32"/>
          <w:highlight w:val="none"/>
          <w:lang w:val="en-US" w:eastAsia="zh-CN" w:bidi="ar-SA"/>
        </w:rPr>
        <w:t>。</w:t>
      </w:r>
    </w:p>
    <w:p w14:paraId="4CAE719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14:paraId="48EBDA1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8" w:name="_Toc15396610"/>
      <w:bookmarkStart w:id="39" w:name="_Toc15377218"/>
    </w:p>
    <w:p w14:paraId="4EDB65DF">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8"/>
      <w:bookmarkEnd w:id="39"/>
    </w:p>
    <w:p w14:paraId="16483C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1BD7C16">
      <w:pPr>
        <w:pStyle w:val="2"/>
        <w:rPr>
          <w:rFonts w:hint="eastAsia"/>
          <w:lang w:val="en-US" w:eastAsia="zh-CN"/>
        </w:rPr>
      </w:pPr>
    </w:p>
    <w:p w14:paraId="2598B1D3">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40" w:name="_Toc15377219"/>
      <w:bookmarkStart w:id="41"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40"/>
      <w:bookmarkEnd w:id="41"/>
    </w:p>
    <w:p w14:paraId="3273678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26BF04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E63B681">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2" w:name="_Toc15396612"/>
      <w:bookmarkStart w:id="43"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2"/>
      <w:bookmarkEnd w:id="43"/>
    </w:p>
    <w:p w14:paraId="24634DB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22"/>
      <w:r>
        <w:rPr>
          <w:rFonts w:hint="eastAsia" w:ascii="Times New Roman" w:hAnsi="Times New Roman" w:eastAsia="楷体_GB2312" w:cs="楷体_GB2312"/>
          <w:b/>
          <w:color w:val="auto"/>
          <w:sz w:val="32"/>
          <w:szCs w:val="32"/>
          <w:highlight w:val="none"/>
        </w:rPr>
        <w:t>（一）机关运行经费支出情况</w:t>
      </w:r>
      <w:bookmarkEnd w:id="44"/>
    </w:p>
    <w:p w14:paraId="1B0806F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乐山市金口河区审计局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29.61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8.16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38.04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劳务派遣工资决算自动归在运行经费中。</w:t>
      </w:r>
    </w:p>
    <w:p w14:paraId="0B8A559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863855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5" w:name="_Toc15377223"/>
      <w:r>
        <w:rPr>
          <w:rFonts w:hint="eastAsia" w:ascii="Times New Roman" w:hAnsi="Times New Roman" w:eastAsia="楷体_GB2312" w:cs="楷体_GB2312"/>
          <w:b/>
          <w:color w:val="auto"/>
          <w:sz w:val="32"/>
          <w:szCs w:val="32"/>
          <w:highlight w:val="none"/>
        </w:rPr>
        <w:t>（二）政府采购支出情况</w:t>
      </w:r>
      <w:bookmarkEnd w:id="45"/>
    </w:p>
    <w:p w14:paraId="31A419E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乐山市金口河区审计局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25E035D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6359B5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4"/>
      <w:r>
        <w:rPr>
          <w:rFonts w:hint="eastAsia" w:ascii="Times New Roman" w:hAnsi="Times New Roman" w:eastAsia="楷体_GB2312" w:cs="楷体_GB2312"/>
          <w:b/>
          <w:color w:val="auto"/>
          <w:sz w:val="32"/>
          <w:szCs w:val="32"/>
          <w:highlight w:val="none"/>
        </w:rPr>
        <w:t>（三）国有资产占有使用情况</w:t>
      </w:r>
      <w:bookmarkEnd w:id="46"/>
    </w:p>
    <w:p w14:paraId="63E65D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乐山市金口河区审计局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3AFF98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82E940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E2F0DB7">
      <w:pPr>
        <w:spacing w:line="58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w:t>
      </w: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经济责任审计业务经费、工程投资审计业务经费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386CBC2C">
      <w:pPr>
        <w:spacing w:line="58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sz w:val="32"/>
          <w:szCs w:val="32"/>
          <w:highlight w:val="none"/>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区审计局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Times New Roman" w:eastAsia="仿宋_GB2312" w:cs="仿宋_GB2312"/>
          <w:i w:val="0"/>
          <w:caps w:val="0"/>
          <w:color w:val="333333"/>
          <w:spacing w:val="0"/>
          <w:sz w:val="31"/>
          <w:szCs w:val="31"/>
          <w:shd w:val="clear" w:color="auto" w:fill="FFFFFF"/>
        </w:rPr>
        <w:t>外出审计自理经费</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区审计局</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区审计局</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sz w:val="32"/>
          <w:szCs w:val="32"/>
          <w:highlight w:val="none"/>
          <w:lang w:eastAsia="zh-CN"/>
        </w:rPr>
        <w:t>年度的部门整体支出做到了使用规范、程序透明、达到预期绩效目标确保了机关的正常运行和各部室职能的正常履行，保证了目标任务的圆满完成</w:t>
      </w:r>
      <w:r>
        <w:rPr>
          <w:rFonts w:hint="eastAsia" w:ascii="仿宋_GB2312" w:hAnsi="仿宋_GB2312" w:eastAsia="仿宋_GB2312" w:cs="仿宋_GB2312"/>
          <w:color w:val="auto"/>
          <w:sz w:val="32"/>
          <w:szCs w:val="32"/>
          <w:highlight w:val="none"/>
        </w:rPr>
        <w:t>；外出审计自理经费专项预算项目绩效自评得分为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分，绩效自评综述：外出审计自理经费减轻了被审单位额外负担，保证了交叉审计工作人员经费，确保审计工作顺利完成。绩效自评报告详见附件。</w:t>
      </w:r>
    </w:p>
    <w:p w14:paraId="2D3AAD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F1DCD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F8DCA6E">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7" w:name="_Toc15377225"/>
      <w:bookmarkStart w:id="48" w:name="_Toc15396613"/>
    </w:p>
    <w:p w14:paraId="3F7E8DA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78378552">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727D7C7">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7"/>
      <w:bookmarkEnd w:id="48"/>
    </w:p>
    <w:p w14:paraId="43C48258">
      <w:pPr>
        <w:spacing w:line="600" w:lineRule="exact"/>
        <w:jc w:val="left"/>
        <w:rPr>
          <w:rFonts w:ascii="Times New Roman" w:hAnsi="Times New Roman"/>
          <w:b/>
          <w:color w:val="auto"/>
          <w:sz w:val="44"/>
          <w:szCs w:val="44"/>
          <w:highlight w:val="none"/>
        </w:rPr>
      </w:pPr>
    </w:p>
    <w:p w14:paraId="4022BF23">
      <w:pPr>
        <w:pStyle w:val="15"/>
        <w:keepNext w:val="0"/>
        <w:keepLines w:val="0"/>
        <w:widowControl/>
        <w:suppressLineNumbers w:val="0"/>
        <w:spacing w:before="0" w:beforeAutospacing="0" w:after="0" w:afterAutospacing="0" w:line="560" w:lineRule="atLeast"/>
        <w:ind w:left="0" w:right="0" w:firstLine="640"/>
        <w:jc w:val="both"/>
        <w:rPr>
          <w:rFonts w:ascii="仿宋" w:hAnsi="仿宋" w:eastAsia="仿宋" w:cs="仿宋"/>
          <w:color w:val="000000"/>
          <w:sz w:val="24"/>
          <w:szCs w:val="24"/>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财政拨款收入：指单位从同级财政部门取得的财政预算资金。</w:t>
      </w:r>
    </w:p>
    <w:p w14:paraId="3D79B559">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.其他收入：指单位取得的除上述收入以外的各项收入。主要是银行利息收入等。  </w:t>
      </w:r>
    </w:p>
    <w:p w14:paraId="0ABEA08A">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.年初结转和结余：指以前年度尚未完成、结转到本年按有关规定继续使用的资金。 </w:t>
      </w:r>
    </w:p>
    <w:p w14:paraId="6CD70E4B">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、年末结转和结余：指单位按有关规定结转到下年或以后年度继续使用的资金。</w:t>
      </w:r>
    </w:p>
    <w:p w14:paraId="6DAC1A6A">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.一般公共服务（类）审计事务（款）行政运行（项）：指乐山市金口河区审计局机关的基本支出。</w:t>
      </w:r>
    </w:p>
    <w:p w14:paraId="38D444FF">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．一般公共服务（类）审计事务（款）一般行政管理事务（项）：指乐山市金口河区审计局机关项目支出。</w:t>
      </w:r>
    </w:p>
    <w:p w14:paraId="56C910A6">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．一般公共服务（类）审计事务（款）审计业务（项）：指乐山市金口河区审计局机关开展审计业务的支出。</w:t>
      </w:r>
    </w:p>
    <w:p w14:paraId="0CDA0592">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．一般公共服务（类）审计事务（款）信息化建设（项）：指乐山市金口河区审计局机关开展审计信息化建设的支出。</w:t>
      </w:r>
    </w:p>
    <w:p w14:paraId="2F849D01">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9</w:t>
      </w:r>
      <w:r>
        <w:rPr>
          <w:rFonts w:hint="eastAsia" w:ascii="仿宋_GB2312" w:hAnsi="仿宋" w:eastAsia="仿宋_GB2312" w:cs="仿宋_GB2312"/>
          <w:color w:val="000000"/>
          <w:sz w:val="32"/>
          <w:szCs w:val="32"/>
        </w:rPr>
        <w:t>．一般公共服务（类）审计事务（款）事业运行（项）：指乐山市金口河区政府投资审计中心的基本支出。</w:t>
      </w:r>
    </w:p>
    <w:p w14:paraId="3AC9BDDE">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10</w:t>
      </w:r>
      <w:r>
        <w:rPr>
          <w:rFonts w:hint="eastAsia" w:ascii="仿宋_GB2312" w:hAnsi="仿宋" w:eastAsia="仿宋_GB2312" w:cs="仿宋_GB2312"/>
          <w:color w:val="000000"/>
          <w:sz w:val="32"/>
          <w:szCs w:val="32"/>
        </w:rPr>
        <w:t>．社会保障和就业（类）行政事业单位离退休（款）未归口管理的行政单位离退休（项）：指未实行归口管理的行政事业单位开支离退休支出。</w:t>
      </w:r>
    </w:p>
    <w:p w14:paraId="36FAA00B">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．社会保障和就业（类）行政事业单位离退休（款）机关事业单位基本养老保险缴费支出（项）：指机关事业单位实施养老保险制度由单位缴纳的基本养老保险的支出。</w:t>
      </w:r>
    </w:p>
    <w:p w14:paraId="5DEF3D4C">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.社会保障和就业（类）03财政对社会保险基金的补助（款）02财政对失业保险基金的补助（项）:指反映财政对失业保险基金的补助支出。</w:t>
      </w:r>
    </w:p>
    <w:p w14:paraId="54DB7740">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.社会保障和就业（类）03财政对社会保险基金的补助（款）04财政对工伤保险基金的补助（项）:指反映财政对工伤保险基金的补助支出。</w:t>
      </w:r>
    </w:p>
    <w:p w14:paraId="57683310">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.社会保障和就业（类）99其他社会保障和就业支出（款）01其他社会保障和就业支出（项）:指反映除上述项目以外其他用于社会保障和就业方面的支出。</w:t>
      </w:r>
    </w:p>
    <w:p w14:paraId="4AC763C0">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卫生健康教育（类）行政事业单位医疗（款）行政单位医疗（项）：指财政部门集中安排的行政单位基本医疗保险缴费经费，未参加医疗保险的行政单位和公费医疗经费，按国家规定享受离休人员、红军老战士待遇人员的医疗经费。</w:t>
      </w:r>
    </w:p>
    <w:p w14:paraId="6DBA7C21">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16</w:t>
      </w:r>
      <w:r>
        <w:rPr>
          <w:rFonts w:hint="eastAsia" w:ascii="仿宋_GB2312" w:hAnsi="仿宋" w:eastAsia="仿宋_GB2312" w:cs="仿宋_GB2312"/>
          <w:color w:val="000000"/>
          <w:sz w:val="32"/>
          <w:szCs w:val="32"/>
        </w:rPr>
        <w:t>.农林水支出（类）巩固脱贫攻坚成果衔接乡村振兴（款）其他巩固脱贫攻坚成果衔接乡村振兴支出（项）:指反映除上述项目以外其他用于巩固拓展脱贫攻坚成果同乡村振兴有效衔接方面的支出。</w:t>
      </w:r>
    </w:p>
    <w:p w14:paraId="59785EF1">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17</w:t>
      </w:r>
      <w:r>
        <w:rPr>
          <w:rFonts w:hint="eastAsia" w:ascii="仿宋_GB2312" w:hAnsi="仿宋" w:eastAsia="仿宋_GB2312" w:cs="仿宋_GB2312"/>
          <w:color w:val="000000"/>
          <w:sz w:val="32"/>
          <w:szCs w:val="32"/>
        </w:rPr>
        <w:t>．住房保障支出（类）住房改革支出（款）住房公积金（项）：指行政事业单位按人力资源和社会保障部、财政部规定的基本工资和津贴补贴及规定比例为职工缴纳的住房公积金。</w:t>
      </w:r>
    </w:p>
    <w:p w14:paraId="0A78F999">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18</w:t>
      </w:r>
      <w:r>
        <w:rPr>
          <w:rFonts w:hint="eastAsia" w:ascii="仿宋_GB2312" w:hAnsi="仿宋" w:eastAsia="仿宋_GB2312" w:cs="仿宋_GB2312"/>
          <w:color w:val="000000"/>
          <w:sz w:val="32"/>
          <w:szCs w:val="32"/>
        </w:rPr>
        <w:t>.基本支出：指为保障机构正常运转、完成日常工作任务而发生的人员支出和公用支出。</w:t>
      </w:r>
    </w:p>
    <w:p w14:paraId="7A5052C8">
      <w:pPr>
        <w:pStyle w:val="15"/>
        <w:keepNext w:val="0"/>
        <w:keepLines w:val="0"/>
        <w:widowControl/>
        <w:suppressLineNumbers w:val="0"/>
        <w:spacing w:before="0" w:beforeAutospacing="0" w:after="0" w:afterAutospacing="0" w:line="450" w:lineRule="atLeast"/>
        <w:ind w:left="0" w:right="0" w:firstLine="640"/>
        <w:jc w:val="both"/>
        <w:rPr>
          <w:rFonts w:hint="default" w:ascii="Times New Roman" w:hAnsi="Times New Roman" w:cs="Times New Roman"/>
          <w:sz w:val="21"/>
          <w:szCs w:val="21"/>
        </w:rPr>
      </w:pPr>
      <w:r>
        <w:rPr>
          <w:rFonts w:hint="eastAsia" w:ascii="仿宋_GB2312" w:eastAsia="仿宋_GB2312" w:cs="仿宋_GB2312"/>
          <w:color w:val="000000"/>
          <w:sz w:val="32"/>
          <w:szCs w:val="32"/>
          <w:lang w:val="en-US" w:eastAsia="zh-CN"/>
        </w:rPr>
        <w:t>19</w:t>
      </w:r>
      <w:r>
        <w:rPr>
          <w:rFonts w:hint="eastAsia" w:ascii="仿宋_GB2312" w:hAnsi="Times New Roman" w:eastAsia="仿宋_GB2312" w:cs="仿宋_GB2312"/>
          <w:color w:val="000000"/>
          <w:sz w:val="32"/>
          <w:szCs w:val="32"/>
        </w:rPr>
        <w:t>.项目支出：指在基本支出之外为完成特定行政任务和事业发展目标所发生的支出。 </w:t>
      </w:r>
    </w:p>
    <w:p w14:paraId="5BE7DBA9">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20</w:t>
      </w:r>
      <w:r>
        <w:rPr>
          <w:rFonts w:hint="eastAsia" w:ascii="仿宋_GB2312" w:hAnsi="仿宋" w:eastAsia="仿宋_GB2312" w:cs="仿宋_GB2312"/>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099A3CC">
      <w:pPr>
        <w:pStyle w:val="15"/>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color w:val="000000"/>
          <w:sz w:val="24"/>
          <w:szCs w:val="24"/>
        </w:rPr>
      </w:pPr>
      <w:r>
        <w:rPr>
          <w:rFonts w:hint="eastAsia" w:ascii="仿宋_GB2312" w:hAnsi="仿宋" w:eastAsia="仿宋_GB2312" w:cs="仿宋_GB2312"/>
          <w:color w:val="000000"/>
          <w:sz w:val="32"/>
          <w:szCs w:val="32"/>
          <w:lang w:val="en-US" w:eastAsia="zh-CN"/>
        </w:rPr>
        <w:t>21</w:t>
      </w:r>
      <w:r>
        <w:rPr>
          <w:rFonts w:hint="eastAsia" w:ascii="仿宋_GB2312" w:hAnsi="仿宋" w:eastAsia="仿宋_GB2312" w:cs="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E0D90E">
      <w:pPr>
        <w:ind w:firstLine="643" w:firstLineChars="200"/>
        <w:jc w:val="both"/>
        <w:rPr>
          <w:rFonts w:ascii="仿宋" w:hAnsi="仿宋" w:eastAsia="仿宋"/>
          <w:b/>
          <w:color w:val="auto"/>
          <w:sz w:val="32"/>
          <w:szCs w:val="32"/>
          <w:highlight w:val="none"/>
        </w:rPr>
      </w:pPr>
    </w:p>
    <w:p w14:paraId="3B5EA14A">
      <w:pPr>
        <w:spacing w:line="600" w:lineRule="exact"/>
        <w:jc w:val="center"/>
        <w:outlineLvl w:val="0"/>
        <w:rPr>
          <w:rStyle w:val="29"/>
          <w:rFonts w:ascii="黑体" w:hAnsi="黑体" w:eastAsia="黑体"/>
          <w:b w:val="0"/>
          <w:color w:val="auto"/>
          <w:highlight w:val="none"/>
        </w:rPr>
      </w:pPr>
      <w:bookmarkStart w:id="49" w:name="_Toc15377226"/>
      <w:r>
        <w:rPr>
          <w:rFonts w:hint="eastAsia" w:ascii="Times New Roman" w:hAnsi="Times New Roman" w:eastAsia="仿宋_GB2312" w:cs="仿宋_GB2312"/>
          <w:color w:val="auto"/>
          <w:kern w:val="2"/>
          <w:sz w:val="32"/>
          <w:szCs w:val="32"/>
          <w:highlight w:val="none"/>
          <w:lang w:val="en-US" w:eastAsia="zh-CN" w:bidi="ar-SA"/>
        </w:rPr>
        <w:br w:type="page"/>
      </w: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p>
    <w:p w14:paraId="2C51DD6F">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490B65D7">
      <w:pPr>
        <w:spacing w:line="600" w:lineRule="exact"/>
        <w:jc w:val="center"/>
        <w:outlineLvl w:val="0"/>
        <w:rPr>
          <w:rFonts w:hint="eastAsia" w:ascii="黑体" w:hAnsi="黑体" w:eastAsia="黑体"/>
          <w:color w:val="FF0000"/>
          <w:sz w:val="44"/>
          <w:szCs w:val="44"/>
          <w:highlight w:val="none"/>
        </w:rPr>
      </w:pPr>
      <w:r>
        <w:rPr>
          <w:rFonts w:hint="eastAsia" w:hAnsi="Times New Roman" w:cs="Times New Roman"/>
          <w:sz w:val="32"/>
          <w:szCs w:val="32"/>
          <w:highlight w:val="none"/>
          <w:lang w:val="en-US" w:eastAsia="zh-CN"/>
        </w:rPr>
        <w:t>部门预算项目支出绩效自评表（2024年度）</w:t>
      </w:r>
    </w:p>
    <w:p w14:paraId="613274A2">
      <w:pPr>
        <w:pStyle w:val="3"/>
        <w:spacing w:line="560" w:lineRule="exact"/>
        <w:ind w:left="0" w:leftChars="0" w:firstLine="1280" w:firstLineChars="400"/>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 xml:space="preserve">       </w:t>
      </w:r>
      <w:r>
        <w:rPr>
          <w:rFonts w:hint="eastAsia" w:hAnsi="Calibri" w:eastAsia="仿宋_GB2312" w:cs="仿宋"/>
          <w:sz w:val="32"/>
        </w:rPr>
        <w:t>该表格作为附件予以公开</w:t>
      </w:r>
      <w:bookmarkStart w:id="50"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EE7F346">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9"/>
      <w:bookmarkEnd w:id="50"/>
      <w:bookmarkStart w:id="51" w:name="_Toc15396619"/>
    </w:p>
    <w:p w14:paraId="26980AB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bookmarkEnd w:id="51"/>
    <w:p w14:paraId="673545A6">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p>
    <w:p w14:paraId="3E77DF08">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52"/>
    </w:p>
    <w:p w14:paraId="458822CE">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53"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53"/>
    </w:p>
    <w:p w14:paraId="48973B76">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b w:val="0"/>
          <w:color w:val="auto"/>
          <w:highlight w:val="none"/>
        </w:rPr>
      </w:pPr>
      <w:bookmarkStart w:id="54"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54"/>
    </w:p>
    <w:p w14:paraId="42D80C7F">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Style w:val="30"/>
          <w:rFonts w:ascii="仿宋" w:hAnsi="仿宋" w:eastAsia="仿宋"/>
          <w:b w:val="0"/>
          <w:bCs w:val="0"/>
          <w:color w:val="auto"/>
          <w:highlight w:val="none"/>
        </w:rPr>
      </w:pPr>
      <w:bookmarkStart w:id="55"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55"/>
      <w:bookmarkStart w:id="56" w:name="_Toc15396624"/>
    </w:p>
    <w:p w14:paraId="4BFD27A2">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56"/>
    </w:p>
    <w:p w14:paraId="6EB1BD17">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57"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57"/>
    </w:p>
    <w:p w14:paraId="0446FB28">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58"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58"/>
    </w:p>
    <w:p w14:paraId="01F53364">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59"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59"/>
    </w:p>
    <w:p w14:paraId="2917BC23">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60" w:name="_Toc15396628"/>
      <w:r>
        <w:rPr>
          <w:rStyle w:val="30"/>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14:paraId="098DC298">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61" w:name="_Toc15396629"/>
      <w:r>
        <w:rPr>
          <w:rStyle w:val="30"/>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14:paraId="1D9C95B4">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bookmarkStart w:id="62" w:name="_Toc15396630"/>
      <w:r>
        <w:rPr>
          <w:rStyle w:val="30"/>
          <w:rFonts w:hint="eastAsia" w:ascii="仿宋" w:hAnsi="仿宋" w:eastAsia="仿宋"/>
          <w:b w:val="0"/>
          <w:bCs w:val="0"/>
          <w:color w:val="auto"/>
          <w:highlight w:val="none"/>
        </w:rPr>
        <w:t>十二、</w:t>
      </w:r>
      <w:bookmarkEnd w:id="62"/>
      <w:r>
        <w:rPr>
          <w:rStyle w:val="30"/>
          <w:rFonts w:hint="eastAsia" w:ascii="仿宋" w:hAnsi="仿宋" w:eastAsia="仿宋"/>
          <w:b w:val="0"/>
          <w:bCs w:val="0"/>
          <w:color w:val="auto"/>
          <w:highlight w:val="none"/>
          <w:lang w:eastAsia="zh-CN"/>
        </w:rPr>
        <w:t>国有资本经营预算财政拨款支出决算表</w:t>
      </w:r>
    </w:p>
    <w:p w14:paraId="541CFA0A">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Style w:val="30"/>
          <w:rFonts w:hint="eastAsia" w:ascii="仿宋" w:hAnsi="仿宋" w:eastAsia="仿宋"/>
          <w:b w:val="0"/>
          <w:bCs w:val="0"/>
          <w:color w:val="auto"/>
          <w:highlight w:val="none"/>
          <w:lang w:eastAsia="zh-CN"/>
        </w:rPr>
      </w:pPr>
      <w:bookmarkStart w:id="63" w:name="_Toc15396631"/>
      <w:r>
        <w:rPr>
          <w:rStyle w:val="30"/>
          <w:rFonts w:hint="eastAsia" w:ascii="仿宋" w:hAnsi="仿宋" w:eastAsia="仿宋"/>
          <w:b w:val="0"/>
          <w:bCs w:val="0"/>
          <w:color w:val="auto"/>
          <w:highlight w:val="none"/>
        </w:rPr>
        <w:t>十三、</w:t>
      </w:r>
      <w:bookmarkEnd w:id="63"/>
      <w:r>
        <w:rPr>
          <w:rStyle w:val="30"/>
          <w:rFonts w:hint="eastAsia" w:ascii="仿宋" w:hAnsi="仿宋" w:eastAsia="仿宋"/>
          <w:b w:val="0"/>
          <w:bCs w:val="0"/>
          <w:color w:val="auto"/>
          <w:highlight w:val="none"/>
          <w:lang w:eastAsia="zh-CN"/>
        </w:rPr>
        <w:t>财政拨款“三公”经费支出决算表</w:t>
      </w:r>
    </w:p>
    <w:p w14:paraId="313E6A2E">
      <w:pPr>
        <w:rPr>
          <w:rFonts w:hint="eastAsia" w:ascii="Times New Roman" w:hAnsi="Times New Roman"/>
          <w:lang w:eastAsia="zh-CN"/>
        </w:rPr>
      </w:pPr>
    </w:p>
    <w:sectPr>
      <w:footerReference r:id="rId8" w:type="first"/>
      <w:headerReference r:id="rId6" w:type="defaul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0D44">
    <w:pPr>
      <w:pStyle w:val="11"/>
      <w:jc w:val="center"/>
    </w:pPr>
  </w:p>
  <w:p w14:paraId="422D6DF6">
    <w:pPr>
      <w:pStyle w:val="11"/>
      <w:jc w:val="center"/>
    </w:pPr>
  </w:p>
  <w:p w14:paraId="5A09387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65CC">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E96CD">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FE96CD">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027D3">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5D2B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65D2B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p w14:paraId="3B2FD79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ACED">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7B50C">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17B50C">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557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DD2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4DD66E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5D5847"/>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3C071B"/>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_Style 9"/>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zh-CN"/>
              <a:t>收、支决算总计变动情况图</a:t>
            </a:r>
            <a:endParaRPr altLang="zh-CN"/>
          </a:p>
        </c:rich>
      </c:tx>
      <c:layout/>
      <c:overlay val="0"/>
      <c:spPr>
        <a:noFill/>
        <a:ln>
          <a:noFill/>
        </a:ln>
        <a:effectLst/>
      </c:spPr>
    </c:title>
    <c:autoTitleDeleted val="0"/>
    <c:plotArea>
      <c:layout>
        <c:manualLayout>
          <c:layoutTarget val="inner"/>
          <c:xMode val="edge"/>
          <c:yMode val="edge"/>
          <c:x val="0.0632519932350809"/>
          <c:y val="0.161920951976201"/>
          <c:w val="0.908359507127325"/>
          <c:h val="0.6390565235869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Sheet1!$B$2:$B$3</c:f>
              <c:numCache>
                <c:formatCode>General</c:formatCode>
                <c:ptCount val="2"/>
                <c:pt idx="0">
                  <c:v>325.16</c:v>
                </c:pt>
                <c:pt idx="1">
                  <c:v>334.43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2024</c:v>
                </c:pt>
              </c:numCache>
            </c:numRef>
          </c:cat>
          <c:val>
            <c:numRef>
              <c:f>Sheet1!$C$2:$C$3</c:f>
              <c:numCache>
                <c:formatCode>General</c:formatCode>
                <c:ptCount val="2"/>
                <c:pt idx="0">
                  <c:v>404.56</c:v>
                </c:pt>
                <c:pt idx="1">
                  <c:v>336.36</c:v>
                </c:pt>
              </c:numCache>
            </c:numRef>
          </c:val>
        </c:ser>
        <c:dLbls>
          <c:showLegendKey val="0"/>
          <c:showVal val="0"/>
          <c:showCatName val="0"/>
          <c:showSerName val="0"/>
          <c:showPercent val="0"/>
          <c:showBubbleSize val="0"/>
        </c:dLbls>
        <c:gapWidth val="246"/>
        <c:overlap val="-28"/>
        <c:axId val="504368057"/>
        <c:axId val="331341617"/>
      </c:barChart>
      <c:catAx>
        <c:axId val="504368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341617"/>
        <c:crosses val="autoZero"/>
        <c:auto val="1"/>
        <c:lblAlgn val="ctr"/>
        <c:lblOffset val="100"/>
        <c:noMultiLvlLbl val="0"/>
      </c:catAx>
      <c:valAx>
        <c:axId val="3313416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3680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81b418-5e13-4b79-87ba-128b9ea1916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其他收入</c:v>
                </c:pt>
                <c:pt idx="2">
                  <c:v>政府性基金预算财政拨款收入</c:v>
                </c:pt>
                <c:pt idx="3">
                  <c:v>国有资本经营预算财政拨款收入</c:v>
                </c:pt>
                <c:pt idx="4">
                  <c:v>上级补助收入</c:v>
                </c:pt>
                <c:pt idx="5">
                  <c:v>事业收入</c:v>
                </c:pt>
                <c:pt idx="6">
                  <c:v>经营收入</c:v>
                </c:pt>
                <c:pt idx="7">
                  <c:v>附属单位上缴收入</c:v>
                </c:pt>
              </c:strCache>
            </c:strRef>
          </c:cat>
          <c:val>
            <c:numRef>
              <c:f>Sheet1!$B$2:$B$9</c:f>
              <c:numCache>
                <c:formatCode>General</c:formatCode>
                <c:ptCount val="8"/>
                <c:pt idx="0">
                  <c:v>334.42</c:v>
                </c:pt>
                <c:pt idx="1">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f05140f-931e-4b18-9c43-c914ef88073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231.36</c:v>
                </c:pt>
                <c:pt idx="1">
                  <c:v>105</c:v>
                </c:pt>
              </c:numCache>
            </c:numRef>
          </c:val>
        </c:ser>
        <c:ser>
          <c:idx val="1"/>
          <c:order val="1"/>
          <c:tx>
            <c:strRef>
              <c:f>Sheet1!#REF!</c:f>
              <c:strCache>
                <c:ptCount val="1"/>
                <c:pt idx="0">
                  <c:v/>
                </c:pt>
              </c:strCache>
            </c:strRef>
          </c:tx>
          <c:spPr/>
          <c:explosion val="0"/>
          <c:dPt>
            <c:idx val="0"/>
            <c:bubble3D val="0"/>
            <c:spPr>
              <a:solidFill>
                <a:schemeClr val="accent1"/>
              </a:solidFill>
              <a:ln>
                <a:solidFill>
                  <a:schemeClr val="bg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ed9770-a9da-4e24-a547-930a0cef543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zh-CN"/>
              <a:t>收、支决算总计变动情况图</a:t>
            </a:r>
            <a:endParaRPr altLang="zh-CN"/>
          </a:p>
        </c:rich>
      </c:tx>
      <c:layout/>
      <c:overlay val="0"/>
      <c:spPr>
        <a:noFill/>
        <a:ln>
          <a:noFill/>
        </a:ln>
        <a:effectLst/>
      </c:spPr>
    </c:title>
    <c:autoTitleDeleted val="0"/>
    <c:plotArea>
      <c:layout>
        <c:manualLayout>
          <c:layoutTarget val="inner"/>
          <c:xMode val="edge"/>
          <c:yMode val="edge"/>
          <c:x val="0.0632519932350809"/>
          <c:y val="0.161920951976201"/>
          <c:w val="0.908359507127325"/>
          <c:h val="0.6390565235869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2024</c:v>
                </c:pt>
              </c:numCache>
            </c:numRef>
          </c:cat>
          <c:val>
            <c:numRef>
              <c:f>Sheet1!$B$2:$B$3</c:f>
              <c:numCache>
                <c:formatCode>General</c:formatCode>
                <c:ptCount val="2"/>
                <c:pt idx="0">
                  <c:v>325.16</c:v>
                </c:pt>
                <c:pt idx="1">
                  <c:v>334.42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2024</c:v>
                </c:pt>
              </c:numCache>
            </c:numRef>
          </c:cat>
          <c:val>
            <c:numRef>
              <c:f>Sheet1!$C$2:$C$3</c:f>
              <c:numCache>
                <c:formatCode>General</c:formatCode>
                <c:ptCount val="2"/>
                <c:pt idx="0">
                  <c:v>404.56</c:v>
                </c:pt>
                <c:pt idx="1">
                  <c:v>334.43</c:v>
                </c:pt>
              </c:numCache>
            </c:numRef>
          </c:val>
        </c:ser>
        <c:dLbls>
          <c:showLegendKey val="0"/>
          <c:showVal val="0"/>
          <c:showCatName val="0"/>
          <c:showSerName val="0"/>
          <c:showPercent val="0"/>
          <c:showBubbleSize val="0"/>
        </c:dLbls>
        <c:gapWidth val="246"/>
        <c:overlap val="-28"/>
        <c:axId val="504368057"/>
        <c:axId val="331341617"/>
      </c:barChart>
      <c:catAx>
        <c:axId val="504368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341617"/>
        <c:crosses val="autoZero"/>
        <c:auto val="1"/>
        <c:lblAlgn val="ctr"/>
        <c:lblOffset val="100"/>
        <c:noMultiLvlLbl val="0"/>
      </c:catAx>
      <c:valAx>
        <c:axId val="3313416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4368057"/>
        <c:crosses val="autoZero"/>
        <c:crossBetween val="between"/>
      </c:valAx>
      <c:spPr>
        <a:noFill/>
        <a:ln>
          <a:noFill/>
        </a:ln>
        <a:effectLst/>
      </c:spPr>
    </c:plotArea>
    <c:legend>
      <c:legendPos val="b"/>
      <c:layout>
        <c:manualLayout>
          <c:xMode val="edge"/>
          <c:yMode val="edge"/>
          <c:x val="0.424559072239671"/>
          <c:y val="0.922864428389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81b418-5e13-4b79-87ba-128b9ea1916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p>
        </c:rich>
      </c:tx>
      <c:layout>
        <c:manualLayout>
          <c:xMode val="edge"/>
          <c:yMode val="edge"/>
          <c:x val="0.171418216960619"/>
          <c:y val="0.0305992350191245"/>
        </c:manualLayout>
      </c:layout>
      <c:overlay val="0"/>
      <c:spPr>
        <a:noFill/>
        <a:ln>
          <a:noFill/>
        </a:ln>
        <a:effectLst/>
      </c:spPr>
    </c:title>
    <c:autoTitleDeleted val="0"/>
    <c:plotArea>
      <c:layout>
        <c:manualLayout>
          <c:layoutTarget val="inner"/>
          <c:xMode val="edge"/>
          <c:yMode val="edge"/>
          <c:x val="0.0650640251268422"/>
          <c:y val="0.158733531661708"/>
          <c:w val="0.908359507127325"/>
          <c:h val="0.63905652358691"/>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c:v>
                </c:pt>
              </c:strCache>
            </c:strRef>
          </c:cat>
          <c:val>
            <c:numRef>
              <c:f>Sheet1!$B$2</c:f>
              <c:numCache>
                <c:formatCode>General</c:formatCode>
                <c:ptCount val="1"/>
                <c:pt idx="0">
                  <c:v>404.52</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c:v>
                </c:pt>
              </c:strCache>
            </c:strRef>
          </c:cat>
          <c:val>
            <c:numRef>
              <c:f>Sheet1!$C$2</c:f>
              <c:numCache>
                <c:formatCode>General</c:formatCode>
                <c:ptCount val="1"/>
                <c:pt idx="0">
                  <c:v>334.42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一般公共预算财政拨款支出决算</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05340671"/>
        <c:axId val="889261646"/>
      </c:barChart>
      <c:catAx>
        <c:axId val="5053406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261646"/>
        <c:crosses val="autoZero"/>
        <c:auto val="1"/>
        <c:lblAlgn val="ctr"/>
        <c:lblOffset val="100"/>
        <c:noMultiLvlLbl val="0"/>
      </c:catAx>
      <c:valAx>
        <c:axId val="88926164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34067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2b656c7-ef2c-41fe-ae08-fc5a0e08c8f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c:v>
                </c:pt>
                <c:pt idx="1">
                  <c:v>社会保障和就业</c:v>
                </c:pt>
                <c:pt idx="2">
                  <c:v>卫生健康支出</c:v>
                </c:pt>
                <c:pt idx="3">
                  <c:v>农林水支出</c:v>
                </c:pt>
                <c:pt idx="4">
                  <c:v>住房保障支出</c:v>
                </c:pt>
                <c:pt idx="5">
                  <c:v>科学技术</c:v>
                </c:pt>
                <c:pt idx="6">
                  <c:v>文化旅游体育与传媒</c:v>
                </c:pt>
                <c:pt idx="7">
                  <c:v>教育支出</c:v>
                </c:pt>
              </c:strCache>
            </c:strRef>
          </c:cat>
          <c:val>
            <c:numRef>
              <c:f>Sheet1!$B$2:$B$9</c:f>
              <c:numCache>
                <c:formatCode>General</c:formatCode>
                <c:ptCount val="8"/>
                <c:pt idx="0">
                  <c:v>268.45</c:v>
                </c:pt>
                <c:pt idx="1">
                  <c:v>44.48</c:v>
                </c:pt>
                <c:pt idx="2">
                  <c:v>6.07</c:v>
                </c:pt>
                <c:pt idx="4">
                  <c:v>15.42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4093a0-3503-4c18-8d0e-8ab9bd88444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delete val="1"/>
            </c:dLbl>
            <c:dLbl>
              <c:idx val="1"/>
              <c:delete val="1"/>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2">
                  <c:v>0.79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e5d31d-d828-4f61-ae58-63e5ffece6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7311</Words>
  <Characters>7830</Characters>
  <Lines>61</Lines>
  <Paragraphs>17</Paragraphs>
  <TotalTime>2</TotalTime>
  <ScaleCrop>false</ScaleCrop>
  <LinksUpToDate>false</LinksUpToDate>
  <CharactersWithSpaces>7861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廖春燕</cp:lastModifiedBy>
  <cp:lastPrinted>2025-08-06T17:34:00Z</cp:lastPrinted>
  <dcterms:modified xsi:type="dcterms:W3CDTF">2025-09-24T02:22:06Z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04787F2533EB45DC91BCDE4AB213247F</vt:lpwstr>
  </property>
  <property fmtid="{D5CDD505-2E9C-101B-9397-08002B2CF9AE}" pid="4" name="KSOTemplateDocerSaveRecord">
    <vt:lpwstr>eyJoZGlkIjoiODE0MWI5NzRhZjlmYTNjNmU1Y2M1NTIwN2JmNzRmZTUiLCJ1c2VySWQiOiIxNDg0ODEzNzcyIn0=</vt:lpwstr>
  </property>
</Properties>
</file>