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pStyle w:val="8"/>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2836"/>
      <w:bookmarkStart w:id="2" w:name="_Toc15377193"/>
      <w:bookmarkStart w:id="3" w:name="_Toc15377425"/>
      <w:bookmarkStart w:id="4" w:name="_Toc15396475"/>
      <w:bookmarkStart w:id="5" w:name="_Toc15378441"/>
      <w:bookmarkStart w:id="6"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5086"/>
      <w:bookmarkStart w:id="8" w:name="_Toc15378442"/>
      <w:bookmarkStart w:id="9" w:name="_Toc15396598"/>
      <w:bookmarkStart w:id="10" w:name="_Toc15377194"/>
      <w:bookmarkStart w:id="11" w:name="_Toc15396476"/>
      <w:bookmarkStart w:id="12" w:name="_Toc15377426"/>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lang w:eastAsia="zh-CN"/>
        </w:rPr>
        <w:t>乐山市金口河区</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4" w:name="_Toc13873"/>
      <w:r>
        <w:rPr>
          <w:rFonts w:hint="eastAsia" w:ascii="方正小标宋简体" w:hAnsi="方正小标宋简体" w:eastAsia="方正小标宋简体" w:cs="方正小标宋简体"/>
          <w:sz w:val="72"/>
          <w:szCs w:val="72"/>
          <w:lang w:eastAsia="zh-CN"/>
        </w:rPr>
        <w:t>道路运输服务中心</w:t>
      </w:r>
      <w:r>
        <w:rPr>
          <w:rFonts w:hint="eastAsia" w:ascii="方正小标宋简体" w:hAnsi="方正小标宋简体" w:eastAsia="方正小标宋简体" w:cs="方正小标宋简体"/>
          <w:sz w:val="72"/>
          <w:szCs w:val="72"/>
        </w:rPr>
        <w:t>单位</w:t>
      </w:r>
      <w:bookmarkEnd w:id="8"/>
      <w:bookmarkEnd w:id="9"/>
      <w:bookmarkEnd w:id="10"/>
      <w:bookmarkEnd w:id="11"/>
      <w:bookmarkEnd w:id="12"/>
      <w:bookmarkEnd w:id="13"/>
      <w:bookmarkEnd w:id="1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15" w:name="_Toc31512"/>
      <w:r>
        <w:rPr>
          <w:rFonts w:hint="eastAsia" w:ascii="方正小标宋简体" w:hAnsi="方正小标宋简体" w:eastAsia="方正小标宋简体" w:cs="方正小标宋简体"/>
          <w:sz w:val="72"/>
          <w:szCs w:val="72"/>
          <w:lang w:eastAsia="zh-CN"/>
        </w:rPr>
        <w:t>决算</w:t>
      </w:r>
      <w:bookmarkEnd w:id="15"/>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rPr>
          <w:rFonts w:hint="eastAsia"/>
        </w:rPr>
      </w:pPr>
      <w:r>
        <w:rPr>
          <w:rFonts w:hint="eastAsia"/>
        </w:rPr>
        <w:t>公开时间：202</w:t>
      </w:r>
      <w:r>
        <w:rPr>
          <w:rFonts w:hint="eastAsia"/>
          <w:lang w:val="en-US" w:eastAsia="zh-CN"/>
        </w:rPr>
        <w:t>4</w:t>
      </w:r>
      <w:r>
        <w:rPr>
          <w:rFonts w:hint="eastAsia"/>
        </w:rPr>
        <w:t>年9月</w:t>
      </w:r>
      <w:r>
        <w:rPr>
          <w:rFonts w:hint="eastAsia"/>
          <w:lang w:val="en-US" w:eastAsia="zh-CN"/>
        </w:rPr>
        <w:t>24</w:t>
      </w:r>
      <w:r>
        <w:rPr>
          <w:rFonts w:hint="eastAsia"/>
        </w:rPr>
        <w:t>日</w:t>
      </w:r>
    </w:p>
    <w:sdt>
      <w:sdtPr>
        <w:rPr>
          <w:rFonts w:ascii="宋体" w:hAnsi="宋体" w:eastAsia="宋体" w:cs="Times New Roman"/>
          <w:kern w:val="2"/>
          <w:sz w:val="21"/>
          <w:szCs w:val="24"/>
          <w:lang w:val="en-US" w:eastAsia="zh-CN" w:bidi="ar-SA"/>
        </w:rPr>
        <w:id w:val="147474449"/>
        <w15:color w:val="DBDBDB"/>
        <w:docPartObj>
          <w:docPartGallery w:val="Table of Contents"/>
          <w:docPartUnique/>
        </w:docPartObj>
      </w:sdtPr>
      <w:sdtEndPr>
        <w:rPr>
          <w:rFonts w:hint="eastAsia" w:ascii="仿宋" w:hAnsi="仿宋" w:eastAsia="仿宋" w:cs="仿宋"/>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4"/>
            <w:tabs>
              <w:tab w:val="right" w:leader="dot" w:pos="8306"/>
            </w:tabs>
            <w:rPr>
              <w:rFonts w:hint="eastAsia"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_Toc6450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第一部分 单位</w:t>
          </w:r>
          <w:r>
            <w:rPr>
              <w:rFonts w:hint="eastAsia" w:ascii="仿宋" w:hAnsi="仿宋" w:eastAsia="仿宋" w:cs="仿宋"/>
              <w:b/>
              <w:bCs w:val="0"/>
              <w:sz w:val="28"/>
              <w:szCs w:val="28"/>
            </w:rPr>
            <w:t>概况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_Toc6450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_Toc30914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一、 主要职责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_Toc30914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_Toc12275 </w:instrText>
          </w:r>
          <w:r>
            <w:rPr>
              <w:rFonts w:hint="eastAsia" w:ascii="仿宋" w:hAnsi="仿宋" w:eastAsia="仿宋" w:cs="仿宋"/>
              <w:sz w:val="28"/>
              <w:szCs w:val="28"/>
            </w:rP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_Toc12275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_Toc20976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第二部分 202</w:t>
          </w:r>
          <w:r>
            <w:rPr>
              <w:rFonts w:hint="eastAsia" w:ascii="仿宋" w:hAnsi="仿宋" w:eastAsia="仿宋" w:cs="仿宋"/>
              <w:b/>
              <w:sz w:val="28"/>
              <w:szCs w:val="28"/>
              <w:lang w:val="en-US" w:eastAsia="zh-CN"/>
            </w:rPr>
            <w:t>4</w:t>
          </w:r>
          <w:r>
            <w:rPr>
              <w:rFonts w:hint="eastAsia" w:ascii="仿宋" w:hAnsi="仿宋" w:eastAsia="仿宋" w:cs="仿宋"/>
              <w:b/>
              <w:sz w:val="28"/>
              <w:szCs w:val="28"/>
            </w:rPr>
            <w:t>年度</w:t>
          </w:r>
          <w:r>
            <w:rPr>
              <w:rFonts w:hint="eastAsia" w:ascii="仿宋" w:hAnsi="仿宋" w:eastAsia="仿宋" w:cs="仿宋"/>
              <w:b/>
              <w:bCs/>
              <w:sz w:val="28"/>
              <w:szCs w:val="28"/>
            </w:rPr>
            <w:t>单位决算情况说明</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_Toc20976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5</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_Toc31166 </w:instrText>
          </w:r>
          <w:r>
            <w:rPr>
              <w:rFonts w:hint="eastAsia" w:ascii="仿宋" w:hAnsi="仿宋" w:eastAsia="仿宋" w:cs="仿宋"/>
              <w:sz w:val="28"/>
              <w:szCs w:val="28"/>
            </w:rP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_Toc31166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_Toc27573 </w:instrText>
          </w:r>
          <w:r>
            <w:rPr>
              <w:rFonts w:hint="eastAsia" w:ascii="仿宋" w:hAnsi="仿宋" w:eastAsia="仿宋" w:cs="仿宋"/>
              <w:sz w:val="28"/>
              <w:szCs w:val="28"/>
            </w:rP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_Toc27573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_Toc5247 </w:instrText>
          </w:r>
          <w:r>
            <w:rPr>
              <w:rFonts w:hint="eastAsia" w:ascii="仿宋" w:hAnsi="仿宋" w:eastAsia="仿宋" w:cs="仿宋"/>
              <w:sz w:val="28"/>
              <w:szCs w:val="28"/>
            </w:rP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_Toc5247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_Toc4220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_Toc4220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_Toc3953 </w:instrText>
          </w:r>
          <w:r>
            <w:rPr>
              <w:rFonts w:hint="eastAsia" w:ascii="仿宋" w:hAnsi="仿宋" w:eastAsia="仿宋" w:cs="仿宋"/>
              <w:sz w:val="28"/>
              <w:szCs w:val="28"/>
            </w:rP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_Toc3953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_Toc23829 </w:instrText>
          </w:r>
          <w:r>
            <w:rPr>
              <w:rFonts w:hint="eastAsia" w:ascii="仿宋" w:hAnsi="仿宋" w:eastAsia="仿宋" w:cs="仿宋"/>
              <w:sz w:val="28"/>
              <w:szCs w:val="28"/>
            </w:rP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_Toc23829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_Toc657 </w:instrText>
          </w:r>
          <w:r>
            <w:rPr>
              <w:rFonts w:hint="eastAsia" w:ascii="仿宋" w:hAnsi="仿宋" w:eastAsia="仿宋" w:cs="仿宋"/>
              <w:sz w:val="28"/>
              <w:szCs w:val="28"/>
            </w:rP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_Toc657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_Toc23830 </w:instrText>
          </w:r>
          <w:r>
            <w:rPr>
              <w:rFonts w:hint="eastAsia" w:ascii="仿宋" w:hAnsi="仿宋" w:eastAsia="仿宋" w:cs="仿宋"/>
              <w:sz w:val="28"/>
              <w:szCs w:val="28"/>
            </w:rP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_Toc23830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_Toc18957 </w:instrText>
          </w:r>
          <w:r>
            <w:rPr>
              <w:rFonts w:hint="eastAsia" w:ascii="仿宋" w:hAnsi="仿宋" w:eastAsia="仿宋" w:cs="仿宋"/>
              <w:sz w:val="28"/>
              <w:szCs w:val="28"/>
            </w:rP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_Toc18957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_Toc13638 </w:instrText>
          </w:r>
          <w:r>
            <w:rPr>
              <w:rFonts w:hint="eastAsia" w:ascii="仿宋" w:hAnsi="仿宋" w:eastAsia="仿宋" w:cs="仿宋"/>
              <w:sz w:val="28"/>
              <w:szCs w:val="28"/>
            </w:rP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_Toc13638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_Toc9777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第三部分 名词解释</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_Toc9777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16</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_Toc8411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第四部分 附件</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_Toc8411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20</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4"/>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_Toc18056 </w:instrText>
          </w:r>
          <w:r>
            <w:rPr>
              <w:rFonts w:hint="eastAsia" w:ascii="仿宋" w:hAnsi="仿宋" w:eastAsia="仿宋" w:cs="仿宋"/>
              <w:b/>
              <w:sz w:val="28"/>
              <w:szCs w:val="28"/>
            </w:rPr>
            <w:fldChar w:fldCharType="separate"/>
          </w:r>
          <w:r>
            <w:rPr>
              <w:rFonts w:hint="eastAsia" w:ascii="仿宋" w:hAnsi="仿宋" w:eastAsia="仿宋" w:cs="仿宋"/>
              <w:b/>
              <w:sz w:val="28"/>
              <w:szCs w:val="28"/>
            </w:rPr>
            <w:t>第五部分 附表</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_Toc18056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28</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_Toc20431 </w:instrText>
          </w:r>
          <w:r>
            <w:rPr>
              <w:rFonts w:hint="eastAsia" w:ascii="仿宋" w:hAnsi="仿宋" w:eastAsia="仿宋" w:cs="仿宋"/>
              <w:sz w:val="28"/>
              <w:szCs w:val="28"/>
            </w:rPr>
            <w:fldChar w:fldCharType="separate"/>
          </w:r>
          <w:r>
            <w:rPr>
              <w:rFonts w:hint="eastAsia" w:ascii="仿宋" w:hAnsi="仿宋" w:eastAsia="仿宋" w:cs="仿宋"/>
              <w:sz w:val="28"/>
              <w:szCs w:val="28"/>
            </w:rPr>
            <w:t>一、收</w:t>
          </w:r>
          <w:r>
            <w:rPr>
              <w:rFonts w:hint="eastAsia" w:ascii="仿宋" w:hAnsi="仿宋" w:eastAsia="仿宋" w:cs="仿宋"/>
              <w:bCs w:val="0"/>
              <w:sz w:val="28"/>
              <w:szCs w:val="28"/>
            </w:rPr>
            <w:t>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_Toc20431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_Toc17168 </w:instrText>
          </w:r>
          <w:r>
            <w:rPr>
              <w:rFonts w:hint="eastAsia" w:ascii="仿宋" w:hAnsi="仿宋" w:eastAsia="仿宋" w:cs="仿宋"/>
              <w:sz w:val="28"/>
              <w:szCs w:val="28"/>
            </w:rPr>
            <w:fldChar w:fldCharType="separate"/>
          </w:r>
          <w:r>
            <w:rPr>
              <w:rFonts w:hint="eastAsia" w:ascii="仿宋" w:hAnsi="仿宋" w:eastAsia="仿宋" w:cs="仿宋"/>
              <w:sz w:val="28"/>
              <w:szCs w:val="28"/>
            </w:rPr>
            <w:t>二、收</w:t>
          </w:r>
          <w:r>
            <w:rPr>
              <w:rFonts w:hint="eastAsia" w:ascii="仿宋" w:hAnsi="仿宋" w:eastAsia="仿宋" w:cs="仿宋"/>
              <w:bCs w:val="0"/>
              <w:sz w:val="28"/>
              <w:szCs w:val="28"/>
            </w:rPr>
            <w:t>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_Toc17168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_Toc28540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三、</w:t>
          </w:r>
          <w:r>
            <w:rPr>
              <w:rFonts w:hint="eastAsia" w:ascii="仿宋" w:hAnsi="仿宋" w:eastAsia="仿宋" w:cs="仿宋"/>
              <w:sz w:val="28"/>
              <w:szCs w:val="28"/>
            </w:rPr>
            <w:t>支</w:t>
          </w:r>
          <w:r>
            <w:rPr>
              <w:rFonts w:hint="eastAsia" w:ascii="仿宋" w:hAnsi="仿宋" w:eastAsia="仿宋" w:cs="仿宋"/>
              <w:bCs w:val="0"/>
              <w:sz w:val="28"/>
              <w:szCs w:val="28"/>
            </w:rPr>
            <w:t>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_Toc28540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_Toc32094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四、</w:t>
          </w:r>
          <w:r>
            <w:rPr>
              <w:rFonts w:hint="eastAsia" w:ascii="仿宋" w:hAnsi="仿宋" w:eastAsia="仿宋" w:cs="仿宋"/>
              <w:sz w:val="28"/>
              <w:szCs w:val="28"/>
            </w:rPr>
            <w:t>财</w:t>
          </w:r>
          <w:r>
            <w:rPr>
              <w:rFonts w:hint="eastAsia" w:ascii="仿宋" w:hAnsi="仿宋" w:eastAsia="仿宋" w:cs="仿宋"/>
              <w:bCs w:val="0"/>
              <w:sz w:val="28"/>
              <w:szCs w:val="28"/>
            </w:rPr>
            <w:t>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_Toc32094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_Toc26931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五、</w:t>
          </w:r>
          <w:r>
            <w:rPr>
              <w:rFonts w:hint="eastAsia" w:ascii="仿宋" w:hAnsi="仿宋" w:eastAsia="仿宋" w:cs="仿宋"/>
              <w:sz w:val="28"/>
              <w:szCs w:val="28"/>
            </w:rPr>
            <w:t>财</w:t>
          </w:r>
          <w:r>
            <w:rPr>
              <w:rFonts w:hint="eastAsia" w:ascii="仿宋" w:hAnsi="仿宋" w:eastAsia="仿宋" w:cs="仿宋"/>
              <w:bCs w:val="0"/>
              <w:sz w:val="28"/>
              <w:szCs w:val="28"/>
            </w:rPr>
            <w:t>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_Toc26931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_Toc14452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六、</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_Toc14452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_Toc22756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七、</w:t>
          </w:r>
          <w:r>
            <w:rPr>
              <w:rFonts w:hint="eastAsia" w:ascii="仿宋" w:hAnsi="仿宋" w:eastAsia="仿宋" w:cs="仿宋"/>
              <w:sz w:val="28"/>
              <w:szCs w:val="28"/>
            </w:rPr>
            <w:t>一</w:t>
          </w:r>
          <w:r>
            <w:rPr>
              <w:rFonts w:hint="eastAsia" w:ascii="仿宋" w:hAnsi="仿宋" w:eastAsia="仿宋" w:cs="仿宋"/>
              <w:bCs w:val="0"/>
              <w:sz w:val="28"/>
              <w:szCs w:val="28"/>
            </w:rPr>
            <w:t>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_Toc22756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_Toc14763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八、</w:t>
          </w:r>
          <w:r>
            <w:rPr>
              <w:rFonts w:hint="eastAsia" w:ascii="仿宋" w:hAnsi="仿宋" w:eastAsia="仿宋" w:cs="仿宋"/>
              <w:sz w:val="28"/>
              <w:szCs w:val="28"/>
            </w:rPr>
            <w:t>一</w:t>
          </w:r>
          <w:r>
            <w:rPr>
              <w:rFonts w:hint="eastAsia" w:ascii="仿宋" w:hAnsi="仿宋" w:eastAsia="仿宋" w:cs="仿宋"/>
              <w:bCs w:val="0"/>
              <w:sz w:val="28"/>
              <w:szCs w:val="28"/>
            </w:rPr>
            <w:t>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_Toc14763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_Toc19205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九、</w:t>
          </w:r>
          <w:r>
            <w:rPr>
              <w:rFonts w:hint="eastAsia" w:ascii="仿宋" w:hAnsi="仿宋" w:eastAsia="仿宋" w:cs="仿宋"/>
              <w:sz w:val="28"/>
              <w:szCs w:val="28"/>
            </w:rPr>
            <w:t>一</w:t>
          </w:r>
          <w:r>
            <w:rPr>
              <w:rFonts w:hint="eastAsia" w:ascii="仿宋" w:hAnsi="仿宋" w:eastAsia="仿宋" w:cs="仿宋"/>
              <w:bCs w:val="0"/>
              <w:sz w:val="28"/>
              <w:szCs w:val="28"/>
            </w:rPr>
            <w:t>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_Toc19205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_Toc19992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w:t>
          </w:r>
          <w:r>
            <w:rPr>
              <w:rFonts w:hint="eastAsia" w:ascii="仿宋" w:hAnsi="仿宋" w:eastAsia="仿宋" w:cs="仿宋"/>
              <w:sz w:val="28"/>
              <w:szCs w:val="28"/>
            </w:rPr>
            <w:t>政</w:t>
          </w:r>
          <w:r>
            <w:rPr>
              <w:rFonts w:hint="eastAsia" w:ascii="仿宋" w:hAnsi="仿宋" w:eastAsia="仿宋" w:cs="仿宋"/>
              <w:bCs w:val="0"/>
              <w:sz w:val="28"/>
              <w:szCs w:val="28"/>
            </w:rPr>
            <w:t>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_Toc19992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_Toc26852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十一、</w:t>
          </w:r>
          <w:r>
            <w:rPr>
              <w:rFonts w:hint="eastAsia" w:ascii="仿宋" w:hAnsi="仿宋" w:eastAsia="仿宋" w:cs="仿宋"/>
              <w:sz w:val="28"/>
              <w:szCs w:val="28"/>
            </w:rPr>
            <w:t>国</w:t>
          </w:r>
          <w:r>
            <w:rPr>
              <w:rFonts w:hint="eastAsia" w:ascii="仿宋" w:hAnsi="仿宋" w:eastAsia="仿宋" w:cs="仿宋"/>
              <w:bCs w:val="0"/>
              <w:sz w:val="28"/>
              <w:szCs w:val="28"/>
            </w:rPr>
            <w:t>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_Toc26852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_Toc4129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_Toc4129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_Toc18555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_Toc18555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rPr>
              <w:rFonts w:hint="eastAsia" w:ascii="仿宋" w:hAnsi="仿宋" w:eastAsia="仿宋" w:cs="仿宋"/>
              <w:sz w:val="28"/>
              <w:szCs w:val="28"/>
            </w:rPr>
          </w:pPr>
          <w:r>
            <w:rPr>
              <w:rFonts w:hint="eastAsia" w:ascii="仿宋" w:hAnsi="仿宋" w:eastAsia="仿宋" w:cs="仿宋"/>
              <w:b/>
              <w:sz w:val="28"/>
              <w:szCs w:val="28"/>
            </w:rPr>
            <w:fldChar w:fldCharType="end"/>
          </w:r>
        </w:p>
      </w:sdtContent>
    </w:sdt>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6" w:name="_Toc15396599"/>
      <w:bookmarkStart w:id="17" w:name="_Toc15377196"/>
      <w:r>
        <w:rPr>
          <w:rFonts w:ascii="仿宋" w:hAnsi="仿宋" w:eastAsia="仿宋"/>
          <w:b/>
          <w:sz w:val="24"/>
        </w:rPr>
        <w:br w:type="page"/>
      </w:r>
    </w:p>
    <w:p>
      <w:pPr>
        <w:pStyle w:val="5"/>
        <w:jc w:val="center"/>
        <w:rPr>
          <w:rStyle w:val="28"/>
          <w:rFonts w:ascii="黑体" w:hAnsi="黑体" w:eastAsia="黑体"/>
          <w:b/>
          <w:bCs w:val="0"/>
        </w:rPr>
      </w:pPr>
      <w:bookmarkStart w:id="18" w:name="_Toc6450"/>
      <w:r>
        <w:rPr>
          <w:rFonts w:hint="eastAsia" w:ascii="黑体" w:hAnsi="黑体" w:eastAsia="黑体"/>
          <w:b w:val="0"/>
        </w:rPr>
        <w:t>第一部分 单位</w:t>
      </w:r>
      <w:r>
        <w:rPr>
          <w:rStyle w:val="28"/>
          <w:rFonts w:hint="eastAsia" w:ascii="黑体" w:hAnsi="黑体" w:eastAsia="黑体"/>
          <w:b w:val="0"/>
          <w:bCs w:val="0"/>
        </w:rPr>
        <w:t>概况</w:t>
      </w:r>
      <w:bookmarkEnd w:id="16"/>
      <w:bookmarkEnd w:id="17"/>
      <w:bookmarkEnd w:id="18"/>
    </w:p>
    <w:p>
      <w:pPr>
        <w:widowControl/>
        <w:jc w:val="left"/>
        <w:rPr>
          <w:rFonts w:ascii="黑体" w:eastAsia="黑体"/>
          <w:sz w:val="32"/>
          <w:szCs w:val="32"/>
        </w:rPr>
      </w:pPr>
    </w:p>
    <w:p>
      <w:pPr>
        <w:pStyle w:val="6"/>
        <w:numPr>
          <w:ilvl w:val="0"/>
          <w:numId w:val="1"/>
        </w:numPr>
        <w:rPr>
          <w:rStyle w:val="29"/>
          <w:rFonts w:ascii="黑体" w:hAnsi="黑体" w:eastAsia="黑体"/>
          <w:b w:val="0"/>
          <w:bCs w:val="0"/>
        </w:rPr>
      </w:pPr>
      <w:bookmarkStart w:id="19" w:name="_Toc30914"/>
      <w:bookmarkStart w:id="20" w:name="_Toc15377197"/>
      <w:bookmarkStart w:id="21" w:name="_Toc15396600"/>
      <w:r>
        <w:rPr>
          <w:rStyle w:val="29"/>
          <w:rFonts w:hint="eastAsia" w:ascii="黑体" w:hAnsi="黑体" w:eastAsia="黑体"/>
          <w:b w:val="0"/>
          <w:bCs w:val="0"/>
        </w:rPr>
        <w:t>主要职责</w:t>
      </w:r>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1、贯彻执行国家有关交通运输行业管理的方针、政策和法律法规。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2、负责拟定全区运输业和物流业发展规划并组织实施。</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3、负责全区道路交通运输市场监督管理。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、承担区政府公布的在关行政审批事项。</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、承办区委、区政府交办的其它工作</w:t>
      </w:r>
      <w:r>
        <w:rPr>
          <w:rFonts w:hint="eastAsia" w:ascii="仿宋_GB2312" w:hAnsi="仿宋" w:eastAsia="仿宋_GB2312"/>
          <w:sz w:val="32"/>
          <w:szCs w:val="32"/>
          <w:lang w:eastAsia="zh-CN"/>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承担全区水上交通安全监管职责</w:t>
      </w:r>
      <w:r>
        <w:rPr>
          <w:rFonts w:hint="eastAsia" w:ascii="仿宋_GB2312" w:hAnsi="仿宋" w:eastAsia="仿宋_GB2312"/>
          <w:sz w:val="32"/>
          <w:szCs w:val="32"/>
          <w:lang w:eastAsia="zh-CN"/>
        </w:rPr>
        <w:t>。</w:t>
      </w:r>
    </w:p>
    <w:p/>
    <w:p>
      <w:pPr>
        <w:pStyle w:val="6"/>
        <w:numPr>
          <w:ilvl w:val="0"/>
          <w:numId w:val="1"/>
        </w:numPr>
        <w:ind w:left="0" w:leftChars="0" w:firstLine="0" w:firstLineChars="0"/>
        <w:rPr>
          <w:rFonts w:hint="eastAsia" w:ascii="黑体" w:hAnsi="黑体" w:eastAsia="黑体"/>
          <w:b w:val="0"/>
        </w:rPr>
      </w:pPr>
      <w:bookmarkStart w:id="22" w:name="_Toc12275"/>
      <w:r>
        <w:rPr>
          <w:rFonts w:hint="eastAsia" w:ascii="黑体" w:hAnsi="黑体" w:eastAsia="黑体"/>
          <w:b w:val="0"/>
        </w:rPr>
        <w:t>机构设置</w:t>
      </w:r>
      <w:bookmarkEnd w:id="22"/>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道路运输服务中心属参公单位，交通局二级单位，无下设单位。</w:t>
      </w:r>
      <w:r>
        <w:rPr>
          <w:rFonts w:hint="eastAsia" w:ascii="仿宋" w:hAnsi="仿宋" w:eastAsia="仿宋"/>
          <w:sz w:val="32"/>
          <w:szCs w:val="32"/>
          <w:lang w:val="zh-CN"/>
        </w:rPr>
        <w:t>在职人员</w:t>
      </w:r>
      <w:r>
        <w:rPr>
          <w:rFonts w:hint="eastAsia" w:ascii="仿宋" w:hAnsi="仿宋" w:eastAsia="仿宋"/>
          <w:sz w:val="32"/>
          <w:szCs w:val="32"/>
          <w:lang w:val="en-US" w:eastAsia="zh-CN"/>
        </w:rPr>
        <w:t>4</w:t>
      </w:r>
      <w:r>
        <w:rPr>
          <w:rFonts w:hint="eastAsia" w:ascii="仿宋" w:hAnsi="仿宋" w:eastAsia="仿宋"/>
          <w:sz w:val="32"/>
          <w:szCs w:val="32"/>
        </w:rPr>
        <w:t>人，1名行政，</w:t>
      </w:r>
      <w:r>
        <w:rPr>
          <w:rFonts w:hint="eastAsia" w:ascii="仿宋" w:hAnsi="仿宋" w:eastAsia="仿宋"/>
          <w:sz w:val="32"/>
          <w:szCs w:val="32"/>
          <w:lang w:val="en-US" w:eastAsia="zh-CN"/>
        </w:rPr>
        <w:t>3</w:t>
      </w:r>
      <w:r>
        <w:rPr>
          <w:rFonts w:hint="eastAsia" w:ascii="仿宋" w:hAnsi="仿宋" w:eastAsia="仿宋"/>
          <w:sz w:val="32"/>
          <w:szCs w:val="32"/>
        </w:rPr>
        <w:t>名参公，</w:t>
      </w:r>
      <w:r>
        <w:rPr>
          <w:rFonts w:hint="eastAsia" w:ascii="仿宋" w:hAnsi="仿宋" w:eastAsia="仿宋"/>
          <w:sz w:val="32"/>
          <w:szCs w:val="32"/>
          <w:lang w:val="en-US" w:eastAsia="zh-CN"/>
        </w:rPr>
        <w:t>1</w:t>
      </w:r>
      <w:r>
        <w:rPr>
          <w:rFonts w:hint="eastAsia" w:ascii="仿宋" w:hAnsi="仿宋" w:eastAsia="仿宋"/>
          <w:sz w:val="32"/>
          <w:szCs w:val="32"/>
        </w:rPr>
        <w:t xml:space="preserve">名事业。 </w:t>
      </w:r>
    </w:p>
    <w:p>
      <w:pPr>
        <w:numPr>
          <w:ilvl w:val="0"/>
          <w:numId w:val="0"/>
        </w:numPr>
        <w:ind w:leftChars="0"/>
      </w:pPr>
    </w:p>
    <w:bookmarkEnd w:id="20"/>
    <w:bookmarkEnd w:id="21"/>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28"/>
          <w:rFonts w:ascii="黑体" w:hAnsi="黑体" w:eastAsia="黑体"/>
          <w:b w:val="0"/>
          <w:bCs/>
        </w:rPr>
      </w:pPr>
      <w:bookmarkStart w:id="23" w:name="_Toc20976"/>
      <w:bookmarkStart w:id="24" w:name="_Toc15396602"/>
      <w:bookmarkStart w:id="25"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23"/>
      <w:bookmarkEnd w:id="24"/>
      <w:bookmarkEnd w:id="25"/>
    </w:p>
    <w:p/>
    <w:p>
      <w:pPr>
        <w:pStyle w:val="27"/>
        <w:numPr>
          <w:ilvl w:val="0"/>
          <w:numId w:val="2"/>
        </w:numPr>
        <w:spacing w:line="600" w:lineRule="exact"/>
        <w:ind w:firstLineChars="0"/>
        <w:outlineLvl w:val="1"/>
        <w:rPr>
          <w:rStyle w:val="29"/>
          <w:rFonts w:ascii="黑体" w:hAnsi="黑体" w:eastAsia="黑体"/>
          <w:b w:val="0"/>
        </w:rPr>
      </w:pPr>
      <w:bookmarkStart w:id="26" w:name="_Toc15396603"/>
      <w:bookmarkStart w:id="27" w:name="_Toc15377205"/>
      <w:bookmarkStart w:id="28" w:name="_Toc31166"/>
      <w:r>
        <w:rPr>
          <w:rFonts w:hint="eastAsia" w:ascii="黑体" w:hAnsi="黑体" w:eastAsia="黑体"/>
          <w:sz w:val="32"/>
          <w:szCs w:val="32"/>
        </w:rPr>
        <w:t>收</w:t>
      </w:r>
      <w:r>
        <w:rPr>
          <w:rStyle w:val="29"/>
          <w:rFonts w:hint="eastAsia" w:ascii="黑体" w:hAnsi="黑体" w:eastAsia="黑体"/>
          <w:b w:val="0"/>
        </w:rPr>
        <w:t>入支出决算总体情况说明</w:t>
      </w:r>
      <w:bookmarkEnd w:id="26"/>
      <w:bookmarkEnd w:id="27"/>
      <w:bookmarkEnd w:id="28"/>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_GB2312" w:hAnsi="仿宋_GB2312" w:eastAsia="仿宋_GB2312" w:cs="仿宋_GB2312"/>
          <w:sz w:val="32"/>
          <w:szCs w:val="32"/>
        </w:rPr>
        <w:t>394.9</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下降</w:t>
      </w:r>
      <w:r>
        <w:rPr>
          <w:rFonts w:hint="eastAsia" w:ascii="仿宋" w:hAnsi="仿宋" w:eastAsia="仿宋"/>
          <w:sz w:val="32"/>
          <w:szCs w:val="32"/>
          <w:lang w:val="en-US" w:eastAsia="zh-CN"/>
        </w:rPr>
        <w:t>256.13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39.34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-90805</wp:posOffset>
            </wp:positionH>
            <wp:positionV relativeFrom="paragraph">
              <wp:posOffset>303530</wp:posOffset>
            </wp:positionV>
            <wp:extent cx="4826000" cy="2743200"/>
            <wp:effectExtent l="4445" t="4445" r="8255" b="1460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9" w:name="_Toc15377206"/>
      <w:bookmarkStart w:id="30" w:name="_Toc27573"/>
      <w:bookmarkStart w:id="31" w:name="_Toc15396604"/>
      <w:r>
        <w:rPr>
          <w:rFonts w:hint="eastAsia" w:ascii="黑体" w:hAnsi="黑体" w:eastAsia="黑体"/>
          <w:sz w:val="32"/>
          <w:szCs w:val="32"/>
        </w:rPr>
        <w:t>收</w:t>
      </w:r>
      <w:r>
        <w:rPr>
          <w:rStyle w:val="29"/>
          <w:rFonts w:hint="eastAsia" w:ascii="黑体" w:hAnsi="黑体" w:eastAsia="黑体"/>
          <w:b w:val="0"/>
        </w:rPr>
        <w:t>入决算情况说明</w:t>
      </w:r>
      <w:bookmarkEnd w:id="29"/>
      <w:bookmarkEnd w:id="30"/>
      <w:bookmarkEnd w:id="3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2" w:name="_Toc17586"/>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394.21万元，其中：一般公共预算财政拨款收入393.97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0.05</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spacing w:line="600" w:lineRule="exact"/>
        <w:ind w:firstLine="420" w:firstLineChars="200"/>
        <w:outlineLvl w:val="1"/>
        <w:rPr>
          <w:rFonts w:hint="eastAsia" w:ascii="仿宋" w:hAnsi="仿宋" w:eastAsia="仿宋"/>
          <w:b/>
          <w:sz w:val="32"/>
          <w:szCs w:val="32"/>
        </w:rPr>
      </w:pPr>
      <w:r>
        <w:drawing>
          <wp:anchor distT="0" distB="0" distL="114300" distR="114300" simplePos="0" relativeHeight="251661312" behindDoc="0" locked="0" layoutInCell="1" allowOverlap="1">
            <wp:simplePos x="0" y="0"/>
            <wp:positionH relativeFrom="column">
              <wp:posOffset>345440</wp:posOffset>
            </wp:positionH>
            <wp:positionV relativeFrom="paragraph">
              <wp:posOffset>109220</wp:posOffset>
            </wp:positionV>
            <wp:extent cx="4826000" cy="2743200"/>
            <wp:effectExtent l="4445" t="4445" r="8255" b="14605"/>
            <wp:wrapSquare wrapText="bothSides"/>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hint="eastAsia" w:ascii="仿宋" w:hAnsi="仿宋" w:eastAsia="仿宋"/>
          <w:b/>
          <w:sz w:val="32"/>
          <w:szCs w:val="32"/>
          <w:lang w:eastAsia="zh-CN"/>
        </w:rPr>
        <w:t>）</w:t>
      </w:r>
      <w:r>
        <w:rPr>
          <w:rFonts w:hint="eastAsia" w:ascii="仿宋" w:hAnsi="仿宋" w:eastAsia="仿宋"/>
          <w:b/>
          <w:sz w:val="32"/>
          <w:szCs w:val="32"/>
        </w:rPr>
        <w:t>。</w:t>
      </w:r>
      <w:bookmarkEnd w:id="32"/>
    </w:p>
    <w:p>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（图2：收入决算结构图）（饼状图）</w:t>
      </w:r>
    </w:p>
    <w:p>
      <w:pPr>
        <w:pStyle w:val="27"/>
        <w:numPr>
          <w:ilvl w:val="0"/>
          <w:numId w:val="2"/>
        </w:numPr>
        <w:spacing w:line="600" w:lineRule="exact"/>
        <w:ind w:firstLineChars="0"/>
        <w:outlineLvl w:val="1"/>
        <w:rPr>
          <w:rStyle w:val="29"/>
          <w:rFonts w:ascii="黑体" w:hAnsi="黑体" w:eastAsia="黑体"/>
          <w:b w:val="0"/>
        </w:rPr>
      </w:pPr>
      <w:bookmarkStart w:id="33" w:name="_Toc15377207"/>
      <w:bookmarkStart w:id="34" w:name="_Toc5247"/>
      <w:bookmarkStart w:id="35" w:name="_Toc15396605"/>
      <w:r>
        <w:rPr>
          <w:rFonts w:hint="eastAsia" w:ascii="黑体" w:hAnsi="黑体" w:eastAsia="黑体"/>
          <w:sz w:val="32"/>
          <w:szCs w:val="32"/>
        </w:rPr>
        <w:t>支</w:t>
      </w:r>
      <w:r>
        <w:rPr>
          <w:rStyle w:val="29"/>
          <w:rFonts w:hint="eastAsia" w:ascii="黑体" w:hAnsi="黑体" w:eastAsia="黑体"/>
          <w:b w:val="0"/>
        </w:rPr>
        <w:t>出决算情况说明</w:t>
      </w:r>
      <w:bookmarkEnd w:id="33"/>
      <w:bookmarkEnd w:id="34"/>
      <w:bookmarkEnd w:id="35"/>
    </w:p>
    <w:p>
      <w:pPr>
        <w:spacing w:line="600" w:lineRule="exact"/>
        <w:ind w:firstLine="420" w:firstLineChars="200"/>
        <w:outlineLvl w:val="1"/>
        <w:rPr>
          <w:rFonts w:ascii="仿宋" w:hAnsi="仿宋" w:eastAsia="仿宋"/>
          <w:b/>
          <w:sz w:val="32"/>
          <w:szCs w:val="32"/>
        </w:rPr>
      </w:pPr>
      <w:bookmarkStart w:id="36" w:name="_Toc32172"/>
      <w:r>
        <w:drawing>
          <wp:anchor distT="0" distB="0" distL="114300" distR="114300" simplePos="0" relativeHeight="251659264" behindDoc="0" locked="0" layoutInCell="1" allowOverlap="1">
            <wp:simplePos x="0" y="0"/>
            <wp:positionH relativeFrom="column">
              <wp:posOffset>311785</wp:posOffset>
            </wp:positionH>
            <wp:positionV relativeFrom="paragraph">
              <wp:posOffset>2250440</wp:posOffset>
            </wp:positionV>
            <wp:extent cx="4826000" cy="2399665"/>
            <wp:effectExtent l="5080" t="4445" r="7620" b="1524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393.97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87.27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22.15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306.71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77.84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bookmarkEnd w:id="36"/>
    </w:p>
    <w:p>
      <w:pPr>
        <w:spacing w:line="600" w:lineRule="exact"/>
        <w:ind w:firstLine="640"/>
        <w:rPr>
          <w:rFonts w:ascii="仿宋" w:hAnsi="仿宋" w:eastAsia="仿宋"/>
          <w:sz w:val="32"/>
          <w:szCs w:val="32"/>
          <w:shd w:val="pct10" w:color="auto" w:fill="FFFFFF"/>
        </w:rPr>
      </w:pPr>
    </w:p>
    <w:p>
      <w:pPr>
        <w:spacing w:line="600" w:lineRule="exact"/>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9"/>
          <w:rFonts w:ascii="黑体" w:hAnsi="黑体" w:eastAsia="黑体"/>
          <w:b w:val="0"/>
        </w:rPr>
      </w:pPr>
      <w:bookmarkStart w:id="37" w:name="_Toc4220"/>
      <w:bookmarkStart w:id="38" w:name="_Toc15396606"/>
      <w:bookmarkStart w:id="39"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7"/>
      <w:bookmarkEnd w:id="38"/>
      <w:bookmarkEnd w:id="39"/>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rPr>
        <w:t>393.97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256.37</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39.42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项目支出减少。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280670</wp:posOffset>
            </wp:positionH>
            <wp:positionV relativeFrom="paragraph">
              <wp:posOffset>337185</wp:posOffset>
            </wp:positionV>
            <wp:extent cx="4826000" cy="2743200"/>
            <wp:effectExtent l="4445" t="4445" r="825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40" w:name="_Toc15396607"/>
      <w:bookmarkStart w:id="41" w:name="_Toc15377209"/>
      <w:bookmarkStart w:id="42" w:name="_Toc3953"/>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0"/>
      <w:bookmarkEnd w:id="41"/>
      <w:bookmarkEnd w:id="42"/>
    </w:p>
    <w:p>
      <w:pPr>
        <w:spacing w:line="600" w:lineRule="exact"/>
        <w:ind w:firstLine="642"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393.97</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sz w:val="32"/>
          <w:szCs w:val="32"/>
        </w:rPr>
        <w:t>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256.37</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39.42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项目支出增加。</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2336" behindDoc="0" locked="0" layoutInCell="1" allowOverlap="1">
            <wp:simplePos x="0" y="0"/>
            <wp:positionH relativeFrom="column">
              <wp:posOffset>175895</wp:posOffset>
            </wp:positionH>
            <wp:positionV relativeFrom="paragraph">
              <wp:posOffset>185420</wp:posOffset>
            </wp:positionV>
            <wp:extent cx="4826000" cy="2743200"/>
            <wp:effectExtent l="4445" t="4445" r="8255" b="1460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spacing w:line="600" w:lineRule="exact"/>
        <w:ind w:firstLine="64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393.97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 w:hAnsi="仿宋" w:eastAsia="仿宋"/>
          <w:sz w:val="32"/>
          <w:szCs w:val="32"/>
        </w:rPr>
        <w:t>，主要用于以下方面</w:t>
      </w:r>
      <w:r>
        <w:rPr>
          <w:rFonts w:hint="eastAsia" w:ascii="仿宋" w:hAnsi="仿宋" w:eastAsia="仿宋"/>
          <w:sz w:val="32"/>
          <w:szCs w:val="32"/>
          <w:lang w:eastAsia="zh-CN"/>
        </w:rPr>
        <w:t>：</w:t>
      </w:r>
      <w:r>
        <w:rPr>
          <w:rFonts w:hint="eastAsia" w:ascii="仿宋" w:hAnsi="仿宋" w:eastAsia="仿宋" w:cs="Times New Roman"/>
          <w:color w:val="000000"/>
          <w:sz w:val="32"/>
          <w:szCs w:val="32"/>
        </w:rPr>
        <w:t>社会保障和就业（类）支出</w:t>
      </w:r>
      <w:r>
        <w:rPr>
          <w:rFonts w:hint="eastAsia" w:ascii="仿宋" w:hAnsi="仿宋" w:eastAsia="仿宋" w:cs="Times New Roman"/>
          <w:color w:val="000000"/>
          <w:sz w:val="32"/>
          <w:szCs w:val="32"/>
          <w:lang w:val="en-US" w:eastAsia="zh-CN"/>
        </w:rPr>
        <w:t>19.86</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5.04</w:t>
      </w:r>
      <w:r>
        <w:rPr>
          <w:rFonts w:hint="eastAsia" w:ascii="仿宋" w:hAnsi="仿宋" w:eastAsia="仿宋" w:cs="Times New Roman"/>
          <w:color w:val="000000"/>
          <w:sz w:val="32"/>
          <w:szCs w:val="32"/>
        </w:rPr>
        <w:t>%；卫生健康支出（类）</w:t>
      </w:r>
      <w:r>
        <w:rPr>
          <w:rFonts w:hint="eastAsia" w:ascii="仿宋" w:hAnsi="仿宋" w:eastAsia="仿宋" w:cs="Times New Roman"/>
          <w:color w:val="000000"/>
          <w:sz w:val="32"/>
          <w:szCs w:val="32"/>
          <w:lang w:val="en-US" w:eastAsia="zh-CN"/>
        </w:rPr>
        <w:t>3.14</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0.8</w:t>
      </w:r>
      <w:r>
        <w:rPr>
          <w:rFonts w:hint="eastAsia" w:ascii="仿宋" w:hAnsi="仿宋" w:eastAsia="仿宋" w:cs="Times New Roman"/>
          <w:color w:val="000000"/>
          <w:sz w:val="32"/>
          <w:szCs w:val="32"/>
        </w:rPr>
        <w:t>%；住房保障支出（类）</w:t>
      </w:r>
      <w:r>
        <w:rPr>
          <w:rFonts w:hint="eastAsia" w:ascii="仿宋" w:hAnsi="仿宋" w:eastAsia="仿宋" w:cs="Times New Roman"/>
          <w:color w:val="000000"/>
          <w:sz w:val="32"/>
          <w:szCs w:val="32"/>
          <w:lang w:val="en-US" w:eastAsia="zh-CN"/>
        </w:rPr>
        <w:t>6.13</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1.55</w:t>
      </w:r>
      <w:r>
        <w:rPr>
          <w:rFonts w:hint="eastAsia" w:ascii="仿宋" w:hAnsi="仿宋" w:eastAsia="仿宋" w:cs="Times New Roman"/>
          <w:color w:val="000000"/>
          <w:sz w:val="32"/>
          <w:szCs w:val="32"/>
        </w:rPr>
        <w:t>%，占</w:t>
      </w:r>
      <w:r>
        <w:rPr>
          <w:rFonts w:hint="eastAsia" w:ascii="仿宋" w:hAnsi="仿宋" w:eastAsia="仿宋" w:cs="Times New Roman"/>
          <w:color w:val="000000"/>
          <w:sz w:val="32"/>
          <w:szCs w:val="32"/>
          <w:lang w:val="en-US" w:eastAsia="zh-CN"/>
        </w:rPr>
        <w:t>0.06</w:t>
      </w:r>
      <w:r>
        <w:rPr>
          <w:rFonts w:hint="eastAsia" w:ascii="仿宋" w:hAnsi="仿宋" w:eastAsia="仿宋" w:cs="Times New Roman"/>
          <w:color w:val="000000"/>
          <w:sz w:val="32"/>
          <w:szCs w:val="32"/>
        </w:rPr>
        <w:t>%；交通运输支出（类）</w:t>
      </w:r>
      <w:r>
        <w:rPr>
          <w:rFonts w:hint="eastAsia" w:ascii="仿宋" w:hAnsi="仿宋" w:eastAsia="仿宋" w:cs="Times New Roman"/>
          <w:color w:val="000000"/>
          <w:sz w:val="32"/>
          <w:szCs w:val="32"/>
          <w:lang w:val="en-US" w:eastAsia="zh-CN"/>
        </w:rPr>
        <w:t>364.85</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92.6</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w:t>
      </w: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353695</wp:posOffset>
            </wp:positionH>
            <wp:positionV relativeFrom="paragraph">
              <wp:posOffset>147320</wp:posOffset>
            </wp:positionV>
            <wp:extent cx="4826000" cy="2743200"/>
            <wp:effectExtent l="4445" t="4445" r="8255" b="14605"/>
            <wp:wrapTopAndBottom/>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pPr>
    </w:p>
    <w:p>
      <w:pPr>
        <w:spacing w:line="600" w:lineRule="exact"/>
        <w:ind w:firstLine="640"/>
      </w:pPr>
    </w:p>
    <w:p>
      <w:pPr>
        <w:spacing w:line="600" w:lineRule="exact"/>
        <w:ind w:firstLine="640"/>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numPr>
          <w:ilvl w:val="0"/>
          <w:numId w:val="0"/>
        </w:numPr>
        <w:spacing w:line="600" w:lineRule="exact"/>
        <w:ind w:firstLine="640" w:firstLineChars="200"/>
        <w:rPr>
          <w:rStyle w:val="17"/>
          <w:rFonts w:hint="eastAsia" w:ascii="仿宋" w:hAnsi="仿宋" w:eastAsia="仿宋"/>
          <w:b w:val="0"/>
          <w:bCs/>
          <w:color w:val="000000"/>
          <w:sz w:val="32"/>
          <w:szCs w:val="32"/>
        </w:rPr>
      </w:pPr>
      <w:bookmarkStart w:id="46" w:name="_Toc15377444"/>
      <w:bookmarkStart w:id="47" w:name="_Toc15378460"/>
      <w:bookmarkStart w:id="48" w:name="_Toc15377213"/>
      <w:r>
        <w:rPr>
          <w:rStyle w:val="17"/>
          <w:rFonts w:hint="eastAsia" w:ascii="仿宋" w:hAnsi="仿宋" w:eastAsia="仿宋"/>
          <w:b w:val="0"/>
          <w:bCs/>
          <w:color w:val="000000"/>
          <w:sz w:val="32"/>
          <w:szCs w:val="32"/>
          <w:lang w:val="en-US" w:eastAsia="zh-CN"/>
        </w:rPr>
        <w:t>2024年度一般公共预算财政拨款支出决算数为</w:t>
      </w:r>
      <w:r>
        <w:rPr>
          <w:rStyle w:val="17"/>
          <w:rFonts w:hint="eastAsia" w:ascii="仿宋" w:hAnsi="仿宋" w:eastAsia="仿宋"/>
          <w:b w:val="0"/>
          <w:bCs/>
          <w:color w:val="000000"/>
          <w:sz w:val="32"/>
          <w:szCs w:val="32"/>
        </w:rPr>
        <w:t>393.97</w:t>
      </w:r>
      <w:r>
        <w:rPr>
          <w:rStyle w:val="17"/>
          <w:rFonts w:hint="eastAsia" w:ascii="仿宋" w:hAnsi="仿宋" w:eastAsia="仿宋"/>
          <w:b w:val="0"/>
          <w:bCs/>
          <w:color w:val="000000"/>
          <w:sz w:val="32"/>
          <w:szCs w:val="32"/>
          <w:lang w:eastAsia="zh-CN"/>
        </w:rPr>
        <w:t>万元</w:t>
      </w:r>
      <w:bookmarkStart w:id="104" w:name="_GoBack"/>
      <w:bookmarkEnd w:id="104"/>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hint="eastAsia" w:ascii="仿宋" w:hAnsi="仿宋" w:eastAsia="仿宋"/>
          <w:b w:val="0"/>
          <w:bCs/>
          <w:color w:val="000000"/>
          <w:sz w:val="32"/>
          <w:szCs w:val="32"/>
        </w:rPr>
        <w:t>%。其中：</w:t>
      </w:r>
      <w:bookmarkEnd w:id="46"/>
      <w:bookmarkEnd w:id="47"/>
      <w:bookmarkEnd w:id="48"/>
    </w:p>
    <w:p>
      <w:pPr>
        <w:numPr>
          <w:ilvl w:val="0"/>
          <w:numId w:val="0"/>
        </w:num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1.</w:t>
      </w:r>
      <w:r>
        <w:rPr>
          <w:rStyle w:val="17"/>
          <w:rFonts w:hint="eastAsia" w:ascii="仿宋" w:hAnsi="仿宋" w:eastAsia="仿宋"/>
          <w:b w:val="0"/>
          <w:bCs/>
          <w:color w:val="000000"/>
          <w:sz w:val="32"/>
          <w:szCs w:val="32"/>
        </w:rPr>
        <w:t>社会保障和就业</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rPr>
        <w:t>社会保障和就业（类）</w:t>
      </w:r>
      <w:r>
        <w:rPr>
          <w:rStyle w:val="17"/>
          <w:rFonts w:hint="eastAsia" w:ascii="仿宋" w:hAnsi="仿宋" w:eastAsia="仿宋"/>
          <w:b w:val="0"/>
          <w:bCs/>
          <w:color w:val="000000"/>
          <w:sz w:val="32"/>
          <w:szCs w:val="32"/>
          <w:lang w:val="en-US" w:eastAsia="zh-CN"/>
        </w:rPr>
        <w:t>行政事业单位养老支出</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机关事业单位基本养老保险缴费支出</w:t>
      </w:r>
      <w:r>
        <w:rPr>
          <w:rStyle w:val="17"/>
          <w:rFonts w:hint="eastAsia" w:ascii="仿宋" w:hAnsi="仿宋" w:eastAsia="仿宋"/>
          <w:b w:val="0"/>
          <w:bCs/>
          <w:color w:val="000000"/>
          <w:sz w:val="32"/>
          <w:szCs w:val="32"/>
        </w:rPr>
        <w:t>（项）</w:t>
      </w:r>
      <w:r>
        <w:rPr>
          <w:rStyle w:val="17"/>
          <w:rFonts w:hint="eastAsia" w:ascii="仿宋" w:hAnsi="仿宋" w:eastAsia="仿宋"/>
          <w:b w:val="0"/>
          <w:bCs/>
          <w:color w:val="000000"/>
          <w:sz w:val="32"/>
          <w:szCs w:val="32"/>
          <w:lang w:val="en-US" w:eastAsia="zh-CN"/>
        </w:rPr>
        <w:t>:决算支出为</w:t>
      </w:r>
      <w:r>
        <w:rPr>
          <w:rStyle w:val="17"/>
          <w:rFonts w:hint="eastAsia" w:ascii="仿宋" w:hAnsi="仿宋" w:eastAsia="仿宋"/>
          <w:b w:val="0"/>
          <w:bCs/>
          <w:color w:val="000000"/>
          <w:sz w:val="32"/>
          <w:szCs w:val="32"/>
        </w:rPr>
        <w:t>6.97</w:t>
      </w:r>
      <w:r>
        <w:rPr>
          <w:rStyle w:val="17"/>
          <w:rFonts w:hint="eastAsia" w:ascii="仿宋" w:hAnsi="仿宋" w:eastAsia="仿宋"/>
          <w:b w:val="0"/>
          <w:bCs/>
          <w:color w:val="000000"/>
          <w:sz w:val="32"/>
          <w:szCs w:val="32"/>
          <w:lang w:val="en-US" w:eastAsia="zh-CN"/>
        </w:rPr>
        <w:t xml:space="preserve">万元，完成预算100%；  </w:t>
      </w:r>
      <w:r>
        <w:rPr>
          <w:rStyle w:val="17"/>
          <w:rFonts w:hint="eastAsia" w:ascii="仿宋" w:hAnsi="仿宋" w:eastAsia="仿宋"/>
          <w:b w:val="0"/>
          <w:bCs/>
          <w:color w:val="000000"/>
          <w:sz w:val="32"/>
          <w:szCs w:val="32"/>
        </w:rPr>
        <w:t>社会保障和就业（类）</w:t>
      </w:r>
      <w:r>
        <w:rPr>
          <w:rStyle w:val="17"/>
          <w:rFonts w:hint="eastAsia" w:ascii="仿宋" w:hAnsi="仿宋" w:eastAsia="仿宋"/>
          <w:b w:val="0"/>
          <w:bCs/>
          <w:color w:val="000000"/>
          <w:sz w:val="32"/>
          <w:szCs w:val="32"/>
          <w:lang w:val="en-US" w:eastAsia="zh-CN"/>
        </w:rPr>
        <w:t>行政事业单位养老支出</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机关事业单位职业年金缴费支出</w:t>
      </w:r>
      <w:r>
        <w:rPr>
          <w:rStyle w:val="17"/>
          <w:rFonts w:hint="eastAsia" w:ascii="仿宋" w:hAnsi="仿宋" w:eastAsia="仿宋"/>
          <w:b w:val="0"/>
          <w:bCs/>
          <w:color w:val="000000"/>
          <w:sz w:val="32"/>
          <w:szCs w:val="32"/>
        </w:rPr>
        <w:t>（项）:</w:t>
      </w:r>
      <w:r>
        <w:rPr>
          <w:rStyle w:val="17"/>
          <w:rFonts w:hint="eastAsia" w:ascii="仿宋" w:hAnsi="仿宋" w:eastAsia="仿宋"/>
          <w:b w:val="0"/>
          <w:bCs/>
          <w:color w:val="000000"/>
          <w:sz w:val="32"/>
          <w:szCs w:val="32"/>
          <w:lang w:val="en-US" w:eastAsia="zh-CN"/>
        </w:rPr>
        <w:t>决算支出为</w:t>
      </w:r>
      <w:r>
        <w:rPr>
          <w:rStyle w:val="17"/>
          <w:rFonts w:hint="eastAsia" w:ascii="仿宋" w:hAnsi="仿宋" w:eastAsia="仿宋"/>
          <w:b w:val="0"/>
          <w:bCs/>
          <w:color w:val="000000"/>
          <w:sz w:val="32"/>
          <w:szCs w:val="32"/>
        </w:rPr>
        <w:t>5.79</w:t>
      </w:r>
      <w:r>
        <w:rPr>
          <w:rStyle w:val="17"/>
          <w:rFonts w:hint="eastAsia" w:ascii="仿宋" w:hAnsi="仿宋" w:eastAsia="仿宋"/>
          <w:b w:val="0"/>
          <w:bCs/>
          <w:color w:val="000000"/>
          <w:sz w:val="32"/>
          <w:szCs w:val="32"/>
          <w:lang w:val="en-US" w:eastAsia="zh-CN"/>
        </w:rPr>
        <w:t>万元，完成预算100%；</w:t>
      </w:r>
      <w:r>
        <w:rPr>
          <w:rStyle w:val="17"/>
          <w:rFonts w:hint="eastAsia" w:ascii="仿宋" w:hAnsi="仿宋" w:eastAsia="仿宋"/>
          <w:b w:val="0"/>
          <w:bCs/>
          <w:color w:val="000000"/>
          <w:sz w:val="32"/>
          <w:szCs w:val="32"/>
        </w:rPr>
        <w:t>社会保障和就业</w:t>
      </w:r>
      <w:r>
        <w:rPr>
          <w:rStyle w:val="17"/>
          <w:rFonts w:hint="eastAsia" w:ascii="仿宋" w:hAnsi="仿宋" w:eastAsia="仿宋"/>
          <w:b w:val="0"/>
          <w:bCs/>
          <w:color w:val="000000"/>
          <w:sz w:val="32"/>
          <w:szCs w:val="32"/>
          <w:lang w:val="en-US" w:eastAsia="zh-CN"/>
        </w:rPr>
        <w:t>（类）行政事业单位养老支出（款）其他行政事业单位养老支出（项）:决算支出为</w:t>
      </w:r>
      <w:r>
        <w:rPr>
          <w:rStyle w:val="17"/>
          <w:rFonts w:hint="eastAsia" w:ascii="仿宋" w:hAnsi="仿宋" w:eastAsia="仿宋"/>
          <w:b w:val="0"/>
          <w:bCs/>
          <w:color w:val="000000"/>
          <w:sz w:val="32"/>
          <w:szCs w:val="32"/>
        </w:rPr>
        <w:t>1.67</w:t>
      </w:r>
      <w:r>
        <w:rPr>
          <w:rStyle w:val="17"/>
          <w:rFonts w:hint="eastAsia" w:ascii="仿宋" w:hAnsi="仿宋" w:eastAsia="仿宋"/>
          <w:b w:val="0"/>
          <w:bCs/>
          <w:color w:val="000000"/>
          <w:sz w:val="32"/>
          <w:szCs w:val="32"/>
          <w:lang w:val="en-US" w:eastAsia="zh-CN"/>
        </w:rPr>
        <w:t>万元，完成预算100%；</w:t>
      </w:r>
      <w:r>
        <w:rPr>
          <w:rStyle w:val="17"/>
          <w:rFonts w:hint="eastAsia" w:ascii="仿宋" w:hAnsi="仿宋" w:eastAsia="仿宋"/>
          <w:b w:val="0"/>
          <w:bCs/>
          <w:color w:val="000000"/>
          <w:sz w:val="32"/>
          <w:szCs w:val="32"/>
        </w:rPr>
        <w:t>社会保障和就业</w:t>
      </w:r>
      <w:r>
        <w:rPr>
          <w:rStyle w:val="17"/>
          <w:rFonts w:hint="eastAsia" w:ascii="仿宋" w:hAnsi="仿宋" w:eastAsia="仿宋"/>
          <w:b w:val="0"/>
          <w:bCs/>
          <w:color w:val="000000"/>
          <w:sz w:val="32"/>
          <w:szCs w:val="32"/>
          <w:lang w:val="en-US" w:eastAsia="zh-CN"/>
        </w:rPr>
        <w:t>（类）其他社会保障和就业支出（款）其他社会保障和就业支出（项）:决算支出为</w:t>
      </w:r>
      <w:r>
        <w:rPr>
          <w:rStyle w:val="17"/>
          <w:rFonts w:hint="eastAsia" w:ascii="仿宋" w:hAnsi="仿宋" w:eastAsia="仿宋"/>
          <w:b w:val="0"/>
          <w:bCs/>
          <w:color w:val="000000"/>
          <w:sz w:val="32"/>
          <w:szCs w:val="32"/>
        </w:rPr>
        <w:t>4.48</w:t>
      </w:r>
      <w:r>
        <w:rPr>
          <w:rStyle w:val="17"/>
          <w:rFonts w:hint="eastAsia" w:ascii="仿宋" w:hAnsi="仿宋" w:eastAsia="仿宋"/>
          <w:b w:val="0"/>
          <w:bCs/>
          <w:color w:val="000000"/>
          <w:sz w:val="32"/>
          <w:szCs w:val="32"/>
          <w:lang w:val="en-US" w:eastAsia="zh-CN"/>
        </w:rPr>
        <w:t xml:space="preserve">万元，完成预算100%； </w:t>
      </w:r>
      <w:r>
        <w:rPr>
          <w:rStyle w:val="17"/>
          <w:rFonts w:hint="eastAsia" w:ascii="仿宋" w:hAnsi="仿宋" w:eastAsia="仿宋"/>
          <w:b w:val="0"/>
          <w:bCs/>
          <w:color w:val="000000"/>
          <w:sz w:val="32"/>
          <w:szCs w:val="32"/>
        </w:rPr>
        <w:t>社会保障和就业（类）</w:t>
      </w:r>
      <w:r>
        <w:rPr>
          <w:rStyle w:val="17"/>
          <w:rFonts w:hint="eastAsia" w:ascii="仿宋" w:hAnsi="仿宋" w:eastAsia="仿宋"/>
          <w:b w:val="0"/>
          <w:bCs/>
          <w:color w:val="000000"/>
          <w:sz w:val="32"/>
          <w:szCs w:val="32"/>
          <w:lang w:val="en-US" w:eastAsia="zh-CN"/>
        </w:rPr>
        <w:t>残疾人事业</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残疾人就业</w:t>
      </w:r>
      <w:r>
        <w:rPr>
          <w:rStyle w:val="17"/>
          <w:rFonts w:hint="eastAsia" w:ascii="仿宋" w:hAnsi="仿宋" w:eastAsia="仿宋"/>
          <w:b w:val="0"/>
          <w:bCs/>
          <w:color w:val="000000"/>
          <w:sz w:val="32"/>
          <w:szCs w:val="32"/>
        </w:rPr>
        <w:t>（项）:</w:t>
      </w:r>
      <w:r>
        <w:rPr>
          <w:rStyle w:val="17"/>
          <w:rFonts w:hint="eastAsia" w:ascii="仿宋" w:hAnsi="仿宋" w:eastAsia="仿宋"/>
          <w:b w:val="0"/>
          <w:bCs/>
          <w:color w:val="000000"/>
          <w:sz w:val="32"/>
          <w:szCs w:val="32"/>
          <w:lang w:val="en-US" w:eastAsia="zh-CN"/>
        </w:rPr>
        <w:t>决算支出为0.95万元，完成预算100%。</w:t>
      </w:r>
    </w:p>
    <w:p>
      <w:pPr>
        <w:numPr>
          <w:ilvl w:val="0"/>
          <w:numId w:val="0"/>
        </w:numPr>
        <w:spacing w:line="600" w:lineRule="exact"/>
        <w:ind w:firstLine="640" w:firstLineChars="200"/>
        <w:rPr>
          <w:rStyle w:val="17"/>
          <w:rFonts w:hint="eastAsia" w:ascii="仿宋" w:hAnsi="仿宋" w:eastAsia="仿宋"/>
          <w:b w:val="0"/>
          <w:bCs/>
          <w:color w:val="000000"/>
          <w:sz w:val="32"/>
          <w:szCs w:val="32"/>
          <w:lang w:eastAsia="zh-CN"/>
        </w:rPr>
      </w:pPr>
      <w:r>
        <w:rPr>
          <w:rStyle w:val="17"/>
          <w:rFonts w:hint="eastAsia" w:ascii="仿宋" w:hAnsi="仿宋" w:eastAsia="仿宋"/>
          <w:b w:val="0"/>
          <w:bCs/>
          <w:color w:val="000000"/>
          <w:sz w:val="32"/>
          <w:szCs w:val="32"/>
          <w:lang w:val="en-US" w:eastAsia="zh-CN"/>
        </w:rPr>
        <w:t>2.卫生健康支出(类）行政事业单位医疗（款）行政单位医疗（项）</w:t>
      </w:r>
      <w:r>
        <w:rPr>
          <w:rStyle w:val="17"/>
          <w:rFonts w:hint="eastAsia" w:ascii="仿宋" w:hAnsi="仿宋" w:eastAsia="仿宋"/>
          <w:b w:val="0"/>
          <w:bCs/>
          <w:color w:val="000000"/>
          <w:sz w:val="32"/>
          <w:szCs w:val="32"/>
        </w:rPr>
        <w:t>:支出决算为1.35万元，完成预算</w:t>
      </w:r>
      <w:r>
        <w:rPr>
          <w:rStyle w:val="17"/>
          <w:rFonts w:hint="eastAsia" w:ascii="仿宋" w:hAnsi="仿宋" w:eastAsia="仿宋"/>
          <w:b w:val="0"/>
          <w:bCs/>
          <w:color w:val="000000"/>
          <w:sz w:val="32"/>
          <w:szCs w:val="32"/>
          <w:lang w:val="en-US" w:eastAsia="zh-CN"/>
        </w:rPr>
        <w:t>100</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rPr>
        <w:t>卫生健康（类）</w:t>
      </w:r>
      <w:r>
        <w:rPr>
          <w:rStyle w:val="17"/>
          <w:rFonts w:hint="eastAsia" w:ascii="仿宋" w:hAnsi="仿宋" w:eastAsia="仿宋"/>
          <w:b w:val="0"/>
          <w:bCs/>
          <w:color w:val="000000"/>
          <w:sz w:val="32"/>
          <w:szCs w:val="32"/>
          <w:lang w:val="en-US" w:eastAsia="zh-CN"/>
        </w:rPr>
        <w:t>行政事业单位医疗</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事业单位医疗</w:t>
      </w:r>
      <w:r>
        <w:rPr>
          <w:rStyle w:val="17"/>
          <w:rFonts w:hint="eastAsia" w:ascii="仿宋" w:hAnsi="仿宋" w:eastAsia="仿宋"/>
          <w:b w:val="0"/>
          <w:bCs/>
          <w:color w:val="000000"/>
          <w:sz w:val="32"/>
          <w:szCs w:val="32"/>
        </w:rPr>
        <w:t>（项）</w:t>
      </w:r>
      <w:r>
        <w:rPr>
          <w:rStyle w:val="17"/>
          <w:rFonts w:hint="eastAsia" w:ascii="仿宋" w:hAnsi="仿宋" w:eastAsia="仿宋"/>
          <w:b w:val="0"/>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1.31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rPr>
        <w:t>卫生健康（类）</w:t>
      </w:r>
      <w:r>
        <w:rPr>
          <w:rStyle w:val="17"/>
          <w:rFonts w:hint="eastAsia" w:ascii="仿宋" w:hAnsi="仿宋" w:eastAsia="仿宋"/>
          <w:b w:val="0"/>
          <w:bCs/>
          <w:color w:val="000000"/>
          <w:sz w:val="32"/>
          <w:szCs w:val="32"/>
          <w:lang w:val="en-US" w:eastAsia="zh-CN"/>
        </w:rPr>
        <w:t>行政事业单位医疗</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公务员医疗补助</w:t>
      </w:r>
      <w:r>
        <w:rPr>
          <w:rStyle w:val="17"/>
          <w:rFonts w:hint="eastAsia" w:ascii="仿宋" w:hAnsi="仿宋" w:eastAsia="仿宋"/>
          <w:b w:val="0"/>
          <w:bCs/>
          <w:color w:val="000000"/>
          <w:sz w:val="32"/>
          <w:szCs w:val="32"/>
        </w:rPr>
        <w:t>（项）:支出决算为0.48万元，完成预算</w:t>
      </w:r>
      <w:r>
        <w:rPr>
          <w:rStyle w:val="17"/>
          <w:rFonts w:hint="eastAsia" w:ascii="仿宋" w:hAnsi="仿宋" w:eastAsia="仿宋"/>
          <w:b w:val="0"/>
          <w:bCs/>
          <w:color w:val="000000"/>
          <w:sz w:val="32"/>
          <w:szCs w:val="32"/>
          <w:lang w:val="en-US" w:eastAsia="zh-CN"/>
        </w:rPr>
        <w:t>100</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pPr>
        <w:numPr>
          <w:ilvl w:val="0"/>
          <w:numId w:val="0"/>
        </w:num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3.</w:t>
      </w:r>
      <w:r>
        <w:rPr>
          <w:rStyle w:val="17"/>
          <w:rFonts w:hint="eastAsia" w:ascii="仿宋" w:hAnsi="仿宋" w:eastAsia="仿宋"/>
          <w:b w:val="0"/>
          <w:bCs/>
          <w:color w:val="000000"/>
          <w:sz w:val="32"/>
          <w:szCs w:val="32"/>
          <w:lang w:eastAsia="zh-CN"/>
        </w:rPr>
        <w:t>交通运输支出</w:t>
      </w:r>
      <w:r>
        <w:rPr>
          <w:rStyle w:val="17"/>
          <w:rFonts w:hint="eastAsia" w:ascii="仿宋" w:hAnsi="仿宋" w:eastAsia="仿宋"/>
          <w:b w:val="0"/>
          <w:bCs/>
          <w:color w:val="000000"/>
          <w:sz w:val="32"/>
          <w:szCs w:val="32"/>
        </w:rPr>
        <w:t xml:space="preserve">:  </w:t>
      </w:r>
      <w:r>
        <w:rPr>
          <w:rStyle w:val="17"/>
          <w:rFonts w:hint="eastAsia" w:ascii="仿宋" w:hAnsi="仿宋" w:eastAsia="仿宋"/>
          <w:b w:val="0"/>
          <w:bCs/>
          <w:color w:val="000000"/>
          <w:sz w:val="32"/>
          <w:szCs w:val="32"/>
          <w:lang w:val="en-US" w:eastAsia="zh-CN"/>
        </w:rPr>
        <w:t>交通运输支出</w:t>
      </w:r>
      <w:r>
        <w:rPr>
          <w:rStyle w:val="17"/>
          <w:rFonts w:hint="eastAsia" w:ascii="仿宋" w:hAnsi="仿宋" w:eastAsia="仿宋"/>
          <w:b w:val="0"/>
          <w:bCs/>
          <w:color w:val="000000"/>
          <w:sz w:val="32"/>
          <w:szCs w:val="32"/>
        </w:rPr>
        <w:t>（类）</w:t>
      </w:r>
      <w:r>
        <w:rPr>
          <w:rStyle w:val="17"/>
          <w:rFonts w:hint="eastAsia" w:ascii="仿宋" w:hAnsi="仿宋" w:eastAsia="仿宋"/>
          <w:b w:val="0"/>
          <w:bCs/>
          <w:color w:val="000000"/>
          <w:sz w:val="32"/>
          <w:szCs w:val="32"/>
          <w:lang w:val="en-US" w:eastAsia="zh-CN"/>
        </w:rPr>
        <w:t>公路水路运输</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公路运输管理</w:t>
      </w:r>
      <w:r>
        <w:rPr>
          <w:rStyle w:val="17"/>
          <w:rFonts w:hint="eastAsia" w:ascii="仿宋" w:hAnsi="仿宋" w:eastAsia="仿宋"/>
          <w:b w:val="0"/>
          <w:bCs/>
          <w:color w:val="000000"/>
          <w:sz w:val="32"/>
          <w:szCs w:val="32"/>
        </w:rPr>
        <w:t>（项）:支出决算为</w:t>
      </w:r>
      <w:r>
        <w:rPr>
          <w:rStyle w:val="17"/>
          <w:rFonts w:hint="eastAsia" w:ascii="仿宋" w:hAnsi="仿宋" w:eastAsia="仿宋"/>
          <w:b w:val="0"/>
          <w:bCs/>
          <w:color w:val="000000"/>
          <w:sz w:val="32"/>
          <w:szCs w:val="32"/>
          <w:lang w:val="en-US" w:eastAsia="zh-CN"/>
        </w:rPr>
        <w:t>71.46万元，完成预算100%；资金结转。 交通运输支出</w:t>
      </w:r>
      <w:r>
        <w:rPr>
          <w:rStyle w:val="17"/>
          <w:rFonts w:hint="eastAsia" w:ascii="仿宋" w:hAnsi="仿宋" w:eastAsia="仿宋"/>
          <w:b w:val="0"/>
          <w:bCs/>
          <w:color w:val="000000"/>
          <w:sz w:val="32"/>
          <w:szCs w:val="32"/>
        </w:rPr>
        <w:t>（类）</w:t>
      </w:r>
      <w:r>
        <w:rPr>
          <w:rStyle w:val="17"/>
          <w:rFonts w:hint="eastAsia" w:ascii="仿宋" w:hAnsi="仿宋" w:eastAsia="仿宋"/>
          <w:b w:val="0"/>
          <w:bCs/>
          <w:color w:val="000000"/>
          <w:sz w:val="32"/>
          <w:szCs w:val="32"/>
          <w:lang w:val="en-US" w:eastAsia="zh-CN"/>
        </w:rPr>
        <w:t>其他交通运输支出</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其他交通运输支出</w:t>
      </w:r>
      <w:r>
        <w:rPr>
          <w:rStyle w:val="17"/>
          <w:rFonts w:hint="eastAsia" w:ascii="仿宋" w:hAnsi="仿宋" w:eastAsia="仿宋"/>
          <w:b w:val="0"/>
          <w:bCs/>
          <w:color w:val="000000"/>
          <w:sz w:val="32"/>
          <w:szCs w:val="32"/>
        </w:rPr>
        <w:t>（项）:支出决算为146.28</w:t>
      </w:r>
      <w:r>
        <w:rPr>
          <w:rStyle w:val="17"/>
          <w:rFonts w:hint="eastAsia" w:ascii="仿宋" w:hAnsi="仿宋" w:eastAsia="仿宋"/>
          <w:b w:val="0"/>
          <w:bCs/>
          <w:color w:val="000000"/>
          <w:sz w:val="32"/>
          <w:szCs w:val="32"/>
          <w:lang w:val="en-US" w:eastAsia="zh-CN"/>
        </w:rPr>
        <w:t>万元，完成预算100%；交通运输支出</w:t>
      </w:r>
      <w:r>
        <w:rPr>
          <w:rStyle w:val="17"/>
          <w:rFonts w:hint="eastAsia" w:ascii="仿宋" w:hAnsi="仿宋" w:eastAsia="仿宋"/>
          <w:b w:val="0"/>
          <w:bCs/>
          <w:color w:val="000000"/>
          <w:sz w:val="32"/>
          <w:szCs w:val="32"/>
        </w:rPr>
        <w:t>（类）</w:t>
      </w:r>
      <w:r>
        <w:rPr>
          <w:rStyle w:val="17"/>
          <w:rFonts w:hint="eastAsia" w:ascii="仿宋" w:hAnsi="仿宋" w:eastAsia="仿宋"/>
          <w:b w:val="0"/>
          <w:bCs/>
          <w:color w:val="000000"/>
          <w:sz w:val="32"/>
          <w:szCs w:val="32"/>
          <w:lang w:val="en-US" w:eastAsia="zh-CN"/>
        </w:rPr>
        <w:t>公路水路运输</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公路和运输安全（项）:</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2.31万元，完成预算100%；</w:t>
      </w:r>
      <w:r>
        <w:rPr>
          <w:rStyle w:val="17"/>
          <w:rFonts w:hint="eastAsia" w:ascii="仿宋" w:hAnsi="仿宋" w:eastAsia="仿宋"/>
          <w:b w:val="0"/>
          <w:bCs/>
          <w:color w:val="000000"/>
          <w:sz w:val="32"/>
          <w:szCs w:val="32"/>
        </w:rPr>
        <w:t>交通运输支出</w:t>
      </w:r>
      <w:r>
        <w:rPr>
          <w:rStyle w:val="17"/>
          <w:rFonts w:hint="eastAsia" w:ascii="仿宋" w:hAnsi="仿宋" w:eastAsia="仿宋"/>
          <w:b w:val="0"/>
          <w:bCs/>
          <w:color w:val="000000"/>
          <w:sz w:val="32"/>
          <w:szCs w:val="32"/>
          <w:lang w:val="en-US" w:eastAsia="zh-CN"/>
        </w:rPr>
        <w:t xml:space="preserve">（类）其他交通运输支出（款）公共交通运营补助（项）: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144.8万元，完成预算100%。</w:t>
      </w:r>
    </w:p>
    <w:p>
      <w:pPr>
        <w:numPr>
          <w:ilvl w:val="0"/>
          <w:numId w:val="0"/>
        </w:numPr>
        <w:spacing w:line="60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4.住房保障支出支出</w:t>
      </w:r>
      <w:r>
        <w:rPr>
          <w:rStyle w:val="17"/>
          <w:rFonts w:hint="eastAsia" w:ascii="仿宋" w:hAnsi="仿宋" w:eastAsia="仿宋"/>
          <w:b w:val="0"/>
          <w:bCs/>
          <w:color w:val="000000"/>
          <w:sz w:val="32"/>
          <w:szCs w:val="32"/>
        </w:rPr>
        <w:t>（类）</w:t>
      </w:r>
      <w:r>
        <w:rPr>
          <w:rStyle w:val="17"/>
          <w:rFonts w:hint="eastAsia" w:ascii="仿宋" w:hAnsi="仿宋" w:eastAsia="仿宋"/>
          <w:b w:val="0"/>
          <w:bCs/>
          <w:color w:val="000000"/>
          <w:sz w:val="32"/>
          <w:szCs w:val="32"/>
          <w:lang w:val="en-US" w:eastAsia="zh-CN"/>
        </w:rPr>
        <w:t>住房改革支出</w:t>
      </w:r>
      <w:r>
        <w:rPr>
          <w:rStyle w:val="17"/>
          <w:rFonts w:hint="eastAsia" w:ascii="仿宋" w:hAnsi="仿宋" w:eastAsia="仿宋"/>
          <w:b w:val="0"/>
          <w:bCs/>
          <w:color w:val="000000"/>
          <w:sz w:val="32"/>
          <w:szCs w:val="32"/>
        </w:rPr>
        <w:t>（款）</w:t>
      </w:r>
      <w:r>
        <w:rPr>
          <w:rStyle w:val="17"/>
          <w:rFonts w:hint="eastAsia" w:ascii="仿宋" w:hAnsi="仿宋" w:eastAsia="仿宋"/>
          <w:b w:val="0"/>
          <w:bCs/>
          <w:color w:val="000000"/>
          <w:sz w:val="32"/>
          <w:szCs w:val="32"/>
          <w:lang w:val="en-US" w:eastAsia="zh-CN"/>
        </w:rPr>
        <w:t>住房公积金</w:t>
      </w:r>
      <w:r>
        <w:rPr>
          <w:rStyle w:val="17"/>
          <w:rFonts w:hint="eastAsia" w:ascii="仿宋" w:hAnsi="仿宋" w:eastAsia="仿宋"/>
          <w:b w:val="0"/>
          <w:bCs/>
          <w:color w:val="000000"/>
          <w:sz w:val="32"/>
          <w:szCs w:val="32"/>
        </w:rPr>
        <w:t>（项）</w:t>
      </w:r>
      <w:r>
        <w:rPr>
          <w:rStyle w:val="17"/>
          <w:rFonts w:hint="eastAsia" w:ascii="仿宋" w:hAnsi="仿宋" w:eastAsia="仿宋"/>
          <w:b w:val="0"/>
          <w:bCs/>
          <w:color w:val="000000"/>
          <w:sz w:val="32"/>
          <w:szCs w:val="32"/>
          <w:lang w:val="en-US" w:eastAsia="zh-CN"/>
        </w:rPr>
        <w:t>:</w:t>
      </w:r>
      <w:r>
        <w:rPr>
          <w:rStyle w:val="17"/>
          <w:rFonts w:hint="eastAsia" w:ascii="仿宋" w:hAnsi="仿宋" w:eastAsia="仿宋"/>
          <w:b w:val="0"/>
          <w:bCs/>
          <w:color w:val="000000"/>
          <w:sz w:val="32"/>
          <w:szCs w:val="32"/>
        </w:rPr>
        <w:t>支出决算</w:t>
      </w:r>
      <w:r>
        <w:rPr>
          <w:rStyle w:val="17"/>
          <w:rFonts w:hint="eastAsia" w:ascii="仿宋" w:hAnsi="仿宋" w:eastAsia="仿宋"/>
          <w:b w:val="0"/>
          <w:bCs/>
          <w:color w:val="000000"/>
          <w:sz w:val="32"/>
          <w:szCs w:val="32"/>
          <w:lang w:val="en-US" w:eastAsia="zh-CN"/>
        </w:rPr>
        <w:t>6.13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hint="eastAsia" w:ascii="仿宋" w:hAnsi="仿宋" w:eastAsia="仿宋"/>
          <w:b w:val="0"/>
          <w:bCs/>
          <w:color w:val="000000"/>
          <w:sz w:val="32"/>
          <w:szCs w:val="32"/>
        </w:rPr>
        <w:t>%</w:t>
      </w:r>
    </w:p>
    <w:p>
      <w:pPr>
        <w:spacing w:line="600" w:lineRule="exact"/>
        <w:ind w:firstLine="640" w:firstLineChars="200"/>
        <w:rPr>
          <w:rFonts w:ascii="仿宋" w:hAnsi="仿宋" w:eastAsia="仿宋"/>
          <w:b w:val="0"/>
          <w:bCs/>
          <w:sz w:val="32"/>
          <w:szCs w:val="32"/>
        </w:rPr>
      </w:pPr>
      <w:r>
        <w:rPr>
          <w:rFonts w:hint="eastAsia" w:ascii="仿宋" w:hAnsi="仿宋" w:eastAsia="仿宋"/>
          <w:b w:val="0"/>
          <w:bCs/>
          <w:sz w:val="32"/>
          <w:szCs w:val="32"/>
        </w:rPr>
        <w:t>（注：数据来源于财决</w:t>
      </w:r>
      <w:r>
        <w:rPr>
          <w:rFonts w:ascii="仿宋" w:hAnsi="仿宋" w:eastAsia="仿宋"/>
          <w:b w:val="0"/>
          <w:bCs/>
          <w:sz w:val="32"/>
          <w:szCs w:val="32"/>
        </w:rPr>
        <w:t>0</w:t>
      </w:r>
      <w:r>
        <w:rPr>
          <w:rFonts w:hint="eastAsia" w:ascii="仿宋" w:hAnsi="仿宋" w:eastAsia="仿宋"/>
          <w:b w:val="0"/>
          <w:bCs/>
          <w:sz w:val="32"/>
          <w:szCs w:val="32"/>
        </w:rPr>
        <w:t>1-1表和财决08表，仅罗列本单位涉及的全部功能分类科目，至项级。上述“预算”口径为全年预算数。增减变动原因为决算数</w:t>
      </w:r>
      <w:r>
        <w:rPr>
          <w:rFonts w:ascii="仿宋" w:hAnsi="仿宋" w:eastAsia="仿宋"/>
          <w:b w:val="0"/>
          <w:bCs/>
          <w:sz w:val="32"/>
          <w:szCs w:val="32"/>
        </w:rPr>
        <w:t>&lt;</w:t>
      </w:r>
      <w:r>
        <w:rPr>
          <w:rFonts w:hint="eastAsia" w:ascii="仿宋" w:hAnsi="仿宋" w:eastAsia="仿宋"/>
          <w:b w:val="0"/>
          <w:bCs/>
          <w:sz w:val="32"/>
          <w:szCs w:val="32"/>
        </w:rPr>
        <w:t>项级</w:t>
      </w:r>
      <w:r>
        <w:rPr>
          <w:rFonts w:ascii="仿宋" w:hAnsi="仿宋" w:eastAsia="仿宋"/>
          <w:b w:val="0"/>
          <w:bCs/>
          <w:sz w:val="32"/>
          <w:szCs w:val="32"/>
        </w:rPr>
        <w:t>&gt;</w:t>
      </w:r>
      <w:r>
        <w:rPr>
          <w:rFonts w:hint="eastAsia" w:ascii="仿宋" w:hAnsi="仿宋" w:eastAsia="仿宋"/>
          <w:b w:val="0"/>
          <w:bCs/>
          <w:sz w:val="32"/>
          <w:szCs w:val="32"/>
        </w:rPr>
        <w:t>和全年预算数</w:t>
      </w:r>
      <w:r>
        <w:rPr>
          <w:rFonts w:ascii="仿宋" w:hAnsi="仿宋" w:eastAsia="仿宋"/>
          <w:b w:val="0"/>
          <w:bCs/>
          <w:sz w:val="32"/>
          <w:szCs w:val="32"/>
        </w:rPr>
        <w:t>&lt;</w:t>
      </w:r>
      <w:r>
        <w:rPr>
          <w:rFonts w:hint="eastAsia" w:ascii="仿宋" w:hAnsi="仿宋" w:eastAsia="仿宋"/>
          <w:b w:val="0"/>
          <w:bCs/>
          <w:sz w:val="32"/>
          <w:szCs w:val="32"/>
        </w:rPr>
        <w:t>项级</w:t>
      </w:r>
      <w:r>
        <w:rPr>
          <w:rFonts w:ascii="仿宋" w:hAnsi="仿宋" w:eastAsia="仿宋"/>
          <w:b w:val="0"/>
          <w:bCs/>
          <w:sz w:val="32"/>
          <w:szCs w:val="32"/>
        </w:rPr>
        <w:t>&gt;</w:t>
      </w:r>
      <w:r>
        <w:rPr>
          <w:rFonts w:hint="eastAsia" w:ascii="仿宋" w:hAnsi="仿宋" w:eastAsia="仿宋"/>
          <w:b w:val="0"/>
          <w:bCs/>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49" w:name="_Toc15377214"/>
      <w:bookmarkStart w:id="50" w:name="_Toc23829"/>
      <w:bookmarkStart w:id="5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9"/>
      <w:bookmarkEnd w:id="50"/>
      <w:bookmarkEnd w:id="51"/>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87.27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_GB2312" w:hAnsi="仿宋_GB2312" w:eastAsia="仿宋_GB2312" w:cs="仿宋_GB2312"/>
          <w:sz w:val="32"/>
          <w:szCs w:val="32"/>
        </w:rPr>
        <w:t>81.45</w:t>
      </w:r>
      <w:r>
        <w:rPr>
          <w:rFonts w:hint="eastAsia" w:ascii="仿宋" w:hAnsi="仿宋" w:eastAsia="仿宋"/>
          <w:sz w:val="32"/>
          <w:szCs w:val="32"/>
        </w:rPr>
        <w:t>万元，主要包括：基本工资、津贴补贴、奖金、伙食补助费、绩效工资、机关事业单位基本养老保险缴费、职业年金缴费、其他社会保障缴费、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_GB2312" w:hAnsi="仿宋_GB2312" w:eastAsia="仿宋_GB2312" w:cs="仿宋_GB2312"/>
          <w:sz w:val="32"/>
          <w:szCs w:val="32"/>
        </w:rPr>
        <w:t>5.82</w:t>
      </w:r>
      <w:r>
        <w:rPr>
          <w:rFonts w:hint="eastAsia" w:ascii="仿宋" w:hAnsi="仿宋" w:eastAsia="仿宋"/>
          <w:sz w:val="32"/>
          <w:szCs w:val="32"/>
        </w:rPr>
        <w:t>万元，主要包括：办公费、印刷费、电费、邮电费、差旅费、维修（护）费、劳务费、委托业务费、工会经费、福利费、公务用车运行维护费、其他交通费等。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52" w:name="_Toc657"/>
      <w:bookmarkStart w:id="53" w:name="_Toc15377215"/>
      <w:bookmarkStart w:id="54"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，较上年度增加/减少</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无三公经费支出</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bookmarkStart w:id="57" w:name="_Toc15377218"/>
      <w:bookmarkStart w:id="58"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rPr>
        <w:t>开支内容包括：</w:t>
      </w:r>
      <w:r>
        <w:rPr>
          <w:rFonts w:hint="eastAsia" w:ascii="仿宋_GB2312" w:eastAsia="仿宋_GB2312"/>
          <w:sz w:val="32"/>
          <w:szCs w:val="32"/>
          <w:lang w:eastAsia="zh-CN"/>
        </w:rPr>
        <w:t>无相关支出。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无</w:t>
      </w: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无</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无</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59" w:name="_Toc23830"/>
      <w:r>
        <w:rPr>
          <w:rFonts w:hint="eastAsia" w:ascii="黑体" w:eastAsia="黑体"/>
          <w:sz w:val="32"/>
          <w:szCs w:val="32"/>
        </w:rPr>
        <w:t>八、</w:t>
      </w:r>
      <w:r>
        <w:rPr>
          <w:rStyle w:val="29"/>
          <w:rFonts w:hint="eastAsia" w:ascii="黑体" w:hAnsi="黑体" w:eastAsia="黑体"/>
          <w:b w:val="0"/>
        </w:rPr>
        <w:t>政府性基金预算支出决算情况说明</w:t>
      </w:r>
      <w:bookmarkEnd w:id="57"/>
      <w:bookmarkEnd w:id="58"/>
      <w:bookmarkEnd w:id="59"/>
    </w:p>
    <w:p>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60" w:name="_Toc15396611"/>
      <w:bookmarkStart w:id="61" w:name="_Toc18957"/>
      <w:bookmarkStart w:id="62" w:name="_Toc15377219"/>
      <w:r>
        <w:rPr>
          <w:rStyle w:val="29"/>
          <w:rFonts w:hint="eastAsia" w:ascii="黑体" w:hAnsi="黑体" w:eastAsia="黑体"/>
          <w:b w:val="0"/>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63" w:name="_Toc15396612"/>
      <w:bookmarkStart w:id="64" w:name="_Toc13638"/>
      <w:bookmarkStart w:id="65" w:name="_Toc15377221"/>
      <w:r>
        <w:rPr>
          <w:rStyle w:val="29"/>
          <w:rFonts w:hint="eastAsia" w:ascii="黑体" w:hAnsi="黑体" w:eastAsia="黑体"/>
          <w:b w:val="0"/>
        </w:rPr>
        <w:t>其他重要事项的情况说明</w:t>
      </w:r>
      <w:bookmarkEnd w:id="63"/>
      <w:bookmarkEnd w:id="64"/>
      <w:bookmarkEnd w:id="65"/>
    </w:p>
    <w:p>
      <w:pPr>
        <w:spacing w:line="600" w:lineRule="exact"/>
        <w:ind w:firstLine="642"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乐山市金口河区道路运输服务中心</w:t>
      </w:r>
      <w:r>
        <w:rPr>
          <w:rFonts w:hint="eastAsia" w:ascii="仿宋_GB2312" w:eastAsia="仿宋_GB2312"/>
          <w:sz w:val="32"/>
          <w:szCs w:val="32"/>
        </w:rPr>
        <w:t>机关运行经费支出</w:t>
      </w:r>
      <w:r>
        <w:rPr>
          <w:rFonts w:hint="eastAsia" w:ascii="仿宋" w:hAnsi="仿宋" w:eastAsia="仿宋"/>
          <w:b/>
          <w:sz w:val="32"/>
          <w:szCs w:val="32"/>
          <w:lang w:val="en-US" w:eastAsia="zh-CN"/>
        </w:rPr>
        <w:t>5.82</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1.8</w:t>
      </w:r>
      <w:r>
        <w:rPr>
          <w:rFonts w:hint="eastAsia" w:ascii="仿宋_GB2312" w:eastAsia="仿宋_GB2312"/>
          <w:sz w:val="32"/>
          <w:szCs w:val="32"/>
        </w:rPr>
        <w:t>万元，下降</w:t>
      </w:r>
      <w:r>
        <w:rPr>
          <w:rFonts w:hint="eastAsia" w:ascii="仿宋_GB2312" w:eastAsia="仿宋_GB2312"/>
          <w:sz w:val="32"/>
          <w:szCs w:val="32"/>
          <w:lang w:val="en-US" w:eastAsia="zh-CN"/>
        </w:rPr>
        <w:t>23.62</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厉行节约</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乐山市金口河区道路运输服务中心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无相关支出</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b w:val="0"/>
          <w:bCs w:val="0"/>
          <w:sz w:val="32"/>
          <w:szCs w:val="32"/>
        </w:rPr>
        <w:t>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ascii="仿宋_GB2312" w:eastAsia="仿宋_GB2312"/>
          <w:b w:val="0"/>
          <w:bCs w:val="0"/>
          <w:sz w:val="32"/>
          <w:szCs w:val="32"/>
        </w:rPr>
        <w:t>乐山市金口河区道路运输服务中心</w:t>
      </w:r>
      <w:r>
        <w:rPr>
          <w:rFonts w:hint="eastAsia" w:ascii="仿宋_GB2312" w:eastAsia="仿宋_GB2312"/>
          <w:b w:val="0"/>
          <w:bCs w:val="0"/>
          <w:sz w:val="32"/>
          <w:szCs w:val="32"/>
        </w:rPr>
        <w:t>共有车辆1辆，其中：主要领</w:t>
      </w:r>
      <w:r>
        <w:rPr>
          <w:rFonts w:hint="eastAsia" w:ascii="仿宋_GB2312" w:eastAsia="仿宋_GB2312"/>
          <w:sz w:val="32"/>
          <w:szCs w:val="32"/>
        </w:rPr>
        <w:t>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eastAsia="zh-CN"/>
        </w:rPr>
        <w:t>道路运输执法</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6</w:t>
      </w:r>
      <w:r>
        <w:rPr>
          <w:rFonts w:hint="eastAsia" w:ascii="仿宋_GB2312" w:eastAsia="仿宋_GB2312"/>
          <w:sz w:val="32"/>
          <w:szCs w:val="32"/>
        </w:rPr>
        <w:t>项目农村客运补贴</w:t>
      </w:r>
      <w:r>
        <w:rPr>
          <w:rFonts w:hint="eastAsia" w:ascii="仿宋_GB2312" w:eastAsia="仿宋_GB2312"/>
          <w:sz w:val="32"/>
          <w:szCs w:val="32"/>
          <w:lang w:eastAsia="zh-CN"/>
        </w:rPr>
        <w:t>、机动车培训管理和市场管理经费、公路运输保障服务经费、公路水路运输综合协调工作经费、公交站台维护费、农村客运平台调度经费、</w:t>
      </w:r>
      <w:r>
        <w:rPr>
          <w:rFonts w:hint="eastAsia" w:ascii="仿宋_GB2312" w:eastAsia="仿宋_GB2312"/>
          <w:sz w:val="32"/>
          <w:szCs w:val="32"/>
        </w:rPr>
        <w:t>等</w:t>
      </w:r>
      <w:r>
        <w:rPr>
          <w:rFonts w:hint="eastAsia" w:ascii="仿宋_GB2312" w:eastAsia="仿宋_GB2312"/>
          <w:sz w:val="32"/>
          <w:szCs w:val="32"/>
          <w:lang w:val="en-US" w:eastAsia="zh-CN"/>
        </w:rPr>
        <w:t>6</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6</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6</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6</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69" w:name="_Toc15396613"/>
      <w:bookmarkStart w:id="70" w:name="_Toc9777"/>
      <w:bookmarkStart w:id="71" w:name="_Toc15377225"/>
      <w:r>
        <w:rPr>
          <w:rFonts w:hint="eastAsia" w:ascii="黑体" w:hAnsi="黑体" w:eastAsia="黑体"/>
          <w:sz w:val="44"/>
          <w:szCs w:val="44"/>
        </w:rPr>
        <w:t>名</w:t>
      </w:r>
      <w:r>
        <w:rPr>
          <w:rStyle w:val="28"/>
          <w:rFonts w:hint="eastAsia" w:ascii="黑体" w:hAnsi="黑体" w:eastAsia="黑体"/>
          <w:b w:val="0"/>
        </w:rPr>
        <w:t>词解释</w:t>
      </w:r>
      <w:bookmarkEnd w:id="69"/>
      <w:bookmarkEnd w:id="70"/>
      <w:bookmarkEnd w:id="71"/>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机关事业单位基本养老保险缴费支出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机关事业单位</w:t>
      </w:r>
      <w:r>
        <w:rPr>
          <w:rFonts w:hint="eastAsia" w:ascii="仿宋_GB2312" w:eastAsia="仿宋_GB2312"/>
          <w:color w:val="auto"/>
          <w:sz w:val="32"/>
          <w:szCs w:val="32"/>
          <w:highlight w:val="none"/>
          <w:lang w:val="en-US" w:eastAsia="zh-CN"/>
        </w:rPr>
        <w:t>实施养老保险制度由单位缴纳的</w:t>
      </w:r>
      <w:r>
        <w:rPr>
          <w:rFonts w:hint="eastAsia" w:ascii="仿宋_GB2312" w:eastAsia="仿宋_GB2312"/>
          <w:color w:val="auto"/>
          <w:sz w:val="32"/>
          <w:szCs w:val="32"/>
          <w:highlight w:val="none"/>
        </w:rPr>
        <w:t>基本养老保险费支出</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机关事业单位职业年金缴费支出</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机关事业单位</w:t>
      </w:r>
      <w:r>
        <w:rPr>
          <w:rFonts w:hint="eastAsia" w:ascii="仿宋_GB2312" w:eastAsia="仿宋_GB2312"/>
          <w:color w:val="auto"/>
          <w:sz w:val="32"/>
          <w:szCs w:val="32"/>
          <w:highlight w:val="none"/>
          <w:lang w:val="en-US" w:eastAsia="zh-CN"/>
        </w:rPr>
        <w:t>实施养老保险制度由单位缴纳的职业年金</w:t>
      </w:r>
      <w:r>
        <w:rPr>
          <w:rFonts w:hint="eastAsia" w:ascii="仿宋_GB2312" w:eastAsia="仿宋_GB2312"/>
          <w:color w:val="auto"/>
          <w:sz w:val="32"/>
          <w:szCs w:val="32"/>
          <w:highlight w:val="none"/>
        </w:rPr>
        <w:t>支出: 社会保障和就业（类）</w:t>
      </w:r>
      <w:r>
        <w:rPr>
          <w:rFonts w:hint="eastAsia" w:ascii="仿宋_GB2312" w:eastAsia="仿宋_GB2312"/>
          <w:color w:val="auto"/>
          <w:sz w:val="32"/>
          <w:szCs w:val="32"/>
          <w:highlight w:val="none"/>
          <w:lang w:val="en-US"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其他行政事业单位养老支出</w:t>
      </w:r>
      <w:r>
        <w:rPr>
          <w:rFonts w:hint="eastAsia" w:ascii="仿宋_GB2312" w:eastAsia="仿宋_GB2312"/>
          <w:color w:val="auto"/>
          <w:sz w:val="32"/>
          <w:szCs w:val="32"/>
          <w:highlight w:val="none"/>
        </w:rPr>
        <w:t xml:space="preserve">（项）: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支其他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行政事业单位养老</w:t>
      </w:r>
      <w:r>
        <w:rPr>
          <w:rFonts w:hint="eastAsia" w:ascii="仿宋_GB2312" w:eastAsia="仿宋_GB2312"/>
          <w:color w:val="auto"/>
          <w:sz w:val="32"/>
          <w:szCs w:val="32"/>
          <w:highlight w:val="none"/>
          <w:lang w:val="en-US" w:eastAsia="zh-CN"/>
        </w:rPr>
        <w:t>方面</w:t>
      </w:r>
      <w:r>
        <w:rPr>
          <w:rFonts w:hint="eastAsia" w:ascii="仿宋_GB2312" w:eastAsia="仿宋_GB2312"/>
          <w:color w:val="auto"/>
          <w:sz w:val="32"/>
          <w:szCs w:val="32"/>
          <w:highlight w:val="none"/>
        </w:rPr>
        <w:t xml:space="preserve">支出 </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死亡抚恤</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指按规定用于烈士和牺牲、病故人员家属的一次性和定期抚恤金、丧葬补助费以及烈士褒扬金</w:t>
      </w:r>
      <w:r>
        <w:rPr>
          <w:rFonts w:hint="eastAsia" w:ascii="仿宋_GB2312" w:eastAsia="仿宋_GB2312"/>
          <w:color w:val="auto"/>
          <w:sz w:val="32"/>
          <w:szCs w:val="32"/>
          <w:highlight w:val="none"/>
          <w:lang w:eastAsia="zh-CN"/>
        </w:rPr>
        <w:t>；社会保障和就业（类）</w:t>
      </w:r>
      <w:r>
        <w:rPr>
          <w:rFonts w:hint="eastAsia" w:ascii="仿宋_GB2312" w:eastAsia="仿宋_GB2312"/>
          <w:color w:val="auto"/>
          <w:sz w:val="32"/>
          <w:szCs w:val="32"/>
          <w:highlight w:val="none"/>
          <w:lang w:val="en-US" w:eastAsia="zh-CN"/>
        </w:rPr>
        <w:t>残疾人事业</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残疾人就业</w:t>
      </w:r>
      <w:r>
        <w:rPr>
          <w:rFonts w:hint="eastAsia" w:ascii="仿宋_GB2312" w:eastAsia="仿宋_GB2312"/>
          <w:color w:val="auto"/>
          <w:sz w:val="32"/>
          <w:szCs w:val="32"/>
          <w:highlight w:val="none"/>
          <w:lang w:eastAsia="zh-CN"/>
        </w:rPr>
        <w:t xml:space="preserve">（项）: </w:t>
      </w:r>
      <w:r>
        <w:rPr>
          <w:rFonts w:hint="eastAsia" w:ascii="仿宋_GB2312" w:eastAsia="仿宋_GB2312"/>
          <w:color w:val="auto"/>
          <w:sz w:val="32"/>
          <w:szCs w:val="32"/>
          <w:highlight w:val="none"/>
          <w:lang w:val="en-US" w:eastAsia="zh-CN"/>
        </w:rPr>
        <w:t>指残疾人联合会用于残疾人就业方面的支出；社会保障和就业（类）其他社会保障和就业支出（款）（项）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rPr>
        <w:t>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方面的</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pPr>
        <w:numPr>
          <w:ilvl w:val="0"/>
          <w:numId w:val="0"/>
        </w:num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s="Times New Roman"/>
          <w:color w:val="auto"/>
          <w:sz w:val="32"/>
          <w:szCs w:val="32"/>
          <w:highlight w:val="none"/>
          <w:lang w:eastAsia="zh-CN"/>
        </w:rPr>
        <w:t>卫生健康（类）</w:t>
      </w:r>
      <w:r>
        <w:rPr>
          <w:rFonts w:hint="eastAsia" w:ascii="仿宋_GB2312" w:eastAsia="仿宋_GB2312" w:cs="Times New Roman"/>
          <w:color w:val="auto"/>
          <w:sz w:val="32"/>
          <w:szCs w:val="32"/>
          <w:highlight w:val="none"/>
          <w:lang w:val="en-US" w:eastAsia="zh-CN"/>
        </w:rPr>
        <w:t>行政事业单位医疗</w:t>
      </w:r>
      <w:r>
        <w:rPr>
          <w:rFonts w:hint="eastAsia" w:ascii="仿宋_GB2312" w:eastAsia="仿宋_GB2312" w:cs="Times New Roman"/>
          <w:color w:val="auto"/>
          <w:sz w:val="32"/>
          <w:szCs w:val="32"/>
          <w:highlight w:val="none"/>
          <w:lang w:eastAsia="zh-CN"/>
        </w:rPr>
        <w:t>（款）</w:t>
      </w:r>
      <w:r>
        <w:rPr>
          <w:rFonts w:hint="eastAsia" w:ascii="仿宋_GB2312" w:eastAsia="仿宋_GB2312" w:cs="Times New Roman"/>
          <w:color w:val="auto"/>
          <w:sz w:val="32"/>
          <w:szCs w:val="32"/>
          <w:highlight w:val="none"/>
          <w:lang w:val="en-US" w:eastAsia="zh-CN"/>
        </w:rPr>
        <w:t>事业单位医疗</w:t>
      </w:r>
      <w:r>
        <w:rPr>
          <w:rFonts w:hint="eastAsia" w:ascii="仿宋_GB2312" w:eastAsia="仿宋_GB2312" w:cs="Times New Roman"/>
          <w:color w:val="auto"/>
          <w:sz w:val="32"/>
          <w:szCs w:val="32"/>
          <w:highlight w:val="none"/>
          <w:lang w:eastAsia="zh-CN"/>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指财政部门安排的事业单位单位基本医疗保险缴费经费，未参加医疗保险的事业单位的公费医疗经费，按国家规定享受离休人员待遇的医疗经费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lang w:eastAsia="zh-CN"/>
        </w:rPr>
        <w:t>；卫生健康（类）</w:t>
      </w:r>
      <w:r>
        <w:rPr>
          <w:rFonts w:hint="eastAsia" w:ascii="仿宋_GB2312" w:eastAsia="仿宋_GB2312"/>
          <w:color w:val="auto"/>
          <w:sz w:val="32"/>
          <w:szCs w:val="32"/>
          <w:highlight w:val="none"/>
          <w:lang w:val="en-US" w:eastAsia="zh-CN"/>
        </w:rPr>
        <w:t>行政事业单位医疗</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lang w:eastAsia="zh-CN"/>
        </w:rPr>
        <w:t xml:space="preserve">（项）: </w:t>
      </w:r>
      <w:r>
        <w:rPr>
          <w:rFonts w:hint="eastAsia" w:ascii="仿宋_GB2312" w:eastAsia="仿宋_GB2312"/>
          <w:color w:val="auto"/>
          <w:sz w:val="32"/>
          <w:szCs w:val="32"/>
          <w:highlight w:val="none"/>
          <w:lang w:val="en-US" w:eastAsia="zh-CN"/>
        </w:rPr>
        <w:t>指财政部门安排的公务员医疗补助经费。</w:t>
      </w:r>
    </w:p>
    <w:p>
      <w:pPr>
        <w:numPr>
          <w:ilvl w:val="0"/>
          <w:numId w:val="0"/>
        </w:num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7.</w:t>
      </w:r>
      <w:r>
        <w:rPr>
          <w:rFonts w:hint="eastAsia" w:ascii="仿宋_GB2312" w:eastAsia="仿宋_GB2312"/>
          <w:color w:val="auto"/>
          <w:sz w:val="32"/>
          <w:szCs w:val="32"/>
          <w:highlight w:val="none"/>
          <w:lang w:val="en-US" w:eastAsia="zh-CN"/>
        </w:rPr>
        <w:t>农林水支出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巩固脱贫攻坚成果衔接乡村振兴</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其他巩固脱贫攻坚成果衔接乡村振兴支出</w:t>
      </w:r>
      <w:r>
        <w:rPr>
          <w:rFonts w:hint="eastAsia" w:ascii="仿宋_GB2312" w:eastAsia="仿宋_GB2312"/>
          <w:color w:val="auto"/>
          <w:sz w:val="32"/>
          <w:szCs w:val="32"/>
          <w:highlight w:val="none"/>
        </w:rPr>
        <w:t>（项）：指其他</w:t>
      </w:r>
      <w:r>
        <w:rPr>
          <w:rFonts w:hint="eastAsia" w:ascii="仿宋_GB2312" w:eastAsia="仿宋_GB2312"/>
          <w:color w:val="auto"/>
          <w:sz w:val="32"/>
          <w:szCs w:val="32"/>
          <w:highlight w:val="none"/>
          <w:lang w:val="en-US" w:eastAsia="zh-CN"/>
        </w:rPr>
        <w:t>用于</w:t>
      </w:r>
      <w:r>
        <w:rPr>
          <w:rFonts w:hint="eastAsia" w:ascii="仿宋_GB2312" w:eastAsia="仿宋_GB2312"/>
          <w:color w:val="auto"/>
          <w:sz w:val="32"/>
          <w:szCs w:val="32"/>
          <w:highlight w:val="none"/>
        </w:rPr>
        <w:t>巩固</w:t>
      </w:r>
      <w:r>
        <w:rPr>
          <w:rFonts w:hint="eastAsia" w:ascii="仿宋_GB2312" w:eastAsia="仿宋_GB2312"/>
          <w:color w:val="auto"/>
          <w:sz w:val="32"/>
          <w:szCs w:val="32"/>
          <w:highlight w:val="none"/>
          <w:lang w:val="en-US" w:eastAsia="zh-CN"/>
        </w:rPr>
        <w:t>拓展</w:t>
      </w:r>
      <w:r>
        <w:rPr>
          <w:rFonts w:hint="eastAsia" w:ascii="仿宋_GB2312" w:eastAsia="仿宋_GB2312"/>
          <w:color w:val="auto"/>
          <w:sz w:val="32"/>
          <w:szCs w:val="32"/>
          <w:highlight w:val="none"/>
        </w:rPr>
        <w:t>脱贫攻坚成果</w:t>
      </w:r>
      <w:r>
        <w:rPr>
          <w:rFonts w:hint="eastAsia" w:ascii="仿宋_GB2312" w:eastAsia="仿宋_GB2312"/>
          <w:color w:val="auto"/>
          <w:sz w:val="32"/>
          <w:szCs w:val="32"/>
          <w:highlight w:val="none"/>
          <w:lang w:val="en-US" w:eastAsia="zh-CN"/>
        </w:rPr>
        <w:t>同</w:t>
      </w:r>
      <w:r>
        <w:rPr>
          <w:rFonts w:hint="eastAsia" w:ascii="仿宋_GB2312" w:eastAsia="仿宋_GB2312"/>
          <w:color w:val="auto"/>
          <w:sz w:val="32"/>
          <w:szCs w:val="32"/>
          <w:highlight w:val="none"/>
        </w:rPr>
        <w:t>乡村振兴</w:t>
      </w:r>
      <w:r>
        <w:rPr>
          <w:rFonts w:hint="eastAsia" w:ascii="仿宋_GB2312" w:eastAsia="仿宋_GB2312"/>
          <w:color w:val="auto"/>
          <w:sz w:val="32"/>
          <w:szCs w:val="32"/>
          <w:highlight w:val="none"/>
          <w:lang w:val="en-US" w:eastAsia="zh-CN"/>
        </w:rPr>
        <w:t>有效</w:t>
      </w:r>
      <w:r>
        <w:rPr>
          <w:rFonts w:hint="eastAsia" w:ascii="仿宋_GB2312" w:eastAsia="仿宋_GB2312"/>
          <w:color w:val="auto"/>
          <w:sz w:val="32"/>
          <w:szCs w:val="32"/>
          <w:highlight w:val="none"/>
        </w:rPr>
        <w:t>衔接</w:t>
      </w:r>
      <w:r>
        <w:rPr>
          <w:rFonts w:hint="eastAsia" w:ascii="仿宋_GB2312" w:eastAsia="仿宋_GB2312"/>
          <w:color w:val="auto"/>
          <w:sz w:val="32"/>
          <w:szCs w:val="32"/>
          <w:highlight w:val="none"/>
          <w:lang w:val="en-US" w:eastAsia="zh-CN"/>
        </w:rPr>
        <w:t>方面的</w:t>
      </w:r>
      <w:r>
        <w:rPr>
          <w:rFonts w:hint="eastAsia" w:ascii="仿宋_GB2312" w:eastAsia="仿宋_GB2312"/>
          <w:color w:val="auto"/>
          <w:sz w:val="32"/>
          <w:szCs w:val="32"/>
          <w:highlight w:val="none"/>
        </w:rPr>
        <w:t>支出。</w:t>
      </w:r>
    </w:p>
    <w:p>
      <w:pPr>
        <w:numPr>
          <w:ilvl w:val="0"/>
          <w:numId w:val="0"/>
        </w:numPr>
        <w:spacing w:line="600" w:lineRule="exact"/>
        <w:ind w:firstLine="640" w:firstLineChars="200"/>
        <w:rPr>
          <w:rStyle w:val="17"/>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8.</w:t>
      </w:r>
      <w:r>
        <w:rPr>
          <w:rStyle w:val="17"/>
          <w:rFonts w:hint="eastAsia" w:ascii="仿宋" w:hAnsi="仿宋" w:eastAsia="仿宋"/>
          <w:b w:val="0"/>
          <w:bCs/>
          <w:color w:val="auto"/>
          <w:sz w:val="32"/>
          <w:szCs w:val="32"/>
          <w:highlight w:val="none"/>
          <w:lang w:val="en-US" w:eastAsia="zh-CN"/>
        </w:rPr>
        <w:t>交通运输支出（类）公路水路运输（款）公路运输管理（项）:指公路运输管理支出和公路路政管理支出；交通运输支出（类）公路水路运输（款）其他公路水路运输支出（项）: 指其他用于公路水路运输方面的支出；交通运输支出（类）车辆购置税支出（款）车辆购置税用于公路等基础设施建设支出（项）: 指车辆购置税收入安排用于公路等基础设施建设支出；交通运输支出（类）车辆购置税支出（款）车辆购置税其他支出（项）: 指车辆购置税收入安排用于其他支出；交通运输支出（类）其他交通运输支出（款）其他交通运输支出（项）: 指其他交通运输支出中除对公共交通运营补助以外的其他支出。</w:t>
      </w:r>
    </w:p>
    <w:p>
      <w:pPr>
        <w:ind w:firstLine="640" w:firstLineChars="200"/>
        <w:rPr>
          <w:rStyle w:val="17"/>
          <w:rFonts w:hint="eastAsia" w:ascii="仿宋" w:hAnsi="仿宋" w:eastAsia="仿宋"/>
          <w:b w:val="0"/>
          <w:bCs w:val="0"/>
          <w:color w:val="000000"/>
          <w:sz w:val="32"/>
          <w:szCs w:val="32"/>
          <w:lang w:eastAsia="zh-CN"/>
        </w:rPr>
      </w:pPr>
      <w:r>
        <w:rPr>
          <w:rStyle w:val="17"/>
          <w:rFonts w:hint="eastAsia" w:ascii="仿宋" w:hAnsi="仿宋" w:eastAsia="仿宋"/>
          <w:b w:val="0"/>
          <w:bCs w:val="0"/>
          <w:color w:val="000000"/>
          <w:sz w:val="32"/>
          <w:szCs w:val="32"/>
          <w:lang w:val="en-US" w:eastAsia="zh-CN"/>
        </w:rPr>
        <w:t>9.</w:t>
      </w:r>
      <w:r>
        <w:rPr>
          <w:rFonts w:hint="eastAsia" w:ascii="仿宋_GB2312" w:eastAsia="仿宋_GB2312"/>
          <w:color w:val="auto"/>
          <w:sz w:val="32"/>
          <w:szCs w:val="32"/>
          <w:highlight w:val="none"/>
          <w:lang w:val="en-US" w:eastAsia="zh-CN"/>
        </w:rPr>
        <w:t>住房保障支出支出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住房公积金</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行政事业单位按人力资源和社会保障部、财政部规定的基本工资和津贴补贴以及规定比例为职工缴纳的</w:t>
      </w:r>
      <w:r>
        <w:rPr>
          <w:rFonts w:hint="eastAsia" w:ascii="仿宋_GB2312" w:eastAsia="仿宋_GB2312"/>
          <w:color w:val="auto"/>
          <w:sz w:val="32"/>
          <w:szCs w:val="32"/>
          <w:highlight w:val="none"/>
        </w:rPr>
        <w:t>住房公积金。</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w:t>
      </w:r>
      <w:r>
        <w:rPr>
          <w:rFonts w:hint="eastAsia" w:ascii="仿宋" w:hAnsi="仿宋" w:eastAsia="仿宋"/>
          <w:b/>
          <w:sz w:val="32"/>
          <w:szCs w:val="32"/>
          <w:lang w:val="en-US" w:eastAsia="zh-CN"/>
        </w:rPr>
        <w:t>4</w:t>
      </w:r>
      <w:r>
        <w:rPr>
          <w:rFonts w:hint="eastAsia" w:ascii="仿宋" w:hAnsi="仿宋" w:eastAsia="仿宋"/>
          <w:b/>
          <w:sz w:val="32"/>
          <w:szCs w:val="32"/>
        </w:rPr>
        <w:t>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ind w:firstLine="642"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8"/>
          <w:rFonts w:ascii="黑体" w:hAnsi="黑体" w:eastAsia="黑体"/>
          <w:b w:val="0"/>
        </w:rPr>
      </w:pPr>
      <w:bookmarkStart w:id="72" w:name="_Toc15377226"/>
      <w:r>
        <w:rPr>
          <w:rFonts w:ascii="宋体"/>
          <w:b/>
          <w:sz w:val="44"/>
          <w:szCs w:val="44"/>
        </w:rPr>
        <w:br w:type="page"/>
      </w:r>
      <w:bookmarkStart w:id="73" w:name="_Toc15396614"/>
      <w:bookmarkStart w:id="74" w:name="_Toc8411"/>
      <w:r>
        <w:rPr>
          <w:rFonts w:hint="eastAsia" w:ascii="黑体" w:hAnsi="黑体" w:eastAsia="黑体"/>
          <w:sz w:val="44"/>
          <w:szCs w:val="44"/>
        </w:rPr>
        <w:t>第</w:t>
      </w:r>
      <w:r>
        <w:rPr>
          <w:rStyle w:val="28"/>
          <w:rFonts w:hint="eastAsia" w:ascii="黑体" w:hAnsi="黑体" w:eastAsia="黑体"/>
          <w:b w:val="0"/>
        </w:rPr>
        <w:t>四部分 附件</w:t>
      </w:r>
      <w:bookmarkEnd w:id="73"/>
      <w:bookmarkEnd w:id="74"/>
    </w:p>
    <w:p>
      <w:pPr>
        <w:spacing w:line="572" w:lineRule="exact"/>
        <w:jc w:val="left"/>
        <w:outlineLvl w:val="9"/>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75" w:name="_Toc22799"/>
      <w:bookmarkStart w:id="76"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bookmarkEnd w:id="75"/>
    </w:p>
    <w:p>
      <w:pPr>
        <w:pStyle w:val="3"/>
        <w:spacing w:line="560" w:lineRule="exact"/>
        <w:ind w:left="0" w:leftChars="0" w:firstLine="640"/>
        <w:rPr>
          <w:sz w:val="32"/>
        </w:rPr>
      </w:pPr>
    </w:p>
    <w:tbl>
      <w:tblPr>
        <w:tblStyle w:val="15"/>
        <w:tblW w:w="7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
        <w:gridCol w:w="650"/>
        <w:gridCol w:w="650"/>
        <w:gridCol w:w="1122"/>
        <w:gridCol w:w="905"/>
        <w:gridCol w:w="1251"/>
        <w:gridCol w:w="963"/>
        <w:gridCol w:w="963"/>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农村客运补贴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金口河区道路运输服务中心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补贴农村客运，促进群众出行便利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完成补贴农村客运，促进群众出行便利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资金由财政收回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对全区范围内农村客运车辆补贴发放月次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12月次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12月次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农村客运运行成本降低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有效保障便民服务的运转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出行群众满意度达标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560" w:type="dxa"/>
            <w:gridSpan w:val="9"/>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机动车培训管理和市场管理经费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金口河区道路运输服务中心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对机动驾驶员车完成安全技能培训。</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完成对机动驾驶员车完成安全技能培训。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安全技能培训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培训合格率控制数达标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及时安排驾驶员安全技能培训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管理成本有效控制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道路运输交通安全起到促进作用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0" w:type="dxa"/>
            <w:gridSpan w:val="9"/>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公路运输保障服务经费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金口河区道路运输服务中心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对公路运输安全保障完成年度定期巡检，巡查工作。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累计完成巡查工作84次，宣传巡检工作23次。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完成全年安全巡查工作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巡查经费控制成本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减少道路运输安全隐患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60" w:type="dxa"/>
            <w:gridSpan w:val="9"/>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公路水路运输综合协调工作经费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金口河区道路运输服务中心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完成协调公路运输工作，保障运输信息更新，及时。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完成协调公路运输工作64件，保障运输信息更新200余次，及时。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高质量完成信息更新录入工作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2000条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2000条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按时完成信息录入工作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按季度完成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按季度完成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协调经费成本控制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有效协调公路运输工作20次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0" w:type="dxa"/>
            <w:gridSpan w:val="9"/>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公交站台维护费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金口河区道路运输服务中心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完成协调公路运输工作，保障运输信息更新，及时。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完成协调公路运输工作64件，保障运输信息更新200余次，及时。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br w:type="textWrapping"/>
            </w:r>
            <w:r>
              <w:rPr>
                <w:rFonts w:hint="eastAsia" w:ascii="宋体" w:hAnsi="宋体" w:eastAsia="宋体" w:cs="宋体"/>
                <w:i w:val="0"/>
                <w:iCs w:val="0"/>
                <w:color w:val="333333"/>
                <w:kern w:val="0"/>
                <w:sz w:val="18"/>
                <w:szCs w:val="18"/>
                <w:u w:val="none"/>
                <w:lang w:val="en-US" w:eastAsia="zh-CN" w:bidi="ar"/>
              </w:rPr>
              <w:t>保障公交站台完好，整洁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 </w:t>
            </w:r>
            <w:r>
              <w:rPr>
                <w:rFonts w:hint="eastAsia" w:ascii="宋体" w:hAnsi="宋体" w:eastAsia="宋体" w:cs="宋体"/>
                <w:i w:val="0"/>
                <w:iCs w:val="0"/>
                <w:color w:val="333333"/>
                <w:kern w:val="0"/>
                <w:sz w:val="18"/>
                <w:szCs w:val="18"/>
                <w:u w:val="none"/>
                <w:lang w:val="en-US" w:eastAsia="zh-CN" w:bidi="ar"/>
              </w:rPr>
              <w:br w:type="textWrapping"/>
            </w:r>
            <w:r>
              <w:rPr>
                <w:rFonts w:hint="eastAsia" w:ascii="宋体" w:hAnsi="宋体" w:eastAsia="宋体" w:cs="宋体"/>
                <w:i w:val="0"/>
                <w:iCs w:val="0"/>
                <w:color w:val="333333"/>
                <w:kern w:val="0"/>
                <w:sz w:val="18"/>
                <w:szCs w:val="18"/>
                <w:u w:val="none"/>
                <w:lang w:val="en-US" w:eastAsia="zh-CN" w:bidi="ar"/>
              </w:rPr>
              <w:t>维护度整洁度达标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按周完成站台清洁工作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按周完成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按周完成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公交站台维护费有效使用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保障公交站台完好，整洁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60" w:type="dxa"/>
            <w:gridSpan w:val="9"/>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农村客运平台调度经费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金口河区道路运输服务中心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完成协调公路运输工作，保障运输信息更新，及时。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完成协调公路运输工作64件，保障运输信息更新200余次，及时。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保障客运次数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全年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全年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客运班次按时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按时发车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按时发车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农村客运平台调度运行成本控制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 </w:t>
            </w:r>
            <w:r>
              <w:rPr>
                <w:rFonts w:hint="eastAsia" w:ascii="宋体" w:hAnsi="宋体" w:eastAsia="宋体" w:cs="宋体"/>
                <w:i w:val="0"/>
                <w:iCs w:val="0"/>
                <w:color w:val="333333"/>
                <w:kern w:val="0"/>
                <w:sz w:val="18"/>
                <w:szCs w:val="18"/>
                <w:u w:val="none"/>
                <w:lang w:val="en-US" w:eastAsia="zh-CN" w:bidi="ar"/>
              </w:rPr>
              <w:br w:type="textWrapping"/>
            </w:r>
            <w:r>
              <w:rPr>
                <w:rFonts w:hint="eastAsia" w:ascii="宋体" w:hAnsi="宋体" w:eastAsia="宋体" w:cs="宋体"/>
                <w:i w:val="0"/>
                <w:iCs w:val="0"/>
                <w:color w:val="333333"/>
                <w:kern w:val="0"/>
                <w:sz w:val="18"/>
                <w:szCs w:val="18"/>
                <w:u w:val="none"/>
                <w:lang w:val="en-US" w:eastAsia="zh-CN" w:bidi="ar"/>
              </w:rPr>
              <w:t>保障农村客运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社会群众满意达标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0" w:type="dxa"/>
            <w:gridSpan w:val="9"/>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说明：1.预算执行率得分=全年执行数/全年预算数*10分；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2.“产出指标、效益指标、满意度指标”一共90分，对应的是一体化系统中单位编制的项目绩效目标。</w:t>
            </w:r>
          </w:p>
        </w:tc>
      </w:tr>
    </w:tbl>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pStyle w:val="8"/>
        <w:spacing w:before="93"/>
        <w:rPr>
          <w:rFonts w:hAnsi="Calibri" w:cs="仿宋"/>
          <w:sz w:val="32"/>
          <w:szCs w:val="32"/>
        </w:rPr>
      </w:pPr>
    </w:p>
    <w:p>
      <w:pPr>
        <w:spacing w:line="600" w:lineRule="exact"/>
        <w:jc w:val="center"/>
        <w:outlineLvl w:val="0"/>
        <w:rPr>
          <w:rFonts w:ascii="仿宋" w:hAnsi="仿宋" w:eastAsia="仿宋"/>
        </w:rPr>
      </w:pPr>
      <w:bookmarkStart w:id="77" w:name="_Toc18056"/>
      <w:r>
        <w:rPr>
          <w:rFonts w:hint="eastAsia" w:ascii="黑体" w:hAnsi="黑体" w:eastAsia="黑体"/>
          <w:sz w:val="44"/>
          <w:szCs w:val="44"/>
        </w:rPr>
        <w:t>第</w:t>
      </w:r>
      <w:r>
        <w:rPr>
          <w:rStyle w:val="28"/>
          <w:rFonts w:hint="eastAsia" w:ascii="黑体" w:hAnsi="黑体" w:eastAsia="黑体"/>
          <w:b w:val="0"/>
        </w:rPr>
        <w:t>五部分 附表</w:t>
      </w:r>
      <w:bookmarkEnd w:id="72"/>
      <w:bookmarkEnd w:id="76"/>
      <w:bookmarkEnd w:id="77"/>
      <w:bookmarkStart w:id="78" w:name="_Toc15396619"/>
    </w:p>
    <w:p>
      <w:pPr>
        <w:pStyle w:val="6"/>
        <w:rPr>
          <w:rFonts w:ascii="仿宋" w:hAnsi="仿宋" w:eastAsia="仿宋"/>
        </w:rPr>
      </w:pPr>
      <w:bookmarkStart w:id="79" w:name="_Toc20431"/>
      <w:r>
        <w:rPr>
          <w:rFonts w:hint="eastAsia" w:ascii="仿宋" w:hAnsi="仿宋" w:eastAsia="仿宋"/>
          <w:b w:val="0"/>
        </w:rPr>
        <w:t>一、收</w:t>
      </w:r>
      <w:r>
        <w:rPr>
          <w:rStyle w:val="29"/>
          <w:rFonts w:hint="eastAsia" w:ascii="仿宋" w:hAnsi="仿宋" w:eastAsia="仿宋"/>
          <w:b w:val="0"/>
          <w:bCs w:val="0"/>
        </w:rPr>
        <w:t>入支出决算总表</w:t>
      </w:r>
      <w:bookmarkEnd w:id="78"/>
      <w:bookmarkEnd w:id="79"/>
    </w:p>
    <w:p>
      <w:pPr>
        <w:pStyle w:val="6"/>
        <w:rPr>
          <w:rFonts w:ascii="仿宋" w:hAnsi="仿宋" w:eastAsia="仿宋"/>
        </w:rPr>
      </w:pPr>
      <w:bookmarkStart w:id="80" w:name="_Toc15396620"/>
      <w:bookmarkStart w:id="81" w:name="_Toc17168"/>
      <w:r>
        <w:rPr>
          <w:rFonts w:hint="eastAsia" w:ascii="仿宋" w:hAnsi="仿宋" w:eastAsia="仿宋"/>
          <w:b w:val="0"/>
        </w:rPr>
        <w:t>二、收</w:t>
      </w:r>
      <w:r>
        <w:rPr>
          <w:rStyle w:val="29"/>
          <w:rFonts w:hint="eastAsia" w:ascii="仿宋" w:hAnsi="仿宋" w:eastAsia="仿宋"/>
          <w:b w:val="0"/>
          <w:bCs w:val="0"/>
        </w:rPr>
        <w:t>入决算表</w:t>
      </w:r>
      <w:bookmarkEnd w:id="80"/>
      <w:bookmarkEnd w:id="81"/>
    </w:p>
    <w:p>
      <w:pPr>
        <w:pStyle w:val="6"/>
        <w:rPr>
          <w:rFonts w:ascii="仿宋" w:hAnsi="仿宋" w:eastAsia="仿宋"/>
        </w:rPr>
      </w:pPr>
      <w:bookmarkStart w:id="82" w:name="_Toc15396621"/>
      <w:bookmarkStart w:id="83" w:name="_Toc28540"/>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2"/>
      <w:bookmarkEnd w:id="83"/>
    </w:p>
    <w:p>
      <w:pPr>
        <w:pStyle w:val="6"/>
        <w:rPr>
          <w:rFonts w:ascii="仿宋" w:hAnsi="仿宋" w:eastAsia="仿宋"/>
          <w:b w:val="0"/>
        </w:rPr>
      </w:pPr>
      <w:bookmarkStart w:id="84" w:name="_Toc32094"/>
      <w:bookmarkStart w:id="85"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4"/>
      <w:bookmarkEnd w:id="85"/>
    </w:p>
    <w:p>
      <w:pPr>
        <w:pStyle w:val="6"/>
        <w:rPr>
          <w:rStyle w:val="29"/>
          <w:rFonts w:ascii="仿宋" w:hAnsi="仿宋" w:eastAsia="仿宋"/>
          <w:b w:val="0"/>
          <w:bCs w:val="0"/>
        </w:rPr>
      </w:pPr>
      <w:bookmarkStart w:id="86" w:name="_Toc15396623"/>
      <w:bookmarkStart w:id="87" w:name="_Toc26931"/>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6"/>
      <w:bookmarkEnd w:id="87"/>
      <w:bookmarkStart w:id="88" w:name="_Toc15396624"/>
    </w:p>
    <w:p>
      <w:pPr>
        <w:pStyle w:val="6"/>
        <w:rPr>
          <w:rFonts w:ascii="仿宋" w:hAnsi="仿宋" w:eastAsia="仿宋"/>
        </w:rPr>
      </w:pPr>
      <w:bookmarkStart w:id="89" w:name="_Toc14452"/>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8"/>
      <w:bookmarkEnd w:id="89"/>
    </w:p>
    <w:p>
      <w:pPr>
        <w:pStyle w:val="6"/>
        <w:rPr>
          <w:rFonts w:ascii="仿宋" w:hAnsi="仿宋" w:eastAsia="仿宋"/>
        </w:rPr>
      </w:pPr>
      <w:bookmarkStart w:id="90" w:name="_Toc15396625"/>
      <w:bookmarkStart w:id="91" w:name="_Toc22756"/>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0"/>
      <w:bookmarkEnd w:id="91"/>
    </w:p>
    <w:p>
      <w:pPr>
        <w:pStyle w:val="6"/>
        <w:rPr>
          <w:rFonts w:ascii="仿宋" w:hAnsi="仿宋" w:eastAsia="仿宋"/>
        </w:rPr>
      </w:pPr>
      <w:bookmarkStart w:id="92" w:name="_Toc14763"/>
      <w:bookmarkStart w:id="9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2"/>
      <w:bookmarkEnd w:id="93"/>
    </w:p>
    <w:p>
      <w:pPr>
        <w:pStyle w:val="6"/>
        <w:rPr>
          <w:rFonts w:ascii="仿宋" w:hAnsi="仿宋" w:eastAsia="仿宋"/>
        </w:rPr>
      </w:pPr>
      <w:bookmarkStart w:id="94" w:name="_Toc19205"/>
      <w:bookmarkStart w:id="9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4"/>
      <w:bookmarkEnd w:id="95"/>
    </w:p>
    <w:p>
      <w:pPr>
        <w:pStyle w:val="6"/>
        <w:rPr>
          <w:rFonts w:ascii="仿宋" w:hAnsi="仿宋" w:eastAsia="仿宋"/>
        </w:rPr>
      </w:pPr>
      <w:bookmarkStart w:id="96" w:name="_Toc15396628"/>
      <w:bookmarkStart w:id="97" w:name="_Toc19992"/>
      <w:r>
        <w:rPr>
          <w:rStyle w:val="29"/>
          <w:rFonts w:hint="eastAsia" w:ascii="仿宋" w:hAnsi="仿宋" w:eastAsia="仿宋"/>
          <w:b w:val="0"/>
          <w:bCs w:val="0"/>
        </w:rPr>
        <w:t>十、</w:t>
      </w:r>
      <w:bookmarkEnd w:id="96"/>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7"/>
    </w:p>
    <w:p>
      <w:pPr>
        <w:pStyle w:val="6"/>
        <w:rPr>
          <w:rFonts w:ascii="仿宋" w:hAnsi="仿宋" w:eastAsia="仿宋"/>
        </w:rPr>
      </w:pPr>
      <w:bookmarkStart w:id="98" w:name="_Toc15396629"/>
      <w:bookmarkStart w:id="99" w:name="_Toc26852"/>
      <w:r>
        <w:rPr>
          <w:rStyle w:val="29"/>
          <w:rFonts w:hint="eastAsia" w:ascii="仿宋" w:hAnsi="仿宋" w:eastAsia="仿宋"/>
          <w:b w:val="0"/>
          <w:bCs w:val="0"/>
        </w:rPr>
        <w:t>十一、</w:t>
      </w:r>
      <w:bookmarkEnd w:id="98"/>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99"/>
    </w:p>
    <w:p>
      <w:pPr>
        <w:pStyle w:val="6"/>
        <w:rPr>
          <w:rFonts w:ascii="仿宋" w:hAnsi="仿宋" w:eastAsia="仿宋"/>
        </w:rPr>
      </w:pPr>
      <w:bookmarkStart w:id="100" w:name="_Toc15396630"/>
      <w:bookmarkStart w:id="101" w:name="_Toc4129"/>
      <w:r>
        <w:rPr>
          <w:rStyle w:val="29"/>
          <w:rFonts w:hint="eastAsia" w:ascii="仿宋" w:hAnsi="仿宋" w:eastAsia="仿宋"/>
          <w:b w:val="0"/>
          <w:bCs w:val="0"/>
        </w:rPr>
        <w:t>十二、</w:t>
      </w:r>
      <w:bookmarkEnd w:id="100"/>
      <w:r>
        <w:rPr>
          <w:rStyle w:val="29"/>
          <w:rFonts w:hint="eastAsia" w:ascii="仿宋" w:hAnsi="仿宋" w:eastAsia="仿宋"/>
          <w:b w:val="0"/>
          <w:bCs w:val="0"/>
        </w:rPr>
        <w:t>国有资本经营预算财政拨款支出决算表</w:t>
      </w:r>
      <w:bookmarkEnd w:id="101"/>
    </w:p>
    <w:p>
      <w:pPr>
        <w:pStyle w:val="6"/>
        <w:rPr>
          <w:rFonts w:eastAsia="仿宋"/>
        </w:rPr>
      </w:pPr>
      <w:bookmarkStart w:id="102" w:name="_Toc15396631"/>
      <w:bookmarkStart w:id="103" w:name="_Toc18555"/>
      <w:r>
        <w:rPr>
          <w:rStyle w:val="29"/>
          <w:rFonts w:hint="eastAsia" w:ascii="仿宋" w:hAnsi="仿宋" w:eastAsia="仿宋"/>
          <w:b w:val="0"/>
          <w:bCs w:val="0"/>
        </w:rPr>
        <w:t>十三、</w:t>
      </w:r>
      <w:bookmarkEnd w:id="102"/>
      <w:r>
        <w:rPr>
          <w:rStyle w:val="29"/>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DY3YjkyNDQ2MzkxNjEyMTFmOThhYzlhMWJlN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CF10B71"/>
    <w:rsid w:val="0E490DE1"/>
    <w:rsid w:val="0F5FFB2F"/>
    <w:rsid w:val="0FFFCF60"/>
    <w:rsid w:val="10C055FF"/>
    <w:rsid w:val="118107EC"/>
    <w:rsid w:val="11DD6519"/>
    <w:rsid w:val="16BB723D"/>
    <w:rsid w:val="18015F3F"/>
    <w:rsid w:val="1BE8440E"/>
    <w:rsid w:val="1BFB1BAB"/>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13646A"/>
    <w:rsid w:val="39AE70AB"/>
    <w:rsid w:val="3A4DCE41"/>
    <w:rsid w:val="3B7B32EE"/>
    <w:rsid w:val="3BCB56FA"/>
    <w:rsid w:val="3BFD56A6"/>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4FF01600"/>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906AC2"/>
    <w:rsid w:val="6EC78701"/>
    <w:rsid w:val="6F3647A3"/>
    <w:rsid w:val="6F7A5481"/>
    <w:rsid w:val="6FFE07A9"/>
    <w:rsid w:val="71BF4EC2"/>
    <w:rsid w:val="72734D90"/>
    <w:rsid w:val="73E75B71"/>
    <w:rsid w:val="740B1E61"/>
    <w:rsid w:val="7412278C"/>
    <w:rsid w:val="75DDCDA9"/>
    <w:rsid w:val="75FF44B1"/>
    <w:rsid w:val="77670518"/>
    <w:rsid w:val="777FA627"/>
    <w:rsid w:val="77B73D7F"/>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705E9"/>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651.03</c:v>
                </c:pt>
                <c:pt idx="1">
                  <c:v>394.9</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[工作簿1]Sheet3!$A$1:$A$2</c:f>
              <c:strCache>
                <c:ptCount val="2"/>
                <c:pt idx="0">
                  <c:v>其他收入</c:v>
                </c:pt>
                <c:pt idx="1">
                  <c:v>一般公共预算财政拨款收入</c:v>
                </c:pt>
              </c:strCache>
            </c:strRef>
          </c:cat>
          <c:val>
            <c:numRef>
              <c:f>[工作簿1]Sheet3!$B$1:$B$2</c:f>
              <c:numCache>
                <c:formatCode>General</c:formatCode>
                <c:ptCount val="2"/>
                <c:pt idx="0">
                  <c:v>0.23</c:v>
                </c:pt>
                <c:pt idx="1">
                  <c:v>393.97</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本年支出</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[工作簿1]Sheet2!$A$1:$B$1</c:f>
              <c:strCache>
                <c:ptCount val="2"/>
                <c:pt idx="0">
                  <c:v>基本支出</c:v>
                </c:pt>
                <c:pt idx="1">
                  <c:v>项目支出</c:v>
                </c:pt>
              </c:strCache>
            </c:strRef>
          </c:cat>
          <c:val>
            <c:numRef>
              <c:f>[工作簿1]Sheet2!$A$2:$B$2</c:f>
              <c:numCache>
                <c:formatCode>General</c:formatCode>
                <c:ptCount val="2"/>
                <c:pt idx="0">
                  <c:v>122.55</c:v>
                </c:pt>
                <c:pt idx="1">
                  <c:v>527.78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767894736842105"/>
          <c:y val="0.325694444444444"/>
          <c:w val="0.900184210526316"/>
          <c:h val="0.606342592592593"/>
        </c:manualLayout>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650.34</c:v>
                </c:pt>
                <c:pt idx="1">
                  <c:v>393.97</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[工作簿1]Sheet1!$E$5:$F$5</c:f>
              <c:strCache>
                <c:ptCount val="2"/>
                <c:pt idx="0">
                  <c:v>2023年度</c:v>
                </c:pt>
                <c:pt idx="1">
                  <c:v>2024年度</c:v>
                </c:pt>
              </c:strCache>
            </c:strRef>
          </c:cat>
          <c:val>
            <c:numRef>
              <c:f>[工作簿1]Sheet1!$E$6:$F$6</c:f>
              <c:numCache>
                <c:formatCode>General</c:formatCode>
                <c:ptCount val="2"/>
                <c:pt idx="0">
                  <c:v>650.34</c:v>
                </c:pt>
                <c:pt idx="1">
                  <c:v>393.97</c:v>
                </c:pt>
              </c:numCache>
            </c:numRef>
          </c:val>
        </c:ser>
        <c:dLbls>
          <c:showLegendKey val="0"/>
          <c:showVal val="0"/>
          <c:showCatName val="0"/>
          <c:showSerName val="0"/>
          <c:showPercent val="0"/>
          <c:showBubbleSize val="0"/>
        </c:dLbls>
        <c:gapWidth val="246"/>
        <c:overlap val="-28"/>
        <c:axId val="692445405"/>
        <c:axId val="803478948"/>
      </c:barChart>
      <c:catAx>
        <c:axId val="6924454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478948"/>
        <c:crosses val="autoZero"/>
        <c:auto val="1"/>
        <c:lblAlgn val="ctr"/>
        <c:lblOffset val="100"/>
        <c:noMultiLvlLbl val="0"/>
      </c:catAx>
      <c:valAx>
        <c:axId val="803478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454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[工作簿1]Sheet2!$E$10:$E$14</c:f>
              <c:strCache>
                <c:ptCount val="5"/>
                <c:pt idx="0">
                  <c:v>社会保障和就业支出</c:v>
                </c:pt>
                <c:pt idx="1">
                  <c:v>卫生健康支出</c:v>
                </c:pt>
                <c:pt idx="3">
                  <c:v>交通运输支出</c:v>
                </c:pt>
                <c:pt idx="4">
                  <c:v>住房保障支出</c:v>
                </c:pt>
              </c:strCache>
            </c:strRef>
          </c:cat>
          <c:val>
            <c:numRef>
              <c:f>[工作簿1]Sheet2!$F$10:$F$14</c:f>
              <c:numCache>
                <c:formatCode>General</c:formatCode>
                <c:ptCount val="5"/>
                <c:pt idx="0">
                  <c:v>19.86</c:v>
                </c:pt>
                <c:pt idx="1">
                  <c:v>3.14</c:v>
                </c:pt>
                <c:pt idx="2">
                  <c:v>0</c:v>
                </c:pt>
                <c:pt idx="3">
                  <c:v>364.85</c:v>
                </c:pt>
                <c:pt idx="4">
                  <c:v>6.13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1142</Words>
  <Characters>6514</Characters>
  <Lines>54</Lines>
  <Paragraphs>15</Paragraphs>
  <TotalTime>10</TotalTime>
  <ScaleCrop>false</ScaleCrop>
  <LinksUpToDate>false</LinksUpToDate>
  <CharactersWithSpaces>7641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PC-jtj</cp:lastModifiedBy>
  <cp:lastPrinted>2023-08-03T18:35:00Z</cp:lastPrinted>
  <dcterms:modified xsi:type="dcterms:W3CDTF">2025-10-20T11:01:55Z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8F0BBC741FA3484386B4F3E37F392A57_12</vt:lpwstr>
  </property>
</Properties>
</file>