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bookmarkStart w:id="0" w:name="_Toc15396475"/>
      <w:bookmarkStart w:id="1" w:name="_Toc15396597"/>
      <w:bookmarkStart w:id="2" w:name="_Toc15377193"/>
      <w:bookmarkStart w:id="3" w:name="_Toc15378441"/>
      <w:bookmarkStart w:id="4" w:name="_Toc15377425"/>
      <w:bookmarkStart w:id="5" w:name="_Toc15306267"/>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96476"/>
      <w:bookmarkStart w:id="7" w:name="_Toc15396598"/>
      <w:bookmarkStart w:id="8" w:name="_Toc15377194"/>
      <w:bookmarkStart w:id="9" w:name="_Toc15377426"/>
      <w:bookmarkStart w:id="10" w:name="_Toc15378442"/>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乐山市金口河区永胜乡人民政府</w:t>
      </w: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9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23 </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第一部分 部门概况</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15</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17</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17</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17</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25</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64</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64</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64</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64</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64</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64</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64</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64</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64</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64</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64</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64</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64</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64</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96599"/>
      <w:bookmarkStart w:id="13" w:name="_Toc15377196"/>
      <w:r>
        <w:rPr>
          <w:rFonts w:hint="eastAsia" w:ascii="Times New Roman" w:hAnsi="Times New Roman" w:eastAsia="仿宋_GB2312" w:cs="仿宋_GB2312"/>
          <w:b/>
          <w:color w:val="auto"/>
          <w:sz w:val="32"/>
          <w:szCs w:val="32"/>
          <w:highlight w:val="none"/>
        </w:rPr>
        <w:br w:type="page"/>
      </w:r>
    </w:p>
    <w:p>
      <w:pPr>
        <w:pStyle w:val="2"/>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3"/>
          <w:rFonts w:hint="eastAsia" w:ascii="Times New Roman" w:hAnsi="Times New Roman" w:eastAsia="方正小标宋简体" w:cs="方正小标宋简体"/>
          <w:b w:val="0"/>
          <w:bCs w:val="0"/>
          <w:color w:val="auto"/>
          <w:highlight w:val="none"/>
        </w:rPr>
        <w:t>部门概况</w:t>
      </w:r>
      <w:bookmarkEnd w:id="12"/>
      <w:bookmarkEnd w:id="13"/>
    </w:p>
    <w:p>
      <w:pPr>
        <w:pStyle w:val="3"/>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pPr>
        <w:spacing w:line="600" w:lineRule="exact"/>
        <w:ind w:firstLine="630" w:firstLineChars="196"/>
        <w:rPr>
          <w:rFonts w:hint="eastAsia" w:ascii="仿宋" w:hAnsi="仿宋" w:eastAsia="仿宋" w:cs="仿宋"/>
          <w:b/>
          <w:sz w:val="32"/>
          <w:szCs w:val="32"/>
        </w:rPr>
      </w:pPr>
      <w:r>
        <w:rPr>
          <w:rFonts w:hint="eastAsia" w:ascii="仿宋" w:hAnsi="仿宋" w:eastAsia="仿宋" w:cs="仿宋"/>
          <w:b/>
          <w:sz w:val="32"/>
          <w:szCs w:val="32"/>
        </w:rPr>
        <w:t>（一）乡党委主要职责</w:t>
      </w:r>
    </w:p>
    <w:p>
      <w:pPr>
        <w:spacing w:line="600" w:lineRule="exact"/>
        <w:ind w:firstLine="617" w:firstLineChars="193"/>
        <w:rPr>
          <w:rFonts w:hint="eastAsia" w:ascii="仿宋" w:hAnsi="仿宋" w:eastAsia="仿宋" w:cs="仿宋"/>
          <w:sz w:val="32"/>
          <w:szCs w:val="32"/>
        </w:rPr>
      </w:pPr>
      <w:r>
        <w:rPr>
          <w:rFonts w:hint="eastAsia" w:ascii="仿宋" w:hAnsi="仿宋" w:eastAsia="仿宋" w:cs="仿宋"/>
          <w:sz w:val="32"/>
          <w:szCs w:val="32"/>
        </w:rPr>
        <w:t>1．全面贯彻党的基本理论、基本路线、基本方略，宣传党的主张、落实党的决策部署，落实党中央、上级党组织及乡党员代表大会（党员大会）的决议，团结并组织党员、干部和群众，推动各项事业改革发展。</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2．讨论决定本乡加强党的建设、经济建设、政治建设、文化建设、社会建设、生态文明建设和乡村振兴、基层治理、公共服务、维护安全稳定、指导基层自治等方面的重大事项。</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3．领导乡政权机关、群团组织和其他各类组织，加强指导和规范，支持和保证各类机关和组织依照国家法律法规以及各自章程履行职责。</w:t>
      </w:r>
    </w:p>
    <w:p>
      <w:pPr>
        <w:numPr>
          <w:ilvl w:val="0"/>
          <w:numId w:val="2"/>
        </w:num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落实全面从严治党主体责任，加强乡党委自身建设和村（社区）党组织建设，以及其他隶属乡党委的党组织建设，强化基层党组织的政治功能和服务功能。加强党员队伍建设，抓好党员教育管理和发展党员工作，发挥基层党组织战斗堡垒作用和党员先锋模范作用。履行党风廉政建设主体责任，监督党员干部和其他工作人员严格执行党的纪律和遵守国家法律法规。</w:t>
      </w:r>
    </w:p>
    <w:p>
      <w:pPr>
        <w:numPr>
          <w:ilvl w:val="0"/>
          <w:numId w:val="2"/>
        </w:num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按照有关规定和干部管理权限，负责对干部的推荐、提名、教育、培训、选拔、考核、监督等工作。研究决定党员干部纪律处分有关事项。协助管理上级有关部门驻乡单位的干部。落实党的人才政策，做好人才服务和引进工作。</w:t>
      </w:r>
    </w:p>
    <w:p>
      <w:pPr>
        <w:numPr>
          <w:ilvl w:val="0"/>
          <w:numId w:val="2"/>
        </w:num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坚持以党建为引领，加强基层治理体系建设，实现政府治理和社会调节、村（居）民自治良性互动，打造共建共治共享的基层治理格局。支持“两代表一委员”和统一战线成员在基层治理中积极发挥作用。</w:t>
      </w:r>
    </w:p>
    <w:p>
      <w:pPr>
        <w:numPr>
          <w:ilvl w:val="0"/>
          <w:numId w:val="2"/>
        </w:num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加强社会主义民主法治建设和精神文明建设，培养和弘扬社会主义核心价值观，创造良好社会环境。</w:t>
      </w:r>
    </w:p>
    <w:p>
      <w:pPr>
        <w:numPr>
          <w:ilvl w:val="0"/>
          <w:numId w:val="2"/>
        </w:num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加强社会治安综合治理，综合协调辖区内的城乡管理、人口管理、社会管理、安全管理、住宅小区和房屋管理等工作以及社会治安综合治理工作中的重大事项和难点问题，做好生态环保、美丽乡村建设、民生保障、脱贫攻坚、民族宗教等工作。</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9.完成上级党委交办的其他任务。</w:t>
      </w:r>
    </w:p>
    <w:p>
      <w:pPr>
        <w:spacing w:line="600" w:lineRule="exact"/>
        <w:ind w:firstLine="630" w:firstLineChars="196"/>
        <w:rPr>
          <w:rFonts w:hint="eastAsia" w:ascii="仿宋" w:hAnsi="仿宋" w:eastAsia="仿宋" w:cs="仿宋"/>
          <w:b/>
          <w:sz w:val="32"/>
          <w:szCs w:val="32"/>
        </w:rPr>
      </w:pPr>
      <w:r>
        <w:rPr>
          <w:rFonts w:hint="eastAsia" w:ascii="仿宋" w:hAnsi="仿宋" w:eastAsia="仿宋" w:cs="仿宋"/>
          <w:b/>
          <w:sz w:val="32"/>
          <w:szCs w:val="32"/>
        </w:rPr>
        <w:t>（二）乡人民政府主要职责</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1．贯彻落实党的路线方针政策和国家法律法规以及上级党委、政府的决议、决定和命令，执行乡党委和乡人民代表大会的决议，加强农村基层政权建设，巩固党在农村的执政基础。</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2．组织编制本行政区域经济社会发展规划和乡国土空间规划、村（社区）规划等有关规划。负责农村基础设施建设和各项公益事业发展，实施乡村振兴战略，加快经济社会发展，改善群众生产生活环境。</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3．指导农村经济发展，推进农业经济结构调整，促进经济增长方式转变，促进农业增效、农民增收。</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4．加强农村公共服务体系建设，抓好基础教育、科技、文化旅游、体育、卫生健康等工作，做好民政事务、就业培训、社会保障、社会救助、劳动关系协调、民族宗教、退役军人事务等工作，促进农村社会事业健康发展。</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5．加强社会管理，负责或配合区级有关部门做好辖区内自然资源、生态环境保护、市场监管、统计、粮食安全、供销合作、脱贫攻坚等工作。</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6．推进基层民主法制建设，加强普法依法治理，指导村（居）民委员会工作，维护群众合法权益。</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7．承担辖区内基层治理、平安建设、社会治安综合治理、公共安全、安全生产及应急管理等有关工作，处理群众来信来访，化解矛盾纠纷，维护社会安全稳定。</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8．负责制定完善权力清单、责任清单、公共服务清单等，建立清单动态调整和公示机制，推进政务公开，接受群众监督，增强政府公信力。</w:t>
      </w:r>
    </w:p>
    <w:p>
      <w:pPr>
        <w:spacing w:line="60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9．负责国防教育、兵役征集、后备力量建设等有关工作。</w:t>
      </w:r>
    </w:p>
    <w:p>
      <w:pPr>
        <w:spacing w:line="600" w:lineRule="exact"/>
        <w:ind w:firstLine="627" w:firstLineChars="196"/>
        <w:rPr>
          <w:rFonts w:hint="eastAsia"/>
          <w:lang w:eastAsia="zh-CN"/>
        </w:rPr>
      </w:pPr>
      <w:r>
        <w:rPr>
          <w:rFonts w:hint="eastAsia" w:ascii="仿宋" w:hAnsi="仿宋" w:eastAsia="仿宋" w:cs="仿宋"/>
          <w:sz w:val="32"/>
          <w:szCs w:val="32"/>
        </w:rPr>
        <w:t>10．承担法律、法规、规章规定的其他职责和上级党委、政府交办的其他任务。</w:t>
      </w:r>
    </w:p>
    <w:p>
      <w:pPr>
        <w:pStyle w:val="3"/>
        <w:rPr>
          <w:rStyle w:val="34"/>
          <w:rFonts w:ascii="Times New Roman" w:hAnsi="Times New Roman"/>
          <w:b w:val="0"/>
          <w:bCs w:val="0"/>
          <w:color w:val="auto"/>
          <w:highlight w:val="none"/>
        </w:rPr>
      </w:pPr>
      <w:bookmarkStart w:id="14" w:name="_Toc15377200"/>
      <w:bookmarkStart w:id="15" w:name="_Toc15396601"/>
      <w:r>
        <w:rPr>
          <w:rFonts w:hint="eastAsia" w:ascii="Times New Roman" w:hAnsi="Times New Roman" w:eastAsia="黑体"/>
          <w:b w:val="0"/>
          <w:color w:val="auto"/>
          <w:highlight w:val="none"/>
        </w:rPr>
        <w:t>二、机</w:t>
      </w:r>
      <w:r>
        <w:rPr>
          <w:rStyle w:val="34"/>
          <w:rFonts w:hint="eastAsia" w:ascii="Times New Roman" w:hAnsi="Times New Roman" w:eastAsia="黑体"/>
          <w:b w:val="0"/>
          <w:bCs w:val="0"/>
          <w:color w:val="auto"/>
          <w:highlight w:val="none"/>
        </w:rPr>
        <w:t>构设置</w:t>
      </w:r>
      <w:bookmarkEnd w:id="14"/>
      <w:bookmarkEnd w:id="15"/>
    </w:p>
    <w:p>
      <w:pPr>
        <w:widowControl/>
        <w:ind w:firstLine="640" w:firstLineChars="200"/>
        <w:jc w:val="left"/>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金口河区永胜乡人民政府独立核算的机构1个，其中行政单位1个，参照公务员法管理的事业单位0个，参照公务员法管理的事业单位0个，其他事业单位4个：主要包括农业综合服务中心、便民服务中心、社区治理服务中心、文化旅游服务中心。</w:t>
      </w:r>
    </w:p>
    <w:p>
      <w:pPr>
        <w:widowControl/>
        <w:jc w:val="left"/>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6"/>
        <w:rPr>
          <w:rFonts w:ascii="Times New Roman" w:hAnsi="Times New Roman" w:eastAsia="仿宋"/>
          <w:color w:val="auto"/>
          <w:kern w:val="0"/>
          <w:sz w:val="32"/>
          <w:szCs w:val="32"/>
          <w:highlight w:val="none"/>
        </w:rPr>
      </w:pPr>
    </w:p>
    <w:p>
      <w:pPr>
        <w:pStyle w:val="2"/>
        <w:jc w:val="center"/>
        <w:rPr>
          <w:rFonts w:hint="eastAsia" w:ascii="Times New Roman" w:hAnsi="Times New Roman" w:eastAsia="方正小标宋简体" w:cs="方正小标宋简体"/>
          <w:b w:val="0"/>
          <w:color w:val="auto"/>
          <w:highlight w:val="none"/>
        </w:rPr>
      </w:pPr>
      <w:bookmarkStart w:id="16" w:name="_Toc15377204"/>
      <w:bookmarkStart w:id="1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pPr>
        <w:rPr>
          <w:rFonts w:ascii="Times New Roman" w:hAnsi="Times New Roman"/>
          <w:color w:val="auto"/>
          <w:highlight w:val="none"/>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4"/>
          <w:rFonts w:hint="eastAsia" w:ascii="Times New Roman" w:hAnsi="Times New Roman" w:eastAsia="黑体"/>
          <w:b w:val="0"/>
          <w:color w:val="auto"/>
          <w:highlight w:val="none"/>
        </w:rPr>
      </w:pPr>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4"/>
          <w:rFonts w:hint="eastAsia" w:ascii="Times New Roman" w:hAnsi="Times New Roman" w:eastAsia="黑体"/>
          <w:b w:val="0"/>
          <w:color w:val="auto"/>
          <w:highlight w:val="none"/>
        </w:rPr>
        <w:t>入支出决算总体情况说明</w:t>
      </w:r>
      <w:bookmarkEnd w:id="18"/>
      <w:bookmarkEnd w:id="19"/>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lang w:val="en-US" w:eastAsia="zh-CN"/>
        </w:rPr>
        <w:t>1034.08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103.76</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9.12</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val="en-US" w:eastAsia="zh-CN"/>
        </w:rPr>
        <w:t>是减少了基本支出和项目支出。</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264660" cy="2458085"/>
            <wp:effectExtent l="4445" t="5080" r="17145" b="1333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77206"/>
      <w:bookmarkStart w:id="21" w:name="_Toc15396604"/>
      <w:r>
        <w:rPr>
          <w:rFonts w:hint="eastAsia" w:ascii="Times New Roman" w:hAnsi="Times New Roman" w:eastAsia="黑体"/>
          <w:color w:val="auto"/>
          <w:sz w:val="32"/>
          <w:szCs w:val="32"/>
          <w:highlight w:val="none"/>
          <w:lang w:eastAsia="zh-CN"/>
        </w:rPr>
        <w:t>二、收入决算情况说明</w:t>
      </w:r>
      <w:bookmarkEnd w:id="20"/>
      <w:bookmarkEnd w:id="21"/>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1034.08万元，其中：一般公共预算财政拨款收入1034.08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59264" behindDoc="0" locked="0" layoutInCell="1" allowOverlap="1">
            <wp:simplePos x="0" y="0"/>
            <wp:positionH relativeFrom="column">
              <wp:posOffset>271145</wp:posOffset>
            </wp:positionH>
            <wp:positionV relativeFrom="paragraph">
              <wp:posOffset>-2300605</wp:posOffset>
            </wp:positionV>
            <wp:extent cx="4254500" cy="2599690"/>
            <wp:effectExtent l="4445" t="4445" r="8255" b="571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ind w:firstLine="800" w:firstLineChars="250"/>
        <w:rPr>
          <w:rFonts w:hint="eastAsia" w:ascii="Times New Roman" w:hAnsi="Times New Roman" w:eastAsia="仿宋_GB2312" w:cs="仿宋_GB2312"/>
          <w:color w:val="auto"/>
          <w:sz w:val="32"/>
          <w:szCs w:val="32"/>
          <w:highlight w:val="none"/>
          <w:lang w:eastAsia="zh-CN"/>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4"/>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4"/>
          <w:rFonts w:hint="eastAsia" w:ascii="Times New Roman" w:hAnsi="Times New Roman" w:eastAsia="黑体"/>
          <w:b w:val="0"/>
          <w:color w:val="auto"/>
          <w:highlight w:val="none"/>
        </w:rPr>
        <w:t>出决算情况说明</w:t>
      </w:r>
      <w:bookmarkEnd w:id="22"/>
      <w:bookmarkEnd w:id="23"/>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1034.08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820.93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79.3</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213.15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20.61</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271010" cy="2439035"/>
            <wp:effectExtent l="4445" t="4445" r="10795" b="1397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rPr>
          <w:rFonts w:hint="eastAsia" w:ascii="Times New Roman" w:hAnsi="Times New Roman" w:eastAsia="仿宋_GB2312" w:cs="仿宋_GB2312"/>
          <w:color w:val="auto"/>
          <w:sz w:val="32"/>
          <w:szCs w:val="32"/>
          <w:highlight w:val="none"/>
          <w:lang w:eastAsia="zh-CN"/>
        </w:rPr>
      </w:pPr>
    </w:p>
    <w:p>
      <w:pPr>
        <w:rPr>
          <w:rFonts w:hint="eastAsia"/>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34"/>
          <w:rFonts w:ascii="Times New Roman" w:hAnsi="Times New Roman" w:eastAsia="黑体"/>
          <w:b w:val="0"/>
          <w:color w:val="auto"/>
          <w:highlight w:val="none"/>
        </w:rPr>
      </w:pPr>
      <w:bookmarkStart w:id="24" w:name="_Toc15377208"/>
      <w:bookmarkStart w:id="25" w:name="_Toc15396606"/>
      <w:r>
        <w:rPr>
          <w:rFonts w:hint="eastAsia" w:ascii="Times New Roman" w:hAnsi="Times New Roman" w:eastAsia="黑体"/>
          <w:color w:val="auto"/>
          <w:sz w:val="32"/>
          <w:szCs w:val="32"/>
          <w:highlight w:val="none"/>
        </w:rPr>
        <w:t>四、财</w:t>
      </w:r>
      <w:r>
        <w:rPr>
          <w:rStyle w:val="34"/>
          <w:rFonts w:hint="eastAsia" w:ascii="Times New Roman" w:hAnsi="Times New Roman" w:eastAsia="黑体"/>
          <w:b w:val="0"/>
          <w:color w:val="auto"/>
          <w:highlight w:val="none"/>
        </w:rPr>
        <w:t>政拨款收入支出决算总体情况说明</w:t>
      </w:r>
      <w:bookmarkEnd w:id="24"/>
      <w:bookmarkEnd w:id="25"/>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1034.</w:t>
      </w:r>
      <w:r>
        <w:rPr>
          <w:rFonts w:hint="eastAsia" w:ascii="仿宋_GB2312" w:hAnsi="仿宋_GB2312" w:eastAsia="仿宋_GB2312" w:cs="仿宋_GB2312"/>
          <w:sz w:val="32"/>
          <w:szCs w:val="32"/>
          <w:lang w:val="en-US" w:eastAsia="zh-CN"/>
        </w:rPr>
        <w:t>08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103.76</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9.12</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val="en-US" w:eastAsia="zh-CN"/>
        </w:rPr>
        <w:t>是减少了基本支出和项目支出。</w:t>
      </w:r>
    </w:p>
    <w:p>
      <w:pPr>
        <w:pStyle w:val="5"/>
        <w:rPr>
          <w:rFonts w:hint="eastAsia"/>
          <w:lang w:val="en-US" w:eastAsia="zh-CN"/>
        </w:rPr>
      </w:pPr>
      <w:r>
        <w:drawing>
          <wp:inline distT="0" distB="0" distL="114300" distR="114300">
            <wp:extent cx="4826000" cy="2743200"/>
            <wp:effectExtent l="4445" t="4445" r="825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34"/>
          <w:rFonts w:ascii="Times New Roman" w:hAnsi="Times New Roman" w:eastAsia="黑体"/>
          <w:b w:val="0"/>
          <w:color w:val="auto"/>
          <w:highlight w:val="none"/>
        </w:rPr>
      </w:pPr>
      <w:bookmarkStart w:id="26" w:name="_Toc15396607"/>
      <w:bookmarkStart w:id="27"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4"/>
          <w:rFonts w:hint="eastAsia" w:ascii="Times New Roman" w:hAnsi="Times New Roman" w:eastAsia="黑体"/>
          <w:b w:val="0"/>
          <w:color w:val="auto"/>
          <w:highlight w:val="none"/>
        </w:rPr>
        <w:t>般公共预算财政拨款支出决算情况说明</w:t>
      </w:r>
      <w:bookmarkEnd w:id="26"/>
      <w:bookmarkEnd w:id="2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1034.08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103.76</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9.12</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val="en-US" w:eastAsia="zh-CN"/>
        </w:rPr>
        <w:t>是减少了基本支出和项目支出。</w:t>
      </w:r>
    </w:p>
    <w:p>
      <w:pPr>
        <w:rPr>
          <w:rFonts w:hint="eastAsia"/>
          <w:lang w:val="en-US" w:eastAsia="zh-CN"/>
        </w:rPr>
      </w:pPr>
      <w:r>
        <w:drawing>
          <wp:inline distT="0" distB="0" distL="114300" distR="114300">
            <wp:extent cx="4826000" cy="2299335"/>
            <wp:effectExtent l="4445" t="4445" r="8255" b="2032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pPr>
        <w:spacing w:line="600" w:lineRule="exact"/>
        <w:ind w:firstLine="64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1034.08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425.02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41.10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国防支出5万元，</w:t>
      </w:r>
      <w:r>
        <w:rPr>
          <w:rFonts w:hint="eastAsia" w:ascii="Times New Roman" w:hAnsi="Times New Roman" w:eastAsia="仿宋_GB2312" w:cs="仿宋_GB2312"/>
          <w:color w:val="auto"/>
          <w:kern w:val="2"/>
          <w:sz w:val="32"/>
          <w:szCs w:val="32"/>
          <w:highlight w:val="none"/>
          <w:lang w:val="en-US" w:eastAsia="zh-CN" w:bidi="ar-SA"/>
        </w:rPr>
        <w:t>占0.48%；文化旅游体育与传媒支出</w:t>
      </w:r>
      <w:r>
        <w:rPr>
          <w:rFonts w:hint="eastAsia" w:eastAsia="仿宋_GB2312" w:cs="仿宋_GB2312"/>
          <w:color w:val="auto"/>
          <w:kern w:val="2"/>
          <w:sz w:val="32"/>
          <w:szCs w:val="32"/>
          <w:highlight w:val="none"/>
          <w:lang w:val="en-US" w:eastAsia="zh-CN" w:bidi="ar-SA"/>
        </w:rPr>
        <w:t>3.49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0.34</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198.18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19.17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14.51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39.49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3.82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城乡社区支出108.39万元，</w:t>
      </w:r>
      <w:r>
        <w:rPr>
          <w:rFonts w:hint="eastAsia" w:ascii="Times New Roman" w:hAnsi="Times New Roman" w:eastAsia="仿宋_GB2312" w:cs="仿宋_GB2312"/>
          <w:color w:val="auto"/>
          <w:kern w:val="2"/>
          <w:sz w:val="32"/>
          <w:szCs w:val="32"/>
          <w:highlight w:val="none"/>
          <w:lang w:val="en-US" w:eastAsia="zh-CN" w:bidi="ar-SA"/>
        </w:rPr>
        <w:t>占10.48%；农林水</w:t>
      </w:r>
      <w:r>
        <w:rPr>
          <w:rFonts w:hint="eastAsia" w:eastAsia="仿宋_GB2312" w:cs="仿宋_GB2312"/>
          <w:color w:val="auto"/>
          <w:kern w:val="2"/>
          <w:sz w:val="32"/>
          <w:szCs w:val="32"/>
          <w:highlight w:val="none"/>
          <w:lang w:val="en-US" w:eastAsia="zh-CN" w:bidi="ar-SA"/>
        </w:rPr>
        <w:t>支出240万元，</w:t>
      </w:r>
      <w:r>
        <w:rPr>
          <w:rFonts w:hint="eastAsia" w:ascii="Times New Roman" w:hAnsi="Times New Roman" w:eastAsia="仿宋_GB2312" w:cs="仿宋_GB2312"/>
          <w:color w:val="auto"/>
          <w:kern w:val="2"/>
          <w:sz w:val="32"/>
          <w:szCs w:val="32"/>
          <w:highlight w:val="none"/>
          <w:lang w:val="en-US" w:eastAsia="zh-CN" w:bidi="ar-SA"/>
        </w:rPr>
        <w:t>占23.21%</w:t>
      </w:r>
      <w:r>
        <w:rPr>
          <w:rFonts w:hint="eastAsia" w:eastAsia="仿宋_GB2312" w:cs="仿宋_GB2312"/>
          <w:color w:val="auto"/>
          <w:kern w:val="2"/>
          <w:sz w:val="32"/>
          <w:szCs w:val="32"/>
          <w:highlight w:val="none"/>
          <w:lang w:val="en-US" w:eastAsia="zh-CN" w:bidi="ar-SA"/>
        </w:rPr>
        <w:t>。</w:t>
      </w:r>
    </w:p>
    <w:p>
      <w:pPr>
        <w:pStyle w:val="5"/>
        <w:rPr>
          <w:rFonts w:hint="eastAsia" w:eastAsia="仿宋_GB2312" w:cs="仿宋_GB2312"/>
          <w:color w:val="auto"/>
          <w:kern w:val="2"/>
          <w:sz w:val="32"/>
          <w:szCs w:val="32"/>
          <w:highlight w:val="none"/>
          <w:lang w:val="en-US" w:eastAsia="zh-CN" w:bidi="ar-SA"/>
        </w:rPr>
      </w:pPr>
      <w:r>
        <w:drawing>
          <wp:anchor distT="0" distB="0" distL="114300" distR="114300" simplePos="0" relativeHeight="251660288" behindDoc="0" locked="0" layoutInCell="1" allowOverlap="1">
            <wp:simplePos x="0" y="0"/>
            <wp:positionH relativeFrom="column">
              <wp:posOffset>130810</wp:posOffset>
            </wp:positionH>
            <wp:positionV relativeFrom="paragraph">
              <wp:posOffset>224790</wp:posOffset>
            </wp:positionV>
            <wp:extent cx="4333875" cy="2922905"/>
            <wp:effectExtent l="4445" t="4445" r="5080" b="6350"/>
            <wp:wrapNone/>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rPr>
          <w:rFonts w:hint="eastAsia"/>
          <w:lang w:val="en-US" w:eastAsia="zh-CN"/>
        </w:rPr>
      </w:pPr>
    </w:p>
    <w:p>
      <w:pPr>
        <w:pStyle w:val="5"/>
        <w:rPr>
          <w:rFonts w:hint="eastAsia"/>
          <w:lang w:val="en-US" w:eastAsia="zh-CN"/>
        </w:rPr>
      </w:pPr>
    </w:p>
    <w:p>
      <w:pPr>
        <w:rPr>
          <w:rFonts w:hint="eastAsia"/>
          <w:lang w:val="en-US" w:eastAsia="zh-CN"/>
        </w:rPr>
      </w:pPr>
    </w:p>
    <w:p>
      <w:pPr>
        <w:bidi w:val="0"/>
        <w:rPr>
          <w:rFonts w:hint="eastAsia"/>
          <w:lang w:val="en-US" w:eastAsia="zh-CN"/>
        </w:rPr>
      </w:pPr>
    </w:p>
    <w:p>
      <w:pPr>
        <w:pStyle w:val="5"/>
        <w:rPr>
          <w:rFonts w:hint="eastAsia"/>
          <w:lang w:val="en-US" w:eastAsia="zh-CN"/>
        </w:rPr>
      </w:pPr>
    </w:p>
    <w:p>
      <w:pPr>
        <w:spacing w:line="600" w:lineRule="exact"/>
        <w:outlineLvl w:val="2"/>
        <w:rPr>
          <w:rFonts w:hint="eastAsia" w:ascii="Times New Roman" w:hAnsi="Times New Roman" w:eastAsia="楷体_GB2312" w:cs="楷体_GB2312"/>
          <w:b/>
          <w:color w:val="auto"/>
          <w:sz w:val="32"/>
          <w:szCs w:val="32"/>
          <w:highlight w:val="none"/>
        </w:rPr>
      </w:pPr>
      <w:bookmarkStart w:id="30" w:name="_Toc15377212"/>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8460"/>
      <w:bookmarkStart w:id="32" w:name="_Toc15377213"/>
      <w:bookmarkStart w:id="33"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1034.08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人大事务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代表工作</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w:t>
      </w:r>
      <w:bookmarkStart w:id="69" w:name="_GoBack"/>
      <w:bookmarkEnd w:id="69"/>
      <w:r>
        <w:rPr>
          <w:rFonts w:hint="eastAsia" w:ascii="Times New Roman" w:hAnsi="Times New Roman" w:eastAsia="仿宋_GB2312" w:cs="仿宋_GB2312"/>
          <w:color w:val="auto"/>
          <w:kern w:val="2"/>
          <w:sz w:val="32"/>
          <w:szCs w:val="32"/>
          <w:highlight w:val="none"/>
          <w:lang w:val="en-US" w:eastAsia="zh-CN" w:bidi="ar-SA"/>
        </w:rPr>
        <w:t>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政协事务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其他政协事务支出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w:t>
      </w:r>
      <w:r>
        <w:rPr>
          <w:rFonts w:hint="eastAsia" w:ascii="Times New Roman" w:hAnsi="Times New Roman" w:eastAsia="仿宋_GB2312" w:cs="仿宋_GB2312"/>
          <w:color w:val="auto"/>
          <w:kern w:val="2"/>
          <w:sz w:val="32"/>
          <w:szCs w:val="32"/>
          <w:highlight w:val="none"/>
          <w:lang w:val="en-US" w:eastAsia="zh-CN" w:bidi="ar-SA"/>
        </w:rPr>
        <w:t>（款）行政运行（项）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269.06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w:t>
      </w:r>
      <w:r>
        <w:rPr>
          <w:rFonts w:hint="eastAsia" w:ascii="Times New Roman" w:hAnsi="Times New Roman" w:eastAsia="仿宋_GB2312" w:cs="仿宋_GB2312"/>
          <w:color w:val="auto"/>
          <w:kern w:val="2"/>
          <w:sz w:val="32"/>
          <w:szCs w:val="32"/>
          <w:highlight w:val="none"/>
          <w:lang w:val="en-US" w:eastAsia="zh-CN" w:bidi="ar-SA"/>
        </w:rPr>
        <w:t>（款）行政运行（项）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148.84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民族事务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民族工作专项</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5.11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国防支出（类）</w:t>
      </w:r>
      <w:r>
        <w:rPr>
          <w:rFonts w:hint="eastAsia" w:eastAsia="仿宋_GB2312" w:cs="仿宋_GB2312"/>
          <w:color w:val="auto"/>
          <w:kern w:val="2"/>
          <w:sz w:val="32"/>
          <w:szCs w:val="32"/>
          <w:highlight w:val="none"/>
          <w:lang w:val="en-US" w:eastAsia="zh-CN" w:bidi="ar-SA"/>
        </w:rPr>
        <w:t>国防动员</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兵役征集</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文化旅游体育与传媒（类）</w:t>
      </w:r>
      <w:r>
        <w:rPr>
          <w:rFonts w:hint="eastAsia" w:eastAsia="仿宋_GB2312" w:cs="仿宋_GB2312"/>
          <w:color w:val="auto"/>
          <w:kern w:val="2"/>
          <w:sz w:val="32"/>
          <w:szCs w:val="32"/>
          <w:highlight w:val="none"/>
          <w:lang w:val="en-US" w:eastAsia="zh-CN" w:bidi="ar-SA"/>
        </w:rPr>
        <w:t>文化和旅游</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其他文化和旅游支出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3.49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.社会保障和就业（类）人力资源和社会保障管理事务（款）其他人力资源和社会保障管理事务支出（项）: 支出决算为</w:t>
      </w:r>
      <w:r>
        <w:rPr>
          <w:rFonts w:hint="eastAsia" w:eastAsia="仿宋_GB2312" w:cs="仿宋_GB2312"/>
          <w:color w:val="auto"/>
          <w:kern w:val="2"/>
          <w:sz w:val="32"/>
          <w:szCs w:val="32"/>
          <w:highlight w:val="none"/>
          <w:lang w:val="en-US" w:eastAsia="zh-CN" w:bidi="ar-SA"/>
        </w:rPr>
        <w:t>73.82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44.07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24.65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.社会保障和就业（类）行政事业单位养老支出（款）其他行政事业单位养老支出（项）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.社会保障和就业（类）残疾人事业（款）残疾人就业（项）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2.87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50.37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7.11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5.48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7.11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.卫生健康（类）行政事业单位医疗（款）公务员医疗补助（项）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1.92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.城乡社区支出（类）城乡社区环境卫生（款）城乡社区环境卫生（项）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23.76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.城乡社区支出（类）其他城乡社区支出（款）其他城乡社区支出（项）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84.63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.农林水支出（类）巩固脱贫攻坚成果衔接乡村振兴（款）其他巩固脱贫攻坚成果衔接乡村振兴（项）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16.25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.农林水支出（类）农村综合改革（款）对村民委员会和村党支部的补助（项）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223.75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.住房保障支出（类）住房保障支出（款）住房公积金（项）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39.49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tabs>
          <w:tab w:val="right" w:pos="8306"/>
        </w:tabs>
        <w:spacing w:line="600" w:lineRule="exact"/>
        <w:ind w:firstLine="640"/>
        <w:outlineLvl w:val="1"/>
        <w:rPr>
          <w:rStyle w:val="34"/>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4"/>
          <w:rFonts w:hint="eastAsia" w:ascii="Times New Roman" w:hAnsi="Times New Roman" w:eastAsia="黑体"/>
          <w:b w:val="0"/>
          <w:color w:val="auto"/>
          <w:highlight w:val="none"/>
        </w:rPr>
        <w:t>般公共预算财政拨款基本支出决算情况说明</w:t>
      </w:r>
      <w:bookmarkEnd w:id="34"/>
      <w:bookmarkEnd w:id="35"/>
      <w:r>
        <w:rPr>
          <w:rStyle w:val="34"/>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820.93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726.73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94.2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4"/>
          <w:rFonts w:ascii="Times New Roman" w:hAnsi="Times New Roman" w:eastAsia="黑体"/>
          <w:b w:val="0"/>
          <w:color w:val="auto"/>
          <w:highlight w:val="none"/>
        </w:rPr>
      </w:pPr>
      <w:bookmarkStart w:id="36" w:name="_Toc15377215"/>
      <w:bookmarkStart w:id="37" w:name="_Toc15396609"/>
      <w:r>
        <w:rPr>
          <w:rFonts w:hint="eastAsia" w:ascii="Times New Roman" w:hAnsi="Times New Roman" w:eastAsia="黑体"/>
          <w:color w:val="auto"/>
          <w:sz w:val="32"/>
          <w:szCs w:val="32"/>
          <w:highlight w:val="none"/>
        </w:rPr>
        <w:t>七、</w:t>
      </w:r>
      <w:r>
        <w:rPr>
          <w:rStyle w:val="34"/>
          <w:rFonts w:hint="eastAsia" w:ascii="Times New Roman" w:hAnsi="Times New Roman" w:eastAsia="黑体"/>
          <w:b w:val="0"/>
          <w:color w:val="auto"/>
          <w:highlight w:val="none"/>
        </w:rPr>
        <w:t>财政拨款</w:t>
      </w:r>
      <w:r>
        <w:rPr>
          <w:rStyle w:val="34"/>
          <w:rFonts w:hint="eastAsia" w:ascii="Times New Roman" w:hAnsi="Times New Roman" w:eastAsia="黑体"/>
          <w:color w:val="auto"/>
          <w:highlight w:val="none"/>
        </w:rPr>
        <w:t>“</w:t>
      </w:r>
      <w:r>
        <w:rPr>
          <w:rStyle w:val="34"/>
          <w:rFonts w:hint="eastAsia" w:ascii="Times New Roman" w:hAnsi="Times New Roman" w:eastAsia="黑体"/>
          <w:b w:val="0"/>
          <w:color w:val="auto"/>
          <w:highlight w:val="none"/>
        </w:rPr>
        <w:t>三公”经费支出决算情况说明</w:t>
      </w:r>
      <w:bookmarkEnd w:id="36"/>
      <w:bookmarkEnd w:id="3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8.53</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26.58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75.7</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等于</w:t>
      </w:r>
      <w:r>
        <w:rPr>
          <w:rFonts w:hint="eastAsia" w:ascii="Times New Roman" w:hAnsi="Times New Roman" w:eastAsia="仿宋_GB2312" w:cs="仿宋_GB2312"/>
          <w:color w:val="auto"/>
          <w:kern w:val="2"/>
          <w:sz w:val="32"/>
          <w:szCs w:val="32"/>
          <w:highlight w:val="none"/>
          <w:lang w:val="en-US" w:eastAsia="zh-CN" w:bidi="ar-SA"/>
        </w:rPr>
        <w:t>预算数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上年度购买了新车。</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8.3</w:t>
      </w:r>
      <w:r>
        <w:rPr>
          <w:rFonts w:hint="eastAsia" w:ascii="仿宋_GB2312" w:hAnsi="仿宋_GB2312" w:eastAsia="仿宋_GB2312" w:cs="仿宋_GB2312"/>
          <w:color w:val="auto"/>
          <w:kern w:val="2"/>
          <w:sz w:val="32"/>
          <w:szCs w:val="32"/>
          <w:highlight w:val="none"/>
          <w:lang w:val="en-US" w:eastAsia="zh-CN" w:bidi="ar-SA"/>
        </w:rPr>
        <w:t>万元，占97.3%；公务接待费支出决算</w:t>
      </w:r>
      <w:r>
        <w:rPr>
          <w:rFonts w:hint="eastAsia" w:ascii="仿宋_GB2312" w:hAnsi="仿宋_GB2312" w:eastAsia="仿宋_GB2312" w:cs="仿宋_GB2312"/>
          <w:sz w:val="32"/>
          <w:szCs w:val="32"/>
        </w:rPr>
        <w:t>0.23</w:t>
      </w:r>
      <w:r>
        <w:rPr>
          <w:rFonts w:hint="eastAsia" w:ascii="仿宋_GB2312" w:hAnsi="仿宋_GB2312" w:eastAsia="仿宋_GB2312" w:cs="仿宋_GB2312"/>
          <w:color w:val="auto"/>
          <w:kern w:val="2"/>
          <w:sz w:val="32"/>
          <w:szCs w:val="32"/>
          <w:highlight w:val="none"/>
          <w:lang w:val="en-US" w:eastAsia="zh-CN" w:bidi="ar-SA"/>
        </w:rPr>
        <w:t>万元，占2.7%。具体情况如下：</w:t>
      </w:r>
    </w:p>
    <w:p>
      <w:pPr>
        <w:rPr>
          <w:rFonts w:hint="eastAsia" w:ascii="仿宋_GB2312" w:hAnsi="仿宋_GB2312" w:eastAsia="仿宋_GB2312" w:cs="仿宋_GB2312"/>
          <w:color w:val="auto"/>
          <w:kern w:val="2"/>
          <w:sz w:val="32"/>
          <w:szCs w:val="32"/>
          <w:highlight w:val="none"/>
          <w:lang w:val="en-US" w:eastAsia="zh-CN" w:bidi="ar-SA"/>
        </w:rPr>
      </w:pPr>
    </w:p>
    <w:p>
      <w:pPr>
        <w:pStyle w:val="5"/>
        <w:rPr>
          <w:rFonts w:hint="eastAsia"/>
          <w:lang w:val="en-US" w:eastAsia="zh-CN"/>
        </w:rPr>
      </w:pPr>
      <w:r>
        <w:drawing>
          <wp:inline distT="0" distB="0" distL="114300" distR="114300">
            <wp:extent cx="4826000" cy="2743200"/>
            <wp:effectExtent l="4445" t="4445" r="825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8.3万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97.3</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26.81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76.36</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上年度购买了新车，</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8.3</w:t>
      </w:r>
      <w:r>
        <w:rPr>
          <w:rFonts w:hint="eastAsia" w:ascii="Times New Roman" w:hAnsi="Times New Roman" w:eastAsia="仿宋_GB2312" w:cs="仿宋_GB2312"/>
          <w:color w:val="auto"/>
          <w:kern w:val="2"/>
          <w:sz w:val="32"/>
          <w:szCs w:val="32"/>
          <w:highlight w:val="none"/>
          <w:lang w:val="en-US" w:eastAsia="zh-CN" w:bidi="ar-SA"/>
        </w:rPr>
        <w:t>万元。主要用于具体工作所需的公务用车燃料费、维修费、过路过桥费、保险费等支出。</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0.23万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2.7</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0.23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上年度未发生公务接待费。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0.23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8</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47</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0.23</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0" w:name="_Toc15377218"/>
      <w:bookmarkStart w:id="41" w:name="_Toc15396610"/>
    </w:p>
    <w:p>
      <w:pPr>
        <w:spacing w:line="600" w:lineRule="exact"/>
        <w:ind w:firstLine="640"/>
        <w:outlineLvl w:val="1"/>
        <w:rPr>
          <w:rStyle w:val="34"/>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4"/>
          <w:rFonts w:hint="eastAsia" w:ascii="Times New Roman" w:hAnsi="Times New Roman" w:eastAsia="黑体"/>
          <w:b w:val="0"/>
          <w:color w:val="auto"/>
          <w:highlight w:val="none"/>
        </w:rPr>
        <w:t>政府性基金预算支出决算情况说明</w:t>
      </w:r>
      <w:bookmarkEnd w:id="40"/>
      <w:bookmarkEnd w:id="4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34"/>
          <w:rFonts w:ascii="Times New Roman" w:hAnsi="Times New Roman" w:eastAsia="黑体"/>
          <w:b w:val="0"/>
          <w:color w:val="auto"/>
          <w:highlight w:val="none"/>
        </w:rPr>
      </w:pPr>
      <w:bookmarkStart w:id="42" w:name="_Toc15396611"/>
      <w:bookmarkStart w:id="43" w:name="_Toc15377219"/>
      <w:r>
        <w:rPr>
          <w:rStyle w:val="34"/>
          <w:rFonts w:hint="eastAsia" w:ascii="Times New Roman" w:hAnsi="Times New Roman" w:eastAsia="黑体"/>
          <w:b w:val="0"/>
          <w:color w:val="auto"/>
          <w:highlight w:val="none"/>
          <w:lang w:eastAsia="zh-CN"/>
        </w:rPr>
        <w:t>九、</w:t>
      </w:r>
      <w:r>
        <w:rPr>
          <w:rStyle w:val="34"/>
          <w:rFonts w:hint="eastAsia" w:ascii="Times New Roman" w:hAnsi="Times New Roman" w:eastAsia="黑体"/>
          <w:b w:val="0"/>
          <w:color w:val="auto"/>
          <w:highlight w:val="none"/>
        </w:rPr>
        <w:t>国有资本经营预算支出决算情况说明</w:t>
      </w:r>
      <w:bookmarkEnd w:id="42"/>
      <w:bookmarkEnd w:id="4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34"/>
          <w:rFonts w:hint="eastAsia" w:ascii="Times New Roman" w:hAnsi="Times New Roman" w:eastAsia="黑体"/>
          <w:b w:val="0"/>
          <w:color w:val="auto"/>
          <w:highlight w:val="none"/>
        </w:rPr>
      </w:pPr>
      <w:bookmarkStart w:id="44" w:name="_Toc15396612"/>
      <w:bookmarkStart w:id="45" w:name="_Toc15377221"/>
      <w:r>
        <w:rPr>
          <w:rStyle w:val="34"/>
          <w:rFonts w:hint="eastAsia" w:ascii="Times New Roman" w:hAnsi="Times New Roman" w:eastAsia="黑体"/>
          <w:b w:val="0"/>
          <w:color w:val="auto"/>
          <w:highlight w:val="none"/>
          <w:lang w:eastAsia="zh-CN"/>
        </w:rPr>
        <w:t>十、</w:t>
      </w:r>
      <w:r>
        <w:rPr>
          <w:rStyle w:val="34"/>
          <w:rFonts w:hint="eastAsia" w:ascii="Times New Roman" w:hAnsi="Times New Roman" w:eastAsia="黑体"/>
          <w:b w:val="0"/>
          <w:color w:val="auto"/>
          <w:highlight w:val="none"/>
        </w:rPr>
        <w:t>其他重要事项的情况说明</w:t>
      </w:r>
      <w:bookmarkEnd w:id="44"/>
      <w:bookmarkEnd w:id="45"/>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乐山市金口河区永胜乡人民政府</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94.2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38.96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70.55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，主要原因是日常公用</w:t>
      </w:r>
      <w:r>
        <w:rPr>
          <w:rFonts w:hint="eastAsia" w:eastAsia="仿宋_GB2312" w:cs="仿宋_GB2312"/>
          <w:color w:val="auto"/>
          <w:kern w:val="2"/>
          <w:sz w:val="32"/>
          <w:szCs w:val="32"/>
          <w:highlight w:val="none"/>
          <w:lang w:val="en-US" w:eastAsia="zh-CN" w:bidi="ar-SA"/>
        </w:rPr>
        <w:tab/>
      </w:r>
      <w:r>
        <w:rPr>
          <w:rFonts w:hint="eastAsia" w:eastAsia="仿宋_GB2312" w:cs="仿宋_GB2312"/>
          <w:color w:val="auto"/>
          <w:kern w:val="2"/>
          <w:sz w:val="32"/>
          <w:szCs w:val="32"/>
          <w:highlight w:val="none"/>
          <w:lang w:val="en-US" w:eastAsia="zh-CN" w:bidi="ar-SA"/>
        </w:rPr>
        <w:t>开支的增加。</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乐山市金口河区永胜乡人民政府</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乐山市金口河区永胜乡人民政府</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辆，其他用车主要是用于公务处理。单价100万元（含）以上设备（不含车辆）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outlineLvl w:val="2"/>
        <w:rPr>
          <w:rFonts w:hint="eastAsia" w:eastAsia="楷体_GB2312" w:cs="楷体_GB2312"/>
          <w:b/>
          <w:sz w:val="32"/>
          <w:szCs w:val="32"/>
          <w:lang w:val="en-US" w:eastAsia="zh-CN"/>
        </w:rPr>
      </w:pPr>
      <w:r>
        <w:rPr>
          <w:rFonts w:hint="eastAsia" w:eastAsia="楷体_GB2312" w:cs="楷体_GB2312"/>
          <w:b/>
          <w:sz w:val="32"/>
          <w:szCs w:val="32"/>
          <w:lang w:val="en-US" w:eastAsia="zh-CN"/>
        </w:rPr>
        <w:t>1.预决算编制情况</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outlineLvl w:val="2"/>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严格按照《中华人民共和国预算法》以及财政部门有关管理的规定及本单位实际工作需要编制和执行年度预算，无随意调整预算情况，各项收支均纳入预算管理。</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outlineLvl w:val="2"/>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2.</w:t>
      </w:r>
      <w:r>
        <w:rPr>
          <w:rFonts w:hint="eastAsia" w:ascii="仿宋" w:hAnsi="仿宋" w:eastAsia="仿宋" w:cs="仿宋"/>
          <w:b/>
          <w:bCs/>
          <w:color w:val="auto"/>
          <w:sz w:val="32"/>
          <w:szCs w:val="32"/>
          <w:shd w:val="clear" w:color="auto" w:fill="FFFFFF"/>
          <w:lang w:eastAsia="zh-CN"/>
        </w:rPr>
        <w:t>执行管理情况</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leftChars="200"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我</w:t>
      </w:r>
      <w:r>
        <w:rPr>
          <w:rFonts w:hint="eastAsia" w:ascii="仿宋_GB2312" w:hAnsi="仿宋_GB2312" w:eastAsia="仿宋_GB2312" w:cs="仿宋_GB2312"/>
          <w:color w:val="auto"/>
          <w:sz w:val="32"/>
          <w:szCs w:val="32"/>
          <w:shd w:val="clear" w:color="auto" w:fill="FFFFFF"/>
          <w:lang w:val="en-US" w:eastAsia="zh-CN"/>
        </w:rPr>
        <w:t>单位</w:t>
      </w:r>
      <w:r>
        <w:rPr>
          <w:rFonts w:hint="eastAsia" w:ascii="仿宋_GB2312" w:hAnsi="仿宋_GB2312" w:eastAsia="仿宋_GB2312" w:cs="仿宋_GB2312"/>
          <w:color w:val="auto"/>
          <w:sz w:val="32"/>
          <w:szCs w:val="32"/>
          <w:shd w:val="clear" w:color="auto" w:fill="FFFFFF"/>
          <w:lang w:eastAsia="zh-CN"/>
        </w:rPr>
        <w:t>按照上级主管部门下达的年初目标任务，结合单位实际，进一步完善了财务管理制度，使财政收支预算执行得到良好的制度保障和实施效果。</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3.</w:t>
      </w:r>
      <w:r>
        <w:rPr>
          <w:rFonts w:hint="eastAsia" w:ascii="仿宋" w:hAnsi="仿宋" w:eastAsia="仿宋" w:cs="仿宋"/>
          <w:b/>
          <w:bCs/>
          <w:color w:val="auto"/>
          <w:sz w:val="32"/>
          <w:szCs w:val="32"/>
          <w:shd w:val="clear" w:color="auto" w:fill="FFFFFF"/>
          <w:lang w:eastAsia="zh-CN"/>
        </w:rPr>
        <w:t>综合管理情况</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hAnsi="仿宋_GB2312" w:eastAsia="仿宋_GB2312" w:cs="仿宋_GB2312"/>
          <w:color w:val="auto"/>
          <w:sz w:val="32"/>
          <w:szCs w:val="32"/>
          <w:shd w:val="clear" w:color="auto" w:fill="FFFFFF"/>
          <w:lang w:eastAsia="zh-CN"/>
        </w:rPr>
        <w:t>（</w:t>
      </w:r>
      <w:r>
        <w:rPr>
          <w:rFonts w:hint="eastAsia" w:hAnsi="仿宋_GB2312" w:eastAsia="仿宋_GB2312" w:cs="仿宋_GB2312"/>
          <w:color w:val="auto"/>
          <w:sz w:val="32"/>
          <w:szCs w:val="32"/>
          <w:shd w:val="clear" w:color="auto" w:fill="FFFFFF"/>
          <w:lang w:val="en-US" w:eastAsia="zh-CN"/>
        </w:rPr>
        <w:t>1</w:t>
      </w:r>
      <w:r>
        <w:rPr>
          <w:rFonts w:hint="eastAsia"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eastAsia="zh-CN"/>
        </w:rPr>
        <w:t>按照区财政局关于单位预算、决算、政府采购、绩效等信息公开的时间，在规定时间内完成本单位的相关信息公开，做到及时、真实、不弄虚作假。</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hAnsi="仿宋_GB2312" w:eastAsia="仿宋_GB2312" w:cs="仿宋_GB2312"/>
          <w:color w:val="auto"/>
          <w:sz w:val="32"/>
          <w:szCs w:val="32"/>
          <w:shd w:val="clear" w:color="auto" w:fill="FFFFFF"/>
          <w:lang w:eastAsia="zh-CN"/>
        </w:rPr>
        <w:t>（</w:t>
      </w:r>
      <w:r>
        <w:rPr>
          <w:rFonts w:hint="eastAsia" w:hAnsi="仿宋_GB2312" w:eastAsia="仿宋_GB2312" w:cs="仿宋_GB2312"/>
          <w:color w:val="auto"/>
          <w:sz w:val="32"/>
          <w:szCs w:val="32"/>
          <w:shd w:val="clear" w:color="auto" w:fill="FFFFFF"/>
          <w:lang w:val="en-US" w:eastAsia="zh-CN"/>
        </w:rPr>
        <w:t>2</w:t>
      </w:r>
      <w:r>
        <w:rPr>
          <w:rFonts w:hint="eastAsia"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eastAsia="zh-CN"/>
        </w:rPr>
        <w:t>我</w:t>
      </w:r>
      <w:r>
        <w:rPr>
          <w:rFonts w:hint="eastAsia" w:hAnsi="仿宋_GB2312" w:eastAsia="仿宋_GB2312" w:cs="仿宋_GB2312"/>
          <w:color w:val="auto"/>
          <w:sz w:val="32"/>
          <w:szCs w:val="32"/>
          <w:shd w:val="clear" w:color="auto" w:fill="FFFFFF"/>
          <w:lang w:val="en-US" w:eastAsia="zh-CN"/>
        </w:rPr>
        <w:t>单位</w:t>
      </w:r>
      <w:r>
        <w:rPr>
          <w:rFonts w:hint="eastAsia" w:ascii="仿宋_GB2312" w:hAnsi="仿宋_GB2312" w:eastAsia="仿宋_GB2312" w:cs="仿宋_GB2312"/>
          <w:color w:val="auto"/>
          <w:sz w:val="32"/>
          <w:szCs w:val="32"/>
          <w:shd w:val="clear" w:color="auto" w:fill="FFFFFF"/>
          <w:lang w:eastAsia="zh-CN"/>
        </w:rPr>
        <w:t>建立健全有效的内控制度，采取定期公开式的财务管理制度，严格执行财务管理制度，强化项目资金管理和使用。同时严格遵守国家、省、市财务管理法律法规，本着勤俭节约原则，管理好用好每笔资金。杜绝违规违法事件的发生。财务活动接受审计、财政、纪检监察等部门的监督检查，无反馈问题。</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lang w:eastAsia="zh-CN"/>
        </w:rPr>
        <w:t>）</w:t>
      </w:r>
      <w:r>
        <w:rPr>
          <w:rFonts w:hint="eastAsia" w:hAnsi="仿宋_GB2312" w:eastAsia="仿宋_GB2312" w:cs="仿宋_GB2312"/>
          <w:color w:val="auto"/>
          <w:sz w:val="32"/>
          <w:szCs w:val="32"/>
          <w:shd w:val="clear" w:color="auto" w:fill="FFFFFF"/>
          <w:lang w:val="en-US" w:eastAsia="zh-CN"/>
        </w:rPr>
        <w:t>我单位</w:t>
      </w:r>
      <w:r>
        <w:rPr>
          <w:rFonts w:hint="eastAsia" w:ascii="仿宋_GB2312" w:hAnsi="仿宋_GB2312" w:eastAsia="仿宋_GB2312" w:cs="仿宋_GB2312"/>
          <w:color w:val="auto"/>
          <w:sz w:val="32"/>
          <w:szCs w:val="32"/>
          <w:shd w:val="clear" w:color="auto" w:fill="FFFFFF"/>
          <w:lang w:eastAsia="zh-CN"/>
        </w:rPr>
        <w:t>内所有资产必须实现资产归口管理和明确使用责任，细化到人，每半年对资产进行清查盘点，对账实不符的情况及时进行处理；严格按照规定处置资产。</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4.</w:t>
      </w:r>
      <w:r>
        <w:rPr>
          <w:rFonts w:hint="eastAsia" w:ascii="仿宋" w:hAnsi="仿宋" w:eastAsia="仿宋" w:cs="仿宋"/>
          <w:b/>
          <w:bCs/>
          <w:color w:val="auto"/>
          <w:sz w:val="32"/>
          <w:szCs w:val="32"/>
          <w:shd w:val="clear" w:color="auto" w:fill="FFFFFF"/>
          <w:lang w:eastAsia="zh-CN"/>
        </w:rPr>
        <w:t>整体绩效</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eastAsia="zh-CN"/>
        </w:rPr>
        <w:t>（</w:t>
      </w:r>
      <w:r>
        <w:rPr>
          <w:rFonts w:hint="eastAsia" w:ascii="仿宋" w:hAnsi="仿宋" w:eastAsia="仿宋" w:cs="仿宋"/>
          <w:b/>
          <w:bCs/>
          <w:color w:val="auto"/>
          <w:sz w:val="32"/>
          <w:szCs w:val="32"/>
          <w:shd w:val="clear" w:color="auto" w:fill="FFFFFF"/>
          <w:lang w:val="en-US" w:eastAsia="zh-CN"/>
        </w:rPr>
        <w:t>1</w:t>
      </w:r>
      <w:r>
        <w:rPr>
          <w:rFonts w:hint="eastAsia" w:ascii="仿宋" w:hAnsi="仿宋" w:eastAsia="仿宋" w:cs="仿宋"/>
          <w:b/>
          <w:bCs/>
          <w:color w:val="auto"/>
          <w:sz w:val="32"/>
          <w:szCs w:val="32"/>
          <w:shd w:val="clear" w:color="auto" w:fill="FFFFFF"/>
          <w:lang w:eastAsia="zh-CN"/>
        </w:rPr>
        <w:t>）部门支出绩效</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为保障机关运转、履行职能职责，基本支出</w:t>
      </w:r>
      <w:r>
        <w:rPr>
          <w:rFonts w:hint="eastAsia" w:hAnsi="仿宋_GB2312" w:eastAsia="仿宋_GB2312" w:cs="仿宋_GB2312"/>
          <w:color w:val="auto"/>
          <w:sz w:val="32"/>
          <w:szCs w:val="32"/>
          <w:shd w:val="clear" w:color="auto" w:fill="FFFFFF"/>
          <w:lang w:val="en-US" w:eastAsia="zh-CN"/>
        </w:rPr>
        <w:t>820.93</w:t>
      </w:r>
      <w:r>
        <w:rPr>
          <w:rFonts w:hint="eastAsia" w:ascii="仿宋_GB2312" w:hAnsi="仿宋_GB2312" w:eastAsia="仿宋_GB2312" w:cs="仿宋_GB2312"/>
          <w:color w:val="auto"/>
          <w:sz w:val="32"/>
          <w:szCs w:val="32"/>
          <w:shd w:val="clear" w:color="auto" w:fill="FFFFFF"/>
          <w:lang w:eastAsia="zh-CN"/>
        </w:rPr>
        <w:t>万元，其中：人员经费</w:t>
      </w:r>
      <w:r>
        <w:rPr>
          <w:rFonts w:hint="eastAsia" w:hAnsi="仿宋_GB2312" w:eastAsia="仿宋_GB2312" w:cs="仿宋_GB2312"/>
          <w:color w:val="auto"/>
          <w:sz w:val="32"/>
          <w:szCs w:val="32"/>
          <w:shd w:val="clear" w:color="auto" w:fill="FFFFFF"/>
          <w:lang w:val="en-US" w:eastAsia="zh-CN"/>
        </w:rPr>
        <w:t>726.73</w:t>
      </w:r>
      <w:r>
        <w:rPr>
          <w:rFonts w:hint="eastAsia" w:ascii="仿宋_GB2312" w:hAnsi="仿宋_GB2312" w:eastAsia="仿宋_GB2312" w:cs="仿宋_GB2312"/>
          <w:color w:val="auto"/>
          <w:sz w:val="32"/>
          <w:szCs w:val="32"/>
          <w:shd w:val="clear" w:color="auto" w:fill="FFFFFF"/>
          <w:lang w:eastAsia="zh-CN"/>
        </w:rPr>
        <w:t>万元，公用经费</w:t>
      </w:r>
      <w:r>
        <w:rPr>
          <w:rFonts w:hint="eastAsia" w:hAnsi="仿宋_GB2312" w:eastAsia="仿宋_GB2312" w:cs="仿宋_GB2312"/>
          <w:color w:val="auto"/>
          <w:sz w:val="32"/>
          <w:szCs w:val="32"/>
          <w:shd w:val="clear" w:color="auto" w:fill="FFFFFF"/>
          <w:lang w:val="en-US" w:eastAsia="zh-CN"/>
        </w:rPr>
        <w:t>94.2</w:t>
      </w:r>
      <w:r>
        <w:rPr>
          <w:rFonts w:hint="eastAsia" w:ascii="仿宋_GB2312" w:hAnsi="仿宋_GB2312" w:eastAsia="仿宋_GB2312" w:cs="仿宋_GB2312"/>
          <w:color w:val="auto"/>
          <w:sz w:val="32"/>
          <w:szCs w:val="32"/>
          <w:shd w:val="clear" w:color="auto" w:fill="FFFFFF"/>
          <w:lang w:eastAsia="zh-CN"/>
        </w:rPr>
        <w:t>万元；项目支出</w:t>
      </w:r>
      <w:r>
        <w:rPr>
          <w:rFonts w:hint="eastAsia" w:ascii="仿宋_GB2312" w:hAnsi="仿宋_GB2312" w:eastAsia="仿宋_GB2312" w:cs="仿宋_GB2312"/>
          <w:color w:val="auto"/>
          <w:sz w:val="32"/>
          <w:szCs w:val="32"/>
          <w:shd w:val="clear" w:color="auto" w:fill="FFFFFF"/>
          <w:lang w:val="en-US" w:eastAsia="zh-CN"/>
        </w:rPr>
        <w:t>开支</w:t>
      </w:r>
      <w:r>
        <w:rPr>
          <w:rFonts w:hint="eastAsia" w:hAnsi="仿宋_GB2312" w:eastAsia="仿宋_GB2312" w:cs="仿宋_GB2312"/>
          <w:color w:val="auto"/>
          <w:sz w:val="32"/>
          <w:szCs w:val="32"/>
          <w:shd w:val="clear" w:color="auto" w:fill="FFFFFF"/>
          <w:lang w:val="en-US" w:eastAsia="zh-CN"/>
        </w:rPr>
        <w:t>213.15</w:t>
      </w:r>
      <w:r>
        <w:rPr>
          <w:rFonts w:hint="eastAsia" w:ascii="仿宋_GB2312" w:hAnsi="仿宋_GB2312" w:eastAsia="仿宋_GB2312" w:cs="仿宋_GB2312"/>
          <w:color w:val="auto"/>
          <w:sz w:val="32"/>
          <w:szCs w:val="32"/>
          <w:shd w:val="clear" w:color="auto" w:fill="FFFFFF"/>
          <w:lang w:eastAsia="zh-CN"/>
        </w:rPr>
        <w:t>万元。全部门预算资金主要用于保障</w:t>
      </w:r>
      <w:r>
        <w:rPr>
          <w:rFonts w:hint="eastAsia" w:hAnsi="仿宋_GB2312" w:eastAsia="仿宋_GB2312" w:cs="仿宋_GB2312"/>
          <w:color w:val="auto"/>
          <w:sz w:val="32"/>
          <w:szCs w:val="32"/>
          <w:shd w:val="clear" w:color="auto" w:fill="FFFFFF"/>
          <w:lang w:val="en-US" w:eastAsia="zh-CN"/>
        </w:rPr>
        <w:t>部门</w:t>
      </w:r>
      <w:r>
        <w:rPr>
          <w:rFonts w:hint="eastAsia" w:ascii="仿宋_GB2312" w:hAnsi="仿宋_GB2312" w:eastAsia="仿宋_GB2312" w:cs="仿宋_GB2312"/>
          <w:color w:val="auto"/>
          <w:sz w:val="32"/>
          <w:szCs w:val="32"/>
          <w:shd w:val="clear" w:color="auto" w:fill="FFFFFF"/>
          <w:lang w:eastAsia="zh-CN"/>
        </w:rPr>
        <w:t>正常运转、各项任务圆满完成。</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(2)</w:t>
      </w:r>
      <w:r>
        <w:rPr>
          <w:rFonts w:hint="eastAsia" w:ascii="仿宋" w:hAnsi="仿宋" w:eastAsia="仿宋" w:cs="仿宋"/>
          <w:b/>
          <w:bCs/>
          <w:color w:val="auto"/>
          <w:sz w:val="32"/>
          <w:szCs w:val="32"/>
          <w:shd w:val="clear" w:color="auto" w:fill="FFFFFF"/>
          <w:lang w:eastAsia="zh-CN"/>
        </w:rPr>
        <w:t>项目支出绩效</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 xml:space="preserve">① </w:t>
      </w:r>
      <w:r>
        <w:rPr>
          <w:rFonts w:hint="eastAsia" w:ascii="仿宋" w:hAnsi="仿宋" w:eastAsia="仿宋" w:cs="仿宋"/>
          <w:b/>
          <w:bCs/>
          <w:color w:val="auto"/>
          <w:sz w:val="32"/>
          <w:szCs w:val="32"/>
          <w:shd w:val="clear" w:color="auto" w:fill="FFFFFF"/>
          <w:lang w:eastAsia="zh-CN"/>
        </w:rPr>
        <w:t>资金绩效分配情况</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认真贯彻执行《四川省省级财政专项资金绩效分配管理暂行办法》实施绩效分配。资金分配科学合理，分配过程符合相关规定。建立健全专项资金绩效分配机制，实现了财政资金资源有效配置。</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 xml:space="preserve">② </w:t>
      </w:r>
      <w:r>
        <w:rPr>
          <w:rFonts w:hint="eastAsia" w:ascii="仿宋" w:hAnsi="仿宋" w:eastAsia="仿宋" w:cs="仿宋"/>
          <w:b/>
          <w:bCs/>
          <w:color w:val="auto"/>
          <w:sz w:val="32"/>
          <w:szCs w:val="32"/>
          <w:shd w:val="clear" w:color="auto" w:fill="FFFFFF"/>
          <w:lang w:eastAsia="zh-CN"/>
        </w:rPr>
        <w:t>项目资金管理情况</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加强对项目资金的管理，严格按照资金的使用范围专款专用，支付有依据，严格开支标准。无截留、挤占、挪用专项资金和虚列资金及大额度现金支出现象。</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 xml:space="preserve">③ </w:t>
      </w:r>
      <w:r>
        <w:rPr>
          <w:rFonts w:hint="eastAsia" w:ascii="仿宋" w:hAnsi="仿宋" w:eastAsia="仿宋" w:cs="仿宋"/>
          <w:b/>
          <w:bCs/>
          <w:color w:val="auto"/>
          <w:sz w:val="32"/>
          <w:szCs w:val="32"/>
          <w:shd w:val="clear" w:color="auto" w:fill="FFFFFF"/>
          <w:lang w:eastAsia="zh-CN"/>
        </w:rPr>
        <w:t>绩效目标完成情况</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rPr>
        <w:t>202</w:t>
      </w: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lang w:eastAsia="zh-CN"/>
        </w:rPr>
        <w:t>年绩效目标全面完成，取得了一定经济和社会效益。单位财务制度健全，管理规范，得到有效执行。三公经费控制率较好，未超预算。总之，通过加强绩效预算，使财政资金得到有效使用，行政效率得到提高，促进了各项工作顺利开展。</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5.</w:t>
      </w:r>
      <w:r>
        <w:rPr>
          <w:rFonts w:hint="eastAsia" w:ascii="仿宋" w:hAnsi="仿宋" w:eastAsia="仿宋" w:cs="仿宋"/>
          <w:b/>
          <w:bCs/>
          <w:color w:val="auto"/>
          <w:sz w:val="32"/>
          <w:szCs w:val="32"/>
          <w:shd w:val="clear" w:color="auto" w:fill="FFFFFF"/>
          <w:lang w:eastAsia="zh-CN"/>
        </w:rPr>
        <w:t>评价结论</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组织对2024年度一般公共预算、政府性基金预算、国有资本经营预算、社会保险基金预算以及资本资产、债券资金等全面开展绩效自评。绩效自评报告详见附件。</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3" w:firstLineChars="200"/>
        <w:textAlignment w:val="auto"/>
        <w:rPr>
          <w:rFonts w:hint="eastAsia" w:ascii="仿宋" w:hAnsi="仿宋" w:eastAsia="仿宋" w:cs="仿宋"/>
          <w:b/>
          <w:bCs/>
          <w:color w:val="auto"/>
          <w:sz w:val="32"/>
          <w:szCs w:val="32"/>
          <w:shd w:val="clear" w:color="auto" w:fill="FFFFFF"/>
          <w:lang w:eastAsia="zh-CN"/>
        </w:rPr>
      </w:pPr>
      <w:r>
        <w:rPr>
          <w:rFonts w:hint="eastAsia" w:ascii="仿宋" w:hAnsi="仿宋" w:eastAsia="仿宋" w:cs="仿宋"/>
          <w:b/>
          <w:bCs/>
          <w:color w:val="auto"/>
          <w:sz w:val="32"/>
          <w:szCs w:val="32"/>
          <w:shd w:val="clear" w:color="auto" w:fill="FFFFFF"/>
          <w:lang w:val="en-US" w:eastAsia="zh-CN"/>
        </w:rPr>
        <w:t>6.</w:t>
      </w:r>
      <w:r>
        <w:rPr>
          <w:rFonts w:hint="eastAsia" w:ascii="仿宋" w:hAnsi="仿宋" w:eastAsia="仿宋" w:cs="仿宋"/>
          <w:b/>
          <w:bCs/>
          <w:color w:val="auto"/>
          <w:sz w:val="32"/>
          <w:szCs w:val="32"/>
          <w:shd w:val="clear" w:color="auto" w:fill="FFFFFF"/>
          <w:lang w:eastAsia="zh-CN"/>
        </w:rPr>
        <w:t>改进建议</w:t>
      </w:r>
    </w:p>
    <w:p>
      <w:pPr>
        <w:pStyle w:val="8"/>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textAlignment w:val="auto"/>
        <w:rPr>
          <w:color w:val="auto"/>
        </w:rPr>
      </w:pPr>
      <w:r>
        <w:rPr>
          <w:rFonts w:hint="eastAsia" w:ascii="仿宋" w:hAnsi="仿宋" w:eastAsia="仿宋" w:cs="仿宋"/>
          <w:color w:val="auto"/>
          <w:sz w:val="32"/>
          <w:szCs w:val="32"/>
          <w:shd w:val="clear" w:color="auto" w:fill="FFFFFF"/>
          <w:lang w:eastAsia="zh-CN"/>
        </w:rPr>
        <w:t>今后工作中在预算编制的准确性上下功夫，通过积极组织、认真论证、领导决策等程序，确保做实预算，保证预算与实际需要基本相符；对项目实施有科学规划，依据项目年内可完成进度分年度下达预算指标，当年预算才能全部执行，提高预算管理质量。</w:t>
      </w: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77225"/>
      <w:bookmarkStart w:id="50" w:name="_Toc15396613"/>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hint="eastAsia" w:ascii="仿宋_GB2312" w:hAnsi="Times New Roman" w:eastAsia="仿宋_GB2312" w:cs="Times New Roman"/>
          <w:color w:val="000000"/>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9.一般公共服务：</w:t>
      </w:r>
      <w:r>
        <w:rPr>
          <w:rFonts w:hint="eastAsia" w:ascii="仿宋_GB2312" w:hAnsi="Times New Roman" w:eastAsia="仿宋_GB2312" w:cs="Times New Roman"/>
          <w:color w:val="000000"/>
          <w:sz w:val="32"/>
          <w:szCs w:val="32"/>
        </w:rPr>
        <w:t>指政府提供一般公共服务支出</w:t>
      </w:r>
      <w:r>
        <w:rPr>
          <w:rFonts w:hint="eastAsia" w:ascii="仿宋_GB2312" w:hAnsi="Times New Roman" w:eastAsia="仿宋_GB2312" w:cs="Times New Roman"/>
          <w:color w:val="000000"/>
          <w:sz w:val="32"/>
          <w:szCs w:val="32"/>
          <w:lang w:eastAsia="zh-CN"/>
        </w:rPr>
        <w:t>。</w:t>
      </w:r>
    </w:p>
    <w:p>
      <w:pPr>
        <w:spacing w:line="600" w:lineRule="exact"/>
        <w:ind w:firstLine="640"/>
        <w:rPr>
          <w:rFonts w:hint="eastAsia" w:ascii="仿宋_GB2312" w:hAnsi="Times New Roman" w:eastAsia="仿宋_GB2312" w:cs="Times New Roman"/>
          <w:color w:val="000000"/>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w:t>
      </w:r>
      <w:r>
        <w:rPr>
          <w:rFonts w:hint="eastAsia" w:eastAsia="仿宋_GB2312" w:cs="仿宋_GB2312"/>
          <w:color w:val="auto"/>
          <w:kern w:val="2"/>
          <w:sz w:val="32"/>
          <w:szCs w:val="32"/>
          <w:highlight w:val="none"/>
          <w:lang w:val="en-US" w:eastAsia="zh-CN" w:bidi="ar-SA"/>
        </w:rPr>
        <w:t>：</w:t>
      </w:r>
      <w:r>
        <w:rPr>
          <w:rFonts w:hint="eastAsia" w:ascii="仿宋_GB2312" w:hAnsi="Times New Roman" w:eastAsia="仿宋_GB2312" w:cs="Times New Roman"/>
          <w:color w:val="000000"/>
          <w:sz w:val="32"/>
          <w:szCs w:val="32"/>
        </w:rPr>
        <w:t>政府在文化、文物、体育、广播影视、新闻出版等方面的支出</w:t>
      </w:r>
      <w:r>
        <w:rPr>
          <w:rFonts w:hint="eastAsia" w:ascii="仿宋_GB2312" w:hAnsi="Times New Roman" w:eastAsia="仿宋_GB2312" w:cs="Times New Roman"/>
          <w:color w:val="000000"/>
          <w:sz w:val="32"/>
          <w:szCs w:val="32"/>
          <w:lang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.社会保障和就业：指</w:t>
      </w:r>
      <w:r>
        <w:rPr>
          <w:rFonts w:hint="eastAsia" w:ascii="仿宋_GB2312" w:hAnsi="Times New Roman" w:eastAsia="仿宋_GB2312" w:cs="Times New Roman"/>
          <w:color w:val="000000"/>
          <w:sz w:val="32"/>
          <w:szCs w:val="32"/>
        </w:rPr>
        <w:t>机关事业单位基本养老保险缴费支出</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机关事业单位职业年金缴费支出</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其他行政事业单位养老支出</w:t>
      </w:r>
      <w:r>
        <w:rPr>
          <w:rFonts w:hint="eastAsia" w:ascii="仿宋_GB2312" w:hAnsi="Times New Roman" w:eastAsia="仿宋_GB2312" w:cs="Times New Roman"/>
          <w:color w:val="000000"/>
          <w:sz w:val="32"/>
          <w:szCs w:val="32"/>
          <w:lang w:eastAsia="zh-CN"/>
        </w:rPr>
        <w:t>。</w:t>
      </w:r>
    </w:p>
    <w:p>
      <w:pPr>
        <w:spacing w:line="600" w:lineRule="exact"/>
        <w:ind w:firstLine="640"/>
        <w:rPr>
          <w:rFonts w:hint="eastAsia" w:ascii="仿宋_GB2312" w:hAnsi="Times New Roman" w:eastAsia="仿宋_GB2312" w:cs="Times New Roman"/>
          <w:color w:val="000000"/>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.卫生健康：指</w:t>
      </w:r>
      <w:r>
        <w:rPr>
          <w:rFonts w:hint="eastAsia" w:ascii="仿宋_GB2312" w:hAnsi="Times New Roman" w:eastAsia="仿宋_GB2312" w:cs="Times New Roman"/>
          <w:color w:val="000000"/>
          <w:sz w:val="32"/>
          <w:szCs w:val="32"/>
        </w:rPr>
        <w:t>反映重大疾病、重大传染病预防控制等重大公共卫生服务项目支出</w:t>
      </w:r>
      <w:r>
        <w:rPr>
          <w:rFonts w:hint="eastAsia" w:ascii="仿宋_GB2312" w:hAnsi="Times New Roman" w:eastAsia="仿宋_GB2312" w:cs="Times New Roman"/>
          <w:color w:val="000000"/>
          <w:sz w:val="32"/>
          <w:szCs w:val="32"/>
          <w:lang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.城乡社区：指</w:t>
      </w:r>
      <w:r>
        <w:rPr>
          <w:rFonts w:hint="eastAsia" w:ascii="仿宋_GB2312" w:hAnsi="Times New Roman" w:eastAsia="仿宋_GB2312" w:cs="Times New Roman"/>
          <w:color w:val="000000"/>
          <w:sz w:val="32"/>
          <w:szCs w:val="32"/>
        </w:rPr>
        <w:t>反映城乡社区道路清扫、垃圾清运与处理、公厕建设与维护、园林绿化等方面的支出</w:t>
      </w:r>
      <w:r>
        <w:rPr>
          <w:rFonts w:hint="eastAsia" w:ascii="仿宋_GB2312" w:hAnsi="Times New Roman" w:eastAsia="仿宋_GB2312" w:cs="Times New Roman"/>
          <w:color w:val="000000"/>
          <w:sz w:val="32"/>
          <w:szCs w:val="32"/>
          <w:lang w:eastAsia="zh-CN"/>
        </w:rPr>
        <w:t>。</w:t>
      </w:r>
    </w:p>
    <w:p>
      <w:pPr>
        <w:spacing w:line="600" w:lineRule="exact"/>
        <w:ind w:firstLine="640"/>
        <w:rPr>
          <w:rFonts w:hint="eastAsia" w:ascii="仿宋_GB2312" w:hAnsi="Times New Roman" w:eastAsia="仿宋_GB2312" w:cs="Times New Roman"/>
          <w:color w:val="000000"/>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.农林水：指</w:t>
      </w:r>
      <w:r>
        <w:rPr>
          <w:rFonts w:hint="eastAsia" w:ascii="仿宋_GB2312" w:hAnsi="Times New Roman" w:eastAsia="仿宋_GB2312" w:cs="Times New Roman"/>
          <w:color w:val="000000"/>
          <w:sz w:val="32"/>
          <w:szCs w:val="32"/>
        </w:rPr>
        <w:t>反映政府农林水事务支出</w:t>
      </w:r>
      <w:r>
        <w:rPr>
          <w:rFonts w:hint="eastAsia" w:ascii="仿宋_GB2312" w:hAnsi="Times New Roman" w:eastAsia="仿宋_GB2312" w:cs="Times New Roman"/>
          <w:color w:val="000000"/>
          <w:sz w:val="32"/>
          <w:szCs w:val="32"/>
          <w:lang w:eastAsia="zh-CN"/>
        </w:rPr>
        <w:t>。</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5.住房保障：指</w:t>
      </w:r>
      <w:r>
        <w:rPr>
          <w:rFonts w:hint="eastAsia" w:eastAsia="仿宋_GB2312" w:cs="仿宋_GB2312"/>
          <w:color w:val="auto"/>
          <w:kern w:val="2"/>
          <w:sz w:val="32"/>
          <w:szCs w:val="32"/>
          <w:highlight w:val="none"/>
          <w:lang w:val="en-US" w:eastAsia="zh-CN" w:bidi="ar-SA"/>
        </w:rPr>
        <w:t>住房公积金的支出。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33"/>
          <w:rFonts w:hint="eastAsia" w:ascii="Times New Roman" w:hAnsi="Times New Roman" w:eastAsia="黑体"/>
          <w:b w:val="0"/>
          <w:color w:val="auto"/>
          <w:highlight w:val="none"/>
          <w:lang w:eastAsia="zh-CN"/>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2"/>
    </w:p>
    <w:p>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pPr>
        <w:widowControl/>
        <w:ind w:firstLine="643" w:firstLineChars="200"/>
        <w:jc w:val="left"/>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pPr>
        <w:widowControl/>
        <w:ind w:firstLine="640" w:firstLineChars="200"/>
        <w:jc w:val="left"/>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金口河区永胜乡人民政府独立核算的机构1个，其中行政单位1个，参照公务员法管理的事业单位0个，参照公务员法管理的事业单位0个，其他事业单位4个：主要包括农业综合服务中心、便民服务中心、社区治理服务中心、文化旅游服务中心。</w:t>
      </w:r>
    </w:p>
    <w:p>
      <w:pPr>
        <w:numPr>
          <w:ilvl w:val="0"/>
          <w:numId w:val="3"/>
        </w:numPr>
        <w:spacing w:line="600" w:lineRule="exact"/>
        <w:ind w:firstLine="630" w:firstLineChars="196"/>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机构职能</w:t>
      </w:r>
      <w:r>
        <w:rPr>
          <w:rFonts w:hint="eastAsia" w:ascii="Times New Roman" w:hAnsi="Times New Roman" w:eastAsia="楷体_GB2312" w:cs="楷体_GB2312"/>
          <w:b/>
          <w:color w:val="auto"/>
          <w:sz w:val="32"/>
          <w:szCs w:val="32"/>
          <w:highlight w:val="none"/>
          <w:lang w:val="zh-CN"/>
        </w:rPr>
        <w:t>。</w:t>
      </w:r>
    </w:p>
    <w:p>
      <w:pPr>
        <w:numPr>
          <w:ilvl w:val="0"/>
          <w:numId w:val="0"/>
        </w:numPr>
        <w:spacing w:line="60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一、</w:t>
      </w:r>
      <w:r>
        <w:rPr>
          <w:rFonts w:hint="eastAsia" w:ascii="楷体_GB2312" w:hAnsi="楷体_GB2312" w:eastAsia="楷体_GB2312" w:cs="楷体_GB2312"/>
          <w:b/>
          <w:sz w:val="32"/>
          <w:szCs w:val="32"/>
        </w:rPr>
        <w:t>乡党委主要职责</w:t>
      </w:r>
    </w:p>
    <w:p>
      <w:pPr>
        <w:spacing w:line="600" w:lineRule="exact"/>
        <w:ind w:firstLine="617" w:firstLineChars="19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1．全面贯彻党的基本理论、基本路线、基本方略，宣传党的主张、落实党的决策部署，落实党中央、上级党组织及乡党员代表大会（党员大会）的决议，团结并组织党员、干部和群众，推动各项事业改革发展。</w:t>
      </w:r>
    </w:p>
    <w:p>
      <w:pPr>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2．讨论决定本乡加强党的建设、经济建设、政治建设、文化建设、社会建设、生态文明建设和乡村振兴、基层治理、公共服务、维护安全稳定、指导基层自治等方面的重大事项。</w:t>
      </w:r>
    </w:p>
    <w:p>
      <w:pPr>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3．领导乡政权机关、群团组织和其他各类组织，加强指导和规范，支持和保证各类机关和组织依照国家法律法规以及各自章程履行职责。</w:t>
      </w:r>
    </w:p>
    <w:p>
      <w:pPr>
        <w:numPr>
          <w:ilvl w:val="0"/>
          <w:numId w:val="4"/>
        </w:numPr>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全面从严治党主体责任，加强乡党委自身建设和村（社区）党组织建设，以及其他隶属乡党委的党组织建设，强化基层党组织的政治功能和服务功能。加强党员队伍建设，抓好党员教育管理和发展党员工作，发挥基层党组织战斗堡垒作用和党员先锋模范作用。履行党风廉政建设主体责任，监督党员干部和其他工作人员严格执行党的纪律和遵守国家法律法规。</w:t>
      </w:r>
    </w:p>
    <w:p>
      <w:pPr>
        <w:numPr>
          <w:ilvl w:val="0"/>
          <w:numId w:val="4"/>
        </w:numPr>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有关规定和干部管理权限，负责对干部的推荐、提名、教育、培训、选拔、考核、监督等工作。研究决定党员干部纪律处分有关事项。协助管理上级有关部门驻乡单位的干部。落实党的人才政策，做好人才服务和引进工作。</w:t>
      </w:r>
    </w:p>
    <w:p>
      <w:pPr>
        <w:numPr>
          <w:ilvl w:val="0"/>
          <w:numId w:val="4"/>
        </w:numPr>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坚持以党建为引领，加强基层治理体系建设，实现政府治理和社会调节、村（居）民自治良性互动，打造共建共治共享的基层治理格局。支持“两代表一委员”和统一战线成员在基层治理中积极发挥作用。</w:t>
      </w:r>
    </w:p>
    <w:p>
      <w:pPr>
        <w:numPr>
          <w:ilvl w:val="0"/>
          <w:numId w:val="4"/>
        </w:numPr>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加强社会主义民主法治建设和精神文明建设，培养和弘扬社会主义核心价值观，创造良好社会环境。</w:t>
      </w:r>
    </w:p>
    <w:p>
      <w:pPr>
        <w:numPr>
          <w:ilvl w:val="0"/>
          <w:numId w:val="4"/>
        </w:numPr>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社会治安综合治理，综合协调辖区内的城乡管理、人口管理、社会管理、安全管理、住宅小区和房屋管理等工作以及社会治安综合治理工作中的重大事项和难点问题，做好生态环保、美丽乡村建设、民生保障、脱贫攻坚、民族宗教等工作。</w:t>
      </w:r>
    </w:p>
    <w:p>
      <w:pPr>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9.完成上级党委交办的其他任务。</w:t>
      </w:r>
    </w:p>
    <w:p>
      <w:pPr>
        <w:spacing w:line="600" w:lineRule="exact"/>
        <w:ind w:firstLine="630" w:firstLineChars="196"/>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w:t>
      </w: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rPr>
        <w:t>乡人民政府主要职责</w:t>
      </w:r>
    </w:p>
    <w:p>
      <w:pPr>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1．贯彻落实党的路线方针政策和国家法律法规以及上级党委、政府的决议、决定和命令，执行乡党委和乡人民代表大会的决议，加强农村基层政权建设，巩固党在农村的执政基础。</w:t>
      </w:r>
    </w:p>
    <w:p>
      <w:pPr>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2．组织编制本行政区域经济社会发展规划和乡国土空间规划、村（社区）规划等有关规划。负责农村基础设施建设和各项公益事业发展，实施乡村振兴战略，加快经济社会发展，改善群众生产生活环境。</w:t>
      </w:r>
    </w:p>
    <w:p>
      <w:pPr>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3．指导农村经济发展，推进农业经济结构调整，促进经济增长方式转变，促进农业增效、农民增收。</w:t>
      </w:r>
    </w:p>
    <w:p>
      <w:pPr>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农村公共服务体系建设，抓好基础教育、科技、文化旅游、体育、卫生健康等工作，做好民政事务、就业培训、社会保障、社会救助、劳动关系协调、民族宗教、退役军人事务等工作，促进农村社会事业健康发展。</w:t>
      </w:r>
    </w:p>
    <w:p>
      <w:pPr>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5．加强社会管理，负责或配合区级有关部门做好辖区内自然资源、生态环境保护、市场监管、统计、粮食安全、供销合作、脱贫攻坚等工作。</w:t>
      </w:r>
    </w:p>
    <w:p>
      <w:pPr>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6．推进基层民主法制建设，加强普法依法治理，指导村（居）民委员会工作，维护群众合法权益。</w:t>
      </w:r>
    </w:p>
    <w:p>
      <w:pPr>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7．承担辖区内基层治理、平安建设、社会治安综合治理、公共安全、安全生产及应急管理等有关工作，处理群众来信来访，化解矛盾纠纷，维护社会安全稳定。</w:t>
      </w:r>
    </w:p>
    <w:p>
      <w:pPr>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8．负责制定完善权力清单、责任清单、公共服务清单等，建立清单动态调整和公示机制，推进政务公开，接受群众监督，增强政府公信力。</w:t>
      </w:r>
    </w:p>
    <w:p>
      <w:pPr>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9．负责国防教育、兵役征集、后备力量建设等有关工作。</w:t>
      </w:r>
    </w:p>
    <w:p>
      <w:pPr>
        <w:spacing w:line="600" w:lineRule="exact"/>
        <w:ind w:firstLine="627" w:firstLineChars="196"/>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仿宋_GB2312" w:hAnsi="仿宋_GB2312" w:eastAsia="仿宋_GB2312" w:cs="仿宋_GB2312"/>
          <w:sz w:val="32"/>
          <w:szCs w:val="32"/>
        </w:rPr>
        <w:t>10．承担法律、法规、规章规定的其他职责和上级党委、政府交办的其他任务。</w:t>
      </w:r>
    </w:p>
    <w:p>
      <w:pPr>
        <w:spacing w:line="360" w:lineRule="auto"/>
        <w:ind w:firstLineChars="200"/>
        <w:jc w:val="left"/>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eastAsia" w:ascii="仿宋_GB2312" w:hAnsi="仿宋" w:eastAsia="仿宋_GB2312"/>
          <w:sz w:val="32"/>
          <w:szCs w:val="32"/>
        </w:rPr>
        <w:t>本年度一般公共财政预算拨款开支行政人员16人，事业人员10人，三支一扶</w:t>
      </w:r>
      <w:r>
        <w:rPr>
          <w:rFonts w:hint="eastAsia" w:ascii="仿宋_GB2312" w:hAnsi="仿宋" w:eastAsia="仿宋_GB2312"/>
          <w:sz w:val="32"/>
          <w:szCs w:val="32"/>
          <w:lang w:val="en-US" w:eastAsia="zh-CN"/>
        </w:rPr>
        <w:t>9</w:t>
      </w:r>
      <w:r>
        <w:rPr>
          <w:rFonts w:hint="eastAsia" w:ascii="仿宋_GB2312" w:hAnsi="仿宋" w:eastAsia="仿宋_GB2312"/>
          <w:sz w:val="32"/>
          <w:szCs w:val="32"/>
        </w:rPr>
        <w:t>人，疫情社工岗2人，遗属3人。</w:t>
      </w: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2024年年初预算收入1172.63万元。决算报表收入1075.78万元。</w:t>
      </w:r>
      <w:r>
        <w:rPr>
          <w:rFonts w:hint="eastAsia" w:ascii="仿宋" w:hAnsi="仿宋" w:eastAsia="仿宋" w:cs="仿宋"/>
          <w:b w:val="0"/>
          <w:bCs w:val="0"/>
          <w:sz w:val="32"/>
          <w:szCs w:val="32"/>
          <w:lang w:eastAsia="zh-CN"/>
        </w:rPr>
        <w:t>其中：一般公共预算财政拨款收入</w:t>
      </w:r>
      <w:r>
        <w:rPr>
          <w:rFonts w:hint="eastAsia" w:ascii="仿宋" w:hAnsi="仿宋" w:eastAsia="仿宋" w:cs="仿宋"/>
          <w:b w:val="0"/>
          <w:bCs w:val="0"/>
          <w:sz w:val="32"/>
          <w:szCs w:val="32"/>
          <w:lang w:val="en-US" w:eastAsia="zh-CN"/>
        </w:rPr>
        <w:t>1034.08</w:t>
      </w:r>
      <w:r>
        <w:rPr>
          <w:rFonts w:hint="eastAsia" w:ascii="仿宋" w:hAnsi="仿宋" w:eastAsia="仿宋" w:cs="仿宋"/>
          <w:b w:val="0"/>
          <w:bCs w:val="0"/>
          <w:sz w:val="32"/>
          <w:szCs w:val="32"/>
          <w:lang w:eastAsia="zh-CN"/>
        </w:rPr>
        <w:t>万元，年初结转和结余</w:t>
      </w:r>
      <w:r>
        <w:rPr>
          <w:rFonts w:hint="eastAsia" w:ascii="仿宋" w:hAnsi="仿宋" w:eastAsia="仿宋" w:cs="仿宋"/>
          <w:b w:val="0"/>
          <w:bCs w:val="0"/>
          <w:sz w:val="32"/>
          <w:szCs w:val="32"/>
          <w:lang w:val="en-US" w:eastAsia="zh-CN"/>
        </w:rPr>
        <w:t>41.7</w:t>
      </w:r>
      <w:r>
        <w:rPr>
          <w:rFonts w:hint="eastAsia" w:ascii="仿宋" w:hAnsi="仿宋" w:eastAsia="仿宋" w:cs="仿宋"/>
          <w:b w:val="0"/>
          <w:bCs w:val="0"/>
          <w:sz w:val="32"/>
          <w:szCs w:val="32"/>
          <w:lang w:eastAsia="zh-CN"/>
        </w:rPr>
        <w:t>万元。</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en-US" w:eastAsia="zh-CN"/>
        </w:rPr>
        <w:t>2024年年</w:t>
      </w:r>
      <w:r>
        <w:rPr>
          <w:rFonts w:hint="eastAsia" w:ascii="仿宋" w:hAnsi="仿宋" w:eastAsia="仿宋" w:cs="仿宋"/>
          <w:sz w:val="32"/>
          <w:szCs w:val="32"/>
          <w:lang w:val="en-US" w:eastAsia="zh-CN"/>
        </w:rPr>
        <w:t>初预算支出1172.62万元、决算报表支出1075.78万元。</w:t>
      </w:r>
      <w:r>
        <w:rPr>
          <w:rFonts w:hint="eastAsia" w:ascii="仿宋" w:hAnsi="仿宋" w:eastAsia="仿宋" w:cs="仿宋"/>
          <w:b w:val="0"/>
          <w:bCs w:val="0"/>
          <w:kern w:val="2"/>
          <w:sz w:val="32"/>
          <w:szCs w:val="32"/>
          <w:lang w:val="en-US" w:eastAsia="zh-CN" w:bidi="ar"/>
        </w:rPr>
        <w:t>其中：基本支出820.93万元，项目支出213.15万元，结转结余41.7万元。</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eastAsia" w:ascii="Times New Roman" w:hAnsi="Times New Roman" w:eastAsia="仿宋_GB2312" w:cs="Times New Roman"/>
          <w:sz w:val="32"/>
          <w:szCs w:val="32"/>
          <w:lang w:val="en-US" w:eastAsia="zh-CN"/>
        </w:rPr>
        <w:t>2024年决算报表</w:t>
      </w:r>
      <w:r>
        <w:rPr>
          <w:rFonts w:hint="default" w:ascii="Times New Roman" w:hAnsi="Times New Roman" w:eastAsia="仿宋_GB2312" w:cs="Times New Roman"/>
          <w:sz w:val="32"/>
          <w:szCs w:val="32"/>
          <w:lang w:val="en-US" w:eastAsia="zh-CN"/>
        </w:rPr>
        <w:t>结转结余</w:t>
      </w:r>
      <w:r>
        <w:rPr>
          <w:rFonts w:hint="eastAsia" w:eastAsia="仿宋_GB2312" w:cs="Times New Roman"/>
          <w:sz w:val="32"/>
          <w:szCs w:val="32"/>
          <w:lang w:val="en-US" w:eastAsia="zh-CN"/>
        </w:rPr>
        <w:t>41.7万元</w:t>
      </w:r>
      <w:r>
        <w:rPr>
          <w:rFonts w:hint="default" w:ascii="Times New Roman" w:hAnsi="Times New Roman" w:eastAsia="仿宋_GB2312" w:cs="Times New Roman"/>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pPr>
        <w:spacing w:line="560" w:lineRule="exact"/>
        <w:ind w:firstLine="643" w:firstLineChars="200"/>
        <w:jc w:val="left"/>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1、预算编制。</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按照区财政局部门预算编制通知要求，按时完成部门年初预算编制工作。在编制过程中，认真核实单位实际财政供养人数和单位实有编制情况，正确编制人员经费和公用经费等，做到尽量细化项目资金支出预算范围和科目，及时上报预算股进行审核，对所编制的预算予以调整通过。</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2、认真编制年度决算报表。</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为真实、准确反应单位年度财务收、支情况，根据区财政局的要求，认真开展部门年度决算报表编制工作。按照政府收支分类科目和财务报表支出情况编制部门决算，决算收入、支出口径与财政局财政大平台及我乡财务账、会计帐核对无误，报表编制无差错。</w:t>
      </w:r>
    </w:p>
    <w:p>
      <w:pPr>
        <w:snapToGrid w:val="0"/>
        <w:spacing w:line="520" w:lineRule="exact"/>
        <w:ind w:firstLine="640" w:firstLineChars="200"/>
        <w:rPr>
          <w:rFonts w:hint="eastAsia" w:ascii="Times New Roman" w:hAnsi="Times New Roman" w:eastAsia="仿宋_GB2312" w:cs="仿宋_GB2312"/>
          <w:color w:val="auto"/>
          <w:kern w:val="2"/>
          <w:sz w:val="32"/>
          <w:szCs w:val="32"/>
          <w:highlight w:val="none"/>
          <w:lang w:val="zh-CN" w:eastAsia="zh-CN" w:bidi="ar-SA"/>
        </w:rPr>
      </w:pPr>
      <w:r>
        <w:rPr>
          <w:rFonts w:hint="eastAsia" w:ascii="仿宋" w:hAnsi="仿宋" w:eastAsia="仿宋" w:cs="仿宋"/>
          <w:sz w:val="32"/>
          <w:szCs w:val="32"/>
        </w:rPr>
        <w:t>完成预算数100%。无违规记录。</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left"/>
        <w:textAlignment w:val="auto"/>
        <w:rPr>
          <w:rFonts w:hint="default" w:ascii="仿宋_GB2312" w:eastAsia="仿宋_GB2312"/>
          <w:color w:val="auto"/>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ascii="仿宋_GB2312" w:eastAsia="仿宋_GB2312"/>
          <w:color w:val="auto"/>
          <w:sz w:val="32"/>
          <w:szCs w:val="32"/>
        </w:rPr>
        <w:t>按照预算绩效管理要求，本部门对</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年一般公共预算项目支出开展了绩效目标管理，共编制绩效目标</w:t>
      </w:r>
      <w:r>
        <w:rPr>
          <w:rFonts w:hint="eastAsia" w:ascii="仿宋_GB2312" w:eastAsia="仿宋_GB2312"/>
          <w:color w:val="auto"/>
          <w:sz w:val="32"/>
          <w:szCs w:val="32"/>
          <w:lang w:val="en-US" w:eastAsia="zh-CN"/>
        </w:rPr>
        <w:t>16</w:t>
      </w:r>
      <w:r>
        <w:rPr>
          <w:rFonts w:hint="eastAsia" w:ascii="仿宋_GB2312" w:eastAsia="仿宋_GB2312"/>
          <w:color w:val="auto"/>
          <w:sz w:val="32"/>
          <w:szCs w:val="32"/>
        </w:rPr>
        <w:t>个，涉及财政</w:t>
      </w:r>
      <w:r>
        <w:rPr>
          <w:rFonts w:hint="eastAsia" w:ascii="仿宋_GB2312" w:eastAsia="仿宋_GB2312"/>
          <w:color w:val="auto"/>
          <w:sz w:val="32"/>
          <w:szCs w:val="32"/>
          <w:highlight w:val="none"/>
        </w:rPr>
        <w:t>资金</w:t>
      </w:r>
      <w:r>
        <w:rPr>
          <w:rFonts w:hint="eastAsia" w:ascii="仿宋_GB2312" w:eastAsia="仿宋_GB2312"/>
          <w:color w:val="auto"/>
          <w:sz w:val="32"/>
          <w:szCs w:val="32"/>
          <w:highlight w:val="none"/>
          <w:lang w:val="en-US" w:eastAsia="zh-CN"/>
        </w:rPr>
        <w:t>115.03</w:t>
      </w:r>
      <w:r>
        <w:rPr>
          <w:rFonts w:hint="eastAsia" w:ascii="仿宋_GB2312" w:eastAsia="仿宋_GB2312"/>
          <w:color w:val="auto"/>
          <w:sz w:val="32"/>
          <w:szCs w:val="32"/>
          <w:highlight w:val="none"/>
        </w:rPr>
        <w:t>万元，覆盖率达到</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，具体项目如下：</w:t>
      </w:r>
    </w:p>
    <w:p>
      <w:pPr>
        <w:keepNext w:val="0"/>
        <w:keepLines w:val="0"/>
        <w:pageBreakBefore w:val="0"/>
        <w:widowControl w:val="0"/>
        <w:numPr>
          <w:ilvl w:val="0"/>
          <w:numId w:val="5"/>
        </w:numPr>
        <w:kinsoku/>
        <w:wordWrap/>
        <w:overflowPunct/>
        <w:topLinePunct w:val="0"/>
        <w:autoSpaceDE w:val="0"/>
        <w:autoSpaceDN w:val="0"/>
        <w:bidi w:val="0"/>
        <w:adjustRightInd w:val="0"/>
        <w:spacing w:line="600" w:lineRule="exact"/>
        <w:ind w:left="320" w:leftChars="0" w:firstLine="640" w:firstLineChars="0"/>
        <w:jc w:val="left"/>
        <w:textAlignment w:val="auto"/>
        <w:rPr>
          <w:rFonts w:hint="eastAsia"/>
          <w:color w:val="auto"/>
          <w:sz w:val="32"/>
          <w:szCs w:val="32"/>
          <w:highlight w:val="none"/>
          <w:lang w:val="zh-CN"/>
        </w:rPr>
      </w:pPr>
      <w:r>
        <w:rPr>
          <w:rFonts w:hint="eastAsia" w:ascii="仿宋_GB2312" w:eastAsia="仿宋_GB2312"/>
          <w:color w:val="auto"/>
          <w:sz w:val="32"/>
          <w:szCs w:val="32"/>
          <w:highlight w:val="none"/>
          <w:lang w:eastAsia="zh-CN"/>
        </w:rPr>
        <w:t>乡村振兴工作经费</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default" w:ascii="Helvetica" w:hAnsi="Helvetica" w:eastAsia="仿宋_GB2312" w:cs="Helvetica"/>
          <w:i w:val="0"/>
          <w:caps w:val="0"/>
          <w:color w:val="auto"/>
          <w:spacing w:val="0"/>
          <w:sz w:val="24"/>
          <w:szCs w:val="24"/>
          <w:shd w:val="clear" w:color="auto" w:fill="FFFFFF"/>
          <w:lang w:val="en-US" w:eastAsia="zh-CN"/>
        </w:rPr>
      </w:pPr>
      <w:r>
        <w:rPr>
          <w:rFonts w:hint="eastAsia" w:ascii="仿宋_GB2312" w:hAnsi="宋体" w:eastAsia="仿宋_GB2312" w:cs="Times New Roman"/>
          <w:color w:val="auto"/>
          <w:sz w:val="32"/>
          <w:szCs w:val="32"/>
        </w:rPr>
        <w:t>以习近平新时代中国特色社会主义思想为指导</w:t>
      </w:r>
      <w:r>
        <w:rPr>
          <w:rFonts w:hint="eastAsia" w:ascii="仿宋_GB2312" w:hAnsi="宋体" w:eastAsia="仿宋_GB2312" w:cs="Times New Roman"/>
          <w:color w:val="auto"/>
          <w:sz w:val="32"/>
          <w:szCs w:val="32"/>
          <w:lang w:val="en-US" w:eastAsia="zh-CN"/>
        </w:rPr>
        <w:t>和</w:t>
      </w:r>
      <w:r>
        <w:rPr>
          <w:rFonts w:hint="eastAsia" w:ascii="仿宋_GB2312" w:hAnsi="宋体" w:eastAsia="仿宋_GB2312" w:cs="Times New Roman"/>
          <w:color w:val="auto"/>
          <w:sz w:val="32"/>
          <w:szCs w:val="32"/>
        </w:rPr>
        <w:t>贯彻党的十九大精神，认真落实上级关于脱贫攻坚决策部署，牢固树立和贯彻落实新发展理念，以实现贫困村全面出列和贫困人口稳定脱贫为目标，全面压实工作责任，抓好抓实绩效考核，理顺机制，完善制度，</w:t>
      </w:r>
      <w:r>
        <w:rPr>
          <w:rFonts w:hint="default" w:ascii="仿宋_GB2312" w:hAnsi="宋体" w:eastAsia="仿宋_GB2312" w:cs="Times New Roman"/>
          <w:color w:val="auto"/>
          <w:sz w:val="32"/>
          <w:szCs w:val="32"/>
        </w:rPr>
        <w:t>完成各项工作</w:t>
      </w:r>
      <w:r>
        <w:rPr>
          <w:rFonts w:hint="eastAsia" w:ascii="仿宋_GB2312" w:hAnsi="宋体" w:eastAsia="仿宋_GB2312" w:cs="Times New Roman"/>
          <w:color w:val="auto"/>
          <w:sz w:val="32"/>
          <w:szCs w:val="32"/>
          <w:lang w:eastAsia="zh-CN"/>
        </w:rPr>
        <w:t>任务。年度预算</w:t>
      </w:r>
      <w:r>
        <w:rPr>
          <w:rFonts w:hint="eastAsia" w:ascii="方正仿宋_GB18030" w:hAnsi="方正仿宋_GB18030" w:eastAsia="方正仿宋_GB18030" w:cs="方正仿宋_GB18030"/>
          <w:color w:val="auto"/>
          <w:sz w:val="32"/>
          <w:szCs w:val="32"/>
          <w:lang w:eastAsia="zh-CN"/>
        </w:rPr>
        <w:t>经费</w:t>
      </w:r>
      <w:r>
        <w:rPr>
          <w:rFonts w:hint="eastAsia" w:ascii="方正仿宋_GB18030" w:hAnsi="方正仿宋_GB18030" w:eastAsia="方正仿宋_GB18030" w:cs="方正仿宋_GB18030"/>
          <w:color w:val="auto"/>
          <w:sz w:val="32"/>
          <w:szCs w:val="32"/>
          <w:lang w:val="en-US" w:eastAsia="zh-CN"/>
        </w:rPr>
        <w:t>5万元，实际支付5万元，预算执行率100%，主要用于</w:t>
      </w:r>
      <w:r>
        <w:rPr>
          <w:rFonts w:hint="eastAsia" w:ascii="仿宋_GB2312" w:hAnsi="宋体" w:eastAsia="仿宋_GB2312" w:cs="Times New Roman"/>
          <w:color w:val="auto"/>
          <w:sz w:val="32"/>
          <w:szCs w:val="32"/>
          <w:lang w:val="en-US" w:eastAsia="zh-CN"/>
        </w:rPr>
        <w:t>与乡村振兴工作相关支出。</w:t>
      </w:r>
    </w:p>
    <w:p>
      <w:pPr>
        <w:keepNext w:val="0"/>
        <w:keepLines w:val="0"/>
        <w:pageBreakBefore w:val="0"/>
        <w:widowControl w:val="0"/>
        <w:numPr>
          <w:ilvl w:val="0"/>
          <w:numId w:val="5"/>
        </w:numPr>
        <w:kinsoku/>
        <w:wordWrap/>
        <w:overflowPunct/>
        <w:topLinePunct w:val="0"/>
        <w:autoSpaceDE w:val="0"/>
        <w:autoSpaceDN w:val="0"/>
        <w:bidi w:val="0"/>
        <w:adjustRightInd w:val="0"/>
        <w:spacing w:line="600" w:lineRule="exact"/>
        <w:ind w:left="320" w:leftChars="0" w:firstLine="640" w:firstLineChars="0"/>
        <w:jc w:val="left"/>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i w:val="0"/>
          <w:iCs w:val="0"/>
          <w:color w:val="auto"/>
          <w:kern w:val="0"/>
          <w:sz w:val="32"/>
          <w:szCs w:val="32"/>
          <w:u w:val="none"/>
          <w:lang w:val="en-US" w:eastAsia="zh-CN" w:bidi="ar"/>
        </w:rPr>
        <w:t>武装工作经费</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乡镇基层人民武装部肩负着党的人民武装事业的崇高使命，承担着兵役、动员工作的重大责任，是一级不可或缺的组织，为发挥好乡镇基层人民武装部基础作用，发挥国防动员和后备力量建设的成效，急需解决乡镇基层人民武装部年度武装工作经费，经费解决后，我乡基层人民武装部将更好地组织基层民兵充分发挥战时应战，急时应急作用，进一步提升民兵避灾救灾能力。确保我乡人民群众生命财产安全。年度经费预算5万元、实际支付5万元，预算执行率100%。</w:t>
      </w:r>
    </w:p>
    <w:p>
      <w:pPr>
        <w:keepNext w:val="0"/>
        <w:keepLines w:val="0"/>
        <w:pageBreakBefore w:val="0"/>
        <w:widowControl w:val="0"/>
        <w:numPr>
          <w:ilvl w:val="0"/>
          <w:numId w:val="5"/>
        </w:numPr>
        <w:kinsoku/>
        <w:wordWrap/>
        <w:overflowPunct/>
        <w:topLinePunct w:val="0"/>
        <w:autoSpaceDE w:val="0"/>
        <w:autoSpaceDN w:val="0"/>
        <w:bidi w:val="0"/>
        <w:adjustRightInd w:val="0"/>
        <w:spacing w:line="600" w:lineRule="exact"/>
        <w:ind w:left="320" w:leftChars="0" w:firstLine="640" w:firstLineChars="0"/>
        <w:jc w:val="left"/>
        <w:textAlignment w:val="auto"/>
        <w:rPr>
          <w:rFonts w:hint="eastAsia" w:ascii="仿宋_GB2312" w:eastAsia="仿宋_GB2312"/>
          <w:color w:val="auto"/>
          <w:sz w:val="32"/>
          <w:szCs w:val="32"/>
          <w:highlight w:val="none"/>
          <w:lang w:eastAsia="zh-CN"/>
        </w:rPr>
      </w:pPr>
      <w:r>
        <w:rPr>
          <w:rFonts w:hint="eastAsia" w:ascii="仿宋_GB2312" w:hAnsi="仿宋_GB2312" w:eastAsia="仿宋_GB2312" w:cs="仿宋_GB2312"/>
          <w:i w:val="0"/>
          <w:iCs w:val="0"/>
          <w:color w:val="auto"/>
          <w:kern w:val="0"/>
          <w:sz w:val="32"/>
          <w:szCs w:val="32"/>
          <w:u w:val="none"/>
          <w:lang w:val="en-US" w:eastAsia="zh-CN" w:bidi="ar"/>
        </w:rPr>
        <w:t>安全监管工作经费</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eastAsia"/>
          <w:color w:val="auto"/>
          <w:lang w:eastAsia="zh-CN"/>
        </w:rPr>
      </w:pPr>
      <w:r>
        <w:rPr>
          <w:rFonts w:hint="eastAsia" w:ascii="仿宋_GB2312" w:hAnsi="宋体" w:eastAsia="仿宋_GB2312" w:cs="Times New Roman"/>
          <w:color w:val="auto"/>
          <w:sz w:val="32"/>
          <w:szCs w:val="32"/>
          <w:lang w:eastAsia="zh-CN"/>
        </w:rPr>
        <w:t>本项目主要用于乡村两级公安安全基础设施建设，消除公共安全隐患，交通安全排查，安全生产应急救援，安全宣传教育和安全监管等工作，用于保障人民生命财产安全，维护社会稳定。</w:t>
      </w:r>
      <w:r>
        <w:rPr>
          <w:rFonts w:hint="eastAsia" w:ascii="仿宋_GB2312" w:hAnsi="宋体" w:eastAsia="仿宋_GB2312"/>
          <w:color w:val="auto"/>
          <w:sz w:val="32"/>
          <w:szCs w:val="32"/>
          <w:lang w:eastAsia="zh-CN"/>
        </w:rPr>
        <w:t>年度工作经费预计为</w:t>
      </w:r>
      <w:r>
        <w:rPr>
          <w:rFonts w:hint="eastAsia" w:ascii="仿宋_GB2312" w:hAnsi="宋体" w:eastAsia="仿宋_GB2312"/>
          <w:color w:val="auto"/>
          <w:sz w:val="32"/>
          <w:szCs w:val="32"/>
          <w:lang w:val="en-US" w:eastAsia="zh-CN"/>
        </w:rPr>
        <w:t>4.56万元，实际支出4.56万元，预算执行率为100%。</w:t>
      </w:r>
    </w:p>
    <w:p>
      <w:pPr>
        <w:keepNext w:val="0"/>
        <w:keepLines w:val="0"/>
        <w:pageBreakBefore w:val="0"/>
        <w:widowControl w:val="0"/>
        <w:numPr>
          <w:ilvl w:val="0"/>
          <w:numId w:val="5"/>
        </w:numPr>
        <w:kinsoku/>
        <w:wordWrap/>
        <w:overflowPunct/>
        <w:topLinePunct w:val="0"/>
        <w:autoSpaceDE w:val="0"/>
        <w:autoSpaceDN w:val="0"/>
        <w:bidi w:val="0"/>
        <w:adjustRightInd w:val="0"/>
        <w:spacing w:line="600" w:lineRule="exact"/>
        <w:ind w:left="320" w:leftChars="0" w:firstLine="640" w:firstLineChars="0"/>
        <w:jc w:val="left"/>
        <w:textAlignment w:val="auto"/>
        <w:rPr>
          <w:rFonts w:hint="eastAsia" w:ascii="方正仿宋_GB2312" w:hAnsi="方正仿宋_GB2312" w:eastAsia="方正仿宋_GB2312" w:cs="方正仿宋_GB2312"/>
          <w:color w:val="auto"/>
          <w:sz w:val="32"/>
          <w:szCs w:val="32"/>
          <w:lang w:val="zh-CN"/>
        </w:rPr>
      </w:pPr>
      <w:r>
        <w:rPr>
          <w:rFonts w:hint="eastAsia" w:ascii="方正仿宋_GB2312" w:hAnsi="方正仿宋_GB2312" w:eastAsia="方正仿宋_GB2312" w:cs="方正仿宋_GB2312"/>
          <w:i w:val="0"/>
          <w:iCs w:val="0"/>
          <w:color w:val="auto"/>
          <w:kern w:val="0"/>
          <w:sz w:val="32"/>
          <w:szCs w:val="32"/>
          <w:u w:val="none"/>
          <w:lang w:val="en-US" w:eastAsia="zh-CN" w:bidi="ar"/>
        </w:rPr>
        <w:t>驻村工作队经费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color w:val="auto"/>
          <w:lang w:val="en-US"/>
        </w:rPr>
      </w:pPr>
      <w:r>
        <w:rPr>
          <w:rFonts w:hint="eastAsia" w:ascii="仿宋_GB2312" w:hAnsi="宋体" w:eastAsia="仿宋_GB2312"/>
          <w:color w:val="auto"/>
          <w:sz w:val="32"/>
          <w:szCs w:val="32"/>
          <w:lang w:eastAsia="zh-CN"/>
        </w:rPr>
        <w:t>本项目主要用于驻村工作队在村工作期间的经费开支，为驻村工作队员紧紧围绕党的政策、建强基层组织、推动精准扶贫、为民办事服务一系列活动提供有力财政支撑。</w:t>
      </w:r>
      <w:r>
        <w:rPr>
          <w:rFonts w:hint="eastAsia" w:ascii="仿宋_GB2312" w:hAnsi="宋体" w:eastAsia="仿宋_GB2312"/>
          <w:color w:val="auto"/>
          <w:sz w:val="32"/>
          <w:szCs w:val="32"/>
          <w:lang w:val="en-US" w:eastAsia="zh-CN"/>
        </w:rPr>
        <w:t>年初预算2万元，实际支付0.76万元，预算执行率38%。</w:t>
      </w:r>
    </w:p>
    <w:p>
      <w:pPr>
        <w:keepNext w:val="0"/>
        <w:keepLines w:val="0"/>
        <w:pageBreakBefore w:val="0"/>
        <w:widowControl w:val="0"/>
        <w:numPr>
          <w:ilvl w:val="0"/>
          <w:numId w:val="5"/>
        </w:numPr>
        <w:kinsoku/>
        <w:wordWrap/>
        <w:overflowPunct/>
        <w:topLinePunct w:val="0"/>
        <w:autoSpaceDE w:val="0"/>
        <w:autoSpaceDN w:val="0"/>
        <w:bidi w:val="0"/>
        <w:adjustRightInd w:val="0"/>
        <w:spacing w:line="600" w:lineRule="exact"/>
        <w:ind w:left="320" w:leftChars="0" w:firstLine="640" w:firstLineChars="0"/>
        <w:jc w:val="left"/>
        <w:textAlignment w:val="auto"/>
        <w:rPr>
          <w:rFonts w:hint="eastAsia"/>
          <w:color w:val="auto"/>
          <w:sz w:val="32"/>
          <w:szCs w:val="32"/>
          <w:lang w:val="zh-CN"/>
        </w:rPr>
      </w:pPr>
      <w:r>
        <w:rPr>
          <w:rFonts w:hint="eastAsia" w:ascii="仿宋_GB2312" w:hAnsi="仿宋_GB2312" w:eastAsia="仿宋_GB2312" w:cs="仿宋_GB2312"/>
          <w:i w:val="0"/>
          <w:iCs w:val="0"/>
          <w:color w:val="auto"/>
          <w:kern w:val="0"/>
          <w:sz w:val="32"/>
          <w:szCs w:val="32"/>
          <w:u w:val="none"/>
          <w:lang w:val="en-US" w:eastAsia="zh-CN" w:bidi="ar"/>
        </w:rPr>
        <w:t>社区戒毒社区康复工作经费</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default"/>
          <w:color w:val="auto"/>
          <w:lang w:val="en-US"/>
        </w:rPr>
      </w:pPr>
      <w:r>
        <w:rPr>
          <w:rFonts w:hint="eastAsia" w:ascii="仿宋_GB2312" w:hAnsi="宋体" w:eastAsia="仿宋_GB2312"/>
          <w:color w:val="auto"/>
          <w:sz w:val="32"/>
          <w:szCs w:val="32"/>
          <w:lang w:eastAsia="zh-CN"/>
        </w:rPr>
        <w:t>本项目主要用于本单位戒毒站工作开展，</w:t>
      </w:r>
      <w:r>
        <w:rPr>
          <w:rFonts w:hint="eastAsia" w:ascii="仿宋_GB2312" w:hAnsi="宋体" w:eastAsia="仿宋_GB2312"/>
          <w:color w:val="auto"/>
          <w:sz w:val="32"/>
          <w:szCs w:val="32"/>
          <w:lang w:val="en-US" w:eastAsia="zh-CN"/>
        </w:rPr>
        <w:t>通过对毒品违法犯罪的打击和预防宣传教育，提高公民的禁毒意识，有效遏制毒品违法犯罪的发展蔓延趋势；开展禁种铲毒工作，开展社区戒毒社区康复，提高对吸毒人员的管控能力，有效减少毒品危害。年度预算经费0.5万元，实际支付0.5，预算执行率100%。</w:t>
      </w:r>
    </w:p>
    <w:p>
      <w:pPr>
        <w:keepNext w:val="0"/>
        <w:keepLines w:val="0"/>
        <w:pageBreakBefore w:val="0"/>
        <w:widowControl w:val="0"/>
        <w:numPr>
          <w:ilvl w:val="0"/>
          <w:numId w:val="5"/>
        </w:numPr>
        <w:kinsoku/>
        <w:wordWrap/>
        <w:overflowPunct/>
        <w:topLinePunct w:val="0"/>
        <w:autoSpaceDE w:val="0"/>
        <w:autoSpaceDN w:val="0"/>
        <w:bidi w:val="0"/>
        <w:adjustRightInd w:val="0"/>
        <w:spacing w:line="600" w:lineRule="exact"/>
        <w:ind w:left="320" w:leftChars="0" w:firstLine="640" w:firstLineChars="0"/>
        <w:jc w:val="left"/>
        <w:textAlignment w:val="auto"/>
        <w:rPr>
          <w:rFonts w:hint="eastAsia"/>
          <w:color w:val="auto"/>
          <w:sz w:val="32"/>
          <w:szCs w:val="32"/>
          <w:lang w:val="zh-CN"/>
        </w:rPr>
      </w:pPr>
      <w:r>
        <w:rPr>
          <w:rFonts w:hint="eastAsia" w:ascii="仿宋_GB2312" w:hAnsi="仿宋_GB2312" w:eastAsia="仿宋_GB2312" w:cs="仿宋_GB2312"/>
          <w:i w:val="0"/>
          <w:iCs w:val="0"/>
          <w:color w:val="auto"/>
          <w:kern w:val="0"/>
          <w:sz w:val="32"/>
          <w:szCs w:val="32"/>
          <w:u w:val="none"/>
          <w:lang w:val="en-US" w:eastAsia="zh-CN" w:bidi="ar"/>
        </w:rPr>
        <w:t>乡镇生活垃圾清运费</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eastAsia"/>
          <w:color w:val="auto"/>
          <w:lang w:val="zh-CN"/>
        </w:rPr>
      </w:pPr>
      <w:r>
        <w:rPr>
          <w:rFonts w:hint="eastAsia" w:ascii="仿宋_GB2312" w:hAnsi="宋体" w:eastAsia="仿宋_GB2312"/>
          <w:color w:val="auto"/>
          <w:sz w:val="32"/>
          <w:szCs w:val="32"/>
          <w:lang w:eastAsia="zh-CN"/>
        </w:rPr>
        <w:t>本项目主要用于农村垃圾清远，实现农村垃圾</w:t>
      </w:r>
      <w:r>
        <w:rPr>
          <w:rFonts w:hint="eastAsia" w:ascii="仿宋_GB2312" w:hAnsi="宋体" w:eastAsia="仿宋_GB2312"/>
          <w:color w:val="auto"/>
          <w:sz w:val="32"/>
          <w:szCs w:val="32"/>
          <w:lang w:val="en-US" w:eastAsia="zh-CN"/>
        </w:rPr>
        <w:t>清运</w:t>
      </w:r>
      <w:r>
        <w:rPr>
          <w:rFonts w:hint="eastAsia" w:ascii="仿宋_GB2312" w:hAnsi="宋体" w:eastAsia="仿宋_GB2312"/>
          <w:color w:val="auto"/>
          <w:sz w:val="32"/>
          <w:szCs w:val="32"/>
          <w:lang w:eastAsia="zh-CN"/>
        </w:rPr>
        <w:t>专业化，致力于改变农村环境脏乱差的现状。党的十九大明确要求开展农村人居环境政治行动，</w:t>
      </w:r>
      <w:r>
        <w:rPr>
          <w:rFonts w:hint="eastAsia" w:ascii="仿宋_GB2312" w:hAnsi="宋体" w:eastAsia="仿宋_GB2312"/>
          <w:color w:val="auto"/>
          <w:sz w:val="32"/>
          <w:szCs w:val="32"/>
          <w:lang w:val="en-US" w:eastAsia="zh-CN"/>
        </w:rPr>
        <w:t>2018年提出《农村人居环境整治三年行动方案》，以三年为期</w:t>
      </w:r>
      <w:r>
        <w:rPr>
          <w:rFonts w:hint="eastAsia" w:ascii="仿宋_GB2312" w:hAnsi="宋体" w:eastAsia="仿宋_GB2312"/>
          <w:color w:val="auto"/>
          <w:sz w:val="32"/>
          <w:szCs w:val="32"/>
          <w:lang w:eastAsia="zh-CN"/>
        </w:rPr>
        <w:t>改变农村垃圾随处可见的脏乱状况，让农村环境基本干净整洁有序，增强农民幸福感，大幅改善人居环境，让乡村更美，更宜居。</w:t>
      </w:r>
      <w:r>
        <w:rPr>
          <w:rFonts w:hint="eastAsia" w:ascii="仿宋_GB2312" w:hAnsi="宋体" w:eastAsia="仿宋_GB2312"/>
          <w:color w:val="auto"/>
          <w:sz w:val="32"/>
          <w:szCs w:val="32"/>
          <w:lang w:val="en-US" w:eastAsia="zh-CN"/>
        </w:rPr>
        <w:t>年度预算经费25万，实际支付23.76万，预算执行率95%。</w:t>
      </w:r>
    </w:p>
    <w:p>
      <w:pPr>
        <w:keepNext w:val="0"/>
        <w:keepLines w:val="0"/>
        <w:pageBreakBefore w:val="0"/>
        <w:widowControl w:val="0"/>
        <w:numPr>
          <w:ilvl w:val="0"/>
          <w:numId w:val="5"/>
        </w:numPr>
        <w:kinsoku/>
        <w:wordWrap/>
        <w:overflowPunct/>
        <w:topLinePunct w:val="0"/>
        <w:autoSpaceDE w:val="0"/>
        <w:autoSpaceDN w:val="0"/>
        <w:bidi w:val="0"/>
        <w:adjustRightInd w:val="0"/>
        <w:spacing w:line="600" w:lineRule="exact"/>
        <w:ind w:left="320" w:leftChars="0" w:firstLine="640" w:firstLineChars="0"/>
        <w:jc w:val="left"/>
        <w:textAlignment w:val="auto"/>
        <w:rPr>
          <w:rFonts w:hint="eastAsia"/>
          <w:color w:val="auto"/>
          <w:sz w:val="32"/>
          <w:szCs w:val="32"/>
          <w:lang w:val="zh-CN"/>
        </w:rPr>
      </w:pPr>
      <w:r>
        <w:rPr>
          <w:rFonts w:hint="eastAsia" w:ascii="仿宋_GB2312" w:hAnsi="仿宋_GB2312" w:eastAsia="仿宋_GB2312" w:cs="仿宋_GB2312"/>
          <w:i w:val="0"/>
          <w:iCs w:val="0"/>
          <w:color w:val="auto"/>
          <w:kern w:val="0"/>
          <w:sz w:val="32"/>
          <w:szCs w:val="32"/>
          <w:u w:val="none"/>
          <w:lang w:val="en-US" w:eastAsia="zh-CN" w:bidi="ar"/>
        </w:rPr>
        <w:t>农村公益性岗位工作支出</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default"/>
          <w:color w:val="auto"/>
          <w:lang w:val="en-US"/>
        </w:rPr>
      </w:pPr>
      <w:r>
        <w:rPr>
          <w:rFonts w:hint="eastAsia" w:ascii="仿宋_GB2312" w:hAnsi="宋体" w:eastAsia="仿宋_GB2312"/>
          <w:color w:val="auto"/>
          <w:sz w:val="32"/>
          <w:szCs w:val="32"/>
          <w:lang w:eastAsia="zh-CN"/>
        </w:rPr>
        <w:t>本项目主要用于购买</w:t>
      </w:r>
      <w:r>
        <w:rPr>
          <w:rFonts w:hint="eastAsia" w:ascii="仿宋_GB2312" w:hAnsi="宋体" w:eastAsia="仿宋_GB2312"/>
          <w:color w:val="auto"/>
          <w:sz w:val="32"/>
          <w:szCs w:val="32"/>
          <w:lang w:val="en-US" w:eastAsia="zh-CN"/>
        </w:rPr>
        <w:t>农村</w:t>
      </w:r>
      <w:r>
        <w:rPr>
          <w:rFonts w:hint="eastAsia" w:ascii="仿宋_GB2312" w:hAnsi="宋体" w:eastAsia="仿宋_GB2312"/>
          <w:color w:val="auto"/>
          <w:sz w:val="32"/>
          <w:szCs w:val="32"/>
          <w:lang w:eastAsia="zh-CN"/>
        </w:rPr>
        <w:t>公益性岗位工伤保险，是保障公益性岗位群众</w:t>
      </w:r>
      <w:r>
        <w:rPr>
          <w:rFonts w:hint="eastAsia" w:ascii="仿宋_GB2312" w:hAnsi="宋体" w:eastAsia="仿宋_GB2312"/>
          <w:color w:val="auto"/>
          <w:sz w:val="32"/>
          <w:szCs w:val="32"/>
          <w:lang w:val="en-US" w:eastAsia="zh-CN"/>
        </w:rPr>
        <w:t>工伤、工亡后</w:t>
      </w:r>
      <w:r>
        <w:rPr>
          <w:rFonts w:hint="eastAsia" w:ascii="仿宋_GB2312" w:hAnsi="宋体" w:eastAsia="仿宋_GB2312"/>
          <w:color w:val="auto"/>
          <w:sz w:val="32"/>
          <w:szCs w:val="32"/>
          <w:lang w:eastAsia="zh-CN"/>
        </w:rPr>
        <w:t>的医疗和基本生活，解决</w:t>
      </w:r>
      <w:r>
        <w:rPr>
          <w:rFonts w:hint="eastAsia" w:ascii="仿宋_GB2312" w:hAnsi="宋体" w:eastAsia="仿宋_GB2312" w:cs="Times New Roman"/>
          <w:color w:val="auto"/>
          <w:sz w:val="32"/>
          <w:szCs w:val="32"/>
          <w:lang w:eastAsia="zh-CN"/>
        </w:rPr>
        <w:t>群众和家属的后顾之忧的必要举措，避免因病、因伤致贫返贫，受益人明确。年度工作经费</w:t>
      </w:r>
      <w:r>
        <w:rPr>
          <w:rFonts w:hint="eastAsia" w:ascii="仿宋_GB2312" w:hAnsi="宋体" w:eastAsia="仿宋_GB2312" w:cs="Times New Roman"/>
          <w:color w:val="auto"/>
          <w:sz w:val="32"/>
          <w:szCs w:val="32"/>
          <w:lang w:val="en-US" w:eastAsia="zh-CN"/>
        </w:rPr>
        <w:t>2万元，实际支出0万元，预算执行率为0%。</w:t>
      </w:r>
    </w:p>
    <w:p>
      <w:pPr>
        <w:pStyle w:val="19"/>
        <w:keepNext w:val="0"/>
        <w:keepLines w:val="0"/>
        <w:pageBreakBefore w:val="0"/>
        <w:widowControl w:val="0"/>
        <w:numPr>
          <w:ilvl w:val="0"/>
          <w:numId w:val="5"/>
        </w:numPr>
        <w:kinsoku/>
        <w:wordWrap/>
        <w:overflowPunct/>
        <w:topLinePunct w:val="0"/>
        <w:autoSpaceDE/>
        <w:autoSpaceDN/>
        <w:bidi w:val="0"/>
        <w:adjustRightInd/>
        <w:snapToGrid/>
        <w:spacing w:line="600" w:lineRule="exact"/>
        <w:ind w:left="320" w:leftChars="0" w:firstLine="640" w:firstLineChars="0"/>
        <w:jc w:val="left"/>
        <w:textAlignment w:val="auto"/>
        <w:rPr>
          <w:rFonts w:hint="default" w:ascii="仿宋_GB2312" w:hAnsi="宋体" w:eastAsia="仿宋_GB2312"/>
          <w:b w:val="0"/>
          <w:bCs/>
          <w:color w:val="auto"/>
          <w:sz w:val="32"/>
          <w:szCs w:val="32"/>
          <w:lang w:val="en-US" w:eastAsia="zh-CN"/>
        </w:rPr>
      </w:pPr>
      <w:r>
        <w:rPr>
          <w:rFonts w:hint="eastAsia" w:ascii="仿宋_GB2312" w:hAnsi="宋体" w:eastAsia="仿宋_GB2312"/>
          <w:b w:val="0"/>
          <w:bCs/>
          <w:color w:val="auto"/>
          <w:sz w:val="32"/>
          <w:szCs w:val="32"/>
          <w:lang w:val="en-US" w:eastAsia="zh-CN"/>
        </w:rPr>
        <w:t>廉政网络建设宽带费</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lang w:val="en-US"/>
        </w:rPr>
      </w:pPr>
      <w:r>
        <w:rPr>
          <w:rFonts w:hint="eastAsia" w:ascii="仿宋_GB2312" w:hAnsi="宋体" w:eastAsia="仿宋_GB2312"/>
          <w:b w:val="0"/>
          <w:bCs/>
          <w:color w:val="auto"/>
          <w:sz w:val="32"/>
          <w:szCs w:val="32"/>
          <w:lang w:eastAsia="zh-CN"/>
        </w:rPr>
        <w:t>本项目主要用于</w:t>
      </w:r>
      <w:r>
        <w:rPr>
          <w:rFonts w:hint="eastAsia" w:ascii="仿宋_GB2312" w:hAnsi="宋体" w:eastAsia="仿宋_GB2312"/>
          <w:b w:val="0"/>
          <w:bCs/>
          <w:color w:val="auto"/>
          <w:sz w:val="32"/>
          <w:szCs w:val="32"/>
          <w:lang w:val="en-US" w:eastAsia="zh-CN"/>
        </w:rPr>
        <w:t>机关网络宽带费及通讯费，是机关通讯网络畅通，工作顺利进行的有力保障。年度经费1万元，实际支出</w:t>
      </w:r>
      <w:r>
        <w:rPr>
          <w:rFonts w:hint="eastAsia" w:ascii="仿宋_GB2312" w:hAnsi="宋体" w:eastAsia="仿宋_GB2312"/>
          <w:b w:val="0"/>
          <w:bCs/>
          <w:color w:val="auto"/>
          <w:sz w:val="32"/>
          <w:szCs w:val="32"/>
          <w:highlight w:val="none"/>
          <w:lang w:val="en-US" w:eastAsia="zh-CN"/>
        </w:rPr>
        <w:t>1</w:t>
      </w:r>
      <w:r>
        <w:rPr>
          <w:rFonts w:hint="eastAsia" w:ascii="仿宋_GB2312" w:hAnsi="宋体" w:eastAsia="仿宋_GB2312"/>
          <w:b w:val="0"/>
          <w:bCs/>
          <w:color w:val="auto"/>
          <w:sz w:val="32"/>
          <w:szCs w:val="32"/>
          <w:lang w:val="en-US" w:eastAsia="zh-CN"/>
        </w:rPr>
        <w:t>万元，预算执行率100%</w:t>
      </w:r>
    </w:p>
    <w:p>
      <w:pPr>
        <w:keepNext w:val="0"/>
        <w:keepLines w:val="0"/>
        <w:pageBreakBefore w:val="0"/>
        <w:widowControl w:val="0"/>
        <w:numPr>
          <w:ilvl w:val="0"/>
          <w:numId w:val="5"/>
        </w:numPr>
        <w:kinsoku/>
        <w:wordWrap/>
        <w:overflowPunct/>
        <w:topLinePunct w:val="0"/>
        <w:autoSpaceDE w:val="0"/>
        <w:autoSpaceDN w:val="0"/>
        <w:bidi w:val="0"/>
        <w:adjustRightInd w:val="0"/>
        <w:spacing w:line="600" w:lineRule="exact"/>
        <w:ind w:left="320" w:leftChars="0" w:firstLine="640" w:firstLineChars="0"/>
        <w:jc w:val="left"/>
        <w:textAlignment w:val="auto"/>
        <w:rPr>
          <w:rFonts w:hint="eastAsia"/>
          <w:color w:val="auto"/>
          <w:sz w:val="32"/>
          <w:szCs w:val="32"/>
          <w:lang w:val="zh-CN"/>
        </w:rPr>
      </w:pPr>
      <w:r>
        <w:rPr>
          <w:rFonts w:hint="eastAsia" w:ascii="仿宋_GB2312" w:eastAsia="仿宋_GB2312"/>
          <w:color w:val="auto"/>
          <w:sz w:val="32"/>
          <w:szCs w:val="32"/>
          <w:highlight w:val="none"/>
          <w:lang w:eastAsia="zh-CN"/>
        </w:rPr>
        <w:t>基层组织活动和公共服务运行经费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color w:val="auto"/>
          <w:lang w:val="zh-CN"/>
        </w:rPr>
      </w:pPr>
      <w:r>
        <w:rPr>
          <w:rFonts w:hint="eastAsia" w:ascii="仿宋_GB2312" w:hAnsi="宋体" w:eastAsia="仿宋_GB2312" w:cs="Times New Roman"/>
          <w:color w:val="auto"/>
          <w:sz w:val="32"/>
          <w:szCs w:val="32"/>
          <w:lang w:val="en-US" w:eastAsia="zh-CN"/>
        </w:rPr>
        <w:t>为贯彻落实统筹城乡发展战略，促进公共服务向农村延伸，推进城乡发展和基本公共服务均等化，进一步深化农村综合改革，完善农村公共服务运行维护机制。切实解决村干部“想干事，没钱干”的困境，提高议事、决事、办事的效率和效果，不断提升村级公共服务能力。年度预算经费32万，实际支付15.4万，预算执行率48% 。</w:t>
      </w:r>
    </w:p>
    <w:p>
      <w:pPr>
        <w:keepNext w:val="0"/>
        <w:keepLines w:val="0"/>
        <w:pageBreakBefore w:val="0"/>
        <w:widowControl w:val="0"/>
        <w:numPr>
          <w:ilvl w:val="0"/>
          <w:numId w:val="0"/>
        </w:numPr>
        <w:kinsoku/>
        <w:wordWrap/>
        <w:overflowPunct/>
        <w:topLinePunct w:val="0"/>
        <w:autoSpaceDE w:val="0"/>
        <w:autoSpaceDN w:val="0"/>
        <w:bidi w:val="0"/>
        <w:adjustRightInd w:val="0"/>
        <w:spacing w:line="600" w:lineRule="exact"/>
        <w:ind w:leftChars="200"/>
        <w:jc w:val="left"/>
        <w:textAlignment w:val="auto"/>
        <w:rPr>
          <w:rFonts w:hint="eastAsia"/>
          <w:color w:val="auto"/>
          <w:sz w:val="32"/>
          <w:szCs w:val="32"/>
          <w:lang w:val="zh-CN"/>
        </w:rPr>
      </w:pPr>
      <w:r>
        <w:rPr>
          <w:rFonts w:hint="eastAsia" w:ascii="仿宋_GB2312" w:eastAsia="仿宋_GB2312"/>
          <w:color w:val="auto"/>
          <w:sz w:val="32"/>
          <w:szCs w:val="32"/>
          <w:lang w:val="en-US" w:eastAsia="zh-CN"/>
        </w:rPr>
        <w:t>10.人</w:t>
      </w:r>
      <w:r>
        <w:rPr>
          <w:rFonts w:hint="eastAsia" w:ascii="仿宋_GB2312" w:eastAsia="仿宋_GB2312"/>
          <w:color w:val="auto"/>
          <w:sz w:val="32"/>
          <w:szCs w:val="32"/>
          <w:lang w:eastAsia="zh-CN"/>
        </w:rPr>
        <w:t>大工作</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eastAsia="zh-CN"/>
        </w:rPr>
        <w:t>我国根本政治制度是人民代表大会制度，确立了人民当家做主的地位，人民代表大会制度为实现中华民族的伟大复兴提供了保障，本项目为乡人大代表工作经费，为人大代表行使手中的权利提供了财力支撑。</w:t>
      </w:r>
      <w:r>
        <w:rPr>
          <w:rFonts w:hint="eastAsia" w:ascii="仿宋_GB2312" w:hAnsi="宋体" w:eastAsia="仿宋_GB2312"/>
          <w:color w:val="auto"/>
          <w:sz w:val="32"/>
          <w:szCs w:val="32"/>
          <w:lang w:val="en-US" w:eastAsia="zh-CN"/>
        </w:rPr>
        <w:t>年度预算经费1万，实际支付1万，预算执行率100 %。</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eastAsia" w:ascii="仿宋_GB2312" w:hAnsi="宋体" w:eastAsia="仿宋_GB2312"/>
          <w:color w:val="auto"/>
          <w:sz w:val="32"/>
          <w:szCs w:val="32"/>
          <w:lang w:val="en-US" w:eastAsia="zh-CN"/>
        </w:rPr>
      </w:pPr>
      <w:r>
        <w:rPr>
          <w:rFonts w:hint="eastAsia" w:ascii="仿宋_GB2312" w:eastAsia="仿宋_GB2312"/>
          <w:color w:val="auto"/>
          <w:sz w:val="32"/>
          <w:szCs w:val="32"/>
          <w:lang w:val="en-US" w:eastAsia="zh-CN"/>
        </w:rPr>
        <w:t>11.新冠疫情社区排查防控社工工作人</w:t>
      </w:r>
      <w:r>
        <w:rPr>
          <w:rFonts w:hint="eastAsia" w:ascii="仿宋_GB2312" w:hAnsi="宋体" w:eastAsia="仿宋_GB2312"/>
          <w:color w:val="auto"/>
          <w:sz w:val="32"/>
          <w:szCs w:val="32"/>
          <w:lang w:val="en-US" w:eastAsia="zh-CN"/>
        </w:rPr>
        <w:t>员经费</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olor w:val="auto"/>
          <w:sz w:val="32"/>
          <w:szCs w:val="32"/>
          <w:lang w:eastAsia="zh-CN"/>
        </w:rPr>
        <w:t>为深入学习贯彻习近平总书记来川视察重要指示精神,高效统筹疫情防控和经济社会发展，根据《民政部教育部财政</w:t>
      </w:r>
      <w:r>
        <w:rPr>
          <w:rFonts w:hint="eastAsia" w:ascii="仿宋_GB2312" w:hAnsi="宋体" w:eastAsia="仿宋_GB2312" w:cs="Times New Roman"/>
          <w:color w:val="auto"/>
          <w:sz w:val="32"/>
          <w:szCs w:val="32"/>
          <w:lang w:eastAsia="zh-CN"/>
        </w:rPr>
        <w:t>部人力资源社会保障部关于做好2022年普通高校毕业生到城乡社区就业工作的通知》《四川省 2022年公共卫生特别服务岗项目实施方案》文件要求。社工岗分为县级社区排查专班社工岗和乡镇（街道）社工岗。县级社区排查专班社工岗主要承担新冠疫情社区排查防控协调指导、信息收集、数据上报和社会服务等工作，</w:t>
      </w:r>
      <w:r>
        <w:rPr>
          <w:rFonts w:hint="eastAsia" w:ascii="仿宋_GB2312" w:hAnsi="宋体" w:eastAsia="仿宋_GB2312" w:cs="Times New Roman"/>
          <w:color w:val="auto"/>
          <w:sz w:val="32"/>
          <w:szCs w:val="32"/>
          <w:lang w:val="en-US" w:eastAsia="zh-CN"/>
        </w:rPr>
        <w:t>永胜乡</w:t>
      </w:r>
      <w:r>
        <w:rPr>
          <w:rFonts w:hint="eastAsia" w:ascii="仿宋_GB2312" w:hAnsi="宋体" w:eastAsia="仿宋_GB2312" w:cs="Times New Roman"/>
          <w:color w:val="auto"/>
          <w:sz w:val="32"/>
          <w:szCs w:val="32"/>
          <w:lang w:eastAsia="zh-CN"/>
        </w:rPr>
        <w:t>社工岗主要负责组织开展或直接承担疫情风险人员社区排查、协助开展核酸检测、加强社区动员、链接社会资源、提供关爱服务、承接民政下沉服务事项等工作。</w:t>
      </w:r>
      <w:r>
        <w:rPr>
          <w:rFonts w:hint="eastAsia" w:ascii="仿宋_GB2312" w:hAnsi="宋体" w:eastAsia="仿宋_GB2312" w:cs="Times New Roman"/>
          <w:color w:val="auto"/>
          <w:sz w:val="32"/>
          <w:szCs w:val="32"/>
          <w:lang w:val="en-US" w:eastAsia="zh-CN"/>
        </w:rPr>
        <w:t>2024年预算资金为17.5276万元，实际支出16.12万元，预算执行率为92%。</w:t>
      </w:r>
    </w:p>
    <w:p>
      <w:pPr>
        <w:keepNext w:val="0"/>
        <w:keepLines w:val="0"/>
        <w:pageBreakBefore w:val="0"/>
        <w:widowControl w:val="0"/>
        <w:numPr>
          <w:ilvl w:val="0"/>
          <w:numId w:val="0"/>
        </w:numPr>
        <w:kinsoku/>
        <w:wordWrap/>
        <w:overflowPunct/>
        <w:topLinePunct w:val="0"/>
        <w:autoSpaceDE w:val="0"/>
        <w:autoSpaceDN w:val="0"/>
        <w:bidi w:val="0"/>
        <w:adjustRightInd w:val="0"/>
        <w:spacing w:afterAutospacing="0" w:line="600" w:lineRule="exact"/>
        <w:ind w:firstLine="640" w:firstLineChars="200"/>
        <w:jc w:val="left"/>
        <w:textAlignment w:val="auto"/>
        <w:rPr>
          <w:rFonts w:hint="default"/>
          <w:color w:val="auto"/>
          <w:lang w:val="en-US" w:eastAsia="zh-CN"/>
        </w:rPr>
      </w:pPr>
      <w:r>
        <w:rPr>
          <w:rFonts w:hint="eastAsia" w:ascii="仿宋_GB2312" w:hAnsi="宋体" w:eastAsia="仿宋_GB2312" w:cs="Times New Roman"/>
          <w:color w:val="auto"/>
          <w:sz w:val="32"/>
          <w:szCs w:val="32"/>
          <w:lang w:val="en-US" w:eastAsia="zh-CN"/>
        </w:rPr>
        <w:t>12.农村道路交通安全管理工作经费</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通过加强农村道路交通安全管理工作经费的投入和管理，显著提升了农村道路交通安全水平，预防和减少了交通事故的发生。项目实施过程规范有序，经费使用合规高效，达到了预期绩效目标。同时，包括交通安全宣传教育、交通文明劝导、驾驶员培训、道路安全隐患排查与整治等多个方面。项目经费来源于财政预算，并严格按照财务管理制度进行收支管理。2024年年度预算经费2.44万，实际支付2.4万，预算执行率98%。</w:t>
      </w:r>
    </w:p>
    <w:p>
      <w:pPr>
        <w:numPr>
          <w:ilvl w:val="0"/>
          <w:numId w:val="0"/>
        </w:numPr>
        <w:bidi w:val="0"/>
        <w:ind w:leftChars="200"/>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13.</w:t>
      </w:r>
      <w:r>
        <w:rPr>
          <w:rFonts w:hint="default" w:ascii="仿宋_GB2312" w:hAnsi="宋体" w:eastAsia="仿宋_GB2312" w:cs="Times New Roman"/>
          <w:color w:val="auto"/>
          <w:sz w:val="32"/>
          <w:szCs w:val="32"/>
          <w:lang w:val="en-US" w:eastAsia="zh-CN"/>
        </w:rPr>
        <w:t>大瓦山湿地公园日常运维管理经费</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以党的“建设生态文明精神为指导，切实加强《四川省湿地保护条例》的贯彻实施”，以促进人与自然和谐为理念，以保护湿地生态系统和改善湿地生态功能为主要内容，坚持经济社会发展与生态环境保护相协调的原则，进一步加强环境保护与生态建设，科学整合各类资源，充分发挥湿地生态效益，为实现资源、环境的可持续利用和经济可持续发展奠定基础。我乡有效的遏制破坏河流湿地生态功能的行为，建立科学、规范、完备的湿地保护管理体系和检测体系，保护湿地物种的多样性，充分发挥湿地独有的生态特性，维护生态平衡，实现省、市对我乡规定湿地保护面积的目标。</w:t>
      </w:r>
      <w:bookmarkStart w:id="53" w:name="OLE_LINK1"/>
      <w:r>
        <w:rPr>
          <w:rFonts w:hint="eastAsia" w:ascii="仿宋_GB2312" w:hAnsi="宋体" w:eastAsia="仿宋_GB2312" w:cs="Times New Roman"/>
          <w:color w:val="auto"/>
          <w:sz w:val="32"/>
          <w:szCs w:val="32"/>
          <w:lang w:val="en-US" w:eastAsia="zh-CN"/>
        </w:rPr>
        <w:t>年度预算资金为15万元，实际支出12.05万元，预算执行率为80%。</w:t>
      </w:r>
      <w:bookmarkEnd w:id="53"/>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color w:val="auto"/>
          <w:lang w:val="en-US" w:eastAsia="zh-CN"/>
        </w:rPr>
      </w:pPr>
      <w:r>
        <w:rPr>
          <w:rFonts w:hint="eastAsia" w:ascii="仿宋_GB2312" w:hAnsi="宋体" w:eastAsia="仿宋_GB2312" w:cs="Times New Roman"/>
          <w:color w:val="auto"/>
          <w:sz w:val="32"/>
          <w:szCs w:val="32"/>
          <w:lang w:val="en-US" w:eastAsia="zh-CN"/>
        </w:rPr>
        <w:t>14.区武装部驻村队员经费</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default"/>
          <w:color w:val="auto"/>
          <w:lang w:val="en-US" w:eastAsia="zh-CN"/>
        </w:rPr>
      </w:pPr>
      <w:r>
        <w:rPr>
          <w:rFonts w:hint="eastAsia" w:ascii="仿宋_GB2312" w:hAnsi="宋体" w:eastAsia="仿宋_GB2312" w:cs="Times New Roman"/>
          <w:color w:val="auto"/>
          <w:sz w:val="32"/>
          <w:szCs w:val="32"/>
          <w:lang w:val="en-US" w:eastAsia="zh-CN"/>
        </w:rPr>
        <w:t>为贯彻落实国防动员系统参与衔接支持乡村振兴工作推进会精神和省军区《关于进一步推进参与乡村振兴工作的通知》要求，扎实最好定点帮扶工作，助力推进乡村振兴，2023年，四川省人武部党委指派专人到瓦山村开展一周的摸排工作。该人武部帮扶人员一方面帮助该村开展“五星级”村党支部的创建工作，指导村委在软硬件建设上精准发力；另一方面，对全村脱贫户基本进行再摸底。每到一户，驻村帮扶人员都与帮扶对象促膝长谈，详细了解帮扶对象的身体情况、家庭收入、生活中遇到的实际困难等情况，用简洁易懂的方式向群众宣讲党的好政策，勉励他们坚定向更加美好新生活奋进的信心。同时，该武装部还组织村委一班人共同学习党的二十大精神，学习大会报告关于农业农村发展、推进乡村振兴方面提出的一系列新思想、新观念、新要求，并与村党员干部共同分析制约集体经济发展的主要原因，共商发展规划。</w:t>
      </w:r>
      <w:r>
        <w:rPr>
          <w:rFonts w:hint="eastAsia" w:ascii="仿宋_GB2312" w:hAnsi="宋体" w:eastAsia="仿宋_GB2312"/>
          <w:color w:val="auto"/>
          <w:sz w:val="32"/>
          <w:szCs w:val="32"/>
          <w:lang w:val="en-US" w:eastAsia="zh-CN"/>
        </w:rPr>
        <w:t>年度预算经费1.5万，实际支付0.76万，预算执行率51%。</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color w:val="auto"/>
          <w:highlight w:val="none"/>
          <w:lang w:val="en-US" w:eastAsia="zh-CN"/>
        </w:rPr>
      </w:pPr>
      <w:r>
        <w:rPr>
          <w:rFonts w:hint="eastAsia" w:ascii="仿宋_GB2312" w:hAnsi="宋体" w:eastAsia="仿宋_GB2312" w:cs="Times New Roman"/>
          <w:color w:val="auto"/>
          <w:sz w:val="32"/>
          <w:szCs w:val="32"/>
          <w:highlight w:val="none"/>
          <w:lang w:val="en-US" w:eastAsia="zh-CN"/>
        </w:rPr>
        <w:t>15.</w:t>
      </w:r>
      <w:r>
        <w:rPr>
          <w:rFonts w:hint="default" w:ascii="仿宋_GB2312" w:hAnsi="宋体" w:eastAsia="仿宋_GB2312" w:cs="Times New Roman"/>
          <w:color w:val="auto"/>
          <w:sz w:val="32"/>
          <w:szCs w:val="32"/>
          <w:highlight w:val="none"/>
          <w:lang w:val="en-US" w:eastAsia="zh-CN"/>
        </w:rPr>
        <w:t>矿山维稳工作经费</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eastAsia" w:ascii="仿宋_GB2312" w:hAnsi="宋体" w:eastAsia="仿宋_GB2312"/>
          <w:color w:val="auto"/>
          <w:sz w:val="32"/>
          <w:szCs w:val="32"/>
          <w:lang w:val="en-US" w:eastAsia="zh-CN"/>
        </w:rPr>
      </w:pPr>
      <w:r>
        <w:rPr>
          <w:rFonts w:hint="eastAsia" w:ascii="仿宋_GB2312" w:hAnsi="宋体" w:eastAsia="仿宋_GB2312" w:cs="Times New Roman"/>
          <w:color w:val="auto"/>
          <w:sz w:val="32"/>
          <w:szCs w:val="32"/>
          <w:lang w:val="en-US" w:eastAsia="zh-CN"/>
        </w:rPr>
        <w:t>本项目主要用于保障矿山安全生产和推动经济发展，支持矿山企业的安全生产、环境保护、隐患排查治理、应急救援等方面的工作，总之，矿山维稳工作经费的合理安排和使用对于提升矿山安全水平、防范事故发生、促进经济稳定发展具有重要意义，在未来的工作中，我们需要继续加强经费预算编制和使用的科学性和合理性，确保经费能够被有效利用并发挥出最大的效益。</w:t>
      </w:r>
      <w:r>
        <w:rPr>
          <w:rFonts w:hint="eastAsia" w:ascii="仿宋_GB2312" w:hAnsi="宋体" w:eastAsia="仿宋_GB2312"/>
          <w:color w:val="auto"/>
          <w:sz w:val="32"/>
          <w:szCs w:val="32"/>
          <w:lang w:val="en-US" w:eastAsia="zh-CN"/>
        </w:rPr>
        <w:t>年度预算经费0.5万，实际支付0.5万，预算执行率100%。</w:t>
      </w:r>
    </w:p>
    <w:p>
      <w:pPr>
        <w:keepNext w:val="0"/>
        <w:keepLines w:val="0"/>
        <w:pageBreakBefore w:val="0"/>
        <w:widowControl w:val="0"/>
        <w:numPr>
          <w:ilvl w:val="0"/>
          <w:numId w:val="0"/>
        </w:numPr>
        <w:tabs>
          <w:tab w:val="left" w:pos="577"/>
        </w:tabs>
        <w:kinsoku/>
        <w:wordWrap/>
        <w:overflowPunct/>
        <w:topLinePunct w:val="0"/>
        <w:bidi w:val="0"/>
        <w:adjustRightInd w:val="0"/>
        <w:snapToGrid w:val="0"/>
        <w:spacing w:line="600" w:lineRule="exact"/>
        <w:ind w:firstLine="640" w:firstLineChars="200"/>
        <w:jc w:val="left"/>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16.政协工作站联络张工作经费</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eastAsia" w:ascii="Times New Roman" w:hAnsi="Times New Roman" w:eastAsia="仿宋_GB2312" w:cs="Times New Roman"/>
          <w:sz w:val="32"/>
          <w:szCs w:val="32"/>
          <w:highlight w:val="none"/>
          <w:lang w:val="en-US" w:eastAsia="zh-CN"/>
        </w:rPr>
      </w:pPr>
      <w:r>
        <w:rPr>
          <w:rFonts w:hint="default" w:ascii="仿宋_GB2312" w:hAnsi="宋体" w:eastAsia="仿宋_GB2312" w:cs="Times New Roman"/>
          <w:color w:val="auto"/>
          <w:sz w:val="32"/>
          <w:szCs w:val="32"/>
          <w:lang w:val="en-US" w:eastAsia="zh-CN"/>
        </w:rPr>
        <w:t>政协工作站联络工作经费的使用情况进行自评，以客观反映经费使用的经济性、效率性和效益性。政协工作站作为政协组织在基层的重要延伸，承担着联系群众、反映民意、协商议政等重要职责。联络工作经费是保障政协工作站正常运作和有效履行职责的重要物质基础。随着政协工作的不断深入和发展，政协工作站的作用日益凸显。为进一步加强政协工作站与群众的联系，提升政协工作的社会影响力和实效性，特设立政协工作站联络工作经费。该经费主要用于支持政协工作站开展各类联络活动，包括走访调研、座谈交流、宣传普及政协知识等，以促进政协工作与基层群众的紧密结合。</w:t>
      </w:r>
      <w:r>
        <w:rPr>
          <w:rFonts w:hint="eastAsia" w:ascii="仿宋_GB2312" w:hAnsi="宋体" w:eastAsia="仿宋_GB2312" w:cs="Times New Roman"/>
          <w:color w:val="auto"/>
          <w:sz w:val="32"/>
          <w:szCs w:val="32"/>
          <w:lang w:val="en-US" w:eastAsia="zh-CN"/>
        </w:rPr>
        <w:t>年度预算资金为1万元，实际支出1万元，预算执行率为100%。</w:t>
      </w:r>
    </w:p>
    <w:p>
      <w:pPr>
        <w:widowControl/>
        <w:numPr>
          <w:ilvl w:val="0"/>
          <w:numId w:val="3"/>
        </w:numPr>
        <w:adjustRightInd w:val="0"/>
        <w:snapToGrid w:val="0"/>
        <w:spacing w:line="560" w:lineRule="exact"/>
        <w:ind w:left="0" w:leftChars="0" w:firstLine="630" w:firstLineChars="196"/>
        <w:contextualSpacing/>
        <w:jc w:val="left"/>
        <w:rPr>
          <w:rFonts w:ascii="仿宋_GB2312" w:hAnsi="宋体" w:eastAsia="仿宋_GB2312" w:cs="宋体"/>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 xml:space="preserve">  </w:t>
      </w:r>
    </w:p>
    <w:p>
      <w:pPr>
        <w:widowControl/>
        <w:numPr>
          <w:ilvl w:val="0"/>
          <w:numId w:val="0"/>
        </w:numPr>
        <w:adjustRightInd w:val="0"/>
        <w:snapToGrid w:val="0"/>
        <w:spacing w:line="560" w:lineRule="exact"/>
        <w:ind w:firstLine="640" w:firstLineChars="200"/>
        <w:contextualSpacing/>
        <w:jc w:val="left"/>
        <w:rPr>
          <w:rFonts w:hint="default" w:ascii="Times New Roman" w:hAnsi="Times New Roman" w:eastAsia="仿宋_GB2312" w:cs="Times New Roman"/>
          <w:sz w:val="32"/>
          <w:szCs w:val="32"/>
          <w:highlight w:val="none"/>
          <w:u w:val="none"/>
          <w:lang w:bidi="ar"/>
        </w:rPr>
      </w:pPr>
      <w:r>
        <w:rPr>
          <w:rFonts w:hint="eastAsia" w:ascii="仿宋_GB2312" w:hAnsi="宋体" w:eastAsia="仿宋_GB2312" w:cs="宋体"/>
          <w:color w:val="000000"/>
          <w:kern w:val="0"/>
          <w:sz w:val="32"/>
          <w:szCs w:val="32"/>
          <w:shd w:val="clear" w:color="auto" w:fill="FFFFFF"/>
          <w:lang w:val="zh-CN"/>
        </w:rPr>
        <w:t>2</w:t>
      </w:r>
      <w:r>
        <w:rPr>
          <w:rFonts w:hint="eastAsia" w:ascii="仿宋_GB2312" w:hAnsi="宋体" w:eastAsia="仿宋_GB2312" w:cs="宋体"/>
          <w:color w:val="000000"/>
          <w:kern w:val="0"/>
          <w:sz w:val="32"/>
          <w:szCs w:val="32"/>
          <w:shd w:val="clear" w:color="auto" w:fill="FFFFFF"/>
        </w:rPr>
        <w:t>02</w:t>
      </w:r>
      <w:r>
        <w:rPr>
          <w:rFonts w:hint="eastAsia" w:ascii="仿宋_GB2312" w:hAnsi="宋体" w:eastAsia="仿宋_GB2312" w:cs="宋体"/>
          <w:color w:val="000000"/>
          <w:kern w:val="0"/>
          <w:sz w:val="32"/>
          <w:szCs w:val="32"/>
          <w:shd w:val="clear" w:color="auto" w:fill="FFFFFF"/>
          <w:lang w:val="en-US" w:eastAsia="zh-CN"/>
        </w:rPr>
        <w:t>4</w:t>
      </w:r>
      <w:r>
        <w:rPr>
          <w:rFonts w:hint="eastAsia" w:ascii="仿宋_GB2312" w:hAnsi="宋体" w:eastAsia="仿宋_GB2312" w:cs="宋体"/>
          <w:color w:val="000000"/>
          <w:kern w:val="0"/>
          <w:sz w:val="32"/>
          <w:szCs w:val="32"/>
          <w:shd w:val="clear" w:color="auto" w:fill="FFFFFF"/>
          <w:lang w:val="zh-CN"/>
        </w:rPr>
        <w:t>年绩效目标全面完成，取得了一定经济和社会效益。单位财务制度健全，管理规范，得到有效执行。通过加强绩效预算，使用财政资金得到有效使用，行政效率得到提高，促进了各项工作顺得利开展。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eastAsia" w:ascii="仿宋_GB2312" w:hAnsi="宋体" w:eastAsia="仿宋_GB2312" w:cs="宋体"/>
          <w:color w:val="000000"/>
          <w:kern w:val="0"/>
          <w:sz w:val="32"/>
          <w:szCs w:val="32"/>
          <w:shd w:val="clear" w:color="auto" w:fill="FFFFFF"/>
        </w:rPr>
        <w:t>永胜乡</w:t>
      </w:r>
      <w:r>
        <w:rPr>
          <w:rFonts w:hint="eastAsia" w:ascii="仿宋_GB2312" w:hAnsi="宋体" w:eastAsia="仿宋_GB2312" w:cs="宋体"/>
          <w:color w:val="000000"/>
          <w:kern w:val="0"/>
          <w:sz w:val="32"/>
          <w:szCs w:val="32"/>
          <w:shd w:val="clear" w:color="auto" w:fill="FFFFFF"/>
          <w:lang w:val="zh-CN"/>
        </w:rPr>
        <w:t>能够按照国家的法律法规加强预算管理，不断完善内控制度，取得了较好的预算执行效果。认真地完成了202</w:t>
      </w:r>
      <w:r>
        <w:rPr>
          <w:rFonts w:hint="eastAsia" w:ascii="仿宋_GB2312" w:hAnsi="宋体" w:eastAsia="仿宋_GB2312" w:cs="宋体"/>
          <w:color w:val="000000"/>
          <w:kern w:val="0"/>
          <w:sz w:val="32"/>
          <w:szCs w:val="32"/>
          <w:shd w:val="clear" w:color="auto" w:fill="FFFFFF"/>
          <w:lang w:val="en-US" w:eastAsia="zh-CN"/>
        </w:rPr>
        <w:t>4</w:t>
      </w:r>
      <w:r>
        <w:rPr>
          <w:rFonts w:hint="eastAsia" w:ascii="仿宋_GB2312" w:hAnsi="宋体" w:eastAsia="仿宋_GB2312" w:cs="宋体"/>
          <w:color w:val="000000"/>
          <w:kern w:val="0"/>
          <w:sz w:val="32"/>
          <w:szCs w:val="32"/>
          <w:shd w:val="clear" w:color="auto" w:fill="FFFFFF"/>
          <w:lang w:val="zh-CN"/>
        </w:rPr>
        <w:t>年部门预算和决算汇总工作，能够按照财政部门批复的预算组织实施。</w:t>
      </w:r>
    </w:p>
    <w:p>
      <w:pPr>
        <w:widowControl/>
        <w:adjustRightInd w:val="0"/>
        <w:snapToGrid w:val="0"/>
        <w:spacing w:line="580" w:lineRule="exact"/>
        <w:ind w:firstLine="643" w:firstLineChars="200"/>
        <w:contextualSpacing/>
        <w:jc w:val="left"/>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一是项目实施开展缓慢，未能在年底及时结算报账，导致预算未执行完成。</w:t>
      </w:r>
    </w:p>
    <w:p>
      <w:pPr>
        <w:widowControl/>
        <w:adjustRightInd w:val="0"/>
        <w:snapToGrid w:val="0"/>
        <w:spacing w:line="580" w:lineRule="exact"/>
        <w:ind w:firstLine="640" w:firstLineChars="200"/>
        <w:contextualSpacing/>
        <w:jc w:val="lef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二是是内部控制支部不够完善</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仿宋_GB2312" w:eastAsia="仿宋_GB2312" w:cs="仿宋_GB2312"/>
          <w:color w:val="000000"/>
          <w:sz w:val="32"/>
          <w:szCs w:val="32"/>
        </w:rPr>
        <w:t>三是工作方法创新度不够。</w:t>
      </w:r>
    </w:p>
    <w:p>
      <w:pPr>
        <w:pStyle w:val="18"/>
        <w:widowControl/>
        <w:spacing w:before="0" w:beforeAutospacing="0" w:after="0" w:afterAutospacing="0" w:line="600" w:lineRule="atLeast"/>
        <w:ind w:firstLine="643" w:firstLineChars="200"/>
        <w:jc w:val="both"/>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4" w:name="_Hlk110546638"/>
    </w:p>
    <w:p>
      <w:pPr>
        <w:pStyle w:val="18"/>
        <w:widowControl/>
        <w:spacing w:before="0" w:beforeAutospacing="0" w:after="0" w:afterAutospacing="0" w:line="600" w:lineRule="atLeast"/>
        <w:ind w:firstLine="640" w:firstLineChars="200"/>
        <w:jc w:val="both"/>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一是督促项目村及时开展项目，保证本年度的项目及时完成，及时报账支付；</w:t>
      </w:r>
    </w:p>
    <w:p>
      <w:pPr>
        <w:pStyle w:val="18"/>
        <w:widowControl/>
        <w:spacing w:before="0" w:beforeAutospacing="0" w:after="0" w:afterAutospacing="0" w:line="600" w:lineRule="atLeast"/>
        <w:ind w:firstLine="640" w:firstLineChars="200"/>
        <w:jc w:val="both"/>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二是完善内部控制制度，建立健全相关的规章制度。</w:t>
      </w:r>
    </w:p>
    <w:p>
      <w:pPr>
        <w:pStyle w:val="18"/>
        <w:widowControl/>
        <w:spacing w:before="0" w:beforeAutospacing="0" w:after="0" w:afterAutospacing="0" w:line="600" w:lineRule="atLeast"/>
        <w:ind w:firstLine="640" w:firstLineChars="200"/>
        <w:jc w:val="both"/>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三是在工作方面发挥创新，多学习先进工作方法和工作经验，提高部门工作效率。</w:t>
      </w:r>
    </w:p>
    <w:p>
      <w:pPr>
        <w:pStyle w:val="18"/>
        <w:widowControl/>
        <w:spacing w:before="0" w:beforeAutospacing="0" w:after="0" w:afterAutospacing="0" w:line="600" w:lineRule="atLeast"/>
        <w:ind w:firstLine="640" w:firstLineChars="200"/>
        <w:jc w:val="both"/>
        <w:rPr>
          <w:rFonts w:hint="eastAsia" w:ascii="仿宋_GB2312" w:eastAsia="仿宋_GB2312" w:cs="仿宋_GB2312"/>
          <w:color w:val="000000"/>
          <w:sz w:val="32"/>
          <w:szCs w:val="32"/>
        </w:rPr>
      </w:pPr>
    </w:p>
    <w:p>
      <w:pPr>
        <w:pStyle w:val="18"/>
        <w:widowControl/>
        <w:spacing w:before="0" w:beforeAutospacing="0" w:after="0" w:afterAutospacing="0" w:line="600" w:lineRule="atLeast"/>
        <w:ind w:firstLine="640" w:firstLineChars="200"/>
        <w:jc w:val="both"/>
        <w:rPr>
          <w:rFonts w:hint="eastAsia" w:ascii="仿宋_GB2312" w:eastAsia="仿宋_GB2312" w:cs="仿宋_GB2312"/>
          <w:color w:val="000000"/>
          <w:sz w:val="32"/>
          <w:szCs w:val="32"/>
        </w:rPr>
      </w:pPr>
    </w:p>
    <w:p>
      <w:pPr>
        <w:pStyle w:val="18"/>
        <w:widowControl/>
        <w:spacing w:before="0" w:beforeAutospacing="0" w:after="0" w:afterAutospacing="0" w:line="600" w:lineRule="atLeast"/>
        <w:ind w:firstLine="640" w:firstLineChars="200"/>
        <w:jc w:val="both"/>
        <w:rPr>
          <w:rFonts w:hint="eastAsia" w:ascii="仿宋_GB2312" w:eastAsia="仿宋_GB2312" w:cs="仿宋_GB2312"/>
          <w:color w:val="000000"/>
          <w:sz w:val="32"/>
          <w:szCs w:val="32"/>
        </w:rPr>
      </w:pPr>
    </w:p>
    <w:p>
      <w:pPr>
        <w:pStyle w:val="18"/>
        <w:widowControl/>
        <w:spacing w:before="0" w:beforeAutospacing="0" w:after="0" w:afterAutospacing="0" w:line="600" w:lineRule="atLeast"/>
        <w:ind w:firstLine="640" w:firstLineChars="200"/>
        <w:jc w:val="both"/>
        <w:rPr>
          <w:rFonts w:hint="eastAsia" w:ascii="仿宋_GB2312" w:eastAsia="仿宋_GB2312" w:cs="仿宋_GB2312"/>
          <w:color w:val="000000"/>
          <w:sz w:val="32"/>
          <w:szCs w:val="32"/>
        </w:rPr>
      </w:pPr>
    </w:p>
    <w:p>
      <w:pPr>
        <w:pStyle w:val="18"/>
        <w:widowControl/>
        <w:spacing w:before="0" w:beforeAutospacing="0" w:after="0" w:afterAutospacing="0" w:line="600" w:lineRule="atLeast"/>
        <w:ind w:firstLine="640" w:firstLineChars="200"/>
        <w:jc w:val="both"/>
        <w:rPr>
          <w:rFonts w:hint="eastAsia" w:ascii="仿宋_GB2312" w:eastAsia="仿宋_GB2312" w:cs="仿宋_GB2312"/>
          <w:color w:val="000000"/>
          <w:sz w:val="32"/>
          <w:szCs w:val="32"/>
        </w:rPr>
      </w:pPr>
    </w:p>
    <w:p>
      <w:pPr>
        <w:pStyle w:val="18"/>
        <w:widowControl/>
        <w:spacing w:before="0" w:beforeAutospacing="0" w:after="0" w:afterAutospacing="0" w:line="600" w:lineRule="atLeast"/>
        <w:ind w:firstLine="640" w:firstLineChars="200"/>
        <w:jc w:val="both"/>
        <w:rPr>
          <w:rFonts w:hint="eastAsia" w:ascii="仿宋_GB2312" w:eastAsia="仿宋_GB2312" w:cs="仿宋_GB2312"/>
          <w:color w:val="000000"/>
          <w:sz w:val="32"/>
          <w:szCs w:val="32"/>
        </w:rPr>
      </w:pPr>
    </w:p>
    <w:p>
      <w:pPr>
        <w:pStyle w:val="18"/>
        <w:widowControl/>
        <w:spacing w:before="0" w:beforeAutospacing="0" w:after="0" w:afterAutospacing="0" w:line="600" w:lineRule="atLeast"/>
        <w:ind w:firstLine="640" w:firstLineChars="200"/>
        <w:jc w:val="both"/>
        <w:rPr>
          <w:rFonts w:hint="eastAsia" w:ascii="仿宋_GB2312" w:eastAsia="仿宋_GB2312" w:cs="仿宋_GB2312"/>
          <w:color w:val="000000"/>
          <w:sz w:val="32"/>
          <w:szCs w:val="32"/>
        </w:rPr>
      </w:pPr>
    </w:p>
    <w:p>
      <w:pPr>
        <w:pStyle w:val="18"/>
        <w:widowControl/>
        <w:spacing w:before="0" w:beforeAutospacing="0" w:after="0" w:afterAutospacing="0" w:line="600" w:lineRule="atLeast"/>
        <w:ind w:firstLine="640" w:firstLineChars="200"/>
        <w:jc w:val="both"/>
        <w:rPr>
          <w:rFonts w:hint="eastAsia" w:ascii="仿宋_GB2312" w:eastAsia="仿宋_GB2312" w:cs="仿宋_GB2312"/>
          <w:color w:val="000000"/>
          <w:sz w:val="32"/>
          <w:szCs w:val="32"/>
        </w:rPr>
      </w:pP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219"/>
        <w:gridCol w:w="660"/>
        <w:gridCol w:w="625"/>
        <w:gridCol w:w="1438"/>
        <w:gridCol w:w="1038"/>
        <w:gridCol w:w="1520"/>
        <w:gridCol w:w="895"/>
        <w:gridCol w:w="464"/>
        <w:gridCol w:w="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3" w:type="pct"/>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39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70"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852"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1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90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533"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73"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3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区武装部驻村队员经费</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20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6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0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5" w:type="pct"/>
            <w:gridSpan w:val="2"/>
            <w:tcBorders>
              <w:top w:val="single" w:color="000000" w:sz="4" w:space="0"/>
              <w:left w:val="single" w:color="000000" w:sz="4" w:space="0"/>
              <w:bottom w:val="single" w:color="000000" w:sz="4" w:space="0"/>
              <w:right w:val="nil"/>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5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1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0.76</w:t>
            </w:r>
          </w:p>
        </w:tc>
        <w:tc>
          <w:tcPr>
            <w:tcW w:w="11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0.506666667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0.76</w:t>
            </w:r>
          </w:p>
        </w:tc>
        <w:tc>
          <w:tcPr>
            <w:tcW w:w="11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0.506666667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15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11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2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0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0"/>
                <w:szCs w:val="20"/>
                <w:u w:val="none"/>
              </w:rPr>
            </w:pPr>
          </w:p>
        </w:tc>
        <w:tc>
          <w:tcPr>
            <w:tcW w:w="2230" w:type="pct"/>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用于区武装部驻村工作队在村工作期间的经费开支，为驻村工作队员紧紧围绕党的政策、建强基层组织、推动精准扶贫、为民办事服务一系列活动提供有力财政支撑</w:t>
            </w:r>
          </w:p>
        </w:tc>
        <w:tc>
          <w:tcPr>
            <w:tcW w:w="20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区武装部驻村工作队员工作完成情况良好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5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3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9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受益村数</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9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73"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完成时限</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2024年内</w:t>
            </w:r>
          </w:p>
        </w:tc>
        <w:tc>
          <w:tcPr>
            <w:tcW w:w="9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已完成</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驻村队员经费使用</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&lt;1.5万元</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实际使用0.76万元</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72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73"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驻村服务效能</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较好</w:t>
            </w:r>
          </w:p>
        </w:tc>
        <w:tc>
          <w:tcPr>
            <w:tcW w:w="9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较好</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73"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8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73"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9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bl>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p>
    <w:tbl>
      <w:tblPr>
        <w:tblStyle w:val="2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328"/>
        <w:gridCol w:w="710"/>
        <w:gridCol w:w="678"/>
        <w:gridCol w:w="2179"/>
        <w:gridCol w:w="1220"/>
        <w:gridCol w:w="1028"/>
        <w:gridCol w:w="488"/>
        <w:gridCol w:w="488"/>
        <w:gridCol w:w="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87" w:type="pct"/>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2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402"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292"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724"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09"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89"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89"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8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衔接乡村振兴工作经费</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3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1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3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08"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8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3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i w:val="0"/>
                <w:iCs w:val="0"/>
                <w:color w:val="000000"/>
                <w:sz w:val="20"/>
                <w:szCs w:val="20"/>
                <w:u w:val="none"/>
              </w:rPr>
            </w:pPr>
          </w:p>
        </w:tc>
        <w:tc>
          <w:tcPr>
            <w:tcW w:w="2840" w:type="pct"/>
            <w:gridSpan w:val="4"/>
            <w:tcBorders>
              <w:top w:val="single" w:color="000000" w:sz="4" w:space="0"/>
              <w:left w:val="single" w:color="000000" w:sz="4" w:space="0"/>
              <w:bottom w:val="nil"/>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解决脱贫攻坚历史遗留问题，推动乡村振兴发展</w:t>
            </w:r>
          </w:p>
        </w:tc>
        <w:tc>
          <w:tcPr>
            <w:tcW w:w="13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解决各村一些遗留问题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受益村数</w:t>
            </w: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完成时限</w:t>
            </w: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2023年内</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已完成</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开展乡村振兴工作成本</w:t>
            </w: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5万元</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4.99万元</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jc w:val="center"/>
              <w:rPr>
                <w:rFonts w:hint="eastAsia" w:ascii="宋体" w:hAnsi="宋体" w:eastAsia="宋体" w:cs="宋体"/>
                <w:i w:val="0"/>
                <w:iCs w:val="0"/>
                <w:color w:val="333333"/>
                <w:sz w:val="20"/>
                <w:szCs w:val="20"/>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jc w:val="center"/>
              <w:rPr>
                <w:rFonts w:hint="eastAsia" w:ascii="宋体" w:hAnsi="宋体" w:eastAsia="宋体" w:cs="宋体"/>
                <w:i w:val="0"/>
                <w:iCs w:val="0"/>
                <w:color w:val="333333"/>
                <w:sz w:val="20"/>
                <w:szCs w:val="20"/>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jc w:val="center"/>
              <w:rPr>
                <w:rFonts w:hint="eastAsia" w:ascii="宋体" w:hAnsi="宋体" w:eastAsia="宋体" w:cs="宋体"/>
                <w:i w:val="0"/>
                <w:iCs w:val="0"/>
                <w:color w:val="333333"/>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jc w:val="center"/>
              <w:rPr>
                <w:rFonts w:hint="eastAsia" w:ascii="宋体" w:hAnsi="宋体" w:eastAsia="宋体" w:cs="宋体"/>
                <w:i w:val="0"/>
                <w:iCs w:val="0"/>
                <w:color w:val="333333"/>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jc w:val="center"/>
              <w:rPr>
                <w:rFonts w:hint="eastAsia" w:ascii="宋体" w:hAnsi="宋体" w:eastAsia="宋体" w:cs="宋体"/>
                <w:i w:val="0"/>
                <w:iCs w:val="0"/>
                <w:color w:val="333333"/>
                <w:sz w:val="20"/>
                <w:szCs w:val="20"/>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对标补短率</w:t>
            </w: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85%</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7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bl>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tbl>
      <w:tblPr>
        <w:tblStyle w:val="2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400"/>
        <w:gridCol w:w="715"/>
        <w:gridCol w:w="686"/>
        <w:gridCol w:w="2020"/>
        <w:gridCol w:w="1177"/>
        <w:gridCol w:w="1060"/>
        <w:gridCol w:w="521"/>
        <w:gridCol w:w="501"/>
        <w:gridCol w:w="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31" w:type="pct"/>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24"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0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19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9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2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0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9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0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安监工作费</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44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0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44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5" w:type="pct"/>
            <w:gridSpan w:val="2"/>
            <w:tcBorders>
              <w:top w:val="single" w:color="000000" w:sz="4" w:space="0"/>
              <w:left w:val="single" w:color="000000" w:sz="4" w:space="0"/>
              <w:bottom w:val="single" w:color="000000" w:sz="4" w:space="0"/>
              <w:right w:val="nil"/>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16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8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1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8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1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8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1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7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44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0"/>
                <w:szCs w:val="20"/>
                <w:u w:val="none"/>
              </w:rPr>
            </w:pPr>
          </w:p>
        </w:tc>
        <w:tc>
          <w:tcPr>
            <w:tcW w:w="2726" w:type="pct"/>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保障全乡日常安全监管工作。安全维稳、突发性事件应急管理，交通管理，减少乡境内交通事故发生率。</w:t>
            </w:r>
          </w:p>
        </w:tc>
        <w:tc>
          <w:tcPr>
            <w:tcW w:w="14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开展安全检查100余次，清理安全隐患10余处，确保我乡全年无安全事故发生。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9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8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5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1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安全宣传教育检查次数</w:t>
            </w: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≥50次/年</w:t>
            </w: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90次</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资金使用合格率</w:t>
            </w: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ascii="宋体" w:hAnsi="宋体" w:eastAsia="宋体" w:cs="宋体"/>
                <w:i w:val="0"/>
                <w:iCs w:val="0"/>
                <w:color w:val="333333"/>
                <w:sz w:val="18"/>
                <w:szCs w:val="18"/>
                <w:u w:val="none"/>
              </w:rPr>
            </w:pPr>
            <w:r>
              <w:rPr>
                <w:rFonts w:ascii="宋体" w:hAnsi="宋体" w:eastAsia="宋体" w:cs="宋体"/>
                <w:i w:val="0"/>
                <w:iCs w:val="0"/>
                <w:color w:val="333333"/>
                <w:kern w:val="0"/>
                <w:sz w:val="18"/>
                <w:szCs w:val="18"/>
                <w:u w:val="none"/>
                <w:lang w:val="en-US" w:eastAsia="zh-CN" w:bidi="ar"/>
              </w:rPr>
              <w:t>≧98%</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9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1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资金拨付及时率</w:t>
            </w: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ascii="宋体" w:hAnsi="宋体" w:eastAsia="宋体" w:cs="宋体"/>
                <w:i w:val="0"/>
                <w:iCs w:val="0"/>
                <w:color w:val="333333"/>
                <w:sz w:val="18"/>
                <w:szCs w:val="18"/>
                <w:u w:val="none"/>
              </w:rPr>
            </w:pPr>
            <w:r>
              <w:rPr>
                <w:rFonts w:ascii="宋体" w:hAnsi="宋体" w:eastAsia="宋体" w:cs="宋体"/>
                <w:i w:val="0"/>
                <w:iCs w:val="0"/>
                <w:color w:val="333333"/>
                <w:kern w:val="0"/>
                <w:sz w:val="18"/>
                <w:szCs w:val="18"/>
                <w:u w:val="none"/>
                <w:lang w:val="en-US" w:eastAsia="zh-CN" w:bidi="ar"/>
              </w:rPr>
              <w:t>≧98%</w:t>
            </w: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1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开展安全监管工作成本</w:t>
            </w: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4.56万元</w:t>
            </w: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4.56万元</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1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97"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提升我乡安全管理水平</w:t>
            </w: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ascii="宋体" w:hAnsi="宋体" w:eastAsia="宋体" w:cs="宋体"/>
                <w:i w:val="0"/>
                <w:iCs w:val="0"/>
                <w:color w:val="333333"/>
                <w:sz w:val="18"/>
                <w:szCs w:val="18"/>
                <w:u w:val="none"/>
              </w:rPr>
            </w:pPr>
            <w:r>
              <w:rPr>
                <w:rFonts w:ascii="宋体" w:hAnsi="宋体" w:eastAsia="宋体" w:cs="宋体"/>
                <w:i w:val="0"/>
                <w:iCs w:val="0"/>
                <w:color w:val="333333"/>
                <w:kern w:val="0"/>
                <w:sz w:val="18"/>
                <w:szCs w:val="18"/>
                <w:u w:val="none"/>
                <w:lang w:val="en-US" w:eastAsia="zh-CN" w:bidi="ar"/>
              </w:rPr>
              <w:t>≧98%</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1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97"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1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97"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1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6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bl>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5"/>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5"/>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5"/>
        <w:rPr>
          <w:rFonts w:hint="eastAsia"/>
          <w:lang w:val="en-US" w:eastAsia="zh-CN"/>
        </w:rPr>
      </w:pPr>
    </w:p>
    <w:tbl>
      <w:tblPr>
        <w:tblStyle w:val="2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400"/>
        <w:gridCol w:w="715"/>
        <w:gridCol w:w="686"/>
        <w:gridCol w:w="2053"/>
        <w:gridCol w:w="1140"/>
        <w:gridCol w:w="1042"/>
        <w:gridCol w:w="528"/>
        <w:gridCol w:w="491"/>
        <w:gridCol w:w="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31" w:type="pct"/>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24"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0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21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7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1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13"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2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人大主席团工作经费</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44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0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44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5" w:type="pct"/>
            <w:gridSpan w:val="2"/>
            <w:tcBorders>
              <w:top w:val="single" w:color="000000" w:sz="4" w:space="0"/>
              <w:left w:val="single" w:color="000000" w:sz="4" w:space="0"/>
              <w:bottom w:val="single" w:color="000000" w:sz="4" w:space="0"/>
              <w:right w:val="nil"/>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16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2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82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12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82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7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44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0"/>
                <w:szCs w:val="20"/>
                <w:u w:val="none"/>
              </w:rPr>
            </w:pPr>
          </w:p>
        </w:tc>
        <w:tc>
          <w:tcPr>
            <w:tcW w:w="2724" w:type="pct"/>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确保人大工作的顺利开展</w:t>
            </w:r>
          </w:p>
        </w:tc>
        <w:tc>
          <w:tcPr>
            <w:tcW w:w="144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人大工作的顺利开展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7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受益人大代表(人次）</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&gt;25人</w:t>
            </w: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49人</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目标完成率</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&gt;80%</w:t>
            </w: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完成时限</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2024年内</w:t>
            </w: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已完成</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人大工作使用经费</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1万元</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1万元</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i w:val="0"/>
                <w:iCs w:val="0"/>
                <w:color w:val="333333"/>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社会和谐稳定</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持续促进</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持续促进</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7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bl>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5"/>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2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394"/>
        <w:gridCol w:w="715"/>
        <w:gridCol w:w="679"/>
        <w:gridCol w:w="1741"/>
        <w:gridCol w:w="1568"/>
        <w:gridCol w:w="1035"/>
        <w:gridCol w:w="491"/>
        <w:gridCol w:w="491"/>
        <w:gridCol w:w="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2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40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032"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930"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1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86"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公益岗位保险</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3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8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3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1"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5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5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7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3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i w:val="0"/>
                <w:iCs w:val="0"/>
                <w:color w:val="000000"/>
                <w:sz w:val="20"/>
                <w:szCs w:val="20"/>
                <w:u w:val="none"/>
              </w:rPr>
            </w:pPr>
          </w:p>
        </w:tc>
        <w:tc>
          <w:tcPr>
            <w:tcW w:w="2789" w:type="pct"/>
            <w:gridSpan w:val="4"/>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保障公益性岗位群众工伤、工亡后的医疗和基本生活，解决群众和家属的后顾之忧的必要举措，避免因病、因伤致贫返贫</w:t>
            </w:r>
          </w:p>
        </w:tc>
        <w:tc>
          <w:tcPr>
            <w:tcW w:w="1382" w:type="pct"/>
            <w:gridSpan w:val="4"/>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保障公益性岗位群众工伤、工亡后的医疗和基本生活，解决群众和家属的后顾之忧的必要举措，避免因病、因伤致贫返贫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8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9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0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保险购买数</w:t>
            </w:r>
          </w:p>
        </w:tc>
        <w:tc>
          <w:tcPr>
            <w:tcW w:w="9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23份</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23份</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0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完成时限</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2024年内</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已完成</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公益性岗位保险购买标准</w:t>
            </w:r>
          </w:p>
        </w:tc>
        <w:tc>
          <w:tcPr>
            <w:tcW w:w="930" w:type="pct"/>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每人400元/年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0元</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通过其他资金支付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333333"/>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贫困劳动力工伤保险保障率</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&gt;80%</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公益性岗位满意度</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bl>
    <w:p>
      <w:pPr>
        <w:pStyle w:val="5"/>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2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402"/>
        <w:gridCol w:w="715"/>
        <w:gridCol w:w="686"/>
        <w:gridCol w:w="2045"/>
        <w:gridCol w:w="1194"/>
        <w:gridCol w:w="1038"/>
        <w:gridCol w:w="511"/>
        <w:gridCol w:w="491"/>
        <w:gridCol w:w="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24"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406"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21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708"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15"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30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05"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网络宽带费</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4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0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4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6"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8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7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4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i w:val="0"/>
                <w:iCs w:val="0"/>
                <w:color w:val="000000"/>
                <w:sz w:val="20"/>
                <w:szCs w:val="20"/>
                <w:u w:val="none"/>
              </w:rPr>
            </w:pPr>
          </w:p>
        </w:tc>
        <w:tc>
          <w:tcPr>
            <w:tcW w:w="2751" w:type="pct"/>
            <w:gridSpan w:val="4"/>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保障各应用系统、电子政务外网、政务云平台和政府门户网站等网络安全稳定运行。</w:t>
            </w:r>
          </w:p>
        </w:tc>
        <w:tc>
          <w:tcPr>
            <w:tcW w:w="14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9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5"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网络费缴纳月数</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=12月</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12月</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网络宽带监控使用质量</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优</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费用缴纳及时率</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及时</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网络宽带使用费</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1万元</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1万元</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对基层工作开展</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持续保障</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持续保障</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bl>
    <w:p>
      <w:pPr>
        <w:pStyle w:val="5"/>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5"/>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2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380"/>
        <w:gridCol w:w="711"/>
        <w:gridCol w:w="688"/>
        <w:gridCol w:w="1967"/>
        <w:gridCol w:w="1219"/>
        <w:gridCol w:w="1091"/>
        <w:gridCol w:w="518"/>
        <w:gridCol w:w="491"/>
        <w:gridCol w:w="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19" w:type="pct"/>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2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408"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166"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72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47"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307"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1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永胜乡生活垃圾清运费</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46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9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46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41"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5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8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5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23.76</w:t>
            </w:r>
          </w:p>
        </w:tc>
        <w:tc>
          <w:tcPr>
            <w:tcW w:w="8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5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23.76</w:t>
            </w:r>
          </w:p>
        </w:tc>
        <w:tc>
          <w:tcPr>
            <w:tcW w:w="8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5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3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8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46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i w:val="0"/>
                <w:iCs w:val="0"/>
                <w:color w:val="000000"/>
                <w:sz w:val="20"/>
                <w:szCs w:val="20"/>
                <w:u w:val="none"/>
              </w:rPr>
            </w:pPr>
          </w:p>
        </w:tc>
        <w:tc>
          <w:tcPr>
            <w:tcW w:w="2719" w:type="pct"/>
            <w:gridSpan w:val="4"/>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用于农村垃圾清远，实现所有农村垃圾清远专业化，致力于改变农村环境脏乱差的现状</w:t>
            </w:r>
          </w:p>
        </w:tc>
        <w:tc>
          <w:tcPr>
            <w:tcW w:w="146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提升农村环境卫生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8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16"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830"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垃圾清运村数</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0"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垃圾转运率</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&gt;90%</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0"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垃圾清运及时率</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ascii="Arial" w:hAnsi="Arial" w:eastAsia="宋体" w:cs="Arial"/>
                <w:i w:val="0"/>
                <w:iCs w:val="0"/>
                <w:color w:val="333333"/>
                <w:sz w:val="20"/>
                <w:szCs w:val="20"/>
                <w:u w:val="none"/>
              </w:rPr>
            </w:pPr>
            <w:r>
              <w:rPr>
                <w:rStyle w:val="40"/>
                <w:rFonts w:eastAsia="宋体"/>
                <w:lang w:val="en-US" w:eastAsia="zh-CN" w:bidi="ar"/>
              </w:rPr>
              <w:t>≥</w:t>
            </w:r>
            <w:r>
              <w:rPr>
                <w:rStyle w:val="41"/>
                <w:lang w:val="en-US" w:eastAsia="zh-CN" w:bidi="ar"/>
              </w:rPr>
              <w:t>95%</w:t>
            </w: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99%</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0"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垃圾清运成本</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25万元</w:t>
            </w: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23.76万元</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830"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jc w:val="center"/>
              <w:rPr>
                <w:rFonts w:hint="eastAsia" w:ascii="宋体" w:hAnsi="宋体" w:eastAsia="宋体" w:cs="宋体"/>
                <w:i w:val="0"/>
                <w:iCs w:val="0"/>
                <w:color w:val="333333"/>
                <w:sz w:val="20"/>
                <w:szCs w:val="20"/>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0"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20"/>
                <w:szCs w:val="20"/>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20"/>
                <w:szCs w:val="20"/>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20"/>
                <w:szCs w:val="20"/>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0"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0"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乡镇环境干净卫生</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持续保障</w:t>
            </w: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持续保障</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30"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7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bl>
    <w:p>
      <w:pPr>
        <w:pStyle w:val="5"/>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5"/>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243"/>
        <w:gridCol w:w="687"/>
        <w:gridCol w:w="622"/>
        <w:gridCol w:w="2638"/>
        <w:gridCol w:w="1058"/>
        <w:gridCol w:w="965"/>
        <w:gridCol w:w="463"/>
        <w:gridCol w:w="463"/>
        <w:gridCol w:w="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2" w:type="pct"/>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00"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362"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625"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15"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56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69"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69"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7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永胜乡农村公共运行维护建设及基层组织活动</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3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22"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9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1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9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9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9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1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00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i w:val="0"/>
                <w:iCs w:val="0"/>
                <w:color w:val="000000"/>
                <w:sz w:val="20"/>
                <w:szCs w:val="20"/>
                <w:u w:val="none"/>
              </w:rPr>
            </w:pPr>
          </w:p>
        </w:tc>
        <w:tc>
          <w:tcPr>
            <w:tcW w:w="3003" w:type="pct"/>
            <w:gridSpan w:val="4"/>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进一步深化农村（社区）综合改革，完善农村（社区）公共服务运行维护机制。切实解决村（社区）干部“想干事，没钱干”的困境，提高议事、决事、办事的效率和效果</w:t>
            </w:r>
          </w:p>
        </w:tc>
        <w:tc>
          <w:tcPr>
            <w:tcW w:w="12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提高基层组织议事、决事、办事的效率和效果，提高群众的幸福感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8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0"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48%</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6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受益村数</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5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6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69"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6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按时完成公共服务设施的维护和村级基层建设</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按时完成</w:t>
            </w:r>
          </w:p>
        </w:tc>
        <w:tc>
          <w:tcPr>
            <w:tcW w:w="5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已完成</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6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基层组织活动及公共服务运行成本</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32万元</w:t>
            </w:r>
          </w:p>
        </w:tc>
        <w:tc>
          <w:tcPr>
            <w:tcW w:w="5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15.4万元</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6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jc w:val="center"/>
              <w:rPr>
                <w:rFonts w:hint="eastAsia" w:ascii="宋体" w:hAnsi="宋体" w:eastAsia="宋体" w:cs="宋体"/>
                <w:i w:val="0"/>
                <w:iCs w:val="0"/>
                <w:color w:val="333333"/>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69"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6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村基础设施项目维护率</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65%</w:t>
            </w:r>
          </w:p>
        </w:tc>
        <w:tc>
          <w:tcPr>
            <w:tcW w:w="5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65%</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9"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6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69"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6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69"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762"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bl>
    <w:p>
      <w:pPr>
        <w:pStyle w:val="5"/>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2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402"/>
        <w:gridCol w:w="715"/>
        <w:gridCol w:w="686"/>
        <w:gridCol w:w="1590"/>
        <w:gridCol w:w="1140"/>
        <w:gridCol w:w="1038"/>
        <w:gridCol w:w="703"/>
        <w:gridCol w:w="491"/>
        <w:gridCol w:w="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32" w:type="pct"/>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24"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406"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94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76"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15"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417"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39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7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矿山维稳工作经费</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77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6"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2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1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1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1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2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1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4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i w:val="0"/>
                <w:iCs w:val="0"/>
                <w:color w:val="000000"/>
                <w:sz w:val="20"/>
                <w:szCs w:val="20"/>
                <w:u w:val="none"/>
              </w:rPr>
            </w:pPr>
          </w:p>
        </w:tc>
        <w:tc>
          <w:tcPr>
            <w:tcW w:w="2449" w:type="pct"/>
            <w:gridSpan w:val="4"/>
            <w:tcBorders>
              <w:top w:val="single" w:color="000000" w:sz="4" w:space="0"/>
              <w:left w:val="single" w:color="000000" w:sz="4" w:space="0"/>
              <w:bottom w:val="nil"/>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辖区内矿山企业安全稳定生产</w:t>
            </w:r>
          </w:p>
        </w:tc>
        <w:tc>
          <w:tcPr>
            <w:tcW w:w="17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保障矿山安全稳定生产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9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05"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9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矿山个数</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2个</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2个</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9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9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完成时限</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2024年内</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已完成</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开展维稳工作成本</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0.5万元</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0.5万元</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9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20"/>
                <w:szCs w:val="20"/>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矿山维稳工作</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持续推进</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持续推进</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bl>
    <w:p>
      <w:pPr>
        <w:pStyle w:val="5"/>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lang w:val="en-US" w:eastAsia="zh-CN"/>
        </w:rPr>
      </w:pPr>
    </w:p>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5"/>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5"/>
        <w:rPr>
          <w:rFonts w:hint="eastAsia"/>
          <w:lang w:val="en-US" w:eastAsia="zh-CN"/>
        </w:rPr>
      </w:pPr>
    </w:p>
    <w:p>
      <w:pPr>
        <w:rPr>
          <w:rFonts w:hint="eastAsia"/>
          <w:lang w:val="en-US" w:eastAsia="zh-CN"/>
        </w:rPr>
      </w:pPr>
    </w:p>
    <w:tbl>
      <w:tblPr>
        <w:tblStyle w:val="2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402"/>
        <w:gridCol w:w="787"/>
        <w:gridCol w:w="614"/>
        <w:gridCol w:w="2122"/>
        <w:gridCol w:w="1160"/>
        <w:gridCol w:w="1040"/>
        <w:gridCol w:w="494"/>
        <w:gridCol w:w="491"/>
        <w:gridCol w:w="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32" w:type="pct"/>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6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25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8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1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93"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8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社区戒毒工作站运行经费</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3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0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3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99" w:type="pct"/>
            <w:gridSpan w:val="2"/>
            <w:tcBorders>
              <w:top w:val="single" w:color="000000" w:sz="4" w:space="0"/>
              <w:left w:val="single" w:color="000000" w:sz="4" w:space="0"/>
              <w:bottom w:val="single" w:color="000000" w:sz="4" w:space="0"/>
              <w:right w:val="nil"/>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16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7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7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13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7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77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3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0"/>
                <w:szCs w:val="20"/>
                <w:u w:val="none"/>
              </w:rPr>
            </w:pPr>
          </w:p>
        </w:tc>
        <w:tc>
          <w:tcPr>
            <w:tcW w:w="2778" w:type="pct"/>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本单位戒毒站工作开展，通过对毒品违法犯罪的打击和预防宣传教育，提高公民的禁毒意识，有效遏制毒品违法犯罪的发展蔓延趋势；开展禁种铲毒工作，开展社区戒毒社区康复，提高对吸毒人员的管控能力，有效减少毒品危害</w:t>
            </w:r>
          </w:p>
        </w:tc>
        <w:tc>
          <w:tcPr>
            <w:tcW w:w="13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辖区内无吸毒人员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2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22"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受益村数</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工作开展完成率</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ascii="Arial" w:hAnsi="Arial" w:eastAsia="宋体" w:cs="Arial"/>
                <w:i w:val="0"/>
                <w:iCs w:val="0"/>
                <w:color w:val="333333"/>
                <w:sz w:val="18"/>
                <w:szCs w:val="18"/>
                <w:u w:val="none"/>
              </w:rPr>
            </w:pPr>
            <w:r>
              <w:rPr>
                <w:rFonts w:hint="default" w:ascii="Arial" w:hAnsi="Arial" w:eastAsia="宋体" w:cs="Arial"/>
                <w:i w:val="0"/>
                <w:iCs w:val="0"/>
                <w:color w:val="333333"/>
                <w:kern w:val="0"/>
                <w:sz w:val="18"/>
                <w:szCs w:val="18"/>
                <w:u w:val="none"/>
                <w:lang w:val="en-US" w:eastAsia="zh-CN" w:bidi="ar"/>
              </w:rPr>
              <w:t>≥</w:t>
            </w:r>
            <w:r>
              <w:rPr>
                <w:rFonts w:hint="eastAsia" w:ascii="宋体" w:hAnsi="宋体" w:eastAsia="宋体" w:cs="宋体"/>
                <w:i w:val="0"/>
                <w:iCs w:val="0"/>
                <w:color w:val="333333"/>
                <w:kern w:val="0"/>
                <w:sz w:val="18"/>
                <w:szCs w:val="18"/>
                <w:u w:val="none"/>
                <w:lang w:val="en-US" w:eastAsia="zh-CN" w:bidi="ar"/>
              </w:rPr>
              <w:t>98%</w:t>
            </w: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完成时限</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Arial" w:hAnsi="Arial" w:eastAsia="宋体" w:cs="Arial"/>
                <w:i w:val="0"/>
                <w:iCs w:val="0"/>
                <w:color w:val="333333"/>
                <w:sz w:val="18"/>
                <w:szCs w:val="18"/>
                <w:u w:val="none"/>
              </w:rPr>
            </w:pPr>
            <w:r>
              <w:rPr>
                <w:rFonts w:hint="default" w:ascii="Arial" w:hAnsi="Arial" w:eastAsia="宋体" w:cs="Arial"/>
                <w:i w:val="0"/>
                <w:iCs w:val="0"/>
                <w:color w:val="333333"/>
                <w:kern w:val="0"/>
                <w:sz w:val="18"/>
                <w:szCs w:val="18"/>
                <w:u w:val="none"/>
                <w:lang w:val="en-US" w:eastAsia="zh-CN" w:bidi="ar"/>
              </w:rPr>
              <w:t>2024</w:t>
            </w:r>
            <w:r>
              <w:rPr>
                <w:rFonts w:hint="eastAsia" w:ascii="宋体" w:hAnsi="宋体" w:eastAsia="宋体" w:cs="宋体"/>
                <w:i w:val="0"/>
                <w:iCs w:val="0"/>
                <w:color w:val="333333"/>
                <w:kern w:val="0"/>
                <w:sz w:val="18"/>
                <w:szCs w:val="18"/>
                <w:u w:val="none"/>
                <w:lang w:val="en-US" w:eastAsia="zh-CN" w:bidi="ar"/>
              </w:rPr>
              <w:t>年内</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已完成</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社区戒毒社区康复工作成本</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0.5万元</w:t>
            </w: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0.5万元</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i w:val="0"/>
                <w:iCs w:val="0"/>
                <w:color w:val="333333"/>
                <w:sz w:val="20"/>
                <w:szCs w:val="20"/>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吸毒发生率</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&lt;5%</w:t>
            </w: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bl>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285"/>
        <w:gridCol w:w="735"/>
        <w:gridCol w:w="613"/>
        <w:gridCol w:w="2056"/>
        <w:gridCol w:w="1092"/>
        <w:gridCol w:w="996"/>
        <w:gridCol w:w="722"/>
        <w:gridCol w:w="476"/>
        <w:gridCol w:w="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61" w:type="pct"/>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35"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36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218"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47"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590"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429"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82"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7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永胜乡驻村工作队工作经费</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5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0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5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96"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2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9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0.76</w:t>
            </w:r>
          </w:p>
        </w:tc>
        <w:tc>
          <w:tcPr>
            <w:tcW w:w="9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0.76</w:t>
            </w:r>
          </w:p>
        </w:tc>
        <w:tc>
          <w:tcPr>
            <w:tcW w:w="9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2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9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6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5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i w:val="0"/>
                <w:iCs w:val="0"/>
                <w:color w:val="000000"/>
                <w:sz w:val="20"/>
                <w:szCs w:val="20"/>
                <w:u w:val="none"/>
              </w:rPr>
            </w:pPr>
          </w:p>
        </w:tc>
        <w:tc>
          <w:tcPr>
            <w:tcW w:w="2664" w:type="pct"/>
            <w:gridSpan w:val="4"/>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用于驻村工作队在村工作期间的经费开支，为驻村工作队员紧紧围绕党的政策、建强基层组织、推动精准扶贫、为民办事服务一系列活动提供有力财政支撑</w:t>
            </w:r>
          </w:p>
        </w:tc>
        <w:tc>
          <w:tcPr>
            <w:tcW w:w="15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驻村工作队工作完成情况良好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82"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1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83.6</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2"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798"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2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受益村数</w:t>
            </w: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2"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98"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2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82"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98"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2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完成时限</w:t>
            </w: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2024年内</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已完成</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2"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98"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2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开展驻村工作所需成本</w:t>
            </w: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2万元</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0.76万元</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798"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snapToGrid w:val="0"/>
              <w:jc w:val="center"/>
              <w:rPr>
                <w:rFonts w:hint="eastAsia" w:ascii="宋体" w:hAnsi="宋体" w:eastAsia="宋体" w:cs="宋体"/>
                <w:i w:val="0"/>
                <w:iCs w:val="0"/>
                <w:color w:val="333333"/>
                <w:sz w:val="20"/>
                <w:szCs w:val="20"/>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82"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98"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20"/>
                <w:szCs w:val="20"/>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20"/>
                <w:szCs w:val="20"/>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82"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98"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82"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98"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驻村工作服务能力</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持续提高</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持续提高</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2"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798"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bl>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69"/>
        <w:gridCol w:w="620"/>
        <w:gridCol w:w="619"/>
        <w:gridCol w:w="2104"/>
        <w:gridCol w:w="1378"/>
        <w:gridCol w:w="1378"/>
        <w:gridCol w:w="441"/>
        <w:gridCol w:w="441"/>
        <w:gridCol w:w="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9" w:type="pct"/>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附件3</w:t>
            </w:r>
          </w:p>
        </w:tc>
        <w:tc>
          <w:tcPr>
            <w:tcW w:w="36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36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314"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800"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800"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57"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57"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66"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新冠疫情社区排查防控社工工作人员经费</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4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0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4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41"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6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6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17.5276</w:t>
            </w:r>
          </w:p>
        </w:tc>
        <w:tc>
          <w:tcPr>
            <w:tcW w:w="16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16.12</w:t>
            </w:r>
          </w:p>
        </w:tc>
        <w:tc>
          <w:tcPr>
            <w:tcW w:w="6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0.919692371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17.5276</w:t>
            </w:r>
          </w:p>
        </w:tc>
        <w:tc>
          <w:tcPr>
            <w:tcW w:w="16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16.12</w:t>
            </w:r>
          </w:p>
        </w:tc>
        <w:tc>
          <w:tcPr>
            <w:tcW w:w="6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0.919692371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6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6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83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4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i w:val="0"/>
                <w:iCs w:val="0"/>
                <w:color w:val="000000"/>
                <w:sz w:val="20"/>
                <w:szCs w:val="20"/>
                <w:u w:val="none"/>
              </w:rPr>
            </w:pPr>
          </w:p>
        </w:tc>
        <w:tc>
          <w:tcPr>
            <w:tcW w:w="2837" w:type="pct"/>
            <w:gridSpan w:val="4"/>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保障新冠疫情社区排查防控工作需要，组织动员社工岗工作人员参与疫情排查防控任务，发挥基层岗位作用</w:t>
            </w:r>
          </w:p>
        </w:tc>
        <w:tc>
          <w:tcPr>
            <w:tcW w:w="14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发挥基层岗位作用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57"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31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92%</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7"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受益人数</w:t>
            </w:r>
          </w:p>
        </w:tc>
        <w:tc>
          <w:tcPr>
            <w:tcW w:w="800"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800" w:type="pct"/>
            <w:tcBorders>
              <w:top w:val="nil"/>
              <w:left w:val="nil"/>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7"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722"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经费支出合规性</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符合相关文件规定</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符合相关文件规定</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57"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722"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工资及时发放率</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7"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722"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社工岗经费使用</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&lt;17.5276万元</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16.12万元</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7"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722"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57"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722"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疫情防控工作开展情况</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良好</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良好</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57"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722"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57"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722"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疫情防控能力</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逐步提升</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逐步提升</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7"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722"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bl>
    <w:p>
      <w:pPr>
        <w:pStyle w:val="5"/>
        <w:rPr>
          <w:rFonts w:hint="eastAsia"/>
          <w:lang w:val="en-US" w:eastAsia="zh-CN"/>
        </w:rPr>
      </w:pPr>
    </w:p>
    <w:p>
      <w:pPr>
        <w:rPr>
          <w:rFonts w:hint="eastAsia"/>
          <w:lang w:val="en-US" w:eastAsia="zh-CN"/>
        </w:rPr>
      </w:pPr>
    </w:p>
    <w:p>
      <w:pPr>
        <w:rPr>
          <w:rFonts w:hint="eastAsia"/>
          <w:lang w:val="en-US" w:eastAsia="zh-CN"/>
        </w:rPr>
      </w:pPr>
    </w:p>
    <w:tbl>
      <w:tblPr>
        <w:tblStyle w:val="20"/>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400"/>
        <w:gridCol w:w="770"/>
        <w:gridCol w:w="630"/>
        <w:gridCol w:w="1963"/>
        <w:gridCol w:w="1266"/>
        <w:gridCol w:w="1041"/>
        <w:gridCol w:w="512"/>
        <w:gridCol w:w="491"/>
        <w:gridCol w:w="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31" w:type="pct"/>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56"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374"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164"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75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17"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304"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07"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武装工作经费</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4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9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4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8"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8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8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7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4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i w:val="0"/>
                <w:iCs w:val="0"/>
                <w:color w:val="000000"/>
                <w:sz w:val="20"/>
                <w:szCs w:val="20"/>
                <w:u w:val="none"/>
              </w:rPr>
            </w:pPr>
          </w:p>
        </w:tc>
        <w:tc>
          <w:tcPr>
            <w:tcW w:w="2747" w:type="pct"/>
            <w:gridSpan w:val="4"/>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用于武装工作的经费开支，为工作队员紧紧围绕党的政策、建强基层组织、推动精准扶贫、为民办事服务一系列活动提供有力财政支撑</w:t>
            </w:r>
          </w:p>
        </w:tc>
        <w:tc>
          <w:tcPr>
            <w:tcW w:w="14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武装工作完成情况良好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9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对民兵进行训练次数</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ascii="宋体" w:hAnsi="宋体" w:eastAsia="宋体" w:cs="宋体"/>
                <w:i w:val="0"/>
                <w:iCs w:val="0"/>
                <w:color w:val="333333"/>
                <w:sz w:val="18"/>
                <w:szCs w:val="18"/>
                <w:u w:val="none"/>
              </w:rPr>
            </w:pPr>
            <w:r>
              <w:rPr>
                <w:rFonts w:ascii="宋体" w:hAnsi="宋体" w:eastAsia="宋体" w:cs="宋体"/>
                <w:i w:val="0"/>
                <w:iCs w:val="0"/>
                <w:color w:val="333333"/>
                <w:kern w:val="0"/>
                <w:sz w:val="18"/>
                <w:szCs w:val="18"/>
                <w:u w:val="none"/>
                <w:lang w:val="en-US" w:eastAsia="zh-CN" w:bidi="ar"/>
              </w:rPr>
              <w:t>≧2次</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2次</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提升民兵应急能力</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ascii="宋体" w:hAnsi="宋体" w:eastAsia="宋体" w:cs="宋体"/>
                <w:i w:val="0"/>
                <w:iCs w:val="0"/>
                <w:color w:val="333333"/>
                <w:sz w:val="18"/>
                <w:szCs w:val="18"/>
                <w:u w:val="none"/>
              </w:rPr>
            </w:pPr>
            <w:r>
              <w:rPr>
                <w:rFonts w:ascii="宋体" w:hAnsi="宋体" w:eastAsia="宋体" w:cs="宋体"/>
                <w:i w:val="0"/>
                <w:iCs w:val="0"/>
                <w:color w:val="333333"/>
                <w:kern w:val="0"/>
                <w:sz w:val="18"/>
                <w:szCs w:val="18"/>
                <w:u w:val="none"/>
                <w:lang w:val="en-US" w:eastAsia="zh-CN" w:bidi="ar"/>
              </w:rPr>
              <w:t>≧99%</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完成时限</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2024年内</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已完成</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武装工作所需成本</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5万元</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5万元</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民兵服务效能</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较好</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较好</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31"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31"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bl>
    <w:p>
      <w:pPr>
        <w:pStyle w:val="5"/>
        <w:rPr>
          <w:rFonts w:hint="eastAsia"/>
          <w:lang w:val="en-US" w:eastAsia="zh-CN"/>
        </w:rPr>
      </w:pPr>
    </w:p>
    <w:p>
      <w:pPr>
        <w:rPr>
          <w:rFonts w:hint="eastAsia"/>
          <w:lang w:val="en-US" w:eastAsia="zh-CN"/>
        </w:rPr>
      </w:pPr>
    </w:p>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5"/>
        <w:rPr>
          <w:rFonts w:hint="eastAsia"/>
          <w:lang w:val="en-US" w:eastAsia="zh-CN"/>
        </w:rPr>
      </w:pPr>
    </w:p>
    <w:p>
      <w:pPr>
        <w:rPr>
          <w:rFonts w:hint="eastAsia"/>
          <w:lang w:val="en-US" w:eastAsia="zh-CN"/>
        </w:rPr>
      </w:pP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60"/>
        <w:gridCol w:w="615"/>
        <w:gridCol w:w="615"/>
        <w:gridCol w:w="1604"/>
        <w:gridCol w:w="988"/>
        <w:gridCol w:w="1146"/>
        <w:gridCol w:w="860"/>
        <w:gridCol w:w="579"/>
        <w:gridCol w:w="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4" w:type="pct"/>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358"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358"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029"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574"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69"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33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50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大瓦山湿地公园日常运维管理经费</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20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7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0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3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12.05</w:t>
            </w:r>
          </w:p>
        </w:tc>
        <w:tc>
          <w:tcPr>
            <w:tcW w:w="13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0.803333333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12.05</w:t>
            </w:r>
          </w:p>
        </w:tc>
        <w:tc>
          <w:tcPr>
            <w:tcW w:w="13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0.803333333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3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3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0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i w:val="0"/>
                <w:iCs w:val="0"/>
                <w:color w:val="000000"/>
                <w:sz w:val="20"/>
                <w:szCs w:val="20"/>
                <w:u w:val="none"/>
              </w:rPr>
            </w:pPr>
          </w:p>
        </w:tc>
        <w:tc>
          <w:tcPr>
            <w:tcW w:w="2319" w:type="pct"/>
            <w:gridSpan w:val="4"/>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对大瓦山湿地公园环境保护水草打捞等日常运维管理不断提升</w:t>
            </w:r>
          </w:p>
        </w:tc>
        <w:tc>
          <w:tcPr>
            <w:tcW w:w="20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大瓦山湿地公园日常运维管理完成情况良好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6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41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716"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0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湿地公园数量</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ascii="宋体" w:hAnsi="宋体" w:eastAsia="宋体" w:cs="宋体"/>
                <w:i w:val="0"/>
                <w:iCs w:val="0"/>
                <w:color w:val="333333"/>
                <w:sz w:val="18"/>
                <w:szCs w:val="18"/>
                <w:u w:val="none"/>
              </w:rPr>
            </w:pPr>
            <w:r>
              <w:rPr>
                <w:rFonts w:ascii="宋体" w:hAnsi="宋体" w:eastAsia="宋体" w:cs="宋体"/>
                <w:i w:val="0"/>
                <w:iCs w:val="0"/>
                <w:color w:val="333333"/>
                <w:kern w:val="0"/>
                <w:sz w:val="18"/>
                <w:szCs w:val="18"/>
                <w:u w:val="none"/>
                <w:lang w:val="en-US" w:eastAsia="zh-CN" w:bidi="ar"/>
              </w:rPr>
              <w:t>5处</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5处</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16"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0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湿地公园环境维护</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ascii="宋体" w:hAnsi="宋体" w:eastAsia="宋体" w:cs="宋体"/>
                <w:i w:val="0"/>
                <w:iCs w:val="0"/>
                <w:color w:val="333333"/>
                <w:sz w:val="18"/>
                <w:szCs w:val="18"/>
                <w:u w:val="none"/>
              </w:rPr>
            </w:pPr>
            <w:r>
              <w:rPr>
                <w:rFonts w:ascii="宋体" w:hAnsi="宋体" w:eastAsia="宋体" w:cs="宋体"/>
                <w:i w:val="0"/>
                <w:iCs w:val="0"/>
                <w:color w:val="333333"/>
                <w:kern w:val="0"/>
                <w:sz w:val="18"/>
                <w:szCs w:val="18"/>
                <w:u w:val="none"/>
                <w:lang w:val="en-US" w:eastAsia="zh-CN" w:bidi="ar"/>
              </w:rPr>
              <w:t>≧99%</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16"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完成时限</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2024年内</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已完成</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16"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日常运维经费</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15万元</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12.05万元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716"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16"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周边环境卫生条件</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33"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16"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716"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0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333"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716"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0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游客满意度</w:t>
            </w:r>
          </w:p>
        </w:tc>
        <w:tc>
          <w:tcPr>
            <w:tcW w:w="5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bl>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tbl>
      <w:tblPr>
        <w:tblStyle w:val="2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361"/>
        <w:gridCol w:w="706"/>
        <w:gridCol w:w="688"/>
        <w:gridCol w:w="2208"/>
        <w:gridCol w:w="1135"/>
        <w:gridCol w:w="1035"/>
        <w:gridCol w:w="491"/>
        <w:gridCol w:w="491"/>
        <w:gridCol w:w="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18"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408"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309"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7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1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291"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185"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政协工作站联络张工作经费</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3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1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3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27"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1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0"/>
                <w:szCs w:val="20"/>
                <w:u w:val="none"/>
              </w:rPr>
            </w:pPr>
          </w:p>
        </w:tc>
        <w:tc>
          <w:tcPr>
            <w:tcW w:w="7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80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3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left"/>
              <w:rPr>
                <w:rFonts w:hint="eastAsia" w:ascii="宋体" w:hAnsi="宋体" w:eastAsia="宋体" w:cs="宋体"/>
                <w:i w:val="0"/>
                <w:iCs w:val="0"/>
                <w:color w:val="000000"/>
                <w:sz w:val="20"/>
                <w:szCs w:val="20"/>
                <w:u w:val="none"/>
              </w:rPr>
            </w:pPr>
          </w:p>
        </w:tc>
        <w:tc>
          <w:tcPr>
            <w:tcW w:w="2809" w:type="pct"/>
            <w:gridSpan w:val="4"/>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确保政协工作的顺利开展</w:t>
            </w:r>
          </w:p>
        </w:tc>
        <w:tc>
          <w:tcPr>
            <w:tcW w:w="13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政协工作的顺利开展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5"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受益村数量</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ascii="宋体" w:hAnsi="宋体" w:eastAsia="宋体" w:cs="宋体"/>
                <w:i w:val="0"/>
                <w:iCs w:val="0"/>
                <w:color w:val="333333"/>
                <w:sz w:val="18"/>
                <w:szCs w:val="18"/>
                <w:u w:val="none"/>
              </w:rPr>
            </w:pPr>
            <w:r>
              <w:rPr>
                <w:rFonts w:ascii="宋体" w:hAnsi="宋体" w:eastAsia="宋体" w:cs="宋体"/>
                <w:i w:val="0"/>
                <w:iCs w:val="0"/>
                <w:color w:val="333333"/>
                <w:kern w:val="0"/>
                <w:sz w:val="18"/>
                <w:szCs w:val="18"/>
                <w:u w:val="none"/>
                <w:lang w:val="en-US" w:eastAsia="zh-CN" w:bidi="ar"/>
              </w:rPr>
              <w:t>4个</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4个</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目标完成率</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&gt;80%</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完成时限</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2024年内</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已完成</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开展政协工作经费</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1万元</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1万元</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333333"/>
                <w:sz w:val="20"/>
                <w:szCs w:val="20"/>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20"/>
                <w:szCs w:val="20"/>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Arial" w:hAnsi="Arial" w:eastAsia="宋体" w:cs="Arial"/>
                <w:i w:val="0"/>
                <w:iCs w:val="0"/>
                <w:color w:val="333333"/>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673" w:type="pct"/>
            <w:tcBorders>
              <w:top w:val="nil"/>
              <w:left w:val="nil"/>
              <w:bottom w:val="nil"/>
              <w:right w:val="nil"/>
            </w:tcBorders>
            <w:shd w:val="clear" w:color="auto" w:fill="auto"/>
            <w:noWrap/>
            <w:vAlign w:val="center"/>
          </w:tcPr>
          <w:p>
            <w:pPr>
              <w:keepNext/>
              <w:snapToGrid w:val="0"/>
              <w:rPr>
                <w:rFonts w:hint="eastAsia" w:ascii="宋体" w:hAnsi="宋体" w:eastAsia="宋体" w:cs="宋体"/>
                <w:i w:val="0"/>
                <w:iCs w:val="0"/>
                <w:color w:val="000000"/>
                <w:sz w:val="22"/>
                <w:szCs w:val="22"/>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333333"/>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snapToGrid w:val="0"/>
              <w:jc w:val="center"/>
              <w:rPr>
                <w:rFonts w:hint="eastAsia" w:ascii="宋体" w:hAnsi="宋体" w:eastAsia="宋体" w:cs="宋体"/>
                <w:i w:val="0"/>
                <w:iCs w:val="0"/>
                <w:color w:val="333333"/>
                <w:sz w:val="18"/>
                <w:szCs w:val="18"/>
                <w:u w:val="none"/>
              </w:rPr>
            </w:pP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政治协商、民情民意</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持续反映</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持续反映</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1" w:type="pct"/>
            <w:tcBorders>
              <w:top w:val="single" w:color="000000" w:sz="4" w:space="0"/>
              <w:left w:val="nil"/>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27"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rPr>
                <w:rFonts w:hint="eastAsia" w:ascii="宋体" w:hAnsi="宋体" w:eastAsia="宋体" w:cs="宋体"/>
                <w:i w:val="0"/>
                <w:iCs w:val="0"/>
                <w:color w:val="000000"/>
                <w:sz w:val="18"/>
                <w:szCs w:val="18"/>
                <w:u w:val="none"/>
              </w:rPr>
            </w:pPr>
          </w:p>
        </w:tc>
      </w:tr>
    </w:tbl>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rPr>
          <w:rFonts w:hint="eastAsia"/>
          <w:lang w:val="en-US" w:eastAsia="zh-CN"/>
        </w:rPr>
      </w:pPr>
    </w:p>
    <w:p>
      <w:pPr>
        <w:pStyle w:val="5"/>
        <w:rPr>
          <w:rFonts w:hint="eastAsia"/>
          <w:lang w:val="en-US" w:eastAsia="zh-CN"/>
        </w:rPr>
      </w:pPr>
    </w:p>
    <w:tbl>
      <w:tblPr>
        <w:tblStyle w:val="2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328"/>
        <w:gridCol w:w="700"/>
        <w:gridCol w:w="688"/>
        <w:gridCol w:w="2272"/>
        <w:gridCol w:w="1128"/>
        <w:gridCol w:w="1028"/>
        <w:gridCol w:w="488"/>
        <w:gridCol w:w="488"/>
        <w:gridCol w:w="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tcBorders>
              <w:top w:val="nil"/>
              <w:left w:val="nil"/>
              <w:bottom w:val="nil"/>
              <w:right w:val="nil"/>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附件4</w:t>
            </w:r>
          </w:p>
        </w:tc>
        <w:tc>
          <w:tcPr>
            <w:tcW w:w="414"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0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34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6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0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8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8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82"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农村道路交通安全管理工作经费</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3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1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3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永胜乡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02" w:type="pct"/>
            <w:gridSpan w:val="2"/>
            <w:tcBorders>
              <w:top w:val="single" w:color="000000" w:sz="4" w:space="0"/>
              <w:left w:val="single" w:color="000000" w:sz="4" w:space="0"/>
              <w:bottom w:val="single" w:color="000000" w:sz="4" w:space="0"/>
              <w:right w:val="nil"/>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17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2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7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7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2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0.983606557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7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2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0.983606557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7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12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0"/>
                <w:szCs w:val="20"/>
                <w:u w:val="none"/>
              </w:rPr>
            </w:pPr>
          </w:p>
        </w:tc>
        <w:tc>
          <w:tcPr>
            <w:tcW w:w="7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8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3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0"/>
                <w:szCs w:val="20"/>
                <w:u w:val="none"/>
              </w:rPr>
            </w:pPr>
          </w:p>
        </w:tc>
        <w:tc>
          <w:tcPr>
            <w:tcW w:w="2840" w:type="pct"/>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保障全乡日常道路安全工作，交通管理，减少乡境内交通事故发生率。</w:t>
            </w:r>
          </w:p>
        </w:tc>
        <w:tc>
          <w:tcPr>
            <w:tcW w:w="13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开展安全检查100余次，确保我乡全年无交通安全事故发生。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分值/权重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（百分制）</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    分</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98.6</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5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预算执行率（10分）</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1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安全宣传教育检查次数</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≥50次/年</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90次</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1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资金使用合格率</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ascii="宋体" w:hAnsi="宋体" w:eastAsia="宋体" w:cs="宋体"/>
                <w:i w:val="0"/>
                <w:iCs w:val="0"/>
                <w:color w:val="333333"/>
                <w:sz w:val="18"/>
                <w:szCs w:val="18"/>
                <w:u w:val="none"/>
              </w:rPr>
            </w:pPr>
            <w:r>
              <w:rPr>
                <w:rFonts w:ascii="宋体" w:hAnsi="宋体" w:eastAsia="宋体" w:cs="宋体"/>
                <w:i w:val="0"/>
                <w:iCs w:val="0"/>
                <w:color w:val="333333"/>
                <w:kern w:val="0"/>
                <w:sz w:val="18"/>
                <w:szCs w:val="18"/>
                <w:u w:val="none"/>
                <w:lang w:val="en-US" w:eastAsia="zh-CN" w:bidi="ar"/>
              </w:rPr>
              <w:t>≧98%</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1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资金拨付及时率</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ascii="宋体" w:hAnsi="宋体" w:eastAsia="宋体" w:cs="宋体"/>
                <w:i w:val="0"/>
                <w:iCs w:val="0"/>
                <w:color w:val="333333"/>
                <w:sz w:val="18"/>
                <w:szCs w:val="18"/>
                <w:u w:val="none"/>
              </w:rPr>
            </w:pPr>
            <w:r>
              <w:rPr>
                <w:rFonts w:ascii="宋体" w:hAnsi="宋体" w:eastAsia="宋体" w:cs="宋体"/>
                <w:i w:val="0"/>
                <w:iCs w:val="0"/>
                <w:color w:val="333333"/>
                <w:kern w:val="0"/>
                <w:sz w:val="18"/>
                <w:szCs w:val="18"/>
                <w:u w:val="none"/>
                <w:lang w:val="en-US" w:eastAsia="zh-CN" w:bidi="ar"/>
              </w:rPr>
              <w:t>≧98%</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1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开展道路安全管理成本</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2.44万元</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2.4万元</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1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1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提升我乡安全管理水平</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ascii="宋体" w:hAnsi="宋体" w:eastAsia="宋体" w:cs="宋体"/>
                <w:i w:val="0"/>
                <w:iCs w:val="0"/>
                <w:color w:val="333333"/>
                <w:sz w:val="18"/>
                <w:szCs w:val="18"/>
                <w:u w:val="none"/>
              </w:rPr>
            </w:pPr>
            <w:r>
              <w:rPr>
                <w:rFonts w:ascii="宋体" w:hAnsi="宋体" w:eastAsia="宋体" w:cs="宋体"/>
                <w:i w:val="0"/>
                <w:iCs w:val="0"/>
                <w:color w:val="333333"/>
                <w:kern w:val="0"/>
                <w:sz w:val="18"/>
                <w:szCs w:val="18"/>
                <w:u w:val="none"/>
                <w:lang w:val="en-US" w:eastAsia="zh-CN" w:bidi="ar"/>
              </w:rPr>
              <w:t>≧98%</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1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1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center"/>
              <w:rPr>
                <w:rFonts w:hint="eastAsia" w:ascii="宋体" w:hAnsi="宋体" w:eastAsia="宋体" w:cs="宋体"/>
                <w:i w:val="0"/>
                <w:iCs w:val="0"/>
                <w:color w:val="333333"/>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823" w:type="pct"/>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群众满意度</w:t>
            </w:r>
          </w:p>
        </w:tc>
        <w:tc>
          <w:tcPr>
            <w:tcW w:w="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bl>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p>
    <w:p>
      <w:pPr>
        <w:pStyle w:val="5"/>
        <w:rPr>
          <w:rFonts w:hint="eastAsia" w:ascii="Times New Roman" w:hAnsi="Times New Roman" w:eastAsia="仿宋_GB2312" w:cs="Times New Roman"/>
          <w:sz w:val="32"/>
          <w:szCs w:val="32"/>
          <w:u w:val="none"/>
          <w:lang w:val="en" w:eastAsia="zh-CN" w:bidi="ar"/>
        </w:rPr>
      </w:pPr>
    </w:p>
    <w:p>
      <w:pPr>
        <w:rPr>
          <w:rFonts w:hint="eastAsia" w:ascii="Times New Roman" w:hAnsi="Times New Roman" w:eastAsia="仿宋_GB2312" w:cs="Times New Roman"/>
          <w:sz w:val="32"/>
          <w:szCs w:val="32"/>
          <w:u w:val="none"/>
          <w:lang w:val="en" w:eastAsia="zh-CN" w:bidi="ar"/>
        </w:rPr>
      </w:pPr>
    </w:p>
    <w:p>
      <w:pPr>
        <w:pStyle w:val="5"/>
        <w:rPr>
          <w:rFonts w:hint="eastAsia"/>
          <w:lang w:val="en" w:eastAsia="zh-CN"/>
        </w:rPr>
      </w:pPr>
    </w:p>
    <w:p>
      <w:pPr>
        <w:pStyle w:val="6"/>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pStyle w:val="39"/>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pPr>
        <w:pStyle w:val="39"/>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专项预算项目绩效评价报告范本</w:t>
      </w:r>
    </w:p>
    <w:p>
      <w:pPr>
        <w:pStyle w:val="39"/>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pPr>
        <w:pStyle w:val="18"/>
        <w:widowControl/>
        <w:spacing w:before="0" w:beforeAutospacing="0" w:after="0" w:afterAutospacing="0" w:line="540" w:lineRule="exact"/>
        <w:ind w:firstLine="643" w:firstLineChars="200"/>
        <w:jc w:val="both"/>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（一）设立背景及基本情况。</w:t>
      </w:r>
    </w:p>
    <w:p>
      <w:pPr>
        <w:pStyle w:val="18"/>
        <w:widowControl/>
        <w:spacing w:before="0" w:beforeAutospacing="0" w:after="0" w:afterAutospacing="0" w:line="540" w:lineRule="exact"/>
        <w:ind w:firstLine="640" w:firstLineChars="200"/>
        <w:jc w:val="both"/>
        <w:rPr>
          <w:rFonts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1、执行本级人民代表大会的决议和上级国家行政机关的决定和命令，发布决定和命令；</w:t>
      </w:r>
    </w:p>
    <w:p>
      <w:pPr>
        <w:pStyle w:val="18"/>
        <w:widowControl/>
        <w:spacing w:before="0" w:beforeAutospacing="0" w:after="0" w:afterAutospacing="0" w:line="540" w:lineRule="exact"/>
        <w:ind w:firstLine="640" w:firstLineChars="200"/>
        <w:jc w:val="both"/>
        <w:rPr>
          <w:rFonts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2、执行本行政区域内的经济和社会发展计划、预算，管理本行政区域内的经济、教育、科学、文化、卫生和财政、民政、司法行政、计划生育、脱贫攻坚、农林水等工作；</w:t>
      </w:r>
    </w:p>
    <w:p>
      <w:pPr>
        <w:pStyle w:val="18"/>
        <w:widowControl/>
        <w:spacing w:before="0" w:beforeAutospacing="0" w:after="0" w:afterAutospacing="0" w:line="540" w:lineRule="exact"/>
        <w:ind w:firstLine="640" w:firstLineChars="200"/>
        <w:jc w:val="both"/>
        <w:rPr>
          <w:rFonts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3、保护社会主义的全民所有的财产和劳动群众集体所有的财产，保护公民私人所有的合法财产，维护社会秩序，保障公民的人身权利、民主权利和其他权利；</w:t>
      </w:r>
    </w:p>
    <w:p>
      <w:pPr>
        <w:pStyle w:val="18"/>
        <w:widowControl/>
        <w:spacing w:before="0" w:beforeAutospacing="0" w:after="0" w:afterAutospacing="0" w:line="540" w:lineRule="exact"/>
        <w:ind w:firstLine="640" w:firstLineChars="200"/>
        <w:jc w:val="both"/>
        <w:rPr>
          <w:rFonts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4、保障少数民族的权利和尊重少数民族的风俗习惯；</w:t>
      </w:r>
    </w:p>
    <w:p>
      <w:pPr>
        <w:pStyle w:val="18"/>
        <w:widowControl/>
        <w:spacing w:before="0" w:beforeAutospacing="0" w:after="0" w:afterAutospacing="0" w:line="540" w:lineRule="exact"/>
        <w:ind w:firstLine="640" w:firstLineChars="200"/>
        <w:jc w:val="both"/>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000000"/>
          <w:sz w:val="32"/>
          <w:szCs w:val="32"/>
          <w:shd w:val="clear" w:color="auto" w:fill="FFFFFF"/>
          <w:lang w:val="zh-CN"/>
        </w:rPr>
        <w:t>5、及时完成区委、区政府交办的各项任务。</w:t>
      </w:r>
    </w:p>
    <w:p>
      <w:pPr>
        <w:pStyle w:val="18"/>
        <w:widowControl/>
        <w:spacing w:before="0" w:beforeAutospacing="0" w:after="0" w:afterAutospacing="0"/>
        <w:ind w:firstLine="643" w:firstLineChars="200"/>
        <w:jc w:val="both"/>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p>
    <w:p>
      <w:pPr>
        <w:pStyle w:val="18"/>
        <w:widowControl/>
        <w:spacing w:before="0" w:beforeAutospacing="0" w:after="0" w:afterAutospacing="0"/>
        <w:ind w:firstLine="640" w:firstLineChars="200"/>
        <w:jc w:val="both"/>
        <w:rPr>
          <w:rFonts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落实国家政策，严格依法行政，发挥经济管理职能，加强政策引导，制定发展规划，服务市场主体和营造发展环境，搞好市场监管，大力促进社会事业发展，发展乡村经济、文化和社会事业，提供公共服务，维护社会稳定，构建社会主义和谐社会。</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p>
      <w:pPr>
        <w:spacing w:line="560" w:lineRule="exact"/>
        <w:ind w:firstLine="643" w:firstLineChars="200"/>
        <w:jc w:val="left"/>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1、预算编制。</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按照区财政局部门预算编制通知要求，按时完成部门年初预算编制工作。在编制过程中，认真核实单位实际财政供养人数和单位实有编制情况，正确编制人员经费和公用经费等，做到尽量细化项目资金支出预算范围和科目，及时上报预算股进行审核，对所编制的预算予以调整通过。</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2、认真编制年度决算报表。</w:t>
      </w:r>
    </w:p>
    <w:p>
      <w:pPr>
        <w:spacing w:line="560" w:lineRule="exact"/>
        <w:ind w:firstLine="640" w:firstLineChars="200"/>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sz w:val="32"/>
          <w:szCs w:val="32"/>
        </w:rPr>
        <w:t>为真实、准确反应单位年度财务收、支情况，根据区财政局的要求，认真开展部门年度决算报表编制工作。按照政府收支分类科目和财务报表支出情况编制部门决算，决算收入、支出口径与财政局财政大平台及我乡财务账、会计帐核对无误，报表编制无差错。</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left"/>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（四）项目绩效目标设置。</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rPr>
        <w:t>按照预算绩效管理要求，本部门对</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年一般公共预算项目支出开展了绩效目标管理，共编制绩效目标</w:t>
      </w:r>
      <w:r>
        <w:rPr>
          <w:rFonts w:hint="eastAsia" w:ascii="仿宋_GB2312" w:eastAsia="仿宋_GB2312"/>
          <w:color w:val="auto"/>
          <w:sz w:val="32"/>
          <w:szCs w:val="32"/>
          <w:lang w:val="en-US" w:eastAsia="zh-CN"/>
        </w:rPr>
        <w:t>16</w:t>
      </w:r>
      <w:r>
        <w:rPr>
          <w:rFonts w:hint="eastAsia" w:ascii="仿宋_GB2312" w:eastAsia="仿宋_GB2312"/>
          <w:color w:val="auto"/>
          <w:sz w:val="32"/>
          <w:szCs w:val="32"/>
        </w:rPr>
        <w:t>个，涉及财政</w:t>
      </w:r>
      <w:r>
        <w:rPr>
          <w:rFonts w:hint="eastAsia" w:ascii="仿宋_GB2312" w:eastAsia="仿宋_GB2312"/>
          <w:color w:val="auto"/>
          <w:sz w:val="32"/>
          <w:szCs w:val="32"/>
          <w:highlight w:val="none"/>
        </w:rPr>
        <w:t>资金</w:t>
      </w:r>
      <w:r>
        <w:rPr>
          <w:rFonts w:hint="eastAsia" w:ascii="仿宋_GB2312" w:eastAsia="仿宋_GB2312"/>
          <w:color w:val="auto"/>
          <w:sz w:val="32"/>
          <w:szCs w:val="32"/>
          <w:highlight w:val="none"/>
          <w:lang w:val="en-US" w:eastAsia="zh-CN"/>
        </w:rPr>
        <w:t>115.03</w:t>
      </w:r>
      <w:r>
        <w:rPr>
          <w:rFonts w:hint="eastAsia" w:ascii="仿宋_GB2312" w:eastAsia="仿宋_GB2312"/>
          <w:color w:val="auto"/>
          <w:sz w:val="32"/>
          <w:szCs w:val="32"/>
          <w:highlight w:val="none"/>
        </w:rPr>
        <w:t>万元，覆盖率达到</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，具体项目如下：</w:t>
      </w:r>
    </w:p>
    <w:p>
      <w:pPr>
        <w:keepNext w:val="0"/>
        <w:keepLines w:val="0"/>
        <w:pageBreakBefore w:val="0"/>
        <w:widowControl w:val="0"/>
        <w:numPr>
          <w:ilvl w:val="0"/>
          <w:numId w:val="0"/>
        </w:numPr>
        <w:kinsoku/>
        <w:wordWrap/>
        <w:overflowPunct/>
        <w:topLinePunct w:val="0"/>
        <w:autoSpaceDE w:val="0"/>
        <w:autoSpaceDN w:val="0"/>
        <w:bidi w:val="0"/>
        <w:adjustRightInd w:val="0"/>
        <w:spacing w:line="600" w:lineRule="exact"/>
        <w:ind w:firstLine="640" w:firstLineChars="200"/>
        <w:jc w:val="left"/>
        <w:textAlignment w:val="auto"/>
        <w:rPr>
          <w:rFonts w:hint="eastAsia"/>
          <w:color w:val="auto"/>
          <w:highlight w:val="none"/>
          <w:lang w:val="zh-CN"/>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乡村振兴工作经费</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default" w:ascii="Helvetica" w:hAnsi="Helvetica" w:eastAsia="仿宋_GB2312" w:cs="Helvetica"/>
          <w:i w:val="0"/>
          <w:caps w:val="0"/>
          <w:color w:val="auto"/>
          <w:spacing w:val="0"/>
          <w:sz w:val="24"/>
          <w:szCs w:val="24"/>
          <w:shd w:val="clear" w:color="auto" w:fill="FFFFFF"/>
          <w:lang w:val="en-US" w:eastAsia="zh-CN"/>
        </w:rPr>
      </w:pPr>
      <w:r>
        <w:rPr>
          <w:rFonts w:hint="eastAsia" w:ascii="仿宋_GB2312" w:hAnsi="宋体" w:eastAsia="仿宋_GB2312" w:cs="Times New Roman"/>
          <w:color w:val="auto"/>
          <w:sz w:val="32"/>
          <w:szCs w:val="32"/>
        </w:rPr>
        <w:t>以习近平新时代中国特色社会主义思想为指导</w:t>
      </w:r>
      <w:r>
        <w:rPr>
          <w:rFonts w:hint="eastAsia" w:ascii="仿宋_GB2312" w:hAnsi="宋体" w:eastAsia="仿宋_GB2312" w:cs="Times New Roman"/>
          <w:color w:val="auto"/>
          <w:sz w:val="32"/>
          <w:szCs w:val="32"/>
          <w:lang w:val="en-US" w:eastAsia="zh-CN"/>
        </w:rPr>
        <w:t>和</w:t>
      </w:r>
      <w:r>
        <w:rPr>
          <w:rFonts w:hint="eastAsia" w:ascii="仿宋_GB2312" w:hAnsi="宋体" w:eastAsia="仿宋_GB2312" w:cs="Times New Roman"/>
          <w:color w:val="auto"/>
          <w:sz w:val="32"/>
          <w:szCs w:val="32"/>
        </w:rPr>
        <w:t>贯彻党的十九大精神，认真落实上级关于脱贫攻坚决策部署，牢固树立和贯彻落实新发展理念，以实现贫困村全面出列和贫困人口稳定脱贫为目标，全面压实工作责任，抓好抓实绩效考核，理顺机制，完善制度，</w:t>
      </w:r>
      <w:r>
        <w:rPr>
          <w:rFonts w:hint="default" w:ascii="仿宋_GB2312" w:hAnsi="宋体" w:eastAsia="仿宋_GB2312" w:cs="Times New Roman"/>
          <w:color w:val="auto"/>
          <w:sz w:val="32"/>
          <w:szCs w:val="32"/>
        </w:rPr>
        <w:t>完成各项工作</w:t>
      </w:r>
      <w:r>
        <w:rPr>
          <w:rFonts w:hint="eastAsia" w:ascii="仿宋_GB2312" w:hAnsi="宋体" w:eastAsia="仿宋_GB2312" w:cs="Times New Roman"/>
          <w:color w:val="auto"/>
          <w:sz w:val="32"/>
          <w:szCs w:val="32"/>
          <w:lang w:eastAsia="zh-CN"/>
        </w:rPr>
        <w:t>任务。年度预算经费</w:t>
      </w:r>
      <w:r>
        <w:rPr>
          <w:rFonts w:hint="eastAsia" w:ascii="仿宋_GB2312" w:hAnsi="宋体" w:eastAsia="仿宋_GB2312" w:cs="Times New Roman"/>
          <w:color w:val="auto"/>
          <w:sz w:val="32"/>
          <w:szCs w:val="32"/>
          <w:lang w:val="en-US" w:eastAsia="zh-CN"/>
        </w:rPr>
        <w:t>5万元，实际支付5万元，预算执行率100%，主要用于与乡村振兴工作相关支出。</w:t>
      </w:r>
    </w:p>
    <w:p>
      <w:pPr>
        <w:keepNext w:val="0"/>
        <w:keepLines w:val="0"/>
        <w:pageBreakBefore w:val="0"/>
        <w:widowControl w:val="0"/>
        <w:numPr>
          <w:ilvl w:val="0"/>
          <w:numId w:val="0"/>
        </w:numPr>
        <w:kinsoku/>
        <w:wordWrap/>
        <w:overflowPunct/>
        <w:topLinePunct w:val="0"/>
        <w:autoSpaceDE w:val="0"/>
        <w:autoSpaceDN w:val="0"/>
        <w:bidi w:val="0"/>
        <w:adjustRightInd w:val="0"/>
        <w:spacing w:line="600" w:lineRule="exact"/>
        <w:ind w:firstLine="640" w:firstLineChars="200"/>
        <w:jc w:val="left"/>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i w:val="0"/>
          <w:iCs w:val="0"/>
          <w:color w:val="auto"/>
          <w:kern w:val="0"/>
          <w:sz w:val="32"/>
          <w:szCs w:val="32"/>
          <w:u w:val="none"/>
          <w:lang w:val="en-US" w:eastAsia="zh-CN" w:bidi="ar"/>
        </w:rPr>
        <w:t>2.武装工作经费</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乡镇基层人民武装部肩负着党的人民武装事业的崇高使命，承担着兵役、动员工作的重大责任，是一级不可或缺的组织，为发挥好乡镇基层人民武装部基础作用，发挥国防动员和后备力量建设的成效，急需解决乡镇基层人民武装部年度武装工作经费，经费解决后，我乡基层人民武装部将更好地组织基层民兵充分发挥战时应战，急时应急作用，进一步提升民兵避灾救灾能力。确保我乡人民群众生命财产安全。年度经费预算5万元、实际支付5万元，预算执行率100%。</w:t>
      </w:r>
    </w:p>
    <w:p>
      <w:pPr>
        <w:keepNext w:val="0"/>
        <w:keepLines w:val="0"/>
        <w:pageBreakBefore w:val="0"/>
        <w:widowControl w:val="0"/>
        <w:numPr>
          <w:ilvl w:val="0"/>
          <w:numId w:val="0"/>
        </w:numPr>
        <w:kinsoku/>
        <w:wordWrap/>
        <w:overflowPunct/>
        <w:topLinePunct w:val="0"/>
        <w:autoSpaceDE w:val="0"/>
        <w:autoSpaceDN w:val="0"/>
        <w:bidi w:val="0"/>
        <w:adjustRightInd w:val="0"/>
        <w:spacing w:line="600" w:lineRule="exact"/>
        <w:ind w:firstLine="640" w:firstLineChars="200"/>
        <w:jc w:val="left"/>
        <w:textAlignment w:val="auto"/>
        <w:rPr>
          <w:rFonts w:hint="eastAsia" w:ascii="仿宋_GB2312" w:eastAsia="仿宋_GB2312"/>
          <w:color w:val="auto"/>
          <w:sz w:val="32"/>
          <w:szCs w:val="32"/>
          <w:highlight w:val="none"/>
          <w:lang w:eastAsia="zh-CN"/>
        </w:rPr>
      </w:pPr>
      <w:r>
        <w:rPr>
          <w:rFonts w:hint="eastAsia" w:ascii="仿宋_GB2312" w:hAnsi="仿宋_GB2312" w:eastAsia="仿宋_GB2312" w:cs="仿宋_GB2312"/>
          <w:i w:val="0"/>
          <w:iCs w:val="0"/>
          <w:color w:val="auto"/>
          <w:kern w:val="0"/>
          <w:sz w:val="32"/>
          <w:szCs w:val="32"/>
          <w:u w:val="none"/>
          <w:lang w:val="en-US" w:eastAsia="zh-CN" w:bidi="ar"/>
        </w:rPr>
        <w:t>3.安全监管工作经费</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eastAsia"/>
          <w:color w:val="auto"/>
          <w:lang w:eastAsia="zh-CN"/>
        </w:rPr>
      </w:pPr>
      <w:r>
        <w:rPr>
          <w:rFonts w:hint="eastAsia" w:ascii="仿宋_GB2312" w:hAnsi="宋体" w:eastAsia="仿宋_GB2312" w:cs="Times New Roman"/>
          <w:color w:val="auto"/>
          <w:sz w:val="32"/>
          <w:szCs w:val="32"/>
          <w:lang w:eastAsia="zh-CN"/>
        </w:rPr>
        <w:t>本项目主要用于乡村两级公安安全基础设施建设，消除公共安全隐患，交通安全排查，安全生产应急救援，安全宣传教育和安全监管等工作，用于保障人民生命财产安全，维护社会稳定。</w:t>
      </w:r>
      <w:r>
        <w:rPr>
          <w:rFonts w:hint="eastAsia" w:ascii="仿宋_GB2312" w:hAnsi="宋体" w:eastAsia="仿宋_GB2312"/>
          <w:color w:val="auto"/>
          <w:sz w:val="32"/>
          <w:szCs w:val="32"/>
          <w:lang w:eastAsia="zh-CN"/>
        </w:rPr>
        <w:t>年度工作经费预计为</w:t>
      </w:r>
      <w:r>
        <w:rPr>
          <w:rFonts w:hint="eastAsia" w:ascii="仿宋_GB2312" w:hAnsi="宋体" w:eastAsia="仿宋_GB2312"/>
          <w:color w:val="auto"/>
          <w:sz w:val="32"/>
          <w:szCs w:val="32"/>
          <w:lang w:val="en-US" w:eastAsia="zh-CN"/>
        </w:rPr>
        <w:t>4.56万元，实际支出4.56万元，预算执行率为100%。</w:t>
      </w:r>
    </w:p>
    <w:p>
      <w:pPr>
        <w:keepNext w:val="0"/>
        <w:keepLines w:val="0"/>
        <w:pageBreakBefore w:val="0"/>
        <w:widowControl w:val="0"/>
        <w:numPr>
          <w:ilvl w:val="0"/>
          <w:numId w:val="0"/>
        </w:numPr>
        <w:kinsoku/>
        <w:wordWrap/>
        <w:overflowPunct/>
        <w:topLinePunct w:val="0"/>
        <w:autoSpaceDE w:val="0"/>
        <w:autoSpaceDN w:val="0"/>
        <w:bidi w:val="0"/>
        <w:adjustRightInd w:val="0"/>
        <w:spacing w:line="600" w:lineRule="exact"/>
        <w:ind w:firstLine="640" w:firstLineChars="200"/>
        <w:jc w:val="left"/>
        <w:textAlignment w:val="auto"/>
        <w:rPr>
          <w:rFonts w:hint="eastAsia"/>
          <w:color w:val="auto"/>
          <w:lang w:val="zh-CN"/>
        </w:rPr>
      </w:pPr>
      <w:r>
        <w:rPr>
          <w:rFonts w:hint="eastAsia" w:ascii="宋体" w:hAnsi="宋体" w:cs="宋体"/>
          <w:i w:val="0"/>
          <w:iCs w:val="0"/>
          <w:color w:val="auto"/>
          <w:kern w:val="0"/>
          <w:sz w:val="32"/>
          <w:szCs w:val="32"/>
          <w:u w:val="none"/>
          <w:lang w:val="en-US" w:eastAsia="zh-CN" w:bidi="ar"/>
        </w:rPr>
        <w:t>4.</w:t>
      </w:r>
      <w:r>
        <w:rPr>
          <w:rFonts w:hint="eastAsia" w:ascii="宋体" w:hAnsi="宋体" w:eastAsia="宋体" w:cs="宋体"/>
          <w:i w:val="0"/>
          <w:iCs w:val="0"/>
          <w:color w:val="auto"/>
          <w:kern w:val="0"/>
          <w:sz w:val="32"/>
          <w:szCs w:val="32"/>
          <w:u w:val="none"/>
          <w:lang w:val="en-US" w:eastAsia="zh-CN" w:bidi="ar"/>
        </w:rPr>
        <w:t>驻村工作</w:t>
      </w:r>
      <w:r>
        <w:rPr>
          <w:rFonts w:hint="eastAsia" w:ascii="宋体" w:hAnsi="宋体" w:cs="宋体"/>
          <w:i w:val="0"/>
          <w:iCs w:val="0"/>
          <w:color w:val="auto"/>
          <w:kern w:val="0"/>
          <w:sz w:val="32"/>
          <w:szCs w:val="32"/>
          <w:u w:val="none"/>
          <w:lang w:val="en-US" w:eastAsia="zh-CN" w:bidi="ar"/>
        </w:rPr>
        <w:t>队</w:t>
      </w:r>
      <w:r>
        <w:rPr>
          <w:rFonts w:hint="eastAsia" w:ascii="宋体" w:hAnsi="宋体" w:eastAsia="宋体" w:cs="宋体"/>
          <w:i w:val="0"/>
          <w:iCs w:val="0"/>
          <w:color w:val="auto"/>
          <w:kern w:val="0"/>
          <w:sz w:val="32"/>
          <w:szCs w:val="32"/>
          <w:u w:val="none"/>
          <w:lang w:val="en-US" w:eastAsia="zh-CN" w:bidi="ar"/>
        </w:rPr>
        <w:t>经费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color w:val="auto"/>
          <w:lang w:val="en-US"/>
        </w:rPr>
      </w:pPr>
      <w:r>
        <w:rPr>
          <w:rFonts w:hint="eastAsia" w:ascii="仿宋_GB2312" w:hAnsi="宋体" w:eastAsia="仿宋_GB2312"/>
          <w:color w:val="auto"/>
          <w:sz w:val="32"/>
          <w:szCs w:val="32"/>
          <w:lang w:eastAsia="zh-CN"/>
        </w:rPr>
        <w:t>本项目主要用于驻村工作队在村工作期间的经费开支，为驻村工作队员紧紧围绕党的政策、建强基层组织、推动精准扶贫、为民办事服务一系列活动提供有力财政支撑。</w:t>
      </w:r>
      <w:r>
        <w:rPr>
          <w:rFonts w:hint="eastAsia" w:ascii="仿宋_GB2312" w:hAnsi="宋体" w:eastAsia="仿宋_GB2312"/>
          <w:color w:val="auto"/>
          <w:sz w:val="32"/>
          <w:szCs w:val="32"/>
          <w:lang w:val="en-US" w:eastAsia="zh-CN"/>
        </w:rPr>
        <w:t>年初预算2万元，实际支付0.76万元，预算执行率38%。</w:t>
      </w:r>
    </w:p>
    <w:p>
      <w:pPr>
        <w:keepNext w:val="0"/>
        <w:keepLines w:val="0"/>
        <w:pageBreakBefore w:val="0"/>
        <w:widowControl w:val="0"/>
        <w:numPr>
          <w:ilvl w:val="0"/>
          <w:numId w:val="0"/>
        </w:numPr>
        <w:kinsoku/>
        <w:wordWrap/>
        <w:overflowPunct/>
        <w:topLinePunct w:val="0"/>
        <w:autoSpaceDE w:val="0"/>
        <w:autoSpaceDN w:val="0"/>
        <w:bidi w:val="0"/>
        <w:adjustRightInd w:val="0"/>
        <w:spacing w:line="600" w:lineRule="exact"/>
        <w:ind w:firstLine="640" w:firstLineChars="200"/>
        <w:jc w:val="left"/>
        <w:textAlignment w:val="auto"/>
        <w:rPr>
          <w:rFonts w:hint="eastAsia"/>
          <w:color w:val="auto"/>
          <w:sz w:val="32"/>
          <w:szCs w:val="32"/>
          <w:lang w:val="zh-CN"/>
        </w:rPr>
      </w:pPr>
      <w:r>
        <w:rPr>
          <w:rFonts w:hint="eastAsia" w:ascii="仿宋_GB2312" w:hAnsi="仿宋_GB2312" w:eastAsia="仿宋_GB2312" w:cs="仿宋_GB2312"/>
          <w:i w:val="0"/>
          <w:iCs w:val="0"/>
          <w:color w:val="auto"/>
          <w:kern w:val="0"/>
          <w:sz w:val="32"/>
          <w:szCs w:val="32"/>
          <w:u w:val="none"/>
          <w:lang w:val="en-US" w:eastAsia="zh-CN" w:bidi="ar"/>
        </w:rPr>
        <w:t>5.社区戒毒社区康复工作经费</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default"/>
          <w:color w:val="auto"/>
          <w:lang w:val="en-US"/>
        </w:rPr>
      </w:pPr>
      <w:r>
        <w:rPr>
          <w:rFonts w:hint="eastAsia" w:ascii="仿宋_GB2312" w:hAnsi="宋体" w:eastAsia="仿宋_GB2312"/>
          <w:color w:val="auto"/>
          <w:sz w:val="32"/>
          <w:szCs w:val="32"/>
          <w:lang w:eastAsia="zh-CN"/>
        </w:rPr>
        <w:t>本项目主要用于本单位戒毒站工作开展，</w:t>
      </w:r>
      <w:r>
        <w:rPr>
          <w:rFonts w:hint="eastAsia" w:ascii="仿宋_GB2312" w:hAnsi="宋体" w:eastAsia="仿宋_GB2312"/>
          <w:color w:val="auto"/>
          <w:sz w:val="32"/>
          <w:szCs w:val="32"/>
          <w:lang w:val="en-US" w:eastAsia="zh-CN"/>
        </w:rPr>
        <w:t>通过对毒品违法犯罪的打击和预防宣传教育，提高公民的禁毒意识，有效遏制毒品违法犯罪的发展蔓延趋势；开展禁种铲毒工作，开展社区戒毒社区康复，提高对吸毒人员的管控能力，有效减少毒品危害。年度预算经费0.5万元，实际支付0.5，预算执行率100%。</w:t>
      </w:r>
    </w:p>
    <w:p>
      <w:pPr>
        <w:keepNext w:val="0"/>
        <w:keepLines w:val="0"/>
        <w:pageBreakBefore w:val="0"/>
        <w:widowControl w:val="0"/>
        <w:numPr>
          <w:ilvl w:val="0"/>
          <w:numId w:val="0"/>
        </w:numPr>
        <w:kinsoku/>
        <w:wordWrap/>
        <w:overflowPunct/>
        <w:topLinePunct w:val="0"/>
        <w:autoSpaceDE w:val="0"/>
        <w:autoSpaceDN w:val="0"/>
        <w:bidi w:val="0"/>
        <w:adjustRightInd w:val="0"/>
        <w:spacing w:line="600" w:lineRule="exact"/>
        <w:ind w:firstLine="640" w:firstLineChars="200"/>
        <w:jc w:val="left"/>
        <w:textAlignment w:val="auto"/>
        <w:rPr>
          <w:rFonts w:hint="eastAsia"/>
          <w:color w:val="auto"/>
          <w:lang w:val="zh-CN"/>
        </w:rPr>
      </w:pPr>
      <w:r>
        <w:rPr>
          <w:rFonts w:hint="eastAsia" w:ascii="仿宋_GB2312" w:hAnsi="仿宋_GB2312" w:eastAsia="仿宋_GB2312" w:cs="仿宋_GB2312"/>
          <w:i w:val="0"/>
          <w:iCs w:val="0"/>
          <w:color w:val="auto"/>
          <w:kern w:val="0"/>
          <w:sz w:val="32"/>
          <w:szCs w:val="32"/>
          <w:u w:val="none"/>
          <w:lang w:val="en-US" w:eastAsia="zh-CN" w:bidi="ar"/>
        </w:rPr>
        <w:t>6.乡镇生活垃圾清运费</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eastAsia"/>
          <w:color w:val="auto"/>
          <w:lang w:val="zh-CN"/>
        </w:rPr>
      </w:pPr>
      <w:r>
        <w:rPr>
          <w:rFonts w:hint="eastAsia" w:ascii="仿宋_GB2312" w:hAnsi="宋体" w:eastAsia="仿宋_GB2312"/>
          <w:color w:val="auto"/>
          <w:sz w:val="32"/>
          <w:szCs w:val="32"/>
          <w:lang w:eastAsia="zh-CN"/>
        </w:rPr>
        <w:t>本项目主要用于农村垃圾清远，实现农村垃圾</w:t>
      </w:r>
      <w:r>
        <w:rPr>
          <w:rFonts w:hint="eastAsia" w:ascii="仿宋_GB2312" w:hAnsi="宋体" w:eastAsia="仿宋_GB2312"/>
          <w:color w:val="auto"/>
          <w:sz w:val="32"/>
          <w:szCs w:val="32"/>
          <w:lang w:val="en-US" w:eastAsia="zh-CN"/>
        </w:rPr>
        <w:t>清运</w:t>
      </w:r>
      <w:r>
        <w:rPr>
          <w:rFonts w:hint="eastAsia" w:ascii="仿宋_GB2312" w:hAnsi="宋体" w:eastAsia="仿宋_GB2312"/>
          <w:color w:val="auto"/>
          <w:sz w:val="32"/>
          <w:szCs w:val="32"/>
          <w:lang w:eastAsia="zh-CN"/>
        </w:rPr>
        <w:t>专业化，致力于改变农村环境脏乱差的现状。党的十九大明确要求开展农村人居环境政治行动，</w:t>
      </w:r>
      <w:r>
        <w:rPr>
          <w:rFonts w:hint="eastAsia" w:ascii="仿宋_GB2312" w:hAnsi="宋体" w:eastAsia="仿宋_GB2312"/>
          <w:color w:val="auto"/>
          <w:sz w:val="32"/>
          <w:szCs w:val="32"/>
          <w:lang w:val="en-US" w:eastAsia="zh-CN"/>
        </w:rPr>
        <w:t>2018年提出《农村人居环境整治三年行动方案》，以三年为期</w:t>
      </w:r>
      <w:r>
        <w:rPr>
          <w:rFonts w:hint="eastAsia" w:ascii="仿宋_GB2312" w:hAnsi="宋体" w:eastAsia="仿宋_GB2312"/>
          <w:color w:val="auto"/>
          <w:sz w:val="32"/>
          <w:szCs w:val="32"/>
          <w:lang w:eastAsia="zh-CN"/>
        </w:rPr>
        <w:t>改变农村垃圾随处可见的脏乱状况，让农村环境基本干净整洁有序，增强农民幸福感，大幅改善人居环境，让乡村更美，更宜居。</w:t>
      </w:r>
      <w:r>
        <w:rPr>
          <w:rFonts w:hint="eastAsia" w:ascii="仿宋_GB2312" w:hAnsi="宋体" w:eastAsia="仿宋_GB2312"/>
          <w:color w:val="auto"/>
          <w:sz w:val="32"/>
          <w:szCs w:val="32"/>
          <w:lang w:val="en-US" w:eastAsia="zh-CN"/>
        </w:rPr>
        <w:t>年度预算经费25万，实际支付23.76万，预算执行率95%。</w:t>
      </w:r>
    </w:p>
    <w:p>
      <w:pPr>
        <w:keepNext w:val="0"/>
        <w:keepLines w:val="0"/>
        <w:pageBreakBefore w:val="0"/>
        <w:widowControl w:val="0"/>
        <w:numPr>
          <w:ilvl w:val="0"/>
          <w:numId w:val="0"/>
        </w:numPr>
        <w:kinsoku/>
        <w:wordWrap/>
        <w:overflowPunct/>
        <w:topLinePunct w:val="0"/>
        <w:autoSpaceDE w:val="0"/>
        <w:autoSpaceDN w:val="0"/>
        <w:bidi w:val="0"/>
        <w:adjustRightInd w:val="0"/>
        <w:spacing w:line="600" w:lineRule="exact"/>
        <w:ind w:firstLine="640" w:firstLineChars="200"/>
        <w:jc w:val="left"/>
        <w:textAlignment w:val="auto"/>
        <w:rPr>
          <w:rFonts w:hint="eastAsia"/>
          <w:color w:val="auto"/>
          <w:lang w:val="zh-CN"/>
        </w:rPr>
      </w:pPr>
      <w:r>
        <w:rPr>
          <w:rFonts w:hint="eastAsia" w:ascii="仿宋_GB2312" w:hAnsi="仿宋_GB2312" w:eastAsia="仿宋_GB2312" w:cs="仿宋_GB2312"/>
          <w:i w:val="0"/>
          <w:iCs w:val="0"/>
          <w:color w:val="auto"/>
          <w:kern w:val="0"/>
          <w:sz w:val="32"/>
          <w:szCs w:val="32"/>
          <w:u w:val="none"/>
          <w:lang w:val="en-US" w:eastAsia="zh-CN" w:bidi="ar"/>
        </w:rPr>
        <w:t>7.农村公益性岗位工作支出</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default"/>
          <w:color w:val="auto"/>
          <w:lang w:val="en-US"/>
        </w:rPr>
      </w:pPr>
      <w:r>
        <w:rPr>
          <w:rFonts w:hint="eastAsia" w:ascii="仿宋_GB2312" w:hAnsi="宋体" w:eastAsia="仿宋_GB2312"/>
          <w:color w:val="auto"/>
          <w:sz w:val="32"/>
          <w:szCs w:val="32"/>
          <w:lang w:eastAsia="zh-CN"/>
        </w:rPr>
        <w:t>本项目主要用于购买</w:t>
      </w:r>
      <w:r>
        <w:rPr>
          <w:rFonts w:hint="eastAsia" w:ascii="仿宋_GB2312" w:hAnsi="宋体" w:eastAsia="仿宋_GB2312"/>
          <w:color w:val="auto"/>
          <w:sz w:val="32"/>
          <w:szCs w:val="32"/>
          <w:lang w:val="en-US" w:eastAsia="zh-CN"/>
        </w:rPr>
        <w:t>农村</w:t>
      </w:r>
      <w:r>
        <w:rPr>
          <w:rFonts w:hint="eastAsia" w:ascii="仿宋_GB2312" w:hAnsi="宋体" w:eastAsia="仿宋_GB2312"/>
          <w:color w:val="auto"/>
          <w:sz w:val="32"/>
          <w:szCs w:val="32"/>
          <w:lang w:eastAsia="zh-CN"/>
        </w:rPr>
        <w:t>公益性岗位工伤保险，是保障公益性岗位群众</w:t>
      </w:r>
      <w:r>
        <w:rPr>
          <w:rFonts w:hint="eastAsia" w:ascii="仿宋_GB2312" w:hAnsi="宋体" w:eastAsia="仿宋_GB2312"/>
          <w:color w:val="auto"/>
          <w:sz w:val="32"/>
          <w:szCs w:val="32"/>
          <w:lang w:val="en-US" w:eastAsia="zh-CN"/>
        </w:rPr>
        <w:t>工伤、工亡后</w:t>
      </w:r>
      <w:r>
        <w:rPr>
          <w:rFonts w:hint="eastAsia" w:ascii="仿宋_GB2312" w:hAnsi="宋体" w:eastAsia="仿宋_GB2312"/>
          <w:color w:val="auto"/>
          <w:sz w:val="32"/>
          <w:szCs w:val="32"/>
          <w:lang w:eastAsia="zh-CN"/>
        </w:rPr>
        <w:t>的医疗和基本生活，解决</w:t>
      </w:r>
      <w:r>
        <w:rPr>
          <w:rFonts w:hint="eastAsia" w:ascii="仿宋_GB2312" w:hAnsi="宋体" w:eastAsia="仿宋_GB2312" w:cs="Times New Roman"/>
          <w:color w:val="auto"/>
          <w:sz w:val="32"/>
          <w:szCs w:val="32"/>
          <w:lang w:eastAsia="zh-CN"/>
        </w:rPr>
        <w:t>群众和家属的后顾之忧的必要举措，避免因病、因伤致贫返贫，受益人明确。年度工作经费</w:t>
      </w:r>
      <w:r>
        <w:rPr>
          <w:rFonts w:hint="eastAsia" w:ascii="仿宋_GB2312" w:hAnsi="宋体" w:eastAsia="仿宋_GB2312" w:cs="Times New Roman"/>
          <w:color w:val="auto"/>
          <w:sz w:val="32"/>
          <w:szCs w:val="32"/>
          <w:lang w:val="en-US" w:eastAsia="zh-CN"/>
        </w:rPr>
        <w:t>2万元，实际支出0万元，预算执行率为0%。</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宋体" w:eastAsia="仿宋_GB2312"/>
          <w:b w:val="0"/>
          <w:bCs/>
          <w:color w:val="auto"/>
          <w:sz w:val="32"/>
          <w:szCs w:val="32"/>
          <w:lang w:val="en-US" w:eastAsia="zh-CN"/>
        </w:rPr>
      </w:pPr>
      <w:r>
        <w:rPr>
          <w:rFonts w:hint="eastAsia" w:ascii="仿宋_GB2312" w:hAnsi="宋体" w:eastAsia="仿宋_GB2312"/>
          <w:b w:val="0"/>
          <w:bCs/>
          <w:color w:val="auto"/>
          <w:sz w:val="32"/>
          <w:szCs w:val="32"/>
          <w:lang w:val="en-US" w:eastAsia="zh-CN"/>
        </w:rPr>
        <w:t>8.廉政网络建设宽带费</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lang w:val="en-US"/>
        </w:rPr>
      </w:pPr>
      <w:r>
        <w:rPr>
          <w:rFonts w:hint="eastAsia" w:ascii="仿宋_GB2312" w:hAnsi="宋体" w:eastAsia="仿宋_GB2312"/>
          <w:b w:val="0"/>
          <w:bCs/>
          <w:color w:val="auto"/>
          <w:sz w:val="32"/>
          <w:szCs w:val="32"/>
          <w:lang w:eastAsia="zh-CN"/>
        </w:rPr>
        <w:t>本项目主要用于</w:t>
      </w:r>
      <w:r>
        <w:rPr>
          <w:rFonts w:hint="eastAsia" w:ascii="仿宋_GB2312" w:hAnsi="宋体" w:eastAsia="仿宋_GB2312"/>
          <w:b w:val="0"/>
          <w:bCs/>
          <w:color w:val="auto"/>
          <w:sz w:val="32"/>
          <w:szCs w:val="32"/>
          <w:lang w:val="en-US" w:eastAsia="zh-CN"/>
        </w:rPr>
        <w:t>机关网络宽带费及通讯费，是机关通讯网络畅通，工作顺利进行的有力保障。年度经费1万元，实际支出</w:t>
      </w:r>
      <w:r>
        <w:rPr>
          <w:rFonts w:hint="eastAsia" w:ascii="仿宋_GB2312" w:hAnsi="宋体" w:eastAsia="仿宋_GB2312"/>
          <w:b w:val="0"/>
          <w:bCs/>
          <w:color w:val="auto"/>
          <w:sz w:val="32"/>
          <w:szCs w:val="32"/>
          <w:highlight w:val="none"/>
          <w:lang w:val="en-US" w:eastAsia="zh-CN"/>
        </w:rPr>
        <w:t>1</w:t>
      </w:r>
      <w:r>
        <w:rPr>
          <w:rFonts w:hint="eastAsia" w:ascii="仿宋_GB2312" w:hAnsi="宋体" w:eastAsia="仿宋_GB2312"/>
          <w:b w:val="0"/>
          <w:bCs/>
          <w:color w:val="auto"/>
          <w:sz w:val="32"/>
          <w:szCs w:val="32"/>
          <w:lang w:val="en-US" w:eastAsia="zh-CN"/>
        </w:rPr>
        <w:t>万元，预算执行率100%</w:t>
      </w:r>
    </w:p>
    <w:p>
      <w:pPr>
        <w:keepNext w:val="0"/>
        <w:keepLines w:val="0"/>
        <w:pageBreakBefore w:val="0"/>
        <w:widowControl w:val="0"/>
        <w:numPr>
          <w:ilvl w:val="0"/>
          <w:numId w:val="0"/>
        </w:numPr>
        <w:kinsoku/>
        <w:wordWrap/>
        <w:overflowPunct/>
        <w:topLinePunct w:val="0"/>
        <w:autoSpaceDE w:val="0"/>
        <w:autoSpaceDN w:val="0"/>
        <w:bidi w:val="0"/>
        <w:adjustRightInd w:val="0"/>
        <w:spacing w:line="600" w:lineRule="exact"/>
        <w:ind w:firstLine="640" w:firstLineChars="200"/>
        <w:jc w:val="left"/>
        <w:textAlignment w:val="auto"/>
        <w:rPr>
          <w:rFonts w:hint="eastAsia"/>
          <w:color w:val="auto"/>
          <w:lang w:val="zh-CN"/>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lang w:eastAsia="zh-CN"/>
        </w:rPr>
        <w:t>基层组织活动和公共服务运行经费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color w:val="auto"/>
          <w:lang w:val="zh-CN"/>
        </w:rPr>
      </w:pPr>
      <w:r>
        <w:rPr>
          <w:rFonts w:hint="eastAsia" w:ascii="仿宋_GB2312" w:hAnsi="宋体" w:eastAsia="仿宋_GB2312" w:cs="Times New Roman"/>
          <w:color w:val="auto"/>
          <w:sz w:val="32"/>
          <w:szCs w:val="32"/>
          <w:lang w:val="en-US" w:eastAsia="zh-CN"/>
        </w:rPr>
        <w:t>为贯彻落实统筹城乡发展战略，促进公共服务向农村延伸，推进城乡发展和基本公共服务均等化，进一步深化农村综合改革，完善农村公共服务运行维护机制。切实解决村干部“想干事，没钱干”的困境，提高议事、决事、办事的效率和效果，不断提升村级公共服务能力。年度预算经费32万，实际支付15.4万，预算执行率48% 。</w:t>
      </w:r>
    </w:p>
    <w:p>
      <w:pPr>
        <w:keepNext w:val="0"/>
        <w:keepLines w:val="0"/>
        <w:pageBreakBefore w:val="0"/>
        <w:widowControl w:val="0"/>
        <w:numPr>
          <w:ilvl w:val="0"/>
          <w:numId w:val="0"/>
        </w:numPr>
        <w:kinsoku/>
        <w:wordWrap/>
        <w:overflowPunct/>
        <w:topLinePunct w:val="0"/>
        <w:autoSpaceDE w:val="0"/>
        <w:autoSpaceDN w:val="0"/>
        <w:bidi w:val="0"/>
        <w:adjustRightInd w:val="0"/>
        <w:spacing w:line="600" w:lineRule="exact"/>
        <w:ind w:firstLine="640" w:firstLineChars="200"/>
        <w:jc w:val="left"/>
        <w:textAlignment w:val="auto"/>
        <w:rPr>
          <w:rFonts w:hint="eastAsia"/>
          <w:color w:val="auto"/>
          <w:lang w:val="zh-CN"/>
        </w:rPr>
      </w:pPr>
      <w:r>
        <w:rPr>
          <w:rFonts w:hint="eastAsia" w:ascii="仿宋_GB2312" w:eastAsia="仿宋_GB2312"/>
          <w:color w:val="auto"/>
          <w:sz w:val="32"/>
          <w:szCs w:val="32"/>
          <w:lang w:val="en-US" w:eastAsia="zh-CN"/>
        </w:rPr>
        <w:t>10.人</w:t>
      </w:r>
      <w:r>
        <w:rPr>
          <w:rFonts w:hint="eastAsia" w:ascii="仿宋_GB2312" w:eastAsia="仿宋_GB2312"/>
          <w:color w:val="auto"/>
          <w:sz w:val="32"/>
          <w:szCs w:val="32"/>
          <w:lang w:eastAsia="zh-CN"/>
        </w:rPr>
        <w:t>大工作</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eastAsia="zh-CN"/>
        </w:rPr>
        <w:t>我国根本政治制度是人民代表大会制度，确立了人民当家做主的地位，人民代表大会制度为实现中华民族的伟大复兴提供了保障，本项目为乡人大代表工作经费，为人大代表行使手中的权利提供了财力支撑。</w:t>
      </w:r>
      <w:r>
        <w:rPr>
          <w:rFonts w:hint="eastAsia" w:ascii="仿宋_GB2312" w:hAnsi="宋体" w:eastAsia="仿宋_GB2312"/>
          <w:color w:val="auto"/>
          <w:sz w:val="32"/>
          <w:szCs w:val="32"/>
          <w:lang w:val="en-US" w:eastAsia="zh-CN"/>
        </w:rPr>
        <w:t>年度预算经费1万，实际支付1万，预算执行率100 %。</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eastAsia" w:ascii="仿宋_GB2312" w:hAnsi="宋体" w:eastAsia="仿宋_GB2312"/>
          <w:color w:val="auto"/>
          <w:sz w:val="32"/>
          <w:szCs w:val="32"/>
          <w:lang w:val="en-US" w:eastAsia="zh-CN"/>
        </w:rPr>
      </w:pPr>
      <w:r>
        <w:rPr>
          <w:rFonts w:hint="eastAsia" w:ascii="仿宋_GB2312" w:eastAsia="仿宋_GB2312"/>
          <w:color w:val="auto"/>
          <w:sz w:val="32"/>
          <w:szCs w:val="32"/>
          <w:lang w:val="en-US" w:eastAsia="zh-CN"/>
        </w:rPr>
        <w:t>11.新冠疫情社区排查防控社工工作人</w:t>
      </w:r>
      <w:r>
        <w:rPr>
          <w:rFonts w:hint="eastAsia" w:ascii="仿宋_GB2312" w:hAnsi="宋体" w:eastAsia="仿宋_GB2312"/>
          <w:color w:val="auto"/>
          <w:sz w:val="32"/>
          <w:szCs w:val="32"/>
          <w:lang w:val="en-US" w:eastAsia="zh-CN"/>
        </w:rPr>
        <w:t>员经费</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olor w:val="auto"/>
          <w:sz w:val="32"/>
          <w:szCs w:val="32"/>
          <w:lang w:eastAsia="zh-CN"/>
        </w:rPr>
        <w:t>为深入学习贯彻习近平总书记来川视察重要指示精神,高效统筹疫情防控和经济社会发展，根据《民政部教育部财政</w:t>
      </w:r>
      <w:r>
        <w:rPr>
          <w:rFonts w:hint="eastAsia" w:ascii="仿宋_GB2312" w:hAnsi="宋体" w:eastAsia="仿宋_GB2312" w:cs="Times New Roman"/>
          <w:color w:val="auto"/>
          <w:sz w:val="32"/>
          <w:szCs w:val="32"/>
          <w:lang w:eastAsia="zh-CN"/>
        </w:rPr>
        <w:t>部人力资源社会保障部关于做好2022年普通高校毕业生到城乡社区就业工作的通知》《四川省 2022年公共卫生特别服务岗项目实施方案》文件要求。社工岗分为县级社区排查专班社工岗和乡镇（街道）社工岗。县级社区排查专班社工岗主要承担新冠疫情社区排查防控协调指导、信息收集、数据上报和社会服务等工作，</w:t>
      </w:r>
      <w:r>
        <w:rPr>
          <w:rFonts w:hint="eastAsia" w:ascii="仿宋_GB2312" w:hAnsi="宋体" w:eastAsia="仿宋_GB2312" w:cs="Times New Roman"/>
          <w:color w:val="auto"/>
          <w:sz w:val="32"/>
          <w:szCs w:val="32"/>
          <w:lang w:val="en-US" w:eastAsia="zh-CN"/>
        </w:rPr>
        <w:t>永胜乡</w:t>
      </w:r>
      <w:r>
        <w:rPr>
          <w:rFonts w:hint="eastAsia" w:ascii="仿宋_GB2312" w:hAnsi="宋体" w:eastAsia="仿宋_GB2312" w:cs="Times New Roman"/>
          <w:color w:val="auto"/>
          <w:sz w:val="32"/>
          <w:szCs w:val="32"/>
          <w:lang w:eastAsia="zh-CN"/>
        </w:rPr>
        <w:t>社工岗主要负责组织开展或直接承担疫情风险人员社区排查、协助开展核酸检测、加强社区动员、链接社会资源、提供关爱服务、承接民政下沉服务事项等工作。</w:t>
      </w:r>
      <w:r>
        <w:rPr>
          <w:rFonts w:hint="eastAsia" w:ascii="仿宋_GB2312" w:hAnsi="宋体" w:eastAsia="仿宋_GB2312" w:cs="Times New Roman"/>
          <w:color w:val="auto"/>
          <w:sz w:val="32"/>
          <w:szCs w:val="32"/>
          <w:lang w:val="en-US" w:eastAsia="zh-CN"/>
        </w:rPr>
        <w:t>2024年预算资金为17.5276万元，实际支出16.12万元，预算执行率为92%。</w:t>
      </w:r>
    </w:p>
    <w:p>
      <w:pPr>
        <w:keepNext w:val="0"/>
        <w:keepLines w:val="0"/>
        <w:pageBreakBefore w:val="0"/>
        <w:widowControl w:val="0"/>
        <w:numPr>
          <w:ilvl w:val="0"/>
          <w:numId w:val="0"/>
        </w:numPr>
        <w:kinsoku/>
        <w:wordWrap/>
        <w:overflowPunct/>
        <w:topLinePunct w:val="0"/>
        <w:autoSpaceDE w:val="0"/>
        <w:autoSpaceDN w:val="0"/>
        <w:bidi w:val="0"/>
        <w:adjustRightInd w:val="0"/>
        <w:spacing w:afterAutospacing="0" w:line="600" w:lineRule="exact"/>
        <w:ind w:firstLine="640" w:firstLineChars="200"/>
        <w:jc w:val="left"/>
        <w:textAlignment w:val="auto"/>
        <w:rPr>
          <w:rFonts w:hint="default"/>
          <w:color w:val="auto"/>
          <w:lang w:val="en-US" w:eastAsia="zh-CN"/>
        </w:rPr>
      </w:pPr>
      <w:r>
        <w:rPr>
          <w:rFonts w:hint="eastAsia" w:ascii="仿宋_GB2312" w:hAnsi="宋体" w:eastAsia="仿宋_GB2312" w:cs="Times New Roman"/>
          <w:color w:val="auto"/>
          <w:sz w:val="32"/>
          <w:szCs w:val="32"/>
          <w:lang w:val="en-US" w:eastAsia="zh-CN"/>
        </w:rPr>
        <w:t>12.农村道路交通安全管理工作经费</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通过加强农村道路交通安全管理工作经费的投入和管理，显著提升了农村道路交通安全水平，预防和减少了交通事故的发生。项目实施过程规范有序，经费使用合规高效，达到了预期绩效目标。同时，包括交通安全宣传教育、交通文明劝导、驾驶员培训、道路安全隐患排查与整治等多个方面。项目经费来源于财政预算，并严格按照财务管理制度进行收支管理。2024年年度预算经费2.44万，实际支付2.4万，预算执行率98%。</w:t>
      </w:r>
    </w:p>
    <w:p>
      <w:pPr>
        <w:numPr>
          <w:ilvl w:val="0"/>
          <w:numId w:val="0"/>
        </w:numPr>
        <w:bidi w:val="0"/>
        <w:ind w:firstLine="640" w:firstLineChars="200"/>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13.</w:t>
      </w:r>
      <w:r>
        <w:rPr>
          <w:rFonts w:hint="default" w:ascii="仿宋_GB2312" w:hAnsi="宋体" w:eastAsia="仿宋_GB2312" w:cs="Times New Roman"/>
          <w:color w:val="auto"/>
          <w:sz w:val="32"/>
          <w:szCs w:val="32"/>
          <w:lang w:val="en-US" w:eastAsia="zh-CN"/>
        </w:rPr>
        <w:t>大瓦山湿地公园日常运维管理经费</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以党的“建设生态文明精神为指导，切实加强《四川省湿地保护条例》的贯彻实施”，以促进人与自然和谐为理念，以保护湿地生态系统和改善湿地生态功能为主要内容，坚持经济社会发展与生态环境保护相协调的原则，进一步加强环境保护与生态建设，科学整合各类资源，充分发挥湿地生态效益，为实现资源、环境的可持续利用和经济可持续发展奠定基础。我乡有效的遏制破坏河流湿地生态功能的行为，建立科学、规范、完备的湿地保护管理体系和检测体系，保护湿地物种的多样性，充分发挥湿地独有的生态特性，维护生态平衡，实现省、市对我乡规定湿地保护面积的目标。年度预算资金为15万元，实际支出12.05万元，预算执行率为80%。</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color w:val="auto"/>
          <w:lang w:val="en-US" w:eastAsia="zh-CN"/>
        </w:rPr>
      </w:pPr>
      <w:r>
        <w:rPr>
          <w:rFonts w:hint="eastAsia" w:ascii="仿宋_GB2312" w:hAnsi="宋体" w:eastAsia="仿宋_GB2312" w:cs="Times New Roman"/>
          <w:color w:val="auto"/>
          <w:sz w:val="32"/>
          <w:szCs w:val="32"/>
          <w:lang w:val="en-US" w:eastAsia="zh-CN"/>
        </w:rPr>
        <w:t>14.区武装部驻村队员经费</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default"/>
          <w:color w:val="auto"/>
          <w:lang w:val="en-US" w:eastAsia="zh-CN"/>
        </w:rPr>
      </w:pPr>
      <w:r>
        <w:rPr>
          <w:rFonts w:hint="eastAsia" w:ascii="仿宋_GB2312" w:hAnsi="宋体" w:eastAsia="仿宋_GB2312" w:cs="Times New Roman"/>
          <w:color w:val="auto"/>
          <w:sz w:val="32"/>
          <w:szCs w:val="32"/>
          <w:lang w:val="en-US" w:eastAsia="zh-CN"/>
        </w:rPr>
        <w:t>为贯彻落实国防动员系统参与衔接支持乡村振兴工作推进会精神和省军区《关于进一步推进参与乡村振兴工作的通知》要求，扎实最好定点帮扶工作，助力推进乡村振兴，2023年，四川省人武部党委指派专人到瓦山村开展一周的摸排工作。该人武部帮扶人员一方面帮助该村开展“五星级”村党支部的创建工作，指导村委在软硬件建设上精准发力；另一方面，对全村脱贫户基本进行再摸底。每到一户，驻村帮扶人员都与帮扶对象促膝长谈，详细了解帮扶对象的身体情况、家庭收入、生活中遇到的实际困难等情况，用简洁易懂的方式向群众宣讲党的好政策，勉励他们坚定向更加美好新生活奋进的信心。同时，该武装部还组织村委一班人共同学习党的二十大精神，学习大会报告关于农业农村发展、推进乡村振兴方面提出的一系列新思想、新观念、新要求，并与村党员干部共同分析制约集体经济发展的主要原因，共商发展规划。</w:t>
      </w:r>
      <w:r>
        <w:rPr>
          <w:rFonts w:hint="eastAsia" w:ascii="仿宋_GB2312" w:hAnsi="宋体" w:eastAsia="仿宋_GB2312"/>
          <w:color w:val="auto"/>
          <w:sz w:val="32"/>
          <w:szCs w:val="32"/>
          <w:lang w:val="en-US" w:eastAsia="zh-CN"/>
        </w:rPr>
        <w:t>年度预算经费1.5万，实际支付0.76万，预算执行率51%。</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color w:val="auto"/>
          <w:highlight w:val="none"/>
          <w:lang w:val="en-US" w:eastAsia="zh-CN"/>
        </w:rPr>
      </w:pPr>
      <w:r>
        <w:rPr>
          <w:rFonts w:hint="eastAsia" w:ascii="仿宋_GB2312" w:hAnsi="宋体" w:eastAsia="仿宋_GB2312" w:cs="Times New Roman"/>
          <w:color w:val="auto"/>
          <w:sz w:val="32"/>
          <w:szCs w:val="32"/>
          <w:highlight w:val="none"/>
          <w:lang w:val="en-US" w:eastAsia="zh-CN"/>
        </w:rPr>
        <w:t>15.</w:t>
      </w:r>
      <w:r>
        <w:rPr>
          <w:rFonts w:hint="default" w:ascii="仿宋_GB2312" w:hAnsi="宋体" w:eastAsia="仿宋_GB2312" w:cs="Times New Roman"/>
          <w:color w:val="auto"/>
          <w:sz w:val="32"/>
          <w:szCs w:val="32"/>
          <w:highlight w:val="none"/>
          <w:lang w:val="en-US" w:eastAsia="zh-CN"/>
        </w:rPr>
        <w:t>矿山维稳工作经费</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left"/>
        <w:textAlignment w:val="auto"/>
        <w:rPr>
          <w:rFonts w:hint="eastAsia" w:ascii="仿宋_GB2312" w:hAnsi="宋体" w:eastAsia="仿宋_GB2312"/>
          <w:color w:val="auto"/>
          <w:sz w:val="32"/>
          <w:szCs w:val="32"/>
          <w:lang w:val="en-US" w:eastAsia="zh-CN"/>
        </w:rPr>
      </w:pPr>
      <w:r>
        <w:rPr>
          <w:rFonts w:hint="eastAsia" w:ascii="仿宋_GB2312" w:hAnsi="宋体" w:eastAsia="仿宋_GB2312" w:cs="Times New Roman"/>
          <w:color w:val="auto"/>
          <w:sz w:val="32"/>
          <w:szCs w:val="32"/>
          <w:lang w:val="en-US" w:eastAsia="zh-CN"/>
        </w:rPr>
        <w:t>本项目主要用于保障矿山安全生产和推动经济发展，支持矿山企业的安全生产、环境保护、隐患排查治理、应急救援等方面的工作，总之，矿山维稳工作经费的合理安排和使用对于提升矿山安全水平、防范事故发生、促进经济稳定发展具有重要意义，在未来的工作中，我们需要继续加强经费预算编制和使用的科学性和合理性，确保经费能够被有效利用并发挥出最大的效益。</w:t>
      </w:r>
      <w:r>
        <w:rPr>
          <w:rFonts w:hint="eastAsia" w:ascii="仿宋_GB2312" w:hAnsi="宋体" w:eastAsia="仿宋_GB2312"/>
          <w:color w:val="auto"/>
          <w:sz w:val="32"/>
          <w:szCs w:val="32"/>
          <w:lang w:val="en-US" w:eastAsia="zh-CN"/>
        </w:rPr>
        <w:t>年度预算经费0.5万，实际支付0.5万，预算执行率100%。</w:t>
      </w:r>
    </w:p>
    <w:p>
      <w:pPr>
        <w:keepNext w:val="0"/>
        <w:keepLines w:val="0"/>
        <w:pageBreakBefore w:val="0"/>
        <w:widowControl w:val="0"/>
        <w:numPr>
          <w:ilvl w:val="0"/>
          <w:numId w:val="0"/>
        </w:numPr>
        <w:tabs>
          <w:tab w:val="left" w:pos="577"/>
        </w:tabs>
        <w:kinsoku/>
        <w:wordWrap/>
        <w:overflowPunct/>
        <w:topLinePunct w:val="0"/>
        <w:bidi w:val="0"/>
        <w:adjustRightInd w:val="0"/>
        <w:snapToGrid w:val="0"/>
        <w:spacing w:line="600" w:lineRule="exact"/>
        <w:ind w:firstLine="640" w:firstLineChars="200"/>
        <w:jc w:val="left"/>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16.政协工作站联络张工作经费</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仿宋_GB2312" w:hAnsi="宋体" w:eastAsia="仿宋_GB2312" w:cs="Times New Roman"/>
          <w:color w:val="auto"/>
          <w:sz w:val="32"/>
          <w:szCs w:val="32"/>
          <w:lang w:val="en-US" w:eastAsia="zh-CN"/>
        </w:rPr>
        <w:t>政协工作站联络工作经费的使用情况进行自评，以客观反映经费使用的经济性、效率性和效益性。政协工作站作为政协组织在基层的重要延伸，承担着联系群众、反映民意、协商议政等重要职责。联络工作经费是保障政协工作站正常运作和有效履行职责的重要物质基础。随着政协工作的不断深入和发展，政协工作站的作用日益凸显。为进一步加强政协工作站与群众的联系，提升政协工作的社会影响力和实效性，特设立政协工作站联络工作经费。该经费主要用于支持政协工作站开展各类联络活动，包括走访调研、座谈交流、宣传普及政协知识等，以促进政协工作与基层群众的紧密结合。</w:t>
      </w:r>
      <w:r>
        <w:rPr>
          <w:rFonts w:hint="eastAsia" w:ascii="仿宋_GB2312" w:hAnsi="宋体" w:eastAsia="仿宋_GB2312" w:cs="Times New Roman"/>
          <w:color w:val="auto"/>
          <w:sz w:val="32"/>
          <w:szCs w:val="32"/>
          <w:lang w:val="en-US" w:eastAsia="zh-CN"/>
        </w:rPr>
        <w:t>年度预算资金为1万元，实际支出1万元，预算执行率为100%。</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pPr>
        <w:widowControl/>
        <w:adjustRightInd w:val="0"/>
        <w:snapToGrid w:val="0"/>
        <w:spacing w:line="560" w:lineRule="exact"/>
        <w:ind w:firstLine="643" w:firstLineChars="200"/>
        <w:contextualSpacing/>
        <w:jc w:val="left"/>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（一）评价目的。</w:t>
      </w:r>
    </w:p>
    <w:p>
      <w:pPr>
        <w:widowControl/>
        <w:adjustRightInd w:val="0"/>
        <w:snapToGrid w:val="0"/>
        <w:spacing w:line="560" w:lineRule="exact"/>
        <w:ind w:firstLine="640" w:firstLineChars="200"/>
        <w:contextualSpacing/>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宋体" w:eastAsia="仿宋_GB2312" w:cs="宋体"/>
          <w:color w:val="000000"/>
          <w:kern w:val="0"/>
          <w:sz w:val="32"/>
          <w:szCs w:val="32"/>
          <w:shd w:val="clear" w:color="auto" w:fill="FFFFFF"/>
          <w:lang w:val="zh-CN"/>
        </w:rPr>
        <w:t>通过加强绩效预算，使用财政资金得到有效使用，行政效率得到提高，促进了各项工作顺得利开展，单位财务制度健全，管理规范，得到有效执行。</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（二）预设问题及评价重点。</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en-US" w:eastAsia="zh-CN"/>
        </w:rPr>
        <w:t>1、</w:t>
      </w:r>
      <w:r>
        <w:rPr>
          <w:rFonts w:hint="eastAsia" w:ascii="仿宋" w:hAnsi="仿宋" w:eastAsia="仿宋" w:cs="仿宋"/>
          <w:color w:val="auto"/>
          <w:kern w:val="0"/>
          <w:sz w:val="32"/>
          <w:szCs w:val="32"/>
          <w:shd w:val="clear" w:color="auto" w:fill="FFFFFF"/>
          <w:lang w:val="zh-CN"/>
        </w:rPr>
        <w:t>工作开展情况记录；</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2、项目设施进度；</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eastAsia="仿宋"/>
          <w:lang w:val="en-US" w:eastAsia="zh-CN"/>
        </w:rPr>
      </w:pPr>
      <w:r>
        <w:rPr>
          <w:rFonts w:hint="eastAsia" w:ascii="仿宋" w:hAnsi="仿宋" w:eastAsia="仿宋" w:cs="仿宋"/>
          <w:color w:val="auto"/>
          <w:kern w:val="0"/>
          <w:sz w:val="32"/>
          <w:szCs w:val="32"/>
          <w:shd w:val="clear" w:color="auto" w:fill="FFFFFF"/>
          <w:lang w:val="en-US" w:eastAsia="zh-CN"/>
        </w:rPr>
        <w:t>3、工作方式方法。</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color w:val="auto"/>
          <w:kern w:val="0"/>
          <w:sz w:val="32"/>
          <w:szCs w:val="32"/>
          <w:highlight w:val="none"/>
          <w:u w:val="none"/>
          <w:lang w:val="en-US" w:eastAsia="zh-CN"/>
        </w:rPr>
      </w:pPr>
      <w:r>
        <w:rPr>
          <w:rFonts w:hint="eastAsia" w:eastAsia="仿宋_GB2312" w:cs="仿宋_GB2312"/>
          <w:b w:val="0"/>
          <w:color w:val="auto"/>
          <w:kern w:val="0"/>
          <w:sz w:val="32"/>
          <w:szCs w:val="32"/>
          <w:highlight w:val="none"/>
          <w:u w:val="none"/>
          <w:lang w:val="en-US" w:eastAsia="zh-CN"/>
        </w:rPr>
        <w:t>本单位</w:t>
      </w:r>
    </w:p>
    <w:p>
      <w:pPr>
        <w:widowControl/>
        <w:adjustRightInd w:val="0"/>
        <w:snapToGrid w:val="0"/>
        <w:spacing w:line="580" w:lineRule="exact"/>
        <w:ind w:firstLine="643" w:firstLineChars="200"/>
        <w:contextualSpacing/>
        <w:jc w:val="left"/>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（四）评价方法。</w:t>
      </w:r>
    </w:p>
    <w:p>
      <w:pPr>
        <w:widowControl/>
        <w:adjustRightInd w:val="0"/>
        <w:snapToGrid w:val="0"/>
        <w:spacing w:line="580" w:lineRule="exact"/>
        <w:ind w:firstLine="640" w:firstLineChars="200"/>
        <w:contextualSpacing/>
        <w:jc w:val="left"/>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zh-CN"/>
        </w:rPr>
        <w:t>根据考核评分细则，我单位严格按照国家的相关财务管理制度规定，财务制度健全、会计核算规范，依照计划管理使用。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（五）评价组织。</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Times New Roman"/>
          <w:bCs/>
          <w:lang w:eastAsia="zh-CN"/>
        </w:rPr>
      </w:pPr>
      <w:r>
        <w:rPr>
          <w:rFonts w:hint="eastAsia" w:ascii="仿宋_GB2312" w:hAnsi="仿宋_GB2312" w:eastAsia="仿宋_GB2312" w:cs="仿宋_GB2312"/>
          <w:i w:val="0"/>
          <w:iCs w:val="0"/>
          <w:caps w:val="0"/>
          <w:color w:val="auto"/>
          <w:spacing w:val="0"/>
          <w:kern w:val="0"/>
          <w:sz w:val="32"/>
          <w:szCs w:val="32"/>
          <w:lang w:val="en-US" w:eastAsia="zh-CN" w:bidi="ar"/>
        </w:rPr>
        <w:t>该项目组织实施由单位分管负责人按年初工作计划组织实施。</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仿宋_GB2312" w:eastAsia="仿宋_GB2312"/>
          <w:color w:val="auto"/>
          <w:sz w:val="32"/>
          <w:szCs w:val="32"/>
          <w:highlight w:val="none"/>
        </w:rPr>
      </w:pPr>
      <w:r>
        <w:rPr>
          <w:rFonts w:hint="eastAsia" w:ascii="仿宋_GB2312" w:eastAsia="仿宋_GB2312"/>
          <w:color w:val="auto"/>
          <w:sz w:val="32"/>
          <w:szCs w:val="32"/>
        </w:rPr>
        <w:t>本部门对</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年一般公共预算项目支出开展了绩效目标管理，共编制绩效目标</w:t>
      </w:r>
      <w:r>
        <w:rPr>
          <w:rFonts w:hint="eastAsia" w:ascii="仿宋_GB2312" w:eastAsia="仿宋_GB2312"/>
          <w:color w:val="auto"/>
          <w:sz w:val="32"/>
          <w:szCs w:val="32"/>
          <w:lang w:val="en-US" w:eastAsia="zh-CN"/>
        </w:rPr>
        <w:t>16</w:t>
      </w:r>
      <w:r>
        <w:rPr>
          <w:rFonts w:hint="eastAsia" w:ascii="仿宋_GB2312" w:eastAsia="仿宋_GB2312"/>
          <w:color w:val="auto"/>
          <w:sz w:val="32"/>
          <w:szCs w:val="32"/>
        </w:rPr>
        <w:t>个，涉及财政</w:t>
      </w:r>
      <w:r>
        <w:rPr>
          <w:rFonts w:hint="eastAsia" w:ascii="仿宋_GB2312" w:eastAsia="仿宋_GB2312"/>
          <w:color w:val="auto"/>
          <w:sz w:val="32"/>
          <w:szCs w:val="32"/>
          <w:highlight w:val="none"/>
        </w:rPr>
        <w:t>资金</w:t>
      </w:r>
      <w:r>
        <w:rPr>
          <w:rFonts w:hint="eastAsia" w:ascii="仿宋_GB2312" w:eastAsia="仿宋_GB2312"/>
          <w:color w:val="auto"/>
          <w:sz w:val="32"/>
          <w:szCs w:val="32"/>
          <w:highlight w:val="none"/>
          <w:lang w:val="en-US" w:eastAsia="zh-CN"/>
        </w:rPr>
        <w:t>115.03</w:t>
      </w:r>
      <w:r>
        <w:rPr>
          <w:rFonts w:hint="eastAsia" w:ascii="仿宋_GB2312" w:eastAsia="仿宋_GB2312"/>
          <w:color w:val="auto"/>
          <w:sz w:val="32"/>
          <w:szCs w:val="32"/>
          <w:highlight w:val="none"/>
        </w:rPr>
        <w:t>万元，覆盖率达到</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区委、区政府的正确领导和上级主管部门的直接领导下，紧紧围绕工作重点和主要目标，认真贯彻落实习近平总书记重要指示批示精神，以高度的政治自觉性统领工作，积极做好保民生、促稳定的安全工作。</w:t>
      </w:r>
    </w:p>
    <w:p>
      <w:pPr>
        <w:spacing w:line="560" w:lineRule="exact"/>
        <w:ind w:firstLine="640" w:firstLineChars="200"/>
        <w:jc w:val="left"/>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按照区财政局部门预算编制通知要求，按时完成部门年初预算编制工作。在编制过程中，认真核实单位实际财政供养人数和单位实有编制情况，正确编制人员经费和公用经费等，做到尽量细化项目资金支出预算范围和科目，及时上报预算股进行审核，对所编制的预算予以调整通过。</w:t>
      </w:r>
    </w:p>
    <w:p>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w:t>
      </w:r>
    </w:p>
    <w:p>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宋体" w:eastAsia="仿宋_GB2312" w:cs="宋体"/>
          <w:color w:val="auto"/>
          <w:kern w:val="0"/>
          <w:sz w:val="32"/>
          <w:szCs w:val="32"/>
          <w:shd w:val="clear" w:color="auto" w:fill="FFFFFF"/>
          <w:lang w:val="zh-CN"/>
        </w:rPr>
        <w:t>所有指标都基本达到了预期的效果，所有项目经费都实现了价值的最大化。</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1.产业发展。围绕符合性、成长性、经济性进行绩效分析。</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ascii="Times New Roman" w:hAnsi="Times New Roman" w:eastAsia="仿宋_GB2312" w:cs="仿宋_GB2312"/>
          <w:b w:val="0"/>
          <w:bCs w:val="0"/>
          <w:kern w:val="0"/>
          <w:position w:val="0"/>
          <w:sz w:val="32"/>
          <w:szCs w:val="32"/>
          <w:highlight w:val="none"/>
          <w:lang w:val="en-US" w:eastAsia="zh-CN" w:bidi="ar-SA"/>
        </w:rPr>
        <w:t>围绕区域均衡性、对象精准性、标准合理性、群众满意度进行绩效分析。</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3.基础设施。在建项目围绕工程进度和资金拨付进行绩效分析；建成项目围绕项目验收、功能实现、后续管护进行</w:t>
      </w:r>
      <w:r>
        <w:rPr>
          <w:rFonts w:hint="eastAsia" w:ascii="Times New Roman" w:hAnsi="Times New Roman" w:eastAsia="仿宋_GB2312" w:cs="仿宋_GB2312"/>
          <w:b w:val="0"/>
          <w:bCs w:val="0"/>
          <w:kern w:val="0"/>
          <w:position w:val="0"/>
          <w:sz w:val="32"/>
          <w:szCs w:val="32"/>
          <w:highlight w:val="none"/>
          <w:lang w:val="zh-CN" w:eastAsia="zh-CN" w:bidi="ar-SA"/>
        </w:rPr>
        <w:t>绩效分析。</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行政运转。围绕用途合规性、程序合规性、标准合规性进行绩效分析。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根据项目个性自行设定部分指标，反映该项指标执行完成情况。</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宋体" w:eastAsia="仿宋_GB2312" w:cs="宋体"/>
          <w:color w:val="000000"/>
          <w:kern w:val="0"/>
          <w:sz w:val="32"/>
          <w:szCs w:val="32"/>
          <w:shd w:val="clear" w:color="auto" w:fill="FFFFFF"/>
        </w:rPr>
        <w:t>永胜乡</w:t>
      </w:r>
      <w:r>
        <w:rPr>
          <w:rFonts w:hint="eastAsia" w:ascii="仿宋_GB2312" w:hAnsi="宋体" w:eastAsia="仿宋_GB2312" w:cs="宋体"/>
          <w:color w:val="000000"/>
          <w:kern w:val="0"/>
          <w:sz w:val="32"/>
          <w:szCs w:val="32"/>
          <w:shd w:val="clear" w:color="auto" w:fill="FFFFFF"/>
          <w:lang w:val="zh-CN"/>
        </w:rPr>
        <w:t>能够按照国家的法律法规加强预算管理，不断完善内控制度，取得了较好的预算执行效果。认真地完成了202</w:t>
      </w:r>
      <w:r>
        <w:rPr>
          <w:rFonts w:hint="eastAsia" w:ascii="仿宋_GB2312" w:hAnsi="宋体" w:eastAsia="仿宋_GB2312" w:cs="宋体"/>
          <w:color w:val="000000"/>
          <w:kern w:val="0"/>
          <w:sz w:val="32"/>
          <w:szCs w:val="32"/>
          <w:shd w:val="clear" w:color="auto" w:fill="FFFFFF"/>
          <w:lang w:val="en-US" w:eastAsia="zh-CN"/>
        </w:rPr>
        <w:t>4</w:t>
      </w:r>
      <w:r>
        <w:rPr>
          <w:rFonts w:hint="eastAsia" w:ascii="仿宋_GB2312" w:hAnsi="宋体" w:eastAsia="仿宋_GB2312" w:cs="宋体"/>
          <w:color w:val="000000"/>
          <w:kern w:val="0"/>
          <w:sz w:val="32"/>
          <w:szCs w:val="32"/>
          <w:shd w:val="clear" w:color="auto" w:fill="FFFFFF"/>
          <w:lang w:val="zh-CN"/>
        </w:rPr>
        <w:t>年部门预算和决算汇总工作，能够按照财政部门批复的预算组织实施。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pPr>
        <w:widowControl/>
        <w:adjustRightInd w:val="0"/>
        <w:snapToGrid w:val="0"/>
        <w:spacing w:line="580" w:lineRule="exact"/>
        <w:ind w:firstLine="640" w:firstLineChars="200"/>
        <w:contextualSpacing/>
        <w:jc w:val="lef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一是项目实施开展缓慢，未能在年底及时结算报账，导致预算未执行完成。</w:t>
      </w:r>
    </w:p>
    <w:p>
      <w:pPr>
        <w:widowControl/>
        <w:adjustRightInd w:val="0"/>
        <w:snapToGrid w:val="0"/>
        <w:spacing w:line="580" w:lineRule="exact"/>
        <w:ind w:firstLine="640" w:firstLineChars="200"/>
        <w:contextualSpacing/>
        <w:jc w:val="left"/>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二是是内部控制支部不够完善</w:t>
      </w:r>
      <w:r>
        <w:rPr>
          <w:rFonts w:hint="eastAsia" w:ascii="仿宋_GB2312" w:eastAsia="仿宋_GB2312" w:cs="仿宋_GB2312"/>
          <w:color w:val="000000"/>
          <w:sz w:val="32"/>
          <w:szCs w:val="32"/>
          <w:lang w:eastAsia="zh-CN"/>
        </w:rPr>
        <w:t>。</w:t>
      </w:r>
    </w:p>
    <w:p>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仿宋_GB2312" w:eastAsia="仿宋_GB2312" w:cs="仿宋_GB2312"/>
          <w:color w:val="000000"/>
          <w:sz w:val="32"/>
          <w:szCs w:val="32"/>
        </w:rPr>
        <w:t>三是工作方法创新度不够。</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pPr>
        <w:pStyle w:val="18"/>
        <w:widowControl/>
        <w:spacing w:before="0" w:beforeAutospacing="0" w:after="0" w:afterAutospacing="0" w:line="600" w:lineRule="atLeast"/>
        <w:ind w:firstLine="900"/>
        <w:jc w:val="both"/>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一是督促项目村及时开展项目</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保证本年度的项目及时完成，及时报账支付；</w:t>
      </w:r>
    </w:p>
    <w:p>
      <w:pPr>
        <w:pStyle w:val="18"/>
        <w:widowControl/>
        <w:spacing w:before="0" w:beforeAutospacing="0" w:after="0" w:afterAutospacing="0" w:line="600" w:lineRule="atLeast"/>
        <w:ind w:firstLine="900"/>
        <w:jc w:val="both"/>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二是完善内部控制制度，建立健全相关的规章制度。</w:t>
      </w:r>
    </w:p>
    <w:p>
      <w:pPr>
        <w:pStyle w:val="18"/>
        <w:widowControl/>
        <w:spacing w:before="0" w:beforeAutospacing="0" w:after="0" w:afterAutospacing="0" w:line="600" w:lineRule="atLeast"/>
        <w:ind w:firstLine="900"/>
        <w:jc w:val="both"/>
        <w:rPr>
          <w:color w:val="000000"/>
          <w:sz w:val="21"/>
          <w:szCs w:val="21"/>
        </w:rPr>
      </w:pPr>
      <w:r>
        <w:rPr>
          <w:rFonts w:hint="eastAsia" w:ascii="仿宋_GB2312" w:eastAsia="仿宋_GB2312" w:cs="仿宋_GB2312"/>
          <w:color w:val="000000"/>
          <w:sz w:val="32"/>
          <w:szCs w:val="32"/>
        </w:rPr>
        <w:t>三是在工作方面发挥创新，多学习先进工作方法和工作经验，提高部门工作效率。</w:t>
      </w:r>
    </w:p>
    <w:p>
      <w:pPr>
        <w:pStyle w:val="5"/>
        <w:rPr>
          <w:rFonts w:hint="eastAsia" w:ascii="Times New Roman" w:hAnsi="Times New Roman" w:eastAsia="仿宋_GB2312" w:cs="Times New Roman"/>
          <w:sz w:val="32"/>
          <w:szCs w:val="32"/>
          <w:u w:val="none"/>
          <w:lang w:val="en" w:eastAsia="zh-CN" w:bidi="ar"/>
        </w:rPr>
      </w:pPr>
    </w:p>
    <w:p>
      <w:pPr>
        <w:rPr>
          <w:rFonts w:hint="eastAsia" w:ascii="Times New Roman" w:hAnsi="Times New Roman" w:eastAsia="仿宋_GB2312" w:cs="Times New Roman"/>
          <w:sz w:val="32"/>
          <w:szCs w:val="32"/>
          <w:u w:val="none"/>
          <w:lang w:val="en" w:eastAsia="zh-CN" w:bidi="ar"/>
        </w:rPr>
      </w:pPr>
    </w:p>
    <w:p>
      <w:pPr>
        <w:pStyle w:val="5"/>
        <w:rPr>
          <w:rFonts w:hint="eastAsia"/>
          <w:lang w:val="en" w:eastAsia="zh-CN"/>
        </w:rPr>
      </w:pPr>
    </w:p>
    <w:bookmarkEnd w:id="54"/>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bookmarkStart w:id="55"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3"/>
          <w:rFonts w:hint="eastAsia" w:ascii="Times New Roman" w:hAnsi="Times New Roman" w:eastAsia="黑体"/>
          <w:b w:val="0"/>
          <w:color w:val="auto"/>
          <w:highlight w:val="none"/>
        </w:rPr>
        <w:t>五部分 附表</w:t>
      </w:r>
      <w:bookmarkEnd w:id="51"/>
      <w:bookmarkEnd w:id="55"/>
      <w:bookmarkStart w:id="56" w:name="_Toc15396619"/>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6"/>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0"/>
      <w:r>
        <w:rPr>
          <w:rFonts w:hint="eastAsia" w:ascii="Times New Roman" w:hAnsi="Times New Roman" w:eastAsia="仿宋_GB2312" w:cs="仿宋_GB2312"/>
          <w:color w:val="auto"/>
          <w:sz w:val="32"/>
          <w:szCs w:val="32"/>
          <w:highlight w:val="none"/>
        </w:rPr>
        <w:t>二、收入决算表</w:t>
      </w:r>
      <w:bookmarkEnd w:id="57"/>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1"/>
      <w:r>
        <w:rPr>
          <w:rFonts w:hint="eastAsia" w:ascii="Times New Roman" w:hAnsi="Times New Roman" w:eastAsia="仿宋_GB2312" w:cs="仿宋_GB2312"/>
          <w:color w:val="auto"/>
          <w:sz w:val="32"/>
          <w:szCs w:val="32"/>
          <w:highlight w:val="none"/>
        </w:rPr>
        <w:t>三、支出决算表</w:t>
      </w:r>
      <w:bookmarkEnd w:id="58"/>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2"/>
      <w:r>
        <w:rPr>
          <w:rFonts w:hint="eastAsia" w:ascii="Times New Roman" w:hAnsi="Times New Roman" w:eastAsia="仿宋_GB2312" w:cs="仿宋_GB2312"/>
          <w:color w:val="auto"/>
          <w:sz w:val="32"/>
          <w:szCs w:val="32"/>
          <w:highlight w:val="none"/>
        </w:rPr>
        <w:t>四、财政拨款收入支出决算总表</w:t>
      </w:r>
      <w:bookmarkEnd w:id="59"/>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3"/>
      <w:r>
        <w:rPr>
          <w:rFonts w:hint="eastAsia" w:ascii="Times New Roman" w:hAnsi="Times New Roman" w:eastAsia="仿宋_GB2312" w:cs="仿宋_GB2312"/>
          <w:color w:val="auto"/>
          <w:sz w:val="32"/>
          <w:szCs w:val="32"/>
          <w:highlight w:val="none"/>
        </w:rPr>
        <w:t>五、财政拨款支出决算明细表</w:t>
      </w:r>
      <w:bookmarkEnd w:id="60"/>
      <w:bookmarkStart w:id="61" w:name="_Toc15396624"/>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1"/>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5"/>
      <w:r>
        <w:rPr>
          <w:rFonts w:hint="eastAsia" w:ascii="Times New Roman" w:hAnsi="Times New Roman" w:eastAsia="仿宋_GB2312" w:cs="仿宋_GB2312"/>
          <w:color w:val="auto"/>
          <w:sz w:val="32"/>
          <w:szCs w:val="32"/>
          <w:highlight w:val="none"/>
        </w:rPr>
        <w:t>七、一般公共预算财政拨款支出决算明细表</w:t>
      </w:r>
      <w:bookmarkEnd w:id="62"/>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6"/>
      <w:r>
        <w:rPr>
          <w:rFonts w:hint="eastAsia" w:ascii="Times New Roman" w:hAnsi="Times New Roman" w:eastAsia="仿宋_GB2312" w:cs="仿宋_GB2312"/>
          <w:color w:val="auto"/>
          <w:sz w:val="32"/>
          <w:szCs w:val="32"/>
          <w:highlight w:val="none"/>
        </w:rPr>
        <w:t>八、一般公共预算财政拨款基本支出决算表</w:t>
      </w:r>
      <w:bookmarkEnd w:id="63"/>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7"/>
      <w:r>
        <w:rPr>
          <w:rFonts w:hint="eastAsia" w:ascii="Times New Roman" w:hAnsi="Times New Roman" w:eastAsia="仿宋_GB2312" w:cs="仿宋_GB2312"/>
          <w:color w:val="auto"/>
          <w:sz w:val="32"/>
          <w:szCs w:val="32"/>
          <w:highlight w:val="none"/>
        </w:rPr>
        <w:t>九、一般公共预算财政拨款项目支出决算表</w:t>
      </w:r>
      <w:bookmarkEnd w:id="64"/>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8"/>
      <w:r>
        <w:rPr>
          <w:rFonts w:hint="eastAsia" w:ascii="Times New Roman" w:hAnsi="Times New Roman" w:eastAsia="仿宋_GB2312" w:cs="仿宋_GB2312"/>
          <w:color w:val="auto"/>
          <w:sz w:val="32"/>
          <w:szCs w:val="32"/>
          <w:highlight w:val="none"/>
        </w:rPr>
        <w:t>十、</w:t>
      </w:r>
      <w:bookmarkEnd w:id="65"/>
      <w:r>
        <w:rPr>
          <w:rFonts w:hint="eastAsia" w:ascii="Times New Roman" w:hAnsi="Times New Roman" w:eastAsia="仿宋_GB2312" w:cs="仿宋_GB2312"/>
          <w:color w:val="auto"/>
          <w:sz w:val="32"/>
          <w:szCs w:val="32"/>
          <w:highlight w:val="none"/>
        </w:rPr>
        <w:t>政府性基金预算财政拨款收入支出决算表</w:t>
      </w:r>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9"/>
      <w:r>
        <w:rPr>
          <w:rFonts w:hint="eastAsia" w:ascii="Times New Roman" w:hAnsi="Times New Roman" w:eastAsia="仿宋_GB2312" w:cs="仿宋_GB2312"/>
          <w:color w:val="auto"/>
          <w:sz w:val="32"/>
          <w:szCs w:val="32"/>
          <w:highlight w:val="none"/>
        </w:rPr>
        <w:t>十一、</w:t>
      </w:r>
      <w:bookmarkEnd w:id="6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30"/>
      <w:r>
        <w:rPr>
          <w:rFonts w:hint="eastAsia" w:ascii="Times New Roman" w:hAnsi="Times New Roman" w:eastAsia="仿宋_GB2312" w:cs="仿宋_GB2312"/>
          <w:color w:val="auto"/>
          <w:sz w:val="32"/>
          <w:szCs w:val="32"/>
          <w:highlight w:val="none"/>
        </w:rPr>
        <w:t>十二、</w:t>
      </w:r>
      <w:bookmarkEnd w:id="67"/>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8" w:name="_Toc15396631"/>
      <w:r>
        <w:rPr>
          <w:rFonts w:hint="eastAsia" w:ascii="Times New Roman" w:hAnsi="Times New Roman" w:eastAsia="仿宋_GB2312" w:cs="仿宋_GB2312"/>
          <w:color w:val="auto"/>
          <w:sz w:val="32"/>
          <w:szCs w:val="32"/>
          <w:highlight w:val="none"/>
        </w:rPr>
        <w:t>十三、</w:t>
      </w:r>
      <w:bookmarkEnd w:id="68"/>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3DFBD46-969A-42AA-9492-B5D83699B7A7}"/>
  </w:font>
  <w:font w:name="黑体">
    <w:panose1 w:val="02010609060101010101"/>
    <w:charset w:val="86"/>
    <w:family w:val="auto"/>
    <w:pitch w:val="default"/>
    <w:sig w:usb0="800002BF" w:usb1="38CF7CFA" w:usb2="00000016" w:usb3="00000000" w:csb0="00040001" w:csb1="00000000"/>
    <w:embedRegular r:id="rId2" w:fontKey="{9104C1D9-2A17-45D8-A8FA-C7E7A26C35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E78F50B2-E6E8-4089-9AA1-A631010B0F8D}"/>
  </w:font>
  <w:font w:name="仿宋">
    <w:panose1 w:val="02010609060101010101"/>
    <w:charset w:val="86"/>
    <w:family w:val="modern"/>
    <w:pitch w:val="default"/>
    <w:sig w:usb0="800002BF" w:usb1="38CF7CFA" w:usb2="00000016" w:usb3="00000000" w:csb0="00040001" w:csb1="00000000"/>
    <w:embedRegular r:id="rId4" w:fontKey="{9BA6AA0F-E908-41E5-8DD4-359D75B71533}"/>
  </w:font>
  <w:font w:name="??">
    <w:altName w:val="Segoe Print"/>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embedRegular r:id="rId5" w:fontKey="{28A70BB1-CFD1-4E96-B839-A0F1FF0F0B9C}"/>
  </w:font>
  <w:font w:name="楷体_GB2312">
    <w:altName w:val="楷体"/>
    <w:panose1 w:val="02010609030101010101"/>
    <w:charset w:val="86"/>
    <w:family w:val="auto"/>
    <w:pitch w:val="default"/>
    <w:sig w:usb0="00000000" w:usb1="00000000" w:usb2="00000000" w:usb3="00000000" w:csb0="00040000" w:csb1="00000000"/>
    <w:embedRegular r:id="rId6" w:fontKey="{64FF877B-0658-4201-8EA4-84DF186CE304}"/>
  </w:font>
  <w:font w:name="Helvetica">
    <w:altName w:val="Arial"/>
    <w:panose1 w:val="00000000000000000000"/>
    <w:charset w:val="00"/>
    <w:family w:val="auto"/>
    <w:pitch w:val="default"/>
    <w:sig w:usb0="00000000" w:usb1="00000000" w:usb2="00000000" w:usb3="00000000" w:csb0="00040001" w:csb1="00000000"/>
    <w:embedRegular r:id="rId7" w:fontKey="{925AF367-89E2-4880-99EC-9BAF43FD2902}"/>
  </w:font>
  <w:font w:name="方正仿宋_GB18030">
    <w:panose1 w:val="02000000000000000000"/>
    <w:charset w:val="86"/>
    <w:family w:val="auto"/>
    <w:pitch w:val="default"/>
    <w:sig w:usb0="00000000" w:usb1="00000000" w:usb2="00000000" w:usb3="00000000" w:csb0="00000000" w:csb1="00000000"/>
    <w:embedRegular r:id="rId8" w:fontKey="{174E3395-0DE9-48AB-9EF8-D91F8226A0FE}"/>
  </w:font>
  <w:font w:name="方正仿宋_GB2312">
    <w:panose1 w:val="02000000000000000000"/>
    <w:charset w:val="86"/>
    <w:family w:val="auto"/>
    <w:pitch w:val="default"/>
    <w:sig w:usb0="00000000" w:usb1="00000000" w:usb2="00000000" w:usb3="00000000" w:csb0="00000000" w:csb1="00000000"/>
    <w:embedRegular r:id="rId9" w:fontKey="{5069B876-4BA8-4351-9546-07D0F8D2980A}"/>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5BD12"/>
    <w:multiLevelType w:val="singleLevel"/>
    <w:tmpl w:val="1405BD12"/>
    <w:lvl w:ilvl="0" w:tentative="0">
      <w:start w:val="1"/>
      <w:numFmt w:val="decimal"/>
      <w:suff w:val="nothing"/>
      <w:lvlText w:val="%1．"/>
      <w:lvlJc w:val="left"/>
      <w:pPr>
        <w:ind w:left="320" w:firstLine="400"/>
      </w:pPr>
      <w:rPr>
        <w:rFonts w:hint="default"/>
        <w:b w:val="0"/>
        <w:bCs w:val="0"/>
      </w:rPr>
    </w:lvl>
  </w:abstractNum>
  <w:abstractNum w:abstractNumId="1">
    <w:nsid w:val="197E3229"/>
    <w:multiLevelType w:val="singleLevel"/>
    <w:tmpl w:val="197E3229"/>
    <w:lvl w:ilvl="0" w:tentative="0">
      <w:start w:val="2"/>
      <w:numFmt w:val="chineseCounting"/>
      <w:suff w:val="nothing"/>
      <w:lvlText w:val="（%1）"/>
      <w:lvlJc w:val="left"/>
      <w:rPr>
        <w:rFonts w:hint="eastAsia"/>
      </w:rPr>
    </w:lvl>
  </w:abstractNum>
  <w:abstractNum w:abstractNumId="2">
    <w:nsid w:val="22F3A734"/>
    <w:multiLevelType w:val="singleLevel"/>
    <w:tmpl w:val="22F3A734"/>
    <w:lvl w:ilvl="0" w:tentative="0">
      <w:start w:val="1"/>
      <w:numFmt w:val="chineseCounting"/>
      <w:suff w:val="nothing"/>
      <w:lvlText w:val="%1、"/>
      <w:lvlJc w:val="left"/>
      <w:rPr>
        <w:rFonts w:hint="eastAsia"/>
      </w:rPr>
    </w:lvl>
  </w:abstractNum>
  <w:abstractNum w:abstractNumId="3">
    <w:nsid w:val="7AC226EA"/>
    <w:multiLevelType w:val="multilevel"/>
    <w:tmpl w:val="7AC226EA"/>
    <w:lvl w:ilvl="0" w:tentative="0">
      <w:start w:val="4"/>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7D3386B4"/>
    <w:multiLevelType w:val="multilevel"/>
    <w:tmpl w:val="7D3386B4"/>
    <w:lvl w:ilvl="0" w:tentative="0">
      <w:start w:val="4"/>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365ED8"/>
    <w:rsid w:val="061E35DE"/>
    <w:rsid w:val="06592DE1"/>
    <w:rsid w:val="066E0107"/>
    <w:rsid w:val="07996F6E"/>
    <w:rsid w:val="07DFD8BA"/>
    <w:rsid w:val="09867E8F"/>
    <w:rsid w:val="0A2032A3"/>
    <w:rsid w:val="0BB772BD"/>
    <w:rsid w:val="0CA8290A"/>
    <w:rsid w:val="0D35B1ED"/>
    <w:rsid w:val="0E254B6B"/>
    <w:rsid w:val="0F98263C"/>
    <w:rsid w:val="101860EC"/>
    <w:rsid w:val="101F47CC"/>
    <w:rsid w:val="10C055FF"/>
    <w:rsid w:val="11694EBD"/>
    <w:rsid w:val="11772AA4"/>
    <w:rsid w:val="118107EC"/>
    <w:rsid w:val="11FE3E97"/>
    <w:rsid w:val="12E24EE2"/>
    <w:rsid w:val="13693592"/>
    <w:rsid w:val="13790E93"/>
    <w:rsid w:val="13D50BC4"/>
    <w:rsid w:val="14237BE5"/>
    <w:rsid w:val="14B17F78"/>
    <w:rsid w:val="14D00791"/>
    <w:rsid w:val="165E0673"/>
    <w:rsid w:val="16B831D5"/>
    <w:rsid w:val="16BB723D"/>
    <w:rsid w:val="17071B9C"/>
    <w:rsid w:val="17873B7F"/>
    <w:rsid w:val="17E50567"/>
    <w:rsid w:val="17EF7DDE"/>
    <w:rsid w:val="186504BB"/>
    <w:rsid w:val="19A445FC"/>
    <w:rsid w:val="1BE8440E"/>
    <w:rsid w:val="1D155CEE"/>
    <w:rsid w:val="1D1638FE"/>
    <w:rsid w:val="1E312DEB"/>
    <w:rsid w:val="1E740ACF"/>
    <w:rsid w:val="1FF35744"/>
    <w:rsid w:val="1FF6BC77"/>
    <w:rsid w:val="214733AE"/>
    <w:rsid w:val="2186353C"/>
    <w:rsid w:val="23860B96"/>
    <w:rsid w:val="240371BF"/>
    <w:rsid w:val="244F3473"/>
    <w:rsid w:val="24C97D99"/>
    <w:rsid w:val="25A718F0"/>
    <w:rsid w:val="25BB59F6"/>
    <w:rsid w:val="260F557C"/>
    <w:rsid w:val="26970054"/>
    <w:rsid w:val="281408E2"/>
    <w:rsid w:val="28C50E13"/>
    <w:rsid w:val="29FD04D3"/>
    <w:rsid w:val="2BFF7BC6"/>
    <w:rsid w:val="2C8A61B5"/>
    <w:rsid w:val="2DF04E50"/>
    <w:rsid w:val="2E586DFA"/>
    <w:rsid w:val="2F040D46"/>
    <w:rsid w:val="2F6B035B"/>
    <w:rsid w:val="2FAE5751"/>
    <w:rsid w:val="2FB1A395"/>
    <w:rsid w:val="2FD9A7D8"/>
    <w:rsid w:val="2FDBF714"/>
    <w:rsid w:val="301E4A25"/>
    <w:rsid w:val="30AB6865"/>
    <w:rsid w:val="319F7F4E"/>
    <w:rsid w:val="32981347"/>
    <w:rsid w:val="32BD1EF1"/>
    <w:rsid w:val="3304709D"/>
    <w:rsid w:val="33A773CB"/>
    <w:rsid w:val="349D6851"/>
    <w:rsid w:val="350B5C87"/>
    <w:rsid w:val="36AA5135"/>
    <w:rsid w:val="36BE0DA7"/>
    <w:rsid w:val="370E607B"/>
    <w:rsid w:val="376B6AA6"/>
    <w:rsid w:val="376D39B2"/>
    <w:rsid w:val="37E16F03"/>
    <w:rsid w:val="37F53A3B"/>
    <w:rsid w:val="389B6C89"/>
    <w:rsid w:val="38D469F0"/>
    <w:rsid w:val="39627CCD"/>
    <w:rsid w:val="397BAF1F"/>
    <w:rsid w:val="3AB79AF3"/>
    <w:rsid w:val="3AE834C0"/>
    <w:rsid w:val="3B761B7D"/>
    <w:rsid w:val="3B7EF35A"/>
    <w:rsid w:val="3B9FDB6C"/>
    <w:rsid w:val="3BAF4A2A"/>
    <w:rsid w:val="3BF5BC2F"/>
    <w:rsid w:val="3CEBA265"/>
    <w:rsid w:val="3D98207C"/>
    <w:rsid w:val="3DEE7CF3"/>
    <w:rsid w:val="3E740A63"/>
    <w:rsid w:val="3E78745D"/>
    <w:rsid w:val="3EE17838"/>
    <w:rsid w:val="3F4C49F7"/>
    <w:rsid w:val="3F55381A"/>
    <w:rsid w:val="3F7F7599"/>
    <w:rsid w:val="3FF4CAE0"/>
    <w:rsid w:val="3FF7B227"/>
    <w:rsid w:val="41962EF5"/>
    <w:rsid w:val="42B17E9C"/>
    <w:rsid w:val="42C42BE0"/>
    <w:rsid w:val="44E268DA"/>
    <w:rsid w:val="450D13D7"/>
    <w:rsid w:val="45506656"/>
    <w:rsid w:val="45741214"/>
    <w:rsid w:val="47887784"/>
    <w:rsid w:val="486A6C7A"/>
    <w:rsid w:val="4A627F82"/>
    <w:rsid w:val="4B0E749A"/>
    <w:rsid w:val="4B2477C4"/>
    <w:rsid w:val="4B4F25DA"/>
    <w:rsid w:val="4BE068DB"/>
    <w:rsid w:val="4D057CAA"/>
    <w:rsid w:val="4D577224"/>
    <w:rsid w:val="4DBF1CEB"/>
    <w:rsid w:val="4DF0007C"/>
    <w:rsid w:val="4EAB630A"/>
    <w:rsid w:val="4ECE2238"/>
    <w:rsid w:val="4F833267"/>
    <w:rsid w:val="4F9A44F8"/>
    <w:rsid w:val="4FE9BD67"/>
    <w:rsid w:val="4FFB052F"/>
    <w:rsid w:val="537E6D0A"/>
    <w:rsid w:val="53F74C96"/>
    <w:rsid w:val="55170BA8"/>
    <w:rsid w:val="553218C9"/>
    <w:rsid w:val="553A3E67"/>
    <w:rsid w:val="561F43C7"/>
    <w:rsid w:val="567E1AA5"/>
    <w:rsid w:val="56E47B74"/>
    <w:rsid w:val="57175D52"/>
    <w:rsid w:val="57BD3DD4"/>
    <w:rsid w:val="5A2275C4"/>
    <w:rsid w:val="5AD22D98"/>
    <w:rsid w:val="5AF92295"/>
    <w:rsid w:val="5B250254"/>
    <w:rsid w:val="5BDD79E6"/>
    <w:rsid w:val="5BF561CA"/>
    <w:rsid w:val="5BFF5DFC"/>
    <w:rsid w:val="5C725394"/>
    <w:rsid w:val="5CD71FC4"/>
    <w:rsid w:val="5D1F11B5"/>
    <w:rsid w:val="5D695134"/>
    <w:rsid w:val="5DAE1B18"/>
    <w:rsid w:val="5DE7D9E5"/>
    <w:rsid w:val="5ECEC941"/>
    <w:rsid w:val="5FBF9FF3"/>
    <w:rsid w:val="5FCD4E2C"/>
    <w:rsid w:val="5FEF394A"/>
    <w:rsid w:val="5FF67715"/>
    <w:rsid w:val="6062696C"/>
    <w:rsid w:val="62BF3928"/>
    <w:rsid w:val="63B3701E"/>
    <w:rsid w:val="647F5392"/>
    <w:rsid w:val="64FD4EB5"/>
    <w:rsid w:val="65E66580"/>
    <w:rsid w:val="664B1D71"/>
    <w:rsid w:val="664B4E8E"/>
    <w:rsid w:val="67277B67"/>
    <w:rsid w:val="673D77EB"/>
    <w:rsid w:val="67AA3209"/>
    <w:rsid w:val="698D0931"/>
    <w:rsid w:val="6A7FE5F3"/>
    <w:rsid w:val="6B053271"/>
    <w:rsid w:val="6BDD78B3"/>
    <w:rsid w:val="6C4A05C8"/>
    <w:rsid w:val="6C8742B8"/>
    <w:rsid w:val="6CF03552"/>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2700DF"/>
    <w:rsid w:val="7332FE48"/>
    <w:rsid w:val="73441F01"/>
    <w:rsid w:val="73AB61DA"/>
    <w:rsid w:val="73AD73D5"/>
    <w:rsid w:val="73B6EB34"/>
    <w:rsid w:val="73FA497D"/>
    <w:rsid w:val="742837BB"/>
    <w:rsid w:val="744731E5"/>
    <w:rsid w:val="74BBD01D"/>
    <w:rsid w:val="74ED5379"/>
    <w:rsid w:val="75DEEEC2"/>
    <w:rsid w:val="75E32345"/>
    <w:rsid w:val="76E3355F"/>
    <w:rsid w:val="76FF5125"/>
    <w:rsid w:val="776F6FFA"/>
    <w:rsid w:val="778769C8"/>
    <w:rsid w:val="77A75DCA"/>
    <w:rsid w:val="77DC22F5"/>
    <w:rsid w:val="783E271A"/>
    <w:rsid w:val="785E3A65"/>
    <w:rsid w:val="78616DE9"/>
    <w:rsid w:val="78E875D7"/>
    <w:rsid w:val="79086DAD"/>
    <w:rsid w:val="796671AD"/>
    <w:rsid w:val="79D7FD79"/>
    <w:rsid w:val="79EE5BA4"/>
    <w:rsid w:val="7A894339"/>
    <w:rsid w:val="7AD284E8"/>
    <w:rsid w:val="7AFF7572"/>
    <w:rsid w:val="7B6C7DFB"/>
    <w:rsid w:val="7BBFBED0"/>
    <w:rsid w:val="7BC3E394"/>
    <w:rsid w:val="7C1F3737"/>
    <w:rsid w:val="7CBFC87B"/>
    <w:rsid w:val="7CFE0F48"/>
    <w:rsid w:val="7D0A180D"/>
    <w:rsid w:val="7D272ABC"/>
    <w:rsid w:val="7D7EC23E"/>
    <w:rsid w:val="7E8ADEBF"/>
    <w:rsid w:val="7EED169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21">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30"/>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cs="Courier New"/>
      <w:color w:val="000000"/>
      <w:spacing w:val="20"/>
      <w:szCs w:val="21"/>
    </w:rPr>
  </w:style>
  <w:style w:type="paragraph" w:styleId="11">
    <w:name w:val="Balloon Text"/>
    <w:basedOn w:val="1"/>
    <w:link w:val="36"/>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able of figures"/>
    <w:basedOn w:val="1"/>
    <w:next w:val="1"/>
    <w:qFormat/>
    <w:uiPriority w:val="99"/>
    <w:pPr>
      <w:ind w:left="200" w:leftChars="200" w:hanging="200" w:hangingChars="200"/>
    </w:pPr>
    <w:rPr>
      <w:rFonts w:ascii="Times New Roman" w:eastAsia="仿宋_GB2312"/>
      <w:sz w:val="32"/>
      <w:szCs w:val="24"/>
    </w:rPr>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Times New Roman" w:hAnsi="Times New Roman" w:eastAsia="宋体" w:cs="Times New Roman"/>
      <w:kern w:val="0"/>
      <w:sz w:val="24"/>
      <w:szCs w:val="24"/>
      <w:lang w:val="en-US" w:eastAsia="zh-CN" w:bidi="ar"/>
    </w:rPr>
  </w:style>
  <w:style w:type="paragraph" w:styleId="19">
    <w:name w:val="Title"/>
    <w:basedOn w:val="1"/>
    <w:next w:val="1"/>
    <w:qFormat/>
    <w:uiPriority w:val="0"/>
    <w:pPr>
      <w:widowControl w:val="0"/>
      <w:jc w:val="center"/>
      <w:outlineLvl w:val="0"/>
    </w:pPr>
    <w:rPr>
      <w:rFonts w:ascii="Arial" w:hAnsi="Arial" w:eastAsia="宋体" w:cs="Times New Roman"/>
      <w:b/>
      <w:kern w:val="2"/>
      <w:sz w:val="32"/>
      <w:szCs w:val="24"/>
      <w:lang w:val="en-US" w:eastAsia="zh-CN" w:bidi="ar-SA"/>
    </w:r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21"/>
    <w:semiHidden/>
    <w:qFormat/>
    <w:uiPriority w:val="99"/>
    <w:rPr>
      <w:rFonts w:ascii="Times New Roman" w:hAnsi="Times New Roman"/>
      <w:sz w:val="18"/>
      <w:szCs w:val="18"/>
    </w:rPr>
  </w:style>
  <w:style w:type="character" w:customStyle="1" w:styleId="26">
    <w:name w:val="页眉 Char"/>
    <w:link w:val="13"/>
    <w:semiHidden/>
    <w:qFormat/>
    <w:locked/>
    <w:uiPriority w:val="99"/>
    <w:rPr>
      <w:sz w:val="18"/>
    </w:rPr>
  </w:style>
  <w:style w:type="character" w:customStyle="1" w:styleId="27">
    <w:name w:val="Footer Char"/>
    <w:basedOn w:val="21"/>
    <w:semiHidden/>
    <w:qFormat/>
    <w:uiPriority w:val="99"/>
    <w:rPr>
      <w:rFonts w:ascii="Times New Roman" w:hAnsi="Times New Roman"/>
      <w:sz w:val="18"/>
      <w:szCs w:val="18"/>
    </w:rPr>
  </w:style>
  <w:style w:type="character" w:customStyle="1" w:styleId="28">
    <w:name w:val="页脚 Char"/>
    <w:link w:val="12"/>
    <w:qFormat/>
    <w:locked/>
    <w:uiPriority w:val="99"/>
    <w:rPr>
      <w:sz w:val="18"/>
    </w:rPr>
  </w:style>
  <w:style w:type="character" w:customStyle="1" w:styleId="29">
    <w:name w:val="Body Text Char"/>
    <w:basedOn w:val="21"/>
    <w:semiHidden/>
    <w:qFormat/>
    <w:uiPriority w:val="99"/>
    <w:rPr>
      <w:rFonts w:ascii="Times New Roman" w:hAnsi="Times New Roman"/>
      <w:szCs w:val="24"/>
    </w:rPr>
  </w:style>
  <w:style w:type="character" w:customStyle="1" w:styleId="30">
    <w:name w:val="正文文本 Char"/>
    <w:link w:val="6"/>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21"/>
    <w:link w:val="2"/>
    <w:qFormat/>
    <w:uiPriority w:val="9"/>
    <w:rPr>
      <w:rFonts w:ascii="Times New Roman" w:hAnsi="Times New Roman"/>
      <w:b/>
      <w:bCs/>
      <w:kern w:val="44"/>
      <w:sz w:val="44"/>
      <w:szCs w:val="44"/>
    </w:rPr>
  </w:style>
  <w:style w:type="character" w:customStyle="1" w:styleId="34">
    <w:name w:val="标题 2 Char"/>
    <w:basedOn w:val="21"/>
    <w:link w:val="3"/>
    <w:qFormat/>
    <w:uiPriority w:val="9"/>
    <w:rPr>
      <w:rFonts w:asciiTheme="majorHAnsi" w:hAnsiTheme="majorHAnsi" w:eastAsiaTheme="majorEastAsia" w:cstheme="majorBidi"/>
      <w:b/>
      <w:bCs/>
      <w:kern w:val="2"/>
      <w:sz w:val="32"/>
      <w:szCs w:val="32"/>
    </w:rPr>
  </w:style>
  <w:style w:type="paragraph" w:customStyle="1" w:styleId="3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1"/>
    <w:link w:val="11"/>
    <w:semiHidden/>
    <w:qFormat/>
    <w:uiPriority w:val="99"/>
    <w:rPr>
      <w:rFonts w:ascii="Times New Roman" w:hAnsi="Times New Roman"/>
      <w:kern w:val="2"/>
      <w:sz w:val="18"/>
      <w:szCs w:val="18"/>
    </w:rPr>
  </w:style>
  <w:style w:type="character" w:customStyle="1" w:styleId="37">
    <w:name w:val="标题 3 Char"/>
    <w:basedOn w:val="21"/>
    <w:link w:val="4"/>
    <w:qFormat/>
    <w:uiPriority w:val="9"/>
    <w:rPr>
      <w:rFonts w:ascii="Times New Roman" w:hAnsi="Times New Roman"/>
      <w:b/>
      <w:bCs/>
      <w:kern w:val="2"/>
      <w:sz w:val="32"/>
      <w:szCs w:val="32"/>
    </w:rPr>
  </w:style>
  <w:style w:type="paragraph" w:customStyle="1" w:styleId="3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40">
    <w:name w:val="font71"/>
    <w:basedOn w:val="21"/>
    <w:qFormat/>
    <w:uiPriority w:val="0"/>
    <w:rPr>
      <w:rFonts w:hint="default" w:ascii="Arial" w:hAnsi="Arial" w:cs="Arial"/>
      <w:color w:val="333333"/>
      <w:sz w:val="20"/>
      <w:szCs w:val="20"/>
      <w:u w:val="none"/>
    </w:rPr>
  </w:style>
  <w:style w:type="character" w:customStyle="1" w:styleId="41">
    <w:name w:val="font81"/>
    <w:basedOn w:val="21"/>
    <w:qFormat/>
    <w:uiPriority w:val="0"/>
    <w:rPr>
      <w:rFonts w:hint="eastAsia" w:ascii="宋体" w:hAnsi="宋体" w:eastAsia="宋体" w:cs="宋体"/>
      <w:color w:val="3333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[图表.xlsx]Sheet2!$B$1:$B$2</c:f>
              <c:strCache>
                <c:ptCount val="2"/>
                <c:pt idx="0">
                  <c:v>2023年收支总计</c:v>
                </c:pt>
                <c:pt idx="1">
                  <c:v>2024年收支总计</c:v>
                </c:pt>
              </c:strCache>
            </c:strRef>
          </c:cat>
          <c:val>
            <c:numRef>
              <c:f>[图表.xlsx]Sheet2!$C$1:$C$2</c:f>
              <c:numCache>
                <c:formatCode>General</c:formatCode>
                <c:ptCount val="2"/>
                <c:pt idx="0">
                  <c:v>1137.84</c:v>
                </c:pt>
                <c:pt idx="1">
                  <c:v>1034.08</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[图表.xlsx]Sheet2!$B$22:$B$29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[图表.xlsx]Sheet2!$C$22:$C$29</c:f>
              <c:numCache>
                <c:formatCode>0.00%</c:formatCode>
                <c:ptCount val="8"/>
                <c:pt idx="0">
                  <c:v>1</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[图表.xlsx]Sheet2!$B$49:$B$53</c:f>
              <c:strCache>
                <c:ptCount val="5"/>
                <c:pt idx="0">
                  <c:v>基本支出</c:v>
                </c:pt>
                <c:pt idx="1">
                  <c:v>项目支出</c:v>
                </c:pt>
                <c:pt idx="2">
                  <c:v>上缴上级支出</c:v>
                </c:pt>
                <c:pt idx="3">
                  <c:v>经营支出</c:v>
                </c:pt>
                <c:pt idx="4">
                  <c:v>对附属单位补助支出</c:v>
                </c:pt>
              </c:strCache>
            </c:strRef>
          </c:cat>
          <c:val>
            <c:numRef>
              <c:f>[图表.xlsx]Sheet2!$C$49:$C$53</c:f>
              <c:numCache>
                <c:formatCode>0.00%</c:formatCode>
                <c:ptCount val="5"/>
                <c:pt idx="0">
                  <c:v>0.7939</c:v>
                </c:pt>
                <c:pt idx="1">
                  <c:v>0.2061</c:v>
                </c:pt>
                <c:pt idx="2" c:formatCode="0%">
                  <c:v>0</c:v>
                </c:pt>
                <c:pt idx="3" c:formatCode="0%">
                  <c:v>0</c:v>
                </c:pt>
                <c:pt idx="4" c:formatCode="0%">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[图表.xlsx]Sheet2!$B$74:$B$75</c:f>
              <c:strCache>
                <c:ptCount val="2"/>
                <c:pt idx="0">
                  <c:v>2023年财政收支总计</c:v>
                </c:pt>
                <c:pt idx="1">
                  <c:v>2024年财政收支总计</c:v>
                </c:pt>
              </c:strCache>
            </c:strRef>
          </c:cat>
          <c:val>
            <c:numRef>
              <c:f>[图表.xlsx]Sheet2!$C$74:$C$75</c:f>
              <c:numCache>
                <c:formatCode>General</c:formatCode>
                <c:ptCount val="2"/>
                <c:pt idx="0">
                  <c:v>1137.84</c:v>
                </c:pt>
                <c:pt idx="1">
                  <c:v>1034.08</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[图表.xlsx]Sheet2!$B$98:$B$99</c:f>
              <c:strCache>
                <c:ptCount val="2"/>
                <c:pt idx="0">
                  <c:v>2023年一般公共预算财政拨款支出</c:v>
                </c:pt>
                <c:pt idx="1">
                  <c:v>2024年一般公共预算财政拨款支出</c:v>
                </c:pt>
              </c:strCache>
            </c:strRef>
          </c:cat>
          <c:val>
            <c:numRef>
              <c:f>[图表.xlsx]Sheet2!$C$98:$C$99</c:f>
              <c:numCache>
                <c:formatCode>General</c:formatCode>
                <c:ptCount val="2"/>
                <c:pt idx="0">
                  <c:v>1137.84</c:v>
                </c:pt>
                <c:pt idx="1">
                  <c:v>1034.08</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manualLayout>
          <c:xMode val="edge"/>
          <c:yMode val="edge"/>
          <c:x val="0.1875"/>
          <c:y val="0.0347222222222222"/>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[图表.xlsx]Sheet2!$B$141:$B$148</c:f>
              <c:strCache>
                <c:ptCount val="8"/>
                <c:pt idx="0">
                  <c:v>一般公共服务支出</c:v>
                </c:pt>
                <c:pt idx="1">
                  <c:v>国防支出</c:v>
                </c:pt>
                <c:pt idx="2">
                  <c:v>文化旅游体育与传媒支出</c:v>
                </c:pt>
                <c:pt idx="3">
                  <c:v>社会保障和就业支出</c:v>
                </c:pt>
                <c:pt idx="4">
                  <c:v>卫生健康支出</c:v>
                </c:pt>
                <c:pt idx="5">
                  <c:v>住房保障支出</c:v>
                </c:pt>
                <c:pt idx="6">
                  <c:v>城乡社区支出</c:v>
                </c:pt>
                <c:pt idx="7">
                  <c:v>农林水支出</c:v>
                </c:pt>
              </c:strCache>
            </c:strRef>
          </c:cat>
          <c:val>
            <c:numRef>
              <c:f>[图表.xlsx]Sheet2!$C$141:$C$148</c:f>
              <c:numCache>
                <c:formatCode>0.00%</c:formatCode>
                <c:ptCount val="8"/>
                <c:pt idx="0">
                  <c:v>0.411</c:v>
                </c:pt>
                <c:pt idx="1">
                  <c:v>0.0048</c:v>
                </c:pt>
                <c:pt idx="2">
                  <c:v>0.0034</c:v>
                </c:pt>
                <c:pt idx="3">
                  <c:v>0.1917</c:v>
                </c:pt>
                <c:pt idx="4">
                  <c:v>0.014</c:v>
                </c:pt>
                <c:pt idx="5">
                  <c:v>0.0382</c:v>
                </c:pt>
                <c:pt idx="6">
                  <c:v>0.1048</c:v>
                </c:pt>
                <c:pt idx="7">
                  <c:v>0.2321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[图表.xlsx]Sheet2!$B$170:$B$172</c:f>
              <c:strCache>
                <c:ptCount val="3"/>
                <c:pt idx="0">
                  <c:v>因公出国（境）费支出</c:v>
                </c:pt>
                <c:pt idx="1">
                  <c:v>公务用车购置及运行维护费支出</c:v>
                </c:pt>
                <c:pt idx="2">
                  <c:v>公务接待费支出</c:v>
                </c:pt>
              </c:strCache>
            </c:strRef>
          </c:cat>
          <c:val>
            <c:numRef>
              <c:f>[图表.xlsx]Sheet2!$C$170:$C$172</c:f>
              <c:numCache>
                <c:formatCode>0.00%</c:formatCode>
                <c:ptCount val="3"/>
                <c:pt idx="0">
                  <c:v>0</c:v>
                </c:pt>
                <c:pt idx="1">
                  <c:v>0.973</c:v>
                </c:pt>
                <c:pt idx="2">
                  <c:v>0.027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64</Pages>
  <Words>13338</Words>
  <Characters>14168</Characters>
  <Lines>61</Lines>
  <Paragraphs>17</Paragraphs>
  <TotalTime>1</TotalTime>
  <ScaleCrop>false</ScaleCrop>
  <LinksUpToDate>false</LinksUpToDate>
  <CharactersWithSpaces>14231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jump</cp:lastModifiedBy>
  <cp:lastPrinted>2025-08-06T17:34:00Z</cp:lastPrinted>
  <dcterms:modified xsi:type="dcterms:W3CDTF">2025-09-29T12:05:19Z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04787F2533EB45DC91BCDE4AB213247F</vt:lpwstr>
  </property>
  <property fmtid="{D5CDD505-2E9C-101B-9397-08002B2CF9AE}" pid="4" name="KSOTemplateDocerSaveRecord">
    <vt:lpwstr>eyJoZGlkIjoiZDE0NTkwY2JhZDYxM2IyNGY0ZjEzNTY5NzIxZDExZTciLCJ1c2VySWQiOiIxMDQ5Mjk0MjY4In0=</vt:lpwstr>
  </property>
</Properties>
</file>