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193"/>
      <w:bookmarkStart w:id="2" w:name="_Toc15378441"/>
      <w:bookmarkStart w:id="3" w:name="_Toc15396475"/>
      <w:bookmarkStart w:id="4" w:name="_Toc15396597"/>
      <w:bookmarkStart w:id="5" w:name="_Toc1537742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2024年度中共乐山市金口河区委社会工作部</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编制</w:t>
      </w:r>
      <w:r>
        <w:rPr>
          <w:rFonts w:hint="eastAsia" w:ascii="Times New Roman" w:hAnsi="Times New Roman" w:eastAsia="方正小标宋简体" w:cs="Times New Roman"/>
          <w:color w:val="auto"/>
          <w:kern w:val="2"/>
          <w:sz w:val="44"/>
          <w:szCs w:val="44"/>
          <w:highlight w:val="none"/>
          <w:lang w:val="en-US" w:eastAsia="zh-CN" w:bidi="ar-SA"/>
        </w:rPr>
        <w:t>说明</w:t>
      </w:r>
    </w:p>
    <w:p>
      <w:pPr>
        <w:pStyle w:val="8"/>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3"/>
        <w:keepNext w:val="0"/>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tabs>
          <w:tab w:val="right" w:leader="dot" w:pos="8306"/>
          <w:tab w:val="clear" w:pos="8296"/>
        </w:tabs>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"1-2" \h \u </w:instrText>
      </w:r>
      <w:r>
        <w:rPr>
          <w:rFonts w:hint="eastAsia" w:ascii="Times New Roman" w:hAnsi="Times New Roman" w:eastAsia="仿宋_GB2312" w:cs="仿宋_GB2312"/>
          <w:b/>
          <w:bCs/>
          <w:color w:val="auto"/>
          <w:sz w:val="32"/>
          <w:szCs w:val="32"/>
          <w:highlight w:val="none"/>
          <w:lang w:eastAsia="zh-CN"/>
        </w:rPr>
        <w:fldChar w:fldCharType="separate"/>
      </w: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_Toc26556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eastAsia="方正小标宋简体" w:cs="方正小标宋简体"/>
          <w:bCs w:val="0"/>
          <w:highlight w:val="none"/>
          <w:lang w:eastAsia="zh-CN"/>
        </w:rPr>
        <w:t>单位</w:t>
      </w:r>
      <w:r>
        <w:rPr>
          <w:rFonts w:hint="eastAsia" w:ascii="Times New Roman" w:hAnsi="Times New Roman" w:eastAsia="方正小标宋简体" w:cs="方正小标宋简体"/>
          <w:bCs w:val="0"/>
          <w:highlight w:val="none"/>
        </w:rPr>
        <w:t>概况</w:t>
      </w:r>
      <w:r>
        <w:tab/>
      </w:r>
      <w:r>
        <w:fldChar w:fldCharType="begin"/>
      </w:r>
      <w:r>
        <w:instrText xml:space="preserve"> PAGEREF _Toc26556 \h </w:instrText>
      </w:r>
      <w:r>
        <w:fldChar w:fldCharType="separate"/>
      </w:r>
      <w:r>
        <w:t>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_Toc21060 </w:instrText>
      </w:r>
      <w:r>
        <w:rPr>
          <w:rFonts w:hint="eastAsia" w:ascii="Times New Roman" w:hAnsi="Times New Roman" w:eastAsia="仿宋_GB2312" w:cs="仿宋_GB2312"/>
          <w:bCs/>
          <w:szCs w:val="32"/>
          <w:highlight w:val="none"/>
          <w:lang w:eastAsia="zh-CN"/>
        </w:rPr>
        <w:fldChar w:fldCharType="separate"/>
      </w:r>
      <w:r>
        <w:rPr>
          <w:rFonts w:hint="eastAsia"/>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_Toc21060 \h </w:instrText>
      </w:r>
      <w:r>
        <w:fldChar w:fldCharType="separate"/>
      </w:r>
      <w:r>
        <w:t>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_Toc28865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_Toc28865 \h </w:instrText>
      </w:r>
      <w:r>
        <w:fldChar w:fldCharType="separate"/>
      </w:r>
      <w:r>
        <w:t>2</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3"/>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_Toc4481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eastAsia="方正小标宋简体" w:cs="方正小标宋简体"/>
          <w:highlight w:val="none"/>
          <w:lang w:eastAsia="zh-CN"/>
        </w:rPr>
        <w:t>单位</w:t>
      </w:r>
      <w:r>
        <w:rPr>
          <w:rFonts w:hint="eastAsia" w:ascii="Times New Roman" w:hAnsi="Times New Roman" w:eastAsia="方正小标宋简体" w:cs="方正小标宋简体"/>
          <w:highlight w:val="none"/>
        </w:rPr>
        <w:t>决算情况说明</w:t>
      </w:r>
      <w:r>
        <w:tab/>
      </w:r>
      <w:r>
        <w:fldChar w:fldCharType="begin"/>
      </w:r>
      <w:r>
        <w:instrText xml:space="preserve"> PAGEREF _Toc4481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_Toc14153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_Toc14153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_Toc30660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_Toc30660 \h </w:instrText>
      </w:r>
      <w:r>
        <w:fldChar w:fldCharType="separate"/>
      </w:r>
      <w:r>
        <w:t>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_Toc778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_Toc778 \h </w:instrText>
      </w:r>
      <w:r>
        <w:fldChar w:fldCharType="separate"/>
      </w:r>
      <w:r>
        <w:t>4</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_Toc14833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_Toc14833 \h </w:instrText>
      </w:r>
      <w:r>
        <w:fldChar w:fldCharType="separate"/>
      </w:r>
      <w:r>
        <w:t>5</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_Toc8470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_Toc8470 \h </w:instrText>
      </w:r>
      <w:r>
        <w:fldChar w:fldCharType="separate"/>
      </w:r>
      <w:r>
        <w:t>6</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_Toc30336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_Toc30336 \h </w:instrText>
      </w:r>
      <w:r>
        <w:fldChar w:fldCharType="separate"/>
      </w:r>
      <w:r>
        <w:t>8</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_Toc25128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_Toc25128 \h </w:instrText>
      </w:r>
      <w:r>
        <w:fldChar w:fldCharType="separate"/>
      </w:r>
      <w:r>
        <w:t>9</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_Toc30249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_Toc30249 \h </w:instrText>
      </w:r>
      <w:r>
        <w:fldChar w:fldCharType="separate"/>
      </w:r>
      <w:r>
        <w:t>11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_Toc9508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_Toc9508 \h </w:instrText>
      </w:r>
      <w:r>
        <w:fldChar w:fldCharType="separate"/>
      </w:r>
      <w:r>
        <w:t>11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_Toc18281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_Toc18281 \h </w:instrText>
      </w:r>
      <w:r>
        <w:fldChar w:fldCharType="separate"/>
      </w:r>
      <w:r>
        <w:t>11</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3"/>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_Toc17003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_Toc17003 \h </w:instrText>
      </w:r>
      <w:r>
        <w:fldChar w:fldCharType="separate"/>
      </w:r>
      <w:r>
        <w:t>13</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3"/>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_Toc7588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黑体"/>
          <w:szCs w:val="44"/>
          <w:highlight w:val="none"/>
        </w:rPr>
        <w:t>第</w:t>
      </w:r>
      <w:r>
        <w:rPr>
          <w:rFonts w:hint="eastAsia" w:ascii="Times New Roman" w:hAnsi="Times New Roman" w:eastAsia="黑体"/>
          <w:highlight w:val="none"/>
        </w:rPr>
        <w:t>五部分 附表</w:t>
      </w:r>
      <w:r>
        <w:tab/>
      </w:r>
      <w:r>
        <w:fldChar w:fldCharType="begin"/>
      </w:r>
      <w:r>
        <w:instrText xml:space="preserve"> PAGEREF _Toc7588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_Toc4655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一、收入支出决算总表</w:t>
      </w:r>
      <w:r>
        <w:tab/>
      </w:r>
      <w:r>
        <w:fldChar w:fldCharType="begin"/>
      </w:r>
      <w:r>
        <w:instrText xml:space="preserve"> PAGEREF _Toc4655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_Toc8476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二、收入决算表</w:t>
      </w:r>
      <w:r>
        <w:tab/>
      </w:r>
      <w:r>
        <w:fldChar w:fldCharType="begin"/>
      </w:r>
      <w:r>
        <w:instrText xml:space="preserve"> PAGEREF _Toc8476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_Toc28953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三、支出决算表</w:t>
      </w:r>
      <w:r>
        <w:tab/>
      </w:r>
      <w:r>
        <w:fldChar w:fldCharType="begin"/>
      </w:r>
      <w:r>
        <w:instrText xml:space="preserve"> PAGEREF _Toc28953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_Toc895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四、财政拨款收入支出决算总表</w:t>
      </w:r>
      <w:r>
        <w:tab/>
      </w:r>
      <w:r>
        <w:fldChar w:fldCharType="begin"/>
      </w:r>
      <w:r>
        <w:instrText xml:space="preserve"> PAGEREF _Toc895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_Toc6952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五、财政拨款支出决算明细表</w:t>
      </w:r>
      <w:r>
        <w:tab/>
      </w:r>
      <w:r>
        <w:fldChar w:fldCharType="begin"/>
      </w:r>
      <w:r>
        <w:instrText xml:space="preserve"> PAGEREF _Toc6952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_Toc9679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六、一般公共预算财政拨款支出决算表</w:t>
      </w:r>
      <w:r>
        <w:tab/>
      </w:r>
      <w:r>
        <w:fldChar w:fldCharType="begin"/>
      </w:r>
      <w:r>
        <w:instrText xml:space="preserve"> PAGEREF _Toc9679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_Toc5732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七、一般公共预算财政拨款支出决算明细表</w:t>
      </w:r>
      <w:r>
        <w:tab/>
      </w:r>
      <w:r>
        <w:fldChar w:fldCharType="begin"/>
      </w:r>
      <w:r>
        <w:instrText xml:space="preserve"> PAGEREF _Toc5732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_Toc17084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八、一般公共预算财政拨款基本支出决算表</w:t>
      </w:r>
      <w:r>
        <w:tab/>
      </w:r>
      <w:r>
        <w:fldChar w:fldCharType="begin"/>
      </w:r>
      <w:r>
        <w:instrText xml:space="preserve"> PAGEREF _Toc17084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_Toc29790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九、一般公共预算财政拨款项目支出决算表</w:t>
      </w:r>
      <w:r>
        <w:tab/>
      </w:r>
      <w:r>
        <w:fldChar w:fldCharType="begin"/>
      </w:r>
      <w:r>
        <w:instrText xml:space="preserve"> PAGEREF _Toc29790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_Toc26794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十、政府性基金预算财政拨款收入支出决算表</w:t>
      </w:r>
      <w:r>
        <w:tab/>
      </w:r>
      <w:r>
        <w:fldChar w:fldCharType="begin"/>
      </w:r>
      <w:r>
        <w:instrText xml:space="preserve"> PAGEREF _Toc26794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_Toc10397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十一、国有资本经营预算</w:t>
      </w:r>
      <w:r>
        <w:rPr>
          <w:rFonts w:hint="eastAsia" w:ascii="Times New Roman" w:hAnsi="Times New Roman" w:eastAsia="仿宋_GB2312" w:cs="仿宋_GB2312"/>
          <w:szCs w:val="32"/>
          <w:highlight w:val="none"/>
          <w:lang w:eastAsia="zh-CN"/>
        </w:rPr>
        <w:t>财政拨款收入</w:t>
      </w:r>
      <w:r>
        <w:rPr>
          <w:rFonts w:hint="eastAsia" w:ascii="Times New Roman" w:hAnsi="Times New Roman" w:eastAsia="仿宋_GB2312" w:cs="仿宋_GB2312"/>
          <w:szCs w:val="32"/>
          <w:highlight w:val="none"/>
        </w:rPr>
        <w:t>支出决算表</w:t>
      </w:r>
      <w:r>
        <w:tab/>
      </w:r>
      <w:r>
        <w:fldChar w:fldCharType="begin"/>
      </w:r>
      <w:r>
        <w:instrText xml:space="preserve"> PAGEREF _Toc10397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_Toc10481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十二、</w:t>
      </w:r>
      <w:r>
        <w:rPr>
          <w:rFonts w:hint="eastAsia" w:ascii="Times New Roman" w:hAnsi="Times New Roman" w:eastAsia="仿宋_GB2312" w:cs="仿宋_GB2312"/>
          <w:szCs w:val="32"/>
          <w:highlight w:val="none"/>
          <w:lang w:eastAsia="zh-CN"/>
        </w:rPr>
        <w:t>国有资本经营预算财政拨款支出决算表</w:t>
      </w:r>
      <w:r>
        <w:tab/>
      </w:r>
      <w:r>
        <w:fldChar w:fldCharType="begin"/>
      </w:r>
      <w:r>
        <w:instrText xml:space="preserve"> PAGEREF _Toc10481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tabs>
          <w:tab w:val="right" w:leader="dot" w:pos="8306"/>
          <w:tab w:val="clear" w:pos="8296"/>
        </w:tabs>
      </w:pPr>
      <w:r>
        <w:rPr>
          <w:rFonts w:hint="eastAsia" w:ascii="Times New Roman" w:hAnsi="Times New Roman" w:eastAsia="仿宋_GB2312" w:cs="仿宋_GB2312"/>
          <w:bCs/>
          <w:color w:val="auto"/>
          <w:szCs w:val="32"/>
          <w:highlight w:val="none"/>
          <w:lang w:eastAsia="zh-CN"/>
        </w:rPr>
        <w:fldChar w:fldCharType="begin"/>
      </w:r>
      <w:r>
        <w:rPr>
          <w:rFonts w:hint="eastAsia" w:ascii="Times New Roman" w:hAnsi="Times New Roman" w:eastAsia="仿宋_GB2312" w:cs="仿宋_GB2312"/>
          <w:bCs/>
          <w:szCs w:val="32"/>
          <w:highlight w:val="none"/>
          <w:lang w:eastAsia="zh-CN"/>
        </w:rPr>
        <w:instrText xml:space="preserve"> HYPERLINK \l _Toc25434 </w:instrText>
      </w:r>
      <w:r>
        <w:rPr>
          <w:rFonts w:hint="eastAsia" w:ascii="Times New Roman" w:hAnsi="Times New Roman" w:eastAsia="仿宋_GB2312" w:cs="仿宋_GB2312"/>
          <w:bCs/>
          <w:szCs w:val="32"/>
          <w:highlight w:val="none"/>
          <w:lang w:eastAsia="zh-CN"/>
        </w:rPr>
        <w:fldChar w:fldCharType="separate"/>
      </w:r>
      <w:r>
        <w:rPr>
          <w:rFonts w:hint="eastAsia" w:ascii="Times New Roman" w:hAnsi="Times New Roman" w:eastAsia="仿宋_GB2312" w:cs="仿宋_GB2312"/>
          <w:szCs w:val="32"/>
          <w:highlight w:val="none"/>
        </w:rPr>
        <w:t>十三、</w:t>
      </w:r>
      <w:r>
        <w:rPr>
          <w:rFonts w:hint="eastAsia" w:ascii="Times New Roman" w:hAnsi="Times New Roman" w:eastAsia="仿宋_GB2312" w:cs="仿宋_GB2312"/>
          <w:szCs w:val="32"/>
          <w:highlight w:val="none"/>
          <w:lang w:eastAsia="zh-CN"/>
        </w:rPr>
        <w:t>财政拨款“三公”经费支出决算表</w:t>
      </w:r>
      <w:r>
        <w:tab/>
      </w:r>
      <w:r>
        <w:fldChar w:fldCharType="begin"/>
      </w:r>
      <w:r>
        <w:instrText xml:space="preserve"> PAGEREF _Toc25434 \h </w:instrText>
      </w:r>
      <w:r>
        <w:fldChar w:fldCharType="separate"/>
      </w:r>
      <w:r>
        <w:t>17</w:t>
      </w:r>
      <w:r>
        <w:fldChar w:fldCharType="end"/>
      </w:r>
      <w:r>
        <w:rPr>
          <w:rFonts w:hint="eastAsia" w:ascii="Times New Roman" w:hAnsi="Times New Roman" w:eastAsia="仿宋_GB2312" w:cs="仿宋_GB2312"/>
          <w:bCs/>
          <w:color w:val="auto"/>
          <w:szCs w:val="32"/>
          <w:highlight w:val="none"/>
          <w:lang w:eastAsia="zh-CN"/>
        </w:rPr>
        <w:fldChar w:fldCharType="end"/>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Cs/>
          <w:color w:val="auto"/>
          <w:szCs w:val="32"/>
          <w:highlight w:val="none"/>
          <w:lang w:eastAsia="zh-CN"/>
        </w:rPr>
        <w:fldChar w:fldCharType="end"/>
      </w:r>
    </w:p>
    <w:p>
      <w:pPr>
        <w:pStyle w:val="5"/>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pPr>
        <w:pStyle w:val="5"/>
        <w:jc w:val="center"/>
        <w:rPr>
          <w:rFonts w:ascii="Times New Roman" w:hAnsi="Times New Roman" w:eastAsia="黑体"/>
          <w:color w:val="auto"/>
          <w:sz w:val="32"/>
          <w:szCs w:val="32"/>
          <w:highlight w:val="none"/>
        </w:rPr>
      </w:pPr>
      <w:bookmarkStart w:id="8" w:name="_Toc2655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bookmarkEnd w:id="8"/>
    </w:p>
    <w:p>
      <w:pPr>
        <w:pStyle w:val="6"/>
        <w:numPr>
          <w:ilvl w:val="0"/>
          <w:numId w:val="1"/>
        </w:numPr>
        <w:rPr>
          <w:rFonts w:hint="eastAsia"/>
          <w:lang w:eastAsia="zh-CN"/>
        </w:rPr>
      </w:pPr>
      <w:bookmarkStart w:id="9" w:name="_Toc21060"/>
      <w:r>
        <w:rPr>
          <w:rFonts w:hint="eastAsia" w:ascii="Times New Roman" w:hAnsi="Times New Roman" w:eastAsia="黑体"/>
          <w:b w:val="0"/>
          <w:color w:val="auto"/>
          <w:highlight w:val="none"/>
          <w:lang w:eastAsia="zh-CN"/>
        </w:rPr>
        <w:t>部门职责</w:t>
      </w:r>
      <w:bookmarkEnd w:id="9"/>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kern w:val="0"/>
          <w:sz w:val="32"/>
          <w:szCs w:val="32"/>
          <w:lang w:val="en-US" w:eastAsia="zh-CN"/>
        </w:rPr>
      </w:pPr>
      <w:bookmarkStart w:id="10" w:name="_Toc15377200"/>
      <w:bookmarkStart w:id="11" w:name="_Toc15396601"/>
      <w:r>
        <w:rPr>
          <w:rFonts w:hint="eastAsia" w:ascii="仿宋_GB2312" w:hAnsi="仿宋_GB2312" w:eastAsia="仿宋_GB2312" w:cs="仿宋_GB2312"/>
          <w:kern w:val="0"/>
          <w:sz w:val="32"/>
          <w:szCs w:val="32"/>
          <w:lang w:val="en-US" w:eastAsia="zh-CN"/>
        </w:rPr>
        <w:t>1.研究相关理论、政策和规划，起草相关文件并组织实施。</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default" w:ascii="仿宋_GB2312" w:hAnsi="仿宋_GB2312" w:eastAsia="仿宋_GB2312" w:cs="仿宋_GB2312"/>
          <w:kern w:val="0"/>
          <w:sz w:val="32"/>
          <w:szCs w:val="32"/>
        </w:rPr>
        <w:t>统筹指导人民信访工作</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‌指导人民建议征集工作</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收集和处理人民群众的建议和意见，为决策提供参考。</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rPr>
        <w:t>‌统筹推进党建引领基层治理和基层政权建设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协调推进城乡社区治理体系、服务体系和治理能力建设，</w:t>
      </w:r>
      <w:r>
        <w:rPr>
          <w:rFonts w:hint="default" w:ascii="仿宋_GB2312" w:hAnsi="仿宋_GB2312" w:eastAsia="仿宋_GB2312" w:cs="仿宋_GB2312"/>
          <w:kern w:val="0"/>
          <w:sz w:val="32"/>
          <w:szCs w:val="32"/>
        </w:rPr>
        <w:t>推动基层</w:t>
      </w:r>
      <w:r>
        <w:rPr>
          <w:rFonts w:hint="eastAsia" w:ascii="仿宋_GB2312" w:hAnsi="仿宋_GB2312" w:eastAsia="仿宋_GB2312" w:cs="仿宋_GB2312"/>
          <w:kern w:val="0"/>
          <w:sz w:val="32"/>
          <w:szCs w:val="32"/>
          <w:lang w:val="en-US" w:eastAsia="zh-CN"/>
        </w:rPr>
        <w:t>民主政治建设，指导监督基层群众自治制度的有效实施，健全基层群众自治机制</w:t>
      </w:r>
      <w:r>
        <w:rPr>
          <w:rFonts w:hint="default" w:ascii="仿宋_GB2312" w:hAnsi="仿宋_GB2312" w:eastAsia="仿宋_GB2312" w:cs="仿宋_GB2312"/>
          <w:kern w:val="0"/>
          <w:sz w:val="32"/>
          <w:szCs w:val="32"/>
        </w:rPr>
        <w:t>，提升基层治理水平。</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rPr>
        <w:t>‌统一领导全</w:t>
      </w:r>
      <w:r>
        <w:rPr>
          <w:rFonts w:hint="eastAsia" w:ascii="仿宋_GB2312" w:hAnsi="仿宋_GB2312" w:eastAsia="仿宋_GB2312" w:cs="仿宋_GB2312"/>
          <w:kern w:val="0"/>
          <w:sz w:val="32"/>
          <w:szCs w:val="32"/>
          <w:lang w:val="en-US" w:eastAsia="zh-CN"/>
        </w:rPr>
        <w:t>区</w:t>
      </w:r>
      <w:r>
        <w:rPr>
          <w:rFonts w:hint="default" w:ascii="仿宋_GB2312" w:hAnsi="仿宋_GB2312" w:eastAsia="仿宋_GB2312" w:cs="仿宋_GB2312"/>
          <w:kern w:val="0"/>
          <w:sz w:val="32"/>
          <w:szCs w:val="32"/>
        </w:rPr>
        <w:t>性</w:t>
      </w:r>
      <w:r>
        <w:rPr>
          <w:rFonts w:hint="eastAsia" w:ascii="仿宋_GB2312" w:hAnsi="仿宋_GB2312" w:eastAsia="仿宋_GB2312" w:cs="仿宋_GB2312"/>
          <w:kern w:val="0"/>
          <w:sz w:val="32"/>
          <w:szCs w:val="32"/>
          <w:lang w:val="en-US" w:eastAsia="zh-CN"/>
        </w:rPr>
        <w:t>社会组织党建</w:t>
      </w:r>
      <w:r>
        <w:rPr>
          <w:rFonts w:hint="default"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统一领导全区性行业协会商会党的工作，</w:t>
      </w:r>
      <w:r>
        <w:rPr>
          <w:rFonts w:hint="default" w:ascii="仿宋_GB2312" w:hAnsi="仿宋_GB2312" w:eastAsia="仿宋_GB2312" w:cs="仿宋_GB2312"/>
          <w:kern w:val="0"/>
          <w:sz w:val="32"/>
          <w:szCs w:val="32"/>
        </w:rPr>
        <w:t>协调推动行业协会商会的改革和转型发展，确保其在经济社会发展中的积极作用。</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rPr>
        <w:t>‌指导</w:t>
      </w:r>
      <w:r>
        <w:rPr>
          <w:rFonts w:hint="eastAsia" w:ascii="仿宋_GB2312" w:hAnsi="仿宋_GB2312" w:eastAsia="仿宋_GB2312" w:cs="仿宋_GB2312"/>
          <w:kern w:val="0"/>
          <w:sz w:val="32"/>
          <w:szCs w:val="32"/>
          <w:lang w:val="en-US" w:eastAsia="zh-CN"/>
        </w:rPr>
        <w:t>全区</w:t>
      </w:r>
      <w:r>
        <w:rPr>
          <w:rFonts w:hint="default" w:ascii="仿宋_GB2312" w:hAnsi="仿宋_GB2312" w:eastAsia="仿宋_GB2312" w:cs="仿宋_GB2312"/>
          <w:kern w:val="0"/>
          <w:sz w:val="32"/>
          <w:szCs w:val="32"/>
        </w:rPr>
        <w:t>混合所有制企业、非公有制企业和新经济组织、新社会组织、新就业群体</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两企三新</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党建工作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指导协调相关企业单位、社会组织、就业群体中党员的教育、管理、监督和服务工作，研究完善相关领域群众利益协调机制</w:t>
      </w:r>
      <w:r>
        <w:rPr>
          <w:rFonts w:hint="default" w:ascii="仿宋_GB2312" w:hAnsi="仿宋_GB2312" w:eastAsia="仿宋_GB2312" w:cs="仿宋_GB2312"/>
          <w:kern w:val="0"/>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default"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val="en-US" w:eastAsia="zh-CN"/>
        </w:rPr>
        <w:t>全区</w:t>
      </w:r>
      <w:r>
        <w:rPr>
          <w:rFonts w:hint="default" w:ascii="仿宋_GB2312" w:hAnsi="仿宋_GB2312" w:eastAsia="仿宋_GB2312" w:cs="仿宋_GB2312"/>
          <w:kern w:val="0"/>
          <w:sz w:val="32"/>
          <w:szCs w:val="32"/>
        </w:rPr>
        <w:t>志愿服务工作的统筹规划、协调指导和督促检查</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‌指导社会工作人才队伍建设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志愿服务人才队伍建设和阵地建设，</w:t>
      </w:r>
      <w:r>
        <w:rPr>
          <w:rFonts w:hint="default" w:ascii="仿宋_GB2312" w:hAnsi="仿宋_GB2312" w:eastAsia="仿宋_GB2312" w:cs="仿宋_GB2312"/>
          <w:kern w:val="0"/>
          <w:sz w:val="32"/>
          <w:szCs w:val="32"/>
        </w:rPr>
        <w:t>推动</w:t>
      </w:r>
      <w:r>
        <w:rPr>
          <w:rFonts w:hint="eastAsia" w:ascii="仿宋_GB2312" w:hAnsi="仿宋_GB2312" w:eastAsia="仿宋_GB2312" w:cs="仿宋_GB2312"/>
          <w:kern w:val="0"/>
          <w:sz w:val="32"/>
          <w:szCs w:val="32"/>
          <w:lang w:val="en-US" w:eastAsia="zh-CN"/>
        </w:rPr>
        <w:t>全区</w:t>
      </w:r>
      <w:r>
        <w:rPr>
          <w:rFonts w:hint="default" w:ascii="仿宋_GB2312" w:hAnsi="仿宋_GB2312" w:eastAsia="仿宋_GB2312" w:cs="仿宋_GB2312"/>
          <w:kern w:val="0"/>
          <w:sz w:val="32"/>
          <w:szCs w:val="32"/>
        </w:rPr>
        <w:t>志愿服务事业的发展。</w:t>
      </w:r>
    </w:p>
    <w:p>
      <w:pPr>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eastAsia="黑体"/>
          <w:b w:val="0"/>
          <w:bCs w:val="0"/>
          <w:color w:val="auto"/>
          <w:highlight w:val="none"/>
        </w:rPr>
      </w:pPr>
      <w:r>
        <w:rPr>
          <w:rFonts w:hint="eastAsia" w:ascii="仿宋_GB2312" w:hAnsi="仿宋_GB2312" w:eastAsia="仿宋_GB2312" w:cs="仿宋_GB2312"/>
          <w:b w:val="0"/>
          <w:bCs w:val="0"/>
          <w:kern w:val="0"/>
          <w:sz w:val="32"/>
          <w:szCs w:val="32"/>
          <w:lang w:val="en-US" w:eastAsia="zh-CN"/>
        </w:rPr>
        <w:t>7.完成区委交办的其他任务</w:t>
      </w:r>
      <w:r>
        <w:rPr>
          <w:rFonts w:hint="default" w:ascii="仿宋_GB2312" w:hAnsi="仿宋_GB2312" w:eastAsia="仿宋_GB2312" w:cs="仿宋_GB2312"/>
          <w:b w:val="0"/>
          <w:bCs w:val="0"/>
          <w:kern w:val="0"/>
          <w:sz w:val="32"/>
          <w:szCs w:val="32"/>
        </w:rPr>
        <w:t>。</w:t>
      </w:r>
    </w:p>
    <w:p>
      <w:pPr>
        <w:pStyle w:val="6"/>
        <w:rPr>
          <w:rStyle w:val="29"/>
          <w:rFonts w:ascii="Times New Roman" w:hAnsi="Times New Roman"/>
          <w:b w:val="0"/>
          <w:bCs w:val="0"/>
          <w:color w:val="auto"/>
          <w:highlight w:val="none"/>
        </w:rPr>
      </w:pPr>
      <w:bookmarkStart w:id="12" w:name="_Toc28865"/>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bookmarkEnd w:id="12"/>
    </w:p>
    <w:p>
      <w:pPr>
        <w:pStyle w:val="8"/>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中共乐山市金口河区委社会工作部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r>
        <w:rPr>
          <w:rFonts w:hint="eastAsia" w:ascii="Times New Roman" w:cs="仿宋_GB2312"/>
          <w:color w:val="auto"/>
          <w:sz w:val="32"/>
          <w:szCs w:val="32"/>
          <w:highlight w:val="none"/>
          <w:lang w:eastAsia="zh-CN"/>
        </w:rPr>
        <w:t>。</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jc w:val="center"/>
        <w:rPr>
          <w:rFonts w:hint="eastAsia" w:ascii="Times New Roman" w:hAnsi="Times New Roman" w:eastAsia="方正小标宋简体" w:cs="方正小标宋简体"/>
          <w:b w:val="0"/>
          <w:color w:val="auto"/>
          <w:highlight w:val="none"/>
        </w:rPr>
      </w:pPr>
      <w:bookmarkStart w:id="13" w:name="_Toc15377204"/>
      <w:bookmarkStart w:id="14" w:name="_Toc15396602"/>
      <w:bookmarkStart w:id="15" w:name="_Toc448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3"/>
      <w:bookmarkEnd w:id="14"/>
      <w:bookmarkEnd w:id="15"/>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77205"/>
      <w:bookmarkStart w:id="17" w:name="_Toc14153"/>
      <w:bookmarkStart w:id="1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bookmarkEnd w:id="1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102.92</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2023年无数据，主要原因是本单位是2024年新成立部门。</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9"/>
        <w:rPr>
          <w:rFonts w:hint="default" w:eastAsia="仿宋_GB2312" w:cs="仿宋_GB2312"/>
          <w:color w:val="auto"/>
          <w:sz w:val="32"/>
          <w:szCs w:val="32"/>
          <w:highlight w:val="none"/>
          <w:lang w:val="en-US" w:eastAsia="zh-CN"/>
        </w:rPr>
      </w:pPr>
      <w:r>
        <w:drawing>
          <wp:anchor distT="0" distB="0" distL="114300" distR="114300" simplePos="0" relativeHeight="251660288" behindDoc="0" locked="0" layoutInCell="1" allowOverlap="1">
            <wp:simplePos x="0" y="0"/>
            <wp:positionH relativeFrom="column">
              <wp:posOffset>128270</wp:posOffset>
            </wp:positionH>
            <wp:positionV relativeFrom="paragraph">
              <wp:posOffset>338455</wp:posOffset>
            </wp:positionV>
            <wp:extent cx="4838700" cy="2959100"/>
            <wp:effectExtent l="4445" t="4445" r="14605" b="825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30660"/>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19"/>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102.92万元，其中：一般公共预算财政拨款收入102.92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drawing>
          <wp:anchor distT="0" distB="0" distL="114300" distR="114300" simplePos="0" relativeHeight="251661312" behindDoc="0" locked="0" layoutInCell="1" allowOverlap="1">
            <wp:simplePos x="0" y="0"/>
            <wp:positionH relativeFrom="column">
              <wp:posOffset>252095</wp:posOffset>
            </wp:positionH>
            <wp:positionV relativeFrom="paragraph">
              <wp:posOffset>1395095</wp:posOffset>
            </wp:positionV>
            <wp:extent cx="4714875" cy="2967990"/>
            <wp:effectExtent l="5080" t="4445" r="4445" b="1841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bookmarkStart w:id="24" w:name="_Toc778"/>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bookmarkEnd w:id="2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85.72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83.28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16.71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bookmarkStart w:id="92" w:name="_GoBack"/>
      <w:bookmarkEnd w:id="92"/>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b/>
          <w:bCs/>
          <w:color w:val="auto"/>
          <w:sz w:val="32"/>
          <w:szCs w:val="32"/>
          <w:highlight w:val="none"/>
          <w:lang w:eastAsia="zh-CN"/>
        </w:rPr>
      </w:pPr>
      <w:r>
        <w:drawing>
          <wp:anchor distT="0" distB="0" distL="114300" distR="114300" simplePos="0" relativeHeight="251662336" behindDoc="0" locked="0" layoutInCell="1" allowOverlap="1">
            <wp:simplePos x="0" y="0"/>
            <wp:positionH relativeFrom="column">
              <wp:posOffset>309245</wp:posOffset>
            </wp:positionH>
            <wp:positionV relativeFrom="paragraph">
              <wp:posOffset>318770</wp:posOffset>
            </wp:positionV>
            <wp:extent cx="4572000" cy="2749550"/>
            <wp:effectExtent l="4445" t="4445" r="14605" b="825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Style w:val="29"/>
          <w:rFonts w:ascii="Times New Roman" w:hAnsi="Times New Roman" w:eastAsia="黑体"/>
          <w:b w:val="0"/>
          <w:color w:val="auto"/>
          <w:highlight w:val="none"/>
        </w:rPr>
      </w:pPr>
      <w:bookmarkStart w:id="25" w:name="_Toc14833"/>
      <w:bookmarkStart w:id="26" w:name="_Toc15396606"/>
      <w:bookmarkStart w:id="27"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5"/>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102.92</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sz w:val="32"/>
          <w:szCs w:val="32"/>
          <w:highlight w:val="none"/>
          <w:lang w:val="en-US" w:eastAsia="zh-CN"/>
        </w:rPr>
        <w:t>2023年无数据，主要原因是本单位是2024年新成立部门。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287020</wp:posOffset>
            </wp:positionH>
            <wp:positionV relativeFrom="paragraph">
              <wp:posOffset>269875</wp:posOffset>
            </wp:positionV>
            <wp:extent cx="4572000" cy="2749550"/>
            <wp:effectExtent l="4445" t="4445" r="14605" b="825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8" w:name="_Toc15377209"/>
      <w:bookmarkStart w:id="29" w:name="_Toc8470"/>
      <w:bookmarkStart w:id="30"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2023年无数据，主要原因是本单位是2024年新成立部门。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252095</wp:posOffset>
            </wp:positionH>
            <wp:positionV relativeFrom="paragraph">
              <wp:posOffset>159385</wp:posOffset>
            </wp:positionV>
            <wp:extent cx="4572000" cy="2749550"/>
            <wp:effectExtent l="4445" t="4445" r="14605" b="8255"/>
            <wp:wrapTopAndBottom/>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63.53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61.73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33.64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32.68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4.35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467995</wp:posOffset>
            </wp:positionH>
            <wp:positionV relativeFrom="paragraph">
              <wp:posOffset>375920</wp:posOffset>
            </wp:positionV>
            <wp:extent cx="4572000" cy="2743200"/>
            <wp:effectExtent l="4445" t="4445" r="1460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3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4" w:name="_Toc15378460"/>
      <w:bookmarkStart w:id="35" w:name="_Toc15377444"/>
      <w:bookmarkStart w:id="36"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102.92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4</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sz w:val="32"/>
          <w:szCs w:val="32"/>
          <w:lang w:val="en-US" w:eastAsia="zh-CN"/>
        </w:rPr>
        <w:t>社会保障和就业支出（类）行政事业单位养老支出（款）</w:t>
      </w:r>
      <w:r>
        <w:rPr>
          <w:rStyle w:val="17"/>
          <w:rFonts w:hint="eastAsia" w:ascii="仿宋" w:hAnsi="仿宋" w:eastAsia="仿宋"/>
          <w:b w:val="0"/>
          <w:bCs w:val="0"/>
          <w:color w:val="auto"/>
          <w:sz w:val="32"/>
          <w:szCs w:val="32"/>
          <w:highlight w:val="none"/>
          <w:lang w:val="en-US" w:eastAsia="zh-CN"/>
        </w:rPr>
        <w:t>机关事业单位基本养老保险缴费支出（项）</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5.03</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val="0"/>
          <w:color w:val="auto"/>
          <w:sz w:val="32"/>
          <w:szCs w:val="32"/>
          <w:highlight w:val="none"/>
        </w:rPr>
      </w:pPr>
      <w:r>
        <w:rPr>
          <w:rStyle w:val="17"/>
          <w:rFonts w:hint="eastAsia" w:ascii="仿宋" w:hAnsi="仿宋" w:eastAsia="仿宋"/>
          <w:b w:val="0"/>
          <w:bCs w:val="0"/>
          <w:color w:val="auto"/>
          <w:sz w:val="32"/>
          <w:szCs w:val="32"/>
          <w:highlight w:val="none"/>
          <w:lang w:val="en-US" w:eastAsia="zh-CN"/>
        </w:rPr>
        <w:t>5</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sz w:val="32"/>
          <w:szCs w:val="32"/>
          <w:lang w:val="en-US" w:eastAsia="zh-CN"/>
        </w:rPr>
        <w:t>社会保障和就业支出（类）行政事业单位养老支出（款）</w:t>
      </w:r>
      <w:r>
        <w:rPr>
          <w:rStyle w:val="17"/>
          <w:rFonts w:hint="eastAsia" w:ascii="仿宋" w:hAnsi="仿宋" w:eastAsia="仿宋"/>
          <w:b w:val="0"/>
          <w:bCs w:val="0"/>
          <w:color w:val="auto"/>
          <w:sz w:val="32"/>
          <w:szCs w:val="32"/>
          <w:highlight w:val="none"/>
        </w:rPr>
        <w:t>机关事业单位职业年金缴费支出</w:t>
      </w:r>
      <w:r>
        <w:rPr>
          <w:rStyle w:val="17"/>
          <w:rFonts w:hint="eastAsia" w:ascii="仿宋" w:hAnsi="仿宋" w:eastAsia="仿宋"/>
          <w:b w:val="0"/>
          <w:bCs w:val="0"/>
          <w:color w:val="auto"/>
          <w:sz w:val="32"/>
          <w:szCs w:val="32"/>
          <w:highlight w:val="none"/>
          <w:lang w:eastAsia="zh-CN"/>
        </w:rPr>
        <w:t>（</w:t>
      </w:r>
      <w:r>
        <w:rPr>
          <w:rStyle w:val="17"/>
          <w:rFonts w:hint="eastAsia" w:ascii="仿宋" w:hAnsi="仿宋" w:eastAsia="仿宋"/>
          <w:b w:val="0"/>
          <w:bCs w:val="0"/>
          <w:color w:val="auto"/>
          <w:sz w:val="32"/>
          <w:szCs w:val="32"/>
          <w:highlight w:val="none"/>
          <w:lang w:val="en-US" w:eastAsia="zh-CN"/>
        </w:rPr>
        <w:t>项</w:t>
      </w:r>
      <w:r>
        <w:rPr>
          <w:rStyle w:val="17"/>
          <w:rFonts w:hint="eastAsia" w:ascii="仿宋" w:hAnsi="仿宋" w:eastAsia="仿宋"/>
          <w:b w:val="0"/>
          <w:bCs w:val="0"/>
          <w:color w:val="auto"/>
          <w:sz w:val="32"/>
          <w:szCs w:val="32"/>
          <w:highlight w:val="none"/>
          <w:lang w:eastAsia="zh-CN"/>
        </w:rPr>
        <w:t>）</w:t>
      </w:r>
      <w:r>
        <w:rPr>
          <w:rStyle w:val="17"/>
          <w:rFonts w:ascii="仿宋" w:hAnsi="仿宋" w:eastAsia="仿宋"/>
          <w:b w:val="0"/>
          <w:bCs w:val="0"/>
          <w:color w:val="auto"/>
          <w:sz w:val="32"/>
          <w:szCs w:val="32"/>
          <w:highlight w:val="none"/>
        </w:rPr>
        <w:t xml:space="preserve">: </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2.51</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val="en-US" w:eastAsia="zh-CN"/>
        </w:rPr>
        <w:t>6</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sz w:val="32"/>
          <w:szCs w:val="32"/>
          <w:lang w:val="en-US" w:eastAsia="zh-CN"/>
        </w:rPr>
        <w:t>社会保障和就业支出（类）</w:t>
      </w:r>
      <w:r>
        <w:rPr>
          <w:rStyle w:val="17"/>
          <w:rFonts w:hint="eastAsia" w:ascii="仿宋" w:hAnsi="仿宋" w:eastAsia="仿宋"/>
          <w:b w:val="0"/>
          <w:bCs w:val="0"/>
          <w:color w:val="auto"/>
          <w:sz w:val="32"/>
          <w:szCs w:val="32"/>
          <w:highlight w:val="none"/>
          <w:lang w:val="en-US" w:eastAsia="zh-CN"/>
        </w:rPr>
        <w:t>其他社会保障和就业支出（款）其他社会保障和就业支出（项）：</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26.1</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 w:hAnsi="仿宋" w:eastAsia="仿宋"/>
          <w:b w:val="0"/>
          <w:bCs w:val="0"/>
          <w:color w:val="auto"/>
          <w:sz w:val="32"/>
          <w:szCs w:val="32"/>
          <w:highlight w:val="none"/>
          <w:lang w:val="en-US" w:eastAsia="zh-CN"/>
        </w:rPr>
        <w:t>7</w:t>
      </w:r>
      <w:r>
        <w:rPr>
          <w:rStyle w:val="17"/>
          <w:rFonts w:ascii="仿宋" w:hAnsi="仿宋" w:eastAsia="仿宋"/>
          <w:b w:val="0"/>
          <w:bCs w:val="0"/>
          <w:color w:val="auto"/>
          <w:sz w:val="32"/>
          <w:szCs w:val="32"/>
          <w:highlight w:val="none"/>
        </w:rPr>
        <w:t>.</w:t>
      </w:r>
      <w:r>
        <w:rPr>
          <w:rStyle w:val="17"/>
          <w:rFonts w:hint="eastAsia" w:ascii="仿宋" w:hAnsi="仿宋" w:eastAsia="仿宋" w:cstheme="minorBidi"/>
          <w:b w:val="0"/>
          <w:bCs w:val="0"/>
          <w:color w:val="auto"/>
          <w:sz w:val="32"/>
          <w:szCs w:val="32"/>
          <w:highlight w:val="none"/>
          <w:lang w:val="en-US" w:eastAsia="zh-CN"/>
        </w:rPr>
        <w:t>卫生健康支出（类）行政事业单位（款）行政单位医疗（项）</w:t>
      </w:r>
      <w:r>
        <w:rPr>
          <w:rStyle w:val="17"/>
          <w:rFonts w:hint="eastAsia" w:ascii="仿宋" w:hAnsi="仿宋" w:eastAsia="仿宋"/>
          <w:b w:val="0"/>
          <w:bCs w:val="0"/>
          <w:color w:val="auto"/>
          <w:sz w:val="32"/>
          <w:szCs w:val="32"/>
          <w:highlight w:val="none"/>
          <w:lang w:val="en-US" w:eastAsia="zh-CN"/>
        </w:rPr>
        <w:t>：</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0.77</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Fonts w:hint="eastAsia"/>
          <w:b w:val="0"/>
          <w:bCs w:val="0"/>
          <w:lang w:val="en-US" w:eastAsia="zh-CN"/>
        </w:rPr>
      </w:pPr>
      <w:r>
        <w:rPr>
          <w:rFonts w:hint="eastAsia" w:ascii="仿宋" w:hAnsi="仿宋" w:eastAsia="仿宋"/>
          <w:b w:val="0"/>
          <w:bCs w:val="0"/>
          <w:color w:val="auto"/>
          <w:sz w:val="32"/>
          <w:szCs w:val="32"/>
          <w:highlight w:val="none"/>
          <w:lang w:val="en-US" w:eastAsia="zh-CN"/>
        </w:rPr>
        <w:t>8</w:t>
      </w:r>
      <w:r>
        <w:rPr>
          <w:rStyle w:val="17"/>
          <w:rFonts w:ascii="仿宋" w:hAnsi="仿宋" w:eastAsia="仿宋"/>
          <w:b w:val="0"/>
          <w:bCs w:val="0"/>
          <w:color w:val="auto"/>
          <w:sz w:val="32"/>
          <w:szCs w:val="32"/>
          <w:highlight w:val="none"/>
        </w:rPr>
        <w:t>.</w:t>
      </w:r>
      <w:r>
        <w:rPr>
          <w:rStyle w:val="17"/>
          <w:rFonts w:hint="eastAsia" w:ascii="仿宋" w:hAnsi="仿宋" w:eastAsia="仿宋" w:cstheme="minorBidi"/>
          <w:b w:val="0"/>
          <w:bCs w:val="0"/>
          <w:color w:val="auto"/>
          <w:sz w:val="32"/>
          <w:szCs w:val="32"/>
          <w:highlight w:val="none"/>
          <w:lang w:val="en-US" w:eastAsia="zh-CN"/>
        </w:rPr>
        <w:t>卫生健康支出（类）行政事业单位（款）事业单位医疗（项）</w:t>
      </w:r>
      <w:r>
        <w:rPr>
          <w:rStyle w:val="17"/>
          <w:rFonts w:hint="eastAsia" w:ascii="仿宋" w:hAnsi="仿宋" w:eastAsia="仿宋"/>
          <w:b w:val="0"/>
          <w:bCs w:val="0"/>
          <w:color w:val="auto"/>
          <w:sz w:val="32"/>
          <w:szCs w:val="32"/>
          <w:highlight w:val="none"/>
          <w:lang w:val="en-US" w:eastAsia="zh-CN"/>
        </w:rPr>
        <w:t>：</w:t>
      </w:r>
      <w:r>
        <w:rPr>
          <w:rStyle w:val="17"/>
          <w:rFonts w:hint="eastAsia" w:ascii="仿宋" w:hAnsi="仿宋" w:eastAsia="仿宋"/>
          <w:b w:val="0"/>
          <w:bCs w:val="0"/>
          <w:color w:val="auto"/>
          <w:sz w:val="32"/>
          <w:szCs w:val="32"/>
          <w:highlight w:val="none"/>
        </w:rPr>
        <w:t>支出决算为</w:t>
      </w:r>
      <w:r>
        <w:rPr>
          <w:rStyle w:val="17"/>
          <w:rFonts w:hint="eastAsia" w:ascii="仿宋" w:hAnsi="仿宋" w:eastAsia="仿宋"/>
          <w:b w:val="0"/>
          <w:bCs w:val="0"/>
          <w:color w:val="auto"/>
          <w:sz w:val="32"/>
          <w:szCs w:val="32"/>
          <w:highlight w:val="none"/>
          <w:lang w:val="en-US" w:eastAsia="zh-CN"/>
        </w:rPr>
        <w:t>0.62</w:t>
      </w:r>
      <w:r>
        <w:rPr>
          <w:rStyle w:val="17"/>
          <w:rFonts w:hint="eastAsia" w:ascii="仿宋" w:hAnsi="仿宋" w:eastAsia="仿宋"/>
          <w:b w:val="0"/>
          <w:bCs w:val="0"/>
          <w:color w:val="auto"/>
          <w:sz w:val="32"/>
          <w:szCs w:val="32"/>
          <w:highlight w:val="none"/>
        </w:rPr>
        <w:t>万元，完成预算</w:t>
      </w:r>
      <w:r>
        <w:rPr>
          <w:rStyle w:val="17"/>
          <w:rFonts w:hint="eastAsia" w:ascii="仿宋" w:hAnsi="仿宋" w:eastAsia="仿宋"/>
          <w:b w:val="0"/>
          <w:bCs w:val="0"/>
          <w:color w:val="auto"/>
          <w:sz w:val="32"/>
          <w:szCs w:val="32"/>
          <w:highlight w:val="none"/>
          <w:lang w:val="en-US" w:eastAsia="zh-CN"/>
        </w:rPr>
        <w:t>100</w:t>
      </w:r>
      <w:r>
        <w:rPr>
          <w:rStyle w:val="17"/>
          <w:rFonts w:ascii="仿宋" w:hAnsi="仿宋" w:eastAsia="仿宋"/>
          <w:b w:val="0"/>
          <w:bCs w:val="0"/>
          <w:color w:val="auto"/>
          <w:sz w:val="32"/>
          <w:szCs w:val="32"/>
          <w:highlight w:val="none"/>
        </w:rPr>
        <w:t>%</w:t>
      </w:r>
      <w:r>
        <w:rPr>
          <w:rStyle w:val="17"/>
          <w:rFonts w:hint="eastAsia" w:ascii="仿宋" w:hAnsi="仿宋" w:eastAsia="仿宋"/>
          <w:b w:val="0"/>
          <w:bCs w:val="0"/>
          <w:color w:val="auto"/>
          <w:sz w:val="32"/>
          <w:szCs w:val="32"/>
          <w:highlight w:val="none"/>
        </w:rPr>
        <w:t>。</w:t>
      </w:r>
    </w:p>
    <w:p>
      <w:pPr>
        <w:keepNext w:val="0"/>
        <w:keepLines w:val="0"/>
        <w:pageBreakBefore w:val="0"/>
        <w:widowControl w:val="0"/>
        <w:numPr>
          <w:ilvl w:val="0"/>
          <w:numId w:val="0"/>
        </w:numPr>
        <w:pBdr>
          <w:top w:val="single" w:color="FFFFFF" w:sz="4" w:space="4"/>
          <w:left w:val="single" w:color="FFFFFF" w:sz="4" w:space="31"/>
          <w:bottom w:val="single" w:color="FFFFFF" w:sz="4" w:space="31"/>
          <w:right w:val="single" w:color="FFFFFF" w:sz="4" w:space="31"/>
        </w:pBdr>
        <w:kinsoku/>
        <w:wordWrap/>
        <w:overflowPunct/>
        <w:topLinePunct w:val="0"/>
        <w:autoSpaceDE/>
        <w:autoSpaceDN/>
        <w:bidi w:val="0"/>
        <w:adjustRightInd/>
        <w:snapToGrid/>
        <w:spacing w:line="560" w:lineRule="exact"/>
        <w:ind w:firstLine="640" w:firstLineChars="200"/>
        <w:textAlignment w:val="auto"/>
        <w:outlineLvl w:val="9"/>
        <w:rPr>
          <w:rStyle w:val="17"/>
          <w:rFonts w:hint="eastAsia" w:ascii="仿宋" w:hAnsi="仿宋" w:eastAsia="仿宋"/>
          <w:b w:val="0"/>
          <w:bCs/>
          <w:color w:val="auto"/>
          <w:sz w:val="32"/>
          <w:szCs w:val="32"/>
          <w:highlight w:val="none"/>
        </w:rPr>
      </w:pPr>
      <w:r>
        <w:rPr>
          <w:rStyle w:val="17"/>
          <w:rFonts w:hint="eastAsia" w:ascii="仿宋" w:hAnsi="仿宋" w:eastAsia="仿宋" w:cstheme="minorBidi"/>
          <w:b w:val="0"/>
          <w:bCs w:val="0"/>
          <w:color w:val="auto"/>
          <w:sz w:val="32"/>
          <w:szCs w:val="32"/>
          <w:highlight w:val="none"/>
          <w:lang w:val="en-US" w:eastAsia="zh-CN"/>
        </w:rPr>
        <w:t>9.住房保障支出（类）住房改革（款）住房公积金（项）</w:t>
      </w:r>
      <w:r>
        <w:rPr>
          <w:rStyle w:val="17"/>
          <w:rFonts w:hint="eastAsia" w:ascii="仿宋" w:hAnsi="仿宋" w:eastAsia="仿宋"/>
          <w:b w:val="0"/>
          <w:bCs w:val="0"/>
          <w:color w:val="auto"/>
          <w:sz w:val="32"/>
          <w:szCs w:val="32"/>
          <w:highlight w:val="none"/>
          <w:lang w:val="en-US"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4.35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7" w:name="_Toc15377214"/>
      <w:bookmarkStart w:id="38" w:name="_Toc30336"/>
      <w:bookmarkStart w:id="3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7"/>
      <w:bookmarkEnd w:id="38"/>
      <w:bookmarkEnd w:id="39"/>
      <w:r>
        <w:rPr>
          <w:rStyle w:val="29"/>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85.72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33.47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40" w:name="_Toc15396609"/>
      <w:bookmarkStart w:id="41" w:name="_Toc25128"/>
      <w:bookmarkStart w:id="42"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26.65</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2023年无数据，主要原因是本单位是2024年新成立部门。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rPr>
          <w:rFonts w:hint="eastAsia"/>
          <w:lang w:val="en-US" w:eastAsia="zh-CN"/>
        </w:rPr>
      </w:pPr>
      <w:r>
        <w:drawing>
          <wp:inline distT="0" distB="0" distL="114300" distR="114300">
            <wp:extent cx="4857750" cy="287655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26.65</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2023年无数据，主要原因是本单位是2024年新成立部门。</w:t>
      </w:r>
      <w:r>
        <w:rPr>
          <w:rFonts w:hint="eastAsia" w:ascii="Times New Roman" w:hAnsi="Times New Roman" w:eastAsia="仿宋_GB2312" w:cs="仿宋_GB2312"/>
          <w:color w:val="auto"/>
          <w:kern w:val="2"/>
          <w:sz w:val="32"/>
          <w:szCs w:val="32"/>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万元，具体内容包括：执行公务、开展业务活动开支的交通费、住宿费、用餐费等。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45" w:name="_Toc15377218"/>
      <w:bookmarkStart w:id="46" w:name="_Toc15396610"/>
    </w:p>
    <w:p>
      <w:pPr>
        <w:spacing w:line="600" w:lineRule="exact"/>
        <w:ind w:firstLine="640"/>
        <w:outlineLvl w:val="1"/>
        <w:rPr>
          <w:rStyle w:val="29"/>
          <w:rFonts w:ascii="Times New Roman" w:hAnsi="Times New Roman" w:eastAsia="黑体"/>
          <w:color w:val="auto"/>
          <w:highlight w:val="none"/>
        </w:rPr>
      </w:pPr>
      <w:bookmarkStart w:id="47" w:name="_Toc30249"/>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5"/>
      <w:bookmarkEnd w:id="46"/>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8" w:name="_Toc15377219"/>
      <w:bookmarkStart w:id="49" w:name="_Toc15396611"/>
      <w:bookmarkStart w:id="50" w:name="_Toc9508"/>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8"/>
      <w:bookmarkEnd w:id="49"/>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1" w:name="_Toc15396612"/>
      <w:bookmarkStart w:id="52" w:name="_Toc18281"/>
      <w:bookmarkStart w:id="53"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中共乐山市金口河区委社会工作部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33.47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sz w:val="32"/>
          <w:szCs w:val="32"/>
          <w:highlight w:val="none"/>
          <w:lang w:val="en-US" w:eastAsia="zh-CN"/>
        </w:rPr>
        <w:t>2023年无数据，主要原因是本单位是2024年新成立部门。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中共乐山市金口河区委社会工作部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bookmarkStart w:id="56" w:name="_Toc15377224"/>
      <w:r>
        <w:rPr>
          <w:rFonts w:hint="eastAsia" w:ascii="Times New Roman" w:hAnsi="Times New Roman" w:eastAsia="楷体_GB2312" w:cs="楷体_GB2312"/>
          <w:b/>
          <w:color w:val="auto"/>
          <w:sz w:val="32"/>
          <w:szCs w:val="32"/>
          <w:highlight w:val="none"/>
        </w:rPr>
        <w:t>（三）国有资产占有使用情况</w:t>
      </w:r>
      <w:bookmarkEnd w:id="5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中共乐山市金口河区委社会工作部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我单位为2024年下半年新成立部门</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7" w:name="_Toc15396613"/>
      <w:bookmarkStart w:id="58" w:name="_Toc15377225"/>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3"/>
        <w:rPr>
          <w:rFonts w:hint="eastAsia" w:ascii="Times New Roman" w:hAnsi="Times New Roman" w:eastAsia="黑体"/>
          <w:color w:val="auto"/>
          <w:sz w:val="44"/>
          <w:szCs w:val="44"/>
          <w:highlight w:val="none"/>
        </w:rPr>
      </w:pPr>
    </w:p>
    <w:p>
      <w:pPr>
        <w:rPr>
          <w:rFonts w:hint="eastAsi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9" w:name="_Toc1700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7"/>
      <w:bookmarkEnd w:id="58"/>
      <w:bookmarkEnd w:id="59"/>
    </w:p>
    <w:p>
      <w:pPr>
        <w:spacing w:line="600" w:lineRule="exact"/>
        <w:jc w:val="left"/>
        <w:rPr>
          <w:rFonts w:ascii="Times New Roman" w:hAnsi="Times New Roman"/>
          <w:b/>
          <w:color w:val="auto"/>
          <w:sz w:val="44"/>
          <w:szCs w:val="44"/>
          <w:highlight w:val="none"/>
        </w:rPr>
      </w:pP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color w:val="auto"/>
          <w:sz w:val="32"/>
          <w:szCs w:val="32"/>
          <w:highlight w:val="none"/>
          <w:lang w:val="en-US" w:eastAsia="zh-CN"/>
        </w:rPr>
        <w:t>社会保障和就业支出（类）行政事业单位养老支出（款）机关事业单位基本养老保险缴费支出（项）：反映机关事业单位实施养老保险制度由单位缴纳的基本养老保险费的支出</w:t>
      </w:r>
      <w:r>
        <w:rPr>
          <w:rFonts w:hint="eastAsia" w:ascii="仿宋_GB2312" w:eastAsia="仿宋_GB2312"/>
          <w:color w:val="auto"/>
          <w:sz w:val="32"/>
          <w:szCs w:val="32"/>
        </w:rPr>
        <w:t>。</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6.社会保障和就业支出（类）行政事业单位养老支出（款）机关事业单位职业年金缴费支出（项）：反映机关事业单位实施养老保险制度由单位实际缴纳的职业年金支出。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7.社会保障和就业支出（类）行政事业单位养老支出（款）其他行政事业单位基本养老支出（项）：反映除上述项目以外其他用于行政事业单位养老方面的支出。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8.社会保障和就业支出（类）其他社会保障和就业支出（款）其他社会保障和就业支出（项）：反映除上述项目以外其他用于社会保障和就业方面的支出。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9.卫生健康支出（类）其他卫生健康支出（款）其他卫生健康支出</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：指用于其他卫生健康方面的支出。</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outlineLvl w:val="9"/>
        <w:rPr>
          <w:rFonts w:ascii="仿宋" w:hAnsi="仿宋" w:eastAsia="仿宋"/>
          <w:b/>
          <w:sz w:val="32"/>
          <w:szCs w:val="32"/>
        </w:rPr>
      </w:pP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住房保障支出（类）住房改革支出（款）住房公积金（项）:指由单位及其在职职工按规定缴存的住房公积金支出</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bidi w:val="0"/>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pPr>
        <w:keepNext w:val="0"/>
        <w:keepLines w:val="0"/>
        <w:pageBreakBefore w:val="0"/>
        <w:widowControl w:val="0"/>
        <w:kinsoku/>
        <w:wordWrap/>
        <w:overflowPunct/>
        <w:topLinePunct w:val="0"/>
        <w:bidi w:val="0"/>
        <w:snapToGrid/>
        <w:spacing w:line="600" w:lineRule="exact"/>
        <w:jc w:val="center"/>
        <w:textAlignment w:val="auto"/>
        <w:outlineLvl w:val="9"/>
        <w:rPr>
          <w:rStyle w:val="28"/>
          <w:rFonts w:hint="eastAsia" w:ascii="Times New Roman" w:hAnsi="Times New Roman" w:eastAsia="黑体"/>
          <w:b w:val="0"/>
          <w:color w:val="auto"/>
          <w:highlight w:val="none"/>
          <w:lang w:eastAsia="zh-CN"/>
        </w:rPr>
      </w:pPr>
      <w:bookmarkStart w:id="60"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1"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1"/>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hAnsi="黑体" w:eastAsia="黑体"/>
          <w:color w:val="FF0000"/>
          <w:sz w:val="44"/>
          <w:szCs w:val="44"/>
        </w:rPr>
      </w:pPr>
      <w:bookmarkStart w:id="62" w:name="_Toc21905_WPSOffice_Level2"/>
      <w:bookmarkStart w:id="63" w:name="_Toc27100_WPSOffice_Level2"/>
      <w:r>
        <w:rPr>
          <w:rFonts w:hint="eastAsia"/>
          <w:sz w:val="32"/>
          <w:szCs w:val="32"/>
        </w:rPr>
        <w:t>部门预算项目支出绩效自评表（</w:t>
      </w:r>
      <w:r>
        <w:rPr>
          <w:rFonts w:hint="eastAsia"/>
          <w:sz w:val="32"/>
          <w:szCs w:val="32"/>
          <w:lang w:eastAsia="zh-CN"/>
        </w:rPr>
        <w:t>2024</w:t>
      </w:r>
      <w:r>
        <w:rPr>
          <w:rFonts w:hint="eastAsia"/>
          <w:sz w:val="32"/>
          <w:szCs w:val="32"/>
        </w:rPr>
        <w:t>年度）</w:t>
      </w:r>
      <w:bookmarkEnd w:id="62"/>
      <w:bookmarkEnd w:id="63"/>
    </w:p>
    <w:p>
      <w:pPr>
        <w:keepNext w:val="0"/>
        <w:keepLines w:val="0"/>
        <w:pageBreakBefore w:val="0"/>
        <w:widowControl w:val="0"/>
        <w:kinsoku/>
        <w:wordWrap/>
        <w:overflowPunct/>
        <w:topLinePunct w:val="0"/>
        <w:autoSpaceDE/>
        <w:autoSpaceDN/>
        <w:bidi w:val="0"/>
        <w:adjustRightInd/>
        <w:snapToGrid/>
        <w:spacing w:line="572" w:lineRule="exact"/>
        <w:ind w:firstLine="960" w:firstLineChars="300"/>
        <w:jc w:val="left"/>
        <w:textAlignment w:val="auto"/>
        <w:outlineLvl w:val="9"/>
        <w:rPr>
          <w:rFonts w:hint="eastAsia" w:ascii="仿宋_GB2312" w:hAnsi="仿宋_GB2312" w:eastAsia="仿宋_GB2312" w:cs="仿宋_GB2312"/>
          <w:sz w:val="32"/>
          <w:szCs w:val="32"/>
          <w:lang w:eastAsia="zh-CN"/>
        </w:rPr>
      </w:pPr>
      <w:bookmarkStart w:id="64" w:name="_Toc15396618"/>
      <w:r>
        <w:rPr>
          <w:rFonts w:hint="eastAsia" w:hAnsi="Calibri" w:eastAsia="仿宋_GB2312" w:cs="仿宋"/>
          <w:sz w:val="32"/>
          <w:lang w:eastAsia="zh-CN"/>
        </w:rPr>
        <w:t>备注：</w:t>
      </w:r>
      <w:r>
        <w:rPr>
          <w:rFonts w:hint="eastAsia" w:hAnsi="Calibri" w:eastAsia="仿宋_GB2312" w:cs="仿宋"/>
          <w:sz w:val="32"/>
        </w:rPr>
        <w:t>部门预算项目支出绩效自评表（</w:t>
      </w:r>
      <w:r>
        <w:rPr>
          <w:rFonts w:hint="eastAsia" w:hAnsi="Calibri" w:eastAsia="仿宋_GB2312" w:cs="仿宋"/>
          <w:sz w:val="32"/>
          <w:lang w:eastAsia="zh-CN"/>
        </w:rPr>
        <w:t>2024</w:t>
      </w:r>
      <w:r>
        <w:rPr>
          <w:rFonts w:hint="eastAsia" w:hAnsi="Calibri" w:eastAsia="仿宋_GB2312" w:cs="仿宋"/>
          <w:sz w:val="32"/>
        </w:rPr>
        <w:t>年度）</w:t>
      </w:r>
      <w:r>
        <w:rPr>
          <w:rFonts w:hint="eastAsia" w:hAnsi="Calibri" w:eastAsia="仿宋_GB2312" w:cs="仿宋"/>
          <w:sz w:val="32"/>
          <w:lang w:eastAsia="zh-CN"/>
        </w:rPr>
        <w:t>，</w:t>
      </w:r>
      <w:r>
        <w:rPr>
          <w:rFonts w:hint="eastAsia" w:hAnsi="Calibri" w:eastAsia="仿宋_GB2312" w:cs="仿宋"/>
          <w:sz w:val="32"/>
        </w:rPr>
        <w:t>该表格作为附件予以公开</w:t>
      </w:r>
      <w:r>
        <w:rPr>
          <w:rFonts w:hint="eastAsia" w:hAnsi="Calibri" w:eastAsia="仿宋_GB2312" w:cs="仿宋"/>
          <w:sz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outlineLvl w:val="0"/>
        <w:rPr>
          <w:rFonts w:hint="eastAsia" w:ascii="Times New Roman" w:hAnsi="Times New Roman" w:eastAsia="仿宋"/>
          <w:b w:val="0"/>
          <w:color w:val="auto"/>
          <w:highlight w:val="none"/>
        </w:rPr>
      </w:pPr>
      <w:bookmarkStart w:id="65" w:name="_Toc758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60"/>
      <w:bookmarkEnd w:id="64"/>
      <w:bookmarkEnd w:id="65"/>
      <w:bookmarkStart w:id="66"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7" w:name="_Toc4655"/>
      <w:r>
        <w:rPr>
          <w:rFonts w:hint="eastAsia" w:ascii="Times New Roman" w:hAnsi="Times New Roman" w:eastAsia="仿宋_GB2312" w:cs="仿宋_GB2312"/>
          <w:color w:val="auto"/>
          <w:sz w:val="32"/>
          <w:szCs w:val="32"/>
          <w:highlight w:val="none"/>
        </w:rPr>
        <w:t>一、收入支出决算总表</w:t>
      </w:r>
      <w:bookmarkEnd w:id="66"/>
      <w:bookmarkEnd w:id="67"/>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8" w:name="_Toc8476"/>
      <w:bookmarkStart w:id="69" w:name="_Toc15396620"/>
      <w:r>
        <w:rPr>
          <w:rFonts w:hint="eastAsia" w:ascii="Times New Roman" w:hAnsi="Times New Roman" w:eastAsia="仿宋_GB2312" w:cs="仿宋_GB2312"/>
          <w:color w:val="auto"/>
          <w:sz w:val="32"/>
          <w:szCs w:val="32"/>
          <w:highlight w:val="none"/>
        </w:rPr>
        <w:t>二、收入决算表</w:t>
      </w:r>
      <w:bookmarkEnd w:id="68"/>
      <w:bookmarkEnd w:id="69"/>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0" w:name="_Toc28953"/>
      <w:bookmarkStart w:id="71" w:name="_Toc15396621"/>
      <w:r>
        <w:rPr>
          <w:rFonts w:hint="eastAsia" w:ascii="Times New Roman" w:hAnsi="Times New Roman" w:eastAsia="仿宋_GB2312" w:cs="仿宋_GB2312"/>
          <w:color w:val="auto"/>
          <w:sz w:val="32"/>
          <w:szCs w:val="32"/>
          <w:highlight w:val="none"/>
        </w:rPr>
        <w:t>三、支出决算表</w:t>
      </w:r>
      <w:bookmarkEnd w:id="70"/>
      <w:bookmarkEnd w:id="71"/>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2" w:name="_Toc895"/>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2"/>
      <w:bookmarkEnd w:id="73"/>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4" w:name="_Toc15396623"/>
      <w:bookmarkStart w:id="75" w:name="_Toc6952"/>
      <w:r>
        <w:rPr>
          <w:rFonts w:hint="eastAsia" w:ascii="Times New Roman" w:hAnsi="Times New Roman" w:eastAsia="仿宋_GB2312" w:cs="仿宋_GB2312"/>
          <w:color w:val="auto"/>
          <w:sz w:val="32"/>
          <w:szCs w:val="32"/>
          <w:highlight w:val="none"/>
        </w:rPr>
        <w:t>五、财政拨款支出决算明细表</w:t>
      </w:r>
      <w:bookmarkEnd w:id="74"/>
      <w:bookmarkEnd w:id="75"/>
      <w:bookmarkStart w:id="76" w:name="_Toc15396624"/>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7" w:name="_Toc9679"/>
      <w:r>
        <w:rPr>
          <w:rFonts w:hint="eastAsia" w:ascii="Times New Roman" w:hAnsi="Times New Roman" w:eastAsia="仿宋_GB2312" w:cs="仿宋_GB2312"/>
          <w:color w:val="auto"/>
          <w:sz w:val="32"/>
          <w:szCs w:val="32"/>
          <w:highlight w:val="none"/>
        </w:rPr>
        <w:t>六、一般公共预算财政拨款支出决算表</w:t>
      </w:r>
      <w:bookmarkEnd w:id="76"/>
      <w:bookmarkEnd w:id="77"/>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8" w:name="_Toc15396625"/>
      <w:bookmarkStart w:id="79" w:name="_Toc5732"/>
      <w:r>
        <w:rPr>
          <w:rFonts w:hint="eastAsia" w:ascii="Times New Roman" w:hAnsi="Times New Roman" w:eastAsia="仿宋_GB2312" w:cs="仿宋_GB2312"/>
          <w:color w:val="auto"/>
          <w:sz w:val="32"/>
          <w:szCs w:val="32"/>
          <w:highlight w:val="none"/>
        </w:rPr>
        <w:t>七、一般公共预算财政拨款支出决算明细表</w:t>
      </w:r>
      <w:bookmarkEnd w:id="78"/>
      <w:bookmarkEnd w:id="79"/>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0" w:name="_Toc17084"/>
      <w:bookmarkStart w:id="81" w:name="_Toc15396626"/>
      <w:r>
        <w:rPr>
          <w:rFonts w:hint="eastAsia" w:ascii="Times New Roman" w:hAnsi="Times New Roman" w:eastAsia="仿宋_GB2312" w:cs="仿宋_GB2312"/>
          <w:color w:val="auto"/>
          <w:sz w:val="32"/>
          <w:szCs w:val="32"/>
          <w:highlight w:val="none"/>
        </w:rPr>
        <w:t>八、一般公共预算财政拨款基本支出决算表</w:t>
      </w:r>
      <w:bookmarkEnd w:id="80"/>
      <w:bookmarkEnd w:id="81"/>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2" w:name="_Toc15396627"/>
      <w:bookmarkStart w:id="83" w:name="_Toc29790"/>
      <w:r>
        <w:rPr>
          <w:rFonts w:hint="eastAsia" w:ascii="Times New Roman" w:hAnsi="Times New Roman" w:eastAsia="仿宋_GB2312" w:cs="仿宋_GB2312"/>
          <w:color w:val="auto"/>
          <w:sz w:val="32"/>
          <w:szCs w:val="32"/>
          <w:highlight w:val="none"/>
        </w:rPr>
        <w:t>九、一般公共预算财政拨款项目支出决算表</w:t>
      </w:r>
      <w:bookmarkEnd w:id="82"/>
      <w:bookmarkEnd w:id="83"/>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15396628"/>
      <w:bookmarkStart w:id="85" w:name="_Toc26794"/>
      <w:r>
        <w:rPr>
          <w:rFonts w:hint="eastAsia" w:ascii="Times New Roman" w:hAnsi="Times New Roman" w:eastAsia="仿宋_GB2312" w:cs="仿宋_GB2312"/>
          <w:color w:val="auto"/>
          <w:sz w:val="32"/>
          <w:szCs w:val="32"/>
          <w:highlight w:val="none"/>
        </w:rPr>
        <w:t>十、</w:t>
      </w:r>
      <w:bookmarkEnd w:id="84"/>
      <w:r>
        <w:rPr>
          <w:rFonts w:hint="eastAsia" w:ascii="Times New Roman" w:hAnsi="Times New Roman" w:eastAsia="仿宋_GB2312" w:cs="仿宋_GB2312"/>
          <w:color w:val="auto"/>
          <w:sz w:val="32"/>
          <w:szCs w:val="32"/>
          <w:highlight w:val="none"/>
        </w:rPr>
        <w:t>政府性基金预算财政拨款收入支出决算表</w:t>
      </w:r>
      <w:bookmarkEnd w:id="85"/>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6" w:name="_Toc15396629"/>
      <w:bookmarkStart w:id="87" w:name="_Toc10397"/>
      <w:r>
        <w:rPr>
          <w:rFonts w:hint="eastAsia" w:ascii="Times New Roman" w:hAnsi="Times New Roman" w:eastAsia="仿宋_GB2312" w:cs="仿宋_GB2312"/>
          <w:color w:val="auto"/>
          <w:sz w:val="32"/>
          <w:szCs w:val="32"/>
          <w:highlight w:val="none"/>
        </w:rPr>
        <w:t>十一、</w:t>
      </w:r>
      <w:bookmarkEnd w:id="8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7"/>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15396630"/>
      <w:bookmarkStart w:id="89" w:name="_Toc10481"/>
      <w:r>
        <w:rPr>
          <w:rFonts w:hint="eastAsia" w:ascii="Times New Roman" w:hAnsi="Times New Roman" w:eastAsia="仿宋_GB2312" w:cs="仿宋_GB2312"/>
          <w:color w:val="auto"/>
          <w:sz w:val="32"/>
          <w:szCs w:val="32"/>
          <w:highlight w:val="none"/>
        </w:rPr>
        <w:t>十二、</w:t>
      </w:r>
      <w:bookmarkEnd w:id="88"/>
      <w:r>
        <w:rPr>
          <w:rFonts w:hint="eastAsia" w:ascii="Times New Roman" w:hAnsi="Times New Roman" w:eastAsia="仿宋_GB2312" w:cs="仿宋_GB2312"/>
          <w:color w:val="auto"/>
          <w:sz w:val="32"/>
          <w:szCs w:val="32"/>
          <w:highlight w:val="none"/>
          <w:lang w:eastAsia="zh-CN"/>
        </w:rPr>
        <w:t>国有资本经营预算财政拨款支出决算表</w:t>
      </w:r>
      <w:bookmarkEnd w:id="89"/>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90" w:name="_Toc15396631"/>
      <w:bookmarkStart w:id="91" w:name="_Toc25434"/>
      <w:r>
        <w:rPr>
          <w:rFonts w:hint="eastAsia" w:ascii="Times New Roman" w:hAnsi="Times New Roman" w:eastAsia="仿宋_GB2312" w:cs="仿宋_GB2312"/>
          <w:color w:val="auto"/>
          <w:sz w:val="32"/>
          <w:szCs w:val="32"/>
          <w:highlight w:val="none"/>
        </w:rPr>
        <w:t>十三、</w:t>
      </w:r>
      <w:bookmarkEnd w:id="90"/>
      <w:r>
        <w:rPr>
          <w:rFonts w:hint="eastAsia" w:ascii="Times New Roman" w:hAnsi="Times New Roman" w:eastAsia="仿宋_GB2312" w:cs="仿宋_GB2312"/>
          <w:color w:val="auto"/>
          <w:sz w:val="32"/>
          <w:szCs w:val="32"/>
          <w:highlight w:val="none"/>
          <w:lang w:eastAsia="zh-CN"/>
        </w:rPr>
        <w:t>财政拨款“三公”经费支出决算表</w:t>
      </w:r>
      <w:bookmarkEnd w:id="91"/>
    </w:p>
    <w:p>
      <w:pPr>
        <w:keepNext w:val="0"/>
        <w:keepLines w:val="0"/>
        <w:pageBreakBefore w:val="0"/>
        <w:widowControl w:val="0"/>
        <w:kinsoku/>
        <w:wordWrap/>
        <w:overflowPunct/>
        <w:topLinePunct w:val="0"/>
        <w:autoSpaceDE/>
        <w:autoSpaceDN/>
        <w:bidi w:val="0"/>
        <w:textAlignment w:val="auto"/>
        <w:outlineLvl w:val="1"/>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2073B"/>
    <w:multiLevelType w:val="singleLevel"/>
    <w:tmpl w:val="C922073B"/>
    <w:lvl w:ilvl="0" w:tentative="0">
      <w:start w:val="1"/>
      <w:numFmt w:val="chineseCounting"/>
      <w:suff w:val="nothing"/>
      <w:lvlText w:val="%1、"/>
      <w:lvlJc w:val="left"/>
      <w:rPr>
        <w:rFonts w:hint="eastAsia"/>
      </w:rPr>
    </w:lvl>
  </w:abstractNum>
  <w:abstractNum w:abstractNumId="1">
    <w:nsid w:val="E9F8D028"/>
    <w:multiLevelType w:val="singleLevel"/>
    <w:tmpl w:val="E9F8D02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A10AA2"/>
    <w:rsid w:val="02FEBE30"/>
    <w:rsid w:val="04916F1E"/>
    <w:rsid w:val="058A0B59"/>
    <w:rsid w:val="061E35DE"/>
    <w:rsid w:val="066E0107"/>
    <w:rsid w:val="07996F6E"/>
    <w:rsid w:val="07DFD8BA"/>
    <w:rsid w:val="08616C1A"/>
    <w:rsid w:val="09867E8F"/>
    <w:rsid w:val="0A2032A3"/>
    <w:rsid w:val="0CA8290A"/>
    <w:rsid w:val="0D35B1ED"/>
    <w:rsid w:val="0E254B6B"/>
    <w:rsid w:val="0F374EA3"/>
    <w:rsid w:val="0F98263C"/>
    <w:rsid w:val="101860EC"/>
    <w:rsid w:val="101F47CC"/>
    <w:rsid w:val="10C055FF"/>
    <w:rsid w:val="11504E55"/>
    <w:rsid w:val="11694EBD"/>
    <w:rsid w:val="11772AA4"/>
    <w:rsid w:val="118107EC"/>
    <w:rsid w:val="12E24EE2"/>
    <w:rsid w:val="13D50BC4"/>
    <w:rsid w:val="14B17F78"/>
    <w:rsid w:val="15493645"/>
    <w:rsid w:val="165E0673"/>
    <w:rsid w:val="16B831D5"/>
    <w:rsid w:val="16BB723D"/>
    <w:rsid w:val="17E50567"/>
    <w:rsid w:val="186504BB"/>
    <w:rsid w:val="18FD542D"/>
    <w:rsid w:val="19A445FC"/>
    <w:rsid w:val="1BE8440E"/>
    <w:rsid w:val="1D155CEE"/>
    <w:rsid w:val="1D1638FE"/>
    <w:rsid w:val="1E312DEB"/>
    <w:rsid w:val="1E740ACF"/>
    <w:rsid w:val="1FF35744"/>
    <w:rsid w:val="1FF6BC77"/>
    <w:rsid w:val="2186353C"/>
    <w:rsid w:val="23791632"/>
    <w:rsid w:val="23860B96"/>
    <w:rsid w:val="240371BF"/>
    <w:rsid w:val="244F3473"/>
    <w:rsid w:val="24C97D99"/>
    <w:rsid w:val="25A718F0"/>
    <w:rsid w:val="25BB59F6"/>
    <w:rsid w:val="260F557C"/>
    <w:rsid w:val="26970054"/>
    <w:rsid w:val="281408E2"/>
    <w:rsid w:val="29FD04D3"/>
    <w:rsid w:val="2BFF7BC6"/>
    <w:rsid w:val="2C8A61B5"/>
    <w:rsid w:val="2CEC1AF9"/>
    <w:rsid w:val="2DF04E50"/>
    <w:rsid w:val="2E586DFA"/>
    <w:rsid w:val="2F040D46"/>
    <w:rsid w:val="2F6B035B"/>
    <w:rsid w:val="2FAE5751"/>
    <w:rsid w:val="2FB1A395"/>
    <w:rsid w:val="2FD9A7D8"/>
    <w:rsid w:val="2FDBF714"/>
    <w:rsid w:val="30AB6865"/>
    <w:rsid w:val="30FA07C1"/>
    <w:rsid w:val="319F7F4E"/>
    <w:rsid w:val="32BD1EF1"/>
    <w:rsid w:val="32FA4B43"/>
    <w:rsid w:val="3304709D"/>
    <w:rsid w:val="33A773CB"/>
    <w:rsid w:val="347905FB"/>
    <w:rsid w:val="349D6851"/>
    <w:rsid w:val="36AA5135"/>
    <w:rsid w:val="36BE0DA7"/>
    <w:rsid w:val="3728651D"/>
    <w:rsid w:val="3759657F"/>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A70638"/>
    <w:rsid w:val="3DBC7E0C"/>
    <w:rsid w:val="3DEE7CF3"/>
    <w:rsid w:val="3E740A63"/>
    <w:rsid w:val="3E78745D"/>
    <w:rsid w:val="3EE17838"/>
    <w:rsid w:val="3F55381A"/>
    <w:rsid w:val="3F7F7599"/>
    <w:rsid w:val="3FDB58C4"/>
    <w:rsid w:val="3FF4CAE0"/>
    <w:rsid w:val="3FF7B227"/>
    <w:rsid w:val="433366DA"/>
    <w:rsid w:val="43425BD6"/>
    <w:rsid w:val="441C71F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4A50E3"/>
    <w:rsid w:val="567E1AA5"/>
    <w:rsid w:val="56E47B74"/>
    <w:rsid w:val="57175D52"/>
    <w:rsid w:val="57655055"/>
    <w:rsid w:val="57BD3DD4"/>
    <w:rsid w:val="5AF92295"/>
    <w:rsid w:val="5B250254"/>
    <w:rsid w:val="5BDD79E6"/>
    <w:rsid w:val="5BF561CA"/>
    <w:rsid w:val="5BFF5DFC"/>
    <w:rsid w:val="5CD71FC4"/>
    <w:rsid w:val="5CE2679E"/>
    <w:rsid w:val="5D1F11B5"/>
    <w:rsid w:val="5D695134"/>
    <w:rsid w:val="5DAE1B18"/>
    <w:rsid w:val="5DE7D9E5"/>
    <w:rsid w:val="5ECEC941"/>
    <w:rsid w:val="5F18241F"/>
    <w:rsid w:val="5FBF9FF3"/>
    <w:rsid w:val="5FCD4E2C"/>
    <w:rsid w:val="5FEF394A"/>
    <w:rsid w:val="5FF67715"/>
    <w:rsid w:val="62BF3928"/>
    <w:rsid w:val="63B3701E"/>
    <w:rsid w:val="647F5392"/>
    <w:rsid w:val="65E66580"/>
    <w:rsid w:val="664B1D71"/>
    <w:rsid w:val="664B4E8E"/>
    <w:rsid w:val="664E69DD"/>
    <w:rsid w:val="67277B67"/>
    <w:rsid w:val="67AA3209"/>
    <w:rsid w:val="698D0931"/>
    <w:rsid w:val="6A7FE5F3"/>
    <w:rsid w:val="6ABA48CD"/>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A5E9F"/>
    <w:rsid w:val="783E271A"/>
    <w:rsid w:val="78616DE9"/>
    <w:rsid w:val="78E875D7"/>
    <w:rsid w:val="78FD05E8"/>
    <w:rsid w:val="79086DAD"/>
    <w:rsid w:val="79D7FD79"/>
    <w:rsid w:val="79EE5BA4"/>
    <w:rsid w:val="7A894339"/>
    <w:rsid w:val="7AD284E8"/>
    <w:rsid w:val="7AFF7572"/>
    <w:rsid w:val="7B6C7DFB"/>
    <w:rsid w:val="7BBC785B"/>
    <w:rsid w:val="7BBFBED0"/>
    <w:rsid w:val="7BC3E394"/>
    <w:rsid w:val="7C1F3737"/>
    <w:rsid w:val="7CBFC87B"/>
    <w:rsid w:val="7CFE0F48"/>
    <w:rsid w:val="7D272ABC"/>
    <w:rsid w:val="7D7EC23E"/>
    <w:rsid w:val="7E8ADEBF"/>
    <w:rsid w:val="7E96ADE6"/>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1\&#22270;&#2925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1\&#22270;&#2925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1\&#22270;&#2925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1\&#22270;&#2925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1\&#22270;&#2925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1\&#22270;&#2925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1\&#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[图片.xlsx]Sheet1!$B$2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[图片.xlsx]Sheet1!$A$3:$A$4</c:f>
              <c:strCache>
                <c:ptCount val="2"/>
                <c:pt idx="0">
                  <c:v>2023年决算数</c:v>
                </c:pt>
                <c:pt idx="1">
                  <c:v>2024年决算数</c:v>
                </c:pt>
              </c:strCache>
            </c:strRef>
          </c:cat>
          <c:val>
            <c:numRef>
              <c:f>[图片.xlsx]Sheet1!$B$3:$B$4</c:f>
              <c:numCache>
                <c:formatCode>General</c:formatCode>
                <c:ptCount val="2"/>
                <c:pt idx="0">
                  <c:v>0</c:v>
                </c:pt>
                <c:pt idx="1">
                  <c:v>102.92</c:v>
                </c:pt>
              </c:numCache>
            </c:numRef>
          </c:val>
        </c:ser>
        <c:dLbls>
          <c:showLegendKey val="0"/>
          <c:showVal val="1"/>
          <c:showCatName val="0"/>
          <c:showSerName val="0"/>
          <c:showPercent val="0"/>
          <c:showBubbleSize val="0"/>
        </c:dLbls>
        <c:gapWidth val="150"/>
        <c:overlap val="0"/>
        <c:axId val="334548587"/>
        <c:axId val="903851460"/>
      </c:barChart>
      <c:catAx>
        <c:axId val="3345485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3851460"/>
        <c:crosses val="autoZero"/>
        <c:auto val="1"/>
        <c:lblAlgn val="ctr"/>
        <c:lblOffset val="100"/>
        <c:noMultiLvlLbl val="0"/>
      </c:catAx>
      <c:valAx>
        <c:axId val="9038514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548587"/>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2222222222222"/>
          <c:y val="0.81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[图片.xlsx]Sheet1!$A$9</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[图片.xlsx]Sheet1!$B$9</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410277777777778"/>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[图片.xlsx]Sheet1!$A$20:$A$21</c:f>
              <c:strCache>
                <c:ptCount val="2"/>
                <c:pt idx="0">
                  <c:v>基本支出</c:v>
                </c:pt>
                <c:pt idx="1">
                  <c:v>项目支出</c:v>
                </c:pt>
              </c:strCache>
            </c:strRef>
          </c:cat>
          <c:val>
            <c:numRef>
              <c:f>[图片.xlsx]Sheet1!$B$20:$B$21</c:f>
              <c:numCache>
                <c:formatCode>General</c:formatCode>
                <c:ptCount val="2"/>
                <c:pt idx="0">
                  <c:v>85.72</c:v>
                </c:pt>
                <c:pt idx="1">
                  <c:v>17.2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46388888888889"/>
          <c:y val="0.0623556581986143"/>
        </c:manualLayout>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0</c:v>
                </c:pt>
                <c:pt idx="1">
                  <c:v>102.92</c:v>
                </c:pt>
              </c:numCache>
            </c:numRef>
          </c:val>
        </c:ser>
        <c:dLbls>
          <c:showLegendKey val="0"/>
          <c:showVal val="1"/>
          <c:showCatName val="0"/>
          <c:showSerName val="0"/>
          <c:showPercent val="0"/>
          <c:showBubbleSize val="0"/>
        </c:dLbls>
        <c:gapWidth val="150"/>
        <c:overlap val="0"/>
        <c:axId val="37962602"/>
        <c:axId val="609641732"/>
      </c:barChart>
      <c:catAx>
        <c:axId val="379626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641732"/>
        <c:crosses val="autoZero"/>
        <c:auto val="1"/>
        <c:lblAlgn val="ctr"/>
        <c:lblOffset val="100"/>
        <c:noMultiLvlLbl val="0"/>
      </c:catAx>
      <c:valAx>
        <c:axId val="609641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6260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0859722222222222"/>
          <c:y val="0.0364896073903002"/>
        </c:manualLayout>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0</c:v>
                </c:pt>
                <c:pt idx="1">
                  <c:v>102.92</c:v>
                </c:pt>
              </c:numCache>
            </c:numRef>
          </c:val>
        </c:ser>
        <c:dLbls>
          <c:showLegendKey val="0"/>
          <c:showVal val="1"/>
          <c:showCatName val="0"/>
          <c:showSerName val="0"/>
          <c:showPercent val="0"/>
          <c:showBubbleSize val="0"/>
        </c:dLbls>
        <c:gapWidth val="150"/>
        <c:overlap val="0"/>
        <c:axId val="37962602"/>
        <c:axId val="609641732"/>
      </c:barChart>
      <c:catAx>
        <c:axId val="379626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641732"/>
        <c:crosses val="autoZero"/>
        <c:auto val="1"/>
        <c:lblAlgn val="ctr"/>
        <c:lblOffset val="100"/>
        <c:noMultiLvlLbl val="0"/>
      </c:catAx>
      <c:valAx>
        <c:axId val="609641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96260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432969173267205"/>
                  <c:y val="0.16890720377784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[图片.xlsx]Sheet1!$A$38:$A$41</c:f>
              <c:strCache>
                <c:ptCount val="4"/>
                <c:pt idx="0">
                  <c:v>一般公共服务支出</c:v>
                </c:pt>
                <c:pt idx="1">
                  <c:v>社会保障和就业支出</c:v>
                </c:pt>
                <c:pt idx="2">
                  <c:v>卫生健康支出</c:v>
                </c:pt>
                <c:pt idx="3">
                  <c:v>住房保障支出</c:v>
                </c:pt>
              </c:strCache>
            </c:strRef>
          </c:cat>
          <c:val>
            <c:numRef>
              <c:f>[图片.xlsx]Sheet1!$B$38:$B$41</c:f>
              <c:numCache>
                <c:formatCode>General</c:formatCode>
                <c:ptCount val="4"/>
                <c:pt idx="0">
                  <c:v>63.53</c:v>
                </c:pt>
                <c:pt idx="1">
                  <c:v>33.64</c:v>
                </c:pt>
                <c:pt idx="2">
                  <c:v>1.39</c:v>
                </c:pt>
                <c:pt idx="3">
                  <c:v>4.35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0138888888889"/>
          <c:y val="0.82638888888888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[图片.xlsx]Sheet1!$A$45</c:f>
              <c:strCache>
                <c:ptCount val="1"/>
                <c:pt idx="0">
                  <c:v>公务接待费支出决算</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[图片.xlsx]Sheet1!$B$45</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1299</Words>
  <Characters>7410</Characters>
  <Lines>61</Lines>
  <Paragraphs>17</Paragraphs>
  <TotalTime>1</TotalTime>
  <ScaleCrop>false</ScaleCrop>
  <LinksUpToDate>false</LinksUpToDate>
  <CharactersWithSpaces>8692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孙思路</cp:lastModifiedBy>
  <cp:lastPrinted>2025-08-07T01:34:00Z</cp:lastPrinted>
  <dcterms:modified xsi:type="dcterms:W3CDTF">2025-09-30T07:16:55Z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ies>
</file>