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091A6">
      <w:pPr>
        <w:spacing w:line="600" w:lineRule="exact"/>
        <w:jc w:val="left"/>
        <w:outlineLvl w:val="9"/>
        <w:rPr>
          <w:rFonts w:ascii="方正小标宋简体" w:hAnsi="宋体" w:eastAsia="方正小标宋简体"/>
          <w:szCs w:val="21"/>
        </w:rPr>
      </w:pPr>
      <w:bookmarkStart w:id="0" w:name="_Toc15306267"/>
    </w:p>
    <w:p w14:paraId="1E42FCC5">
      <w:pPr>
        <w:pStyle w:val="6"/>
        <w:spacing w:before="93"/>
      </w:pPr>
    </w:p>
    <w:p w14:paraId="5AD0FDD3">
      <w:pPr>
        <w:spacing w:line="600" w:lineRule="exact"/>
        <w:jc w:val="center"/>
        <w:outlineLvl w:val="9"/>
        <w:rPr>
          <w:rFonts w:ascii="方正小标宋简体" w:hAnsi="宋体" w:eastAsia="方正小标宋简体"/>
          <w:sz w:val="72"/>
          <w:szCs w:val="72"/>
        </w:rPr>
      </w:pPr>
    </w:p>
    <w:p w14:paraId="3D575D99">
      <w:pPr>
        <w:adjustRightInd w:val="0"/>
        <w:snapToGrid w:val="0"/>
        <w:spacing w:line="360" w:lineRule="auto"/>
        <w:jc w:val="center"/>
        <w:outlineLvl w:val="0"/>
        <w:rPr>
          <w:rFonts w:hint="eastAsia" w:ascii="Times New Roman" w:hAnsi="Times New Roman" w:eastAsia="方正小标宋简体" w:cs="Times New Roman"/>
          <w:color w:val="auto"/>
          <w:kern w:val="2"/>
          <w:sz w:val="44"/>
          <w:szCs w:val="44"/>
          <w:highlight w:val="none"/>
          <w:lang w:val="en-US" w:eastAsia="zh-CN" w:bidi="ar-SA"/>
        </w:rPr>
      </w:pPr>
    </w:p>
    <w:bookmarkEnd w:id="0"/>
    <w:p w14:paraId="1F3A8BD6">
      <w:pPr>
        <w:adjustRightInd w:val="0"/>
        <w:snapToGrid w:val="0"/>
        <w:spacing w:line="360" w:lineRule="auto"/>
        <w:jc w:val="center"/>
        <w:outlineLvl w:val="0"/>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bookmarkStart w:id="1" w:name="_Toc26054"/>
    </w:p>
    <w:p w14:paraId="6E6C2EEF">
      <w:pPr>
        <w:adjustRightInd w:val="0"/>
        <w:snapToGrid w:val="0"/>
        <w:spacing w:line="360" w:lineRule="auto"/>
        <w:jc w:val="center"/>
        <w:outlineLvl w:val="0"/>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乐山市金口河区</w:t>
      </w:r>
      <w:bookmarkEnd w:id="1"/>
      <w:r>
        <w:rPr>
          <w:rFonts w:hint="eastAsia" w:ascii="Times New Roman" w:hAnsi="Times New Roman" w:eastAsia="方正小标宋简体" w:cs="Times New Roman"/>
          <w:color w:val="auto"/>
          <w:kern w:val="2"/>
          <w:sz w:val="44"/>
          <w:szCs w:val="44"/>
          <w:highlight w:val="none"/>
          <w:lang w:val="en-US" w:eastAsia="zh-CN" w:bidi="ar-SA"/>
        </w:rPr>
        <w:t>应急管理局部门决算公开</w:t>
      </w:r>
    </w:p>
    <w:p w14:paraId="48C3485E">
      <w:pPr>
        <w:adjustRightInd w:val="0"/>
        <w:snapToGrid w:val="0"/>
        <w:spacing w:line="360" w:lineRule="auto"/>
        <w:jc w:val="center"/>
        <w:outlineLvl w:val="0"/>
        <w:rPr>
          <w:rFonts w:ascii="黑体" w:hAnsi="黑体" w:eastAsia="黑体"/>
          <w:sz w:val="48"/>
          <w:szCs w:val="48"/>
        </w:rPr>
      </w:pPr>
      <w:r>
        <w:rPr>
          <w:rFonts w:hint="eastAsia" w:ascii="Times New Roman" w:hAnsi="Times New Roman" w:eastAsia="方正小标宋简体" w:cs="Times New Roman"/>
          <w:color w:val="auto"/>
          <w:kern w:val="2"/>
          <w:sz w:val="44"/>
          <w:szCs w:val="44"/>
          <w:highlight w:val="none"/>
          <w:lang w:val="en-US" w:eastAsia="zh-CN" w:bidi="ar-SA"/>
        </w:rPr>
        <w:br w:type="page"/>
      </w:r>
      <w:r>
        <w:rPr>
          <w:rFonts w:hint="eastAsia" w:ascii="黑体" w:hAnsi="黑体" w:eastAsia="黑体"/>
          <w:sz w:val="48"/>
          <w:szCs w:val="48"/>
        </w:rPr>
        <w:t>目录</w:t>
      </w:r>
    </w:p>
    <w:p w14:paraId="1FB72116">
      <w:pPr>
        <w:widowControl/>
        <w:jc w:val="center"/>
        <w:rPr>
          <w:rFonts w:ascii="黑体" w:hAnsi="黑体" w:eastAsia="黑体" w:cstheme="minorBidi"/>
          <w:sz w:val="28"/>
          <w:szCs w:val="28"/>
        </w:rPr>
      </w:pPr>
    </w:p>
    <w:p w14:paraId="10D17883">
      <w:pPr>
        <w:pStyle w:val="13"/>
      </w:pPr>
      <w:r>
        <w:rPr>
          <w:rFonts w:hint="eastAsia"/>
        </w:rPr>
        <w:t>公开时间：202</w:t>
      </w:r>
      <w:r>
        <w:rPr>
          <w:rFonts w:hint="eastAsia"/>
          <w:lang w:val="en-US" w:eastAsia="zh-CN"/>
        </w:rPr>
        <w:t>5</w:t>
      </w:r>
      <w:r>
        <w:rPr>
          <w:rFonts w:hint="eastAsia"/>
        </w:rPr>
        <w:t>年9月</w:t>
      </w:r>
      <w:r>
        <w:rPr>
          <w:rFonts w:hint="eastAsia"/>
          <w:lang w:val="en-US" w:eastAsia="zh-CN"/>
        </w:rPr>
        <w:t>24</w:t>
      </w:r>
      <w:r>
        <w:rPr>
          <w:rFonts w:hint="eastAsia"/>
        </w:rPr>
        <w:t>日</w:t>
      </w:r>
    </w:p>
    <w:p w14:paraId="1481E3A6"/>
    <w:sdt>
      <w:sdtPr>
        <w:rPr>
          <w:rFonts w:ascii="宋体" w:hAnsi="宋体" w:eastAsia="宋体" w:cs="Times New Roman"/>
          <w:kern w:val="2"/>
          <w:sz w:val="21"/>
          <w:szCs w:val="24"/>
          <w:lang w:val="en-US" w:eastAsia="zh-CN" w:bidi="ar-SA"/>
        </w:rPr>
        <w:id w:val="147464552"/>
        <w15:color w:val="DBDBDB"/>
        <w:docPartObj>
          <w:docPartGallery w:val="Table of Contents"/>
          <w:docPartUnique/>
        </w:docPartObj>
      </w:sdtPr>
      <w:sdtEndPr>
        <w:rPr>
          <w:rFonts w:hint="eastAsia" w:ascii="仿宋" w:hAnsi="仿宋" w:eastAsia="仿宋" w:cs="仿宋"/>
          <w:b/>
          <w:kern w:val="2"/>
          <w:sz w:val="28"/>
          <w:szCs w:val="28"/>
          <w:lang w:val="en-US" w:eastAsia="zh-CN" w:bidi="ar-SA"/>
        </w:rPr>
      </w:sdtEndPr>
      <w:sdtContent>
        <w:p w14:paraId="1C27C84B">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0DD2CB3">
          <w:pPr>
            <w:pStyle w:val="38"/>
            <w:tabs>
              <w:tab w:val="right" w:leader="dot" w:pos="8306"/>
            </w:tabs>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14:paraId="6B71ED7C">
          <w:pPr>
            <w:pStyle w:val="38"/>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_Toc29001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第一部分 单位</w:t>
          </w:r>
          <w:r>
            <w:rPr>
              <w:rFonts w:hint="eastAsia" w:ascii="仿宋" w:hAnsi="仿宋" w:eastAsia="仿宋" w:cs="仿宋"/>
              <w:b/>
              <w:bCs w:val="0"/>
              <w:sz w:val="28"/>
              <w:szCs w:val="28"/>
            </w:rPr>
            <w:t>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_Toc29001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0D44CF18">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_Toc24222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一、主要职责</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14:paraId="4B452AC0">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_Toc17287 </w:instrText>
          </w:r>
          <w:r>
            <w:rPr>
              <w:rFonts w:hint="eastAsia" w:ascii="仿宋" w:hAnsi="仿宋" w:eastAsia="仿宋" w:cs="仿宋"/>
              <w:sz w:val="28"/>
              <w:szCs w:val="28"/>
            </w:rP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_Toc17287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FE41778">
          <w:pPr>
            <w:pStyle w:val="38"/>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_Toc6464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第二部分 2023年度</w:t>
          </w:r>
          <w:r>
            <w:rPr>
              <w:rFonts w:hint="eastAsia" w:ascii="仿宋" w:hAnsi="仿宋" w:eastAsia="仿宋" w:cs="仿宋"/>
              <w:b/>
              <w:bCs/>
              <w:sz w:val="28"/>
              <w:szCs w:val="28"/>
            </w:rPr>
            <w:t>单位决算情况说明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_Toc6464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r>
            <w:rPr>
              <w:rStyle w:val="21"/>
              <w:rFonts w:hint="eastAsia" w:ascii="仿宋" w:hAnsi="仿宋" w:eastAsia="仿宋" w:cs="仿宋"/>
              <w:b/>
              <w:sz w:val="28"/>
              <w:szCs w:val="28"/>
            </w:rPr>
            <w:endnoteReference w:id="0"/>
          </w:r>
        </w:p>
        <w:p w14:paraId="7AE4E08D">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_Toc10536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_Toc10536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3538A1">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_Toc10987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91C96B9">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_Toc15658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_Toc15658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099D36">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_Toc18906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_Toc18906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639736">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_Toc22252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_Toc22252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4417D34">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_Toc31076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_Toc31076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AE5A169">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_Toc27876 </w:instrText>
          </w:r>
          <w:r>
            <w:rPr>
              <w:rFonts w:hint="eastAsia" w:ascii="仿宋" w:hAnsi="仿宋" w:eastAsia="仿宋" w:cs="仿宋"/>
              <w:sz w:val="28"/>
              <w:szCs w:val="28"/>
            </w:rP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_Toc27876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05754B8">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_Toc6619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_Toc6619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4887B9">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_Toc29695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_Toc29695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022E80">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_Toc7203 </w:instrText>
          </w:r>
          <w:r>
            <w:rPr>
              <w:rFonts w:hint="eastAsia" w:ascii="仿宋" w:hAnsi="仿宋" w:eastAsia="仿宋" w:cs="仿宋"/>
              <w:sz w:val="28"/>
              <w:szCs w:val="28"/>
            </w:rP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_Toc7203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1AC412">
          <w:pPr>
            <w:pStyle w:val="38"/>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_Toc13048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_Toc13048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34478C24">
          <w:pPr>
            <w:pStyle w:val="38"/>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_Toc26602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_Toc26602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58024BC9">
          <w:pPr>
            <w:pStyle w:val="38"/>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_Toc12198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_Toc12198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5EE1363B">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_Toc24914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_Toc24914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9DAD9E">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_Toc20850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_Toc20850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E60ED53">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_Toc32534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_Toc32534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F744196">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_Toc5075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_Toc5075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C090971">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_Toc30095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_Toc30095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887BDA1">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_Toc17842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_Toc17842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EAC0B1B">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_Toc13751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_Toc13751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E29A35">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_Toc17160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_Toc17160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687F54B">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_Toc18148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_Toc18148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FF4F23">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_Toc11283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_Toc11283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D2806C">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_Toc3504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国</w:t>
          </w:r>
          <w:r>
            <w:rPr>
              <w:rFonts w:hint="eastAsia" w:ascii="仿宋" w:hAnsi="仿宋" w:eastAsia="仿宋" w:cs="仿宋"/>
              <w:bCs w:val="0"/>
              <w:sz w:val="28"/>
              <w:szCs w:val="28"/>
            </w:rPr>
            <w:t>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_Toc3504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9A4181">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_Toc19213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_Toc19213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0999FE">
          <w:pPr>
            <w:pStyle w:val="39"/>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_Toc27468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_Toc27468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4A6F23">
          <w:pPr>
            <w:widowControl/>
            <w:adjustRightInd w:val="0"/>
            <w:snapToGrid w:val="0"/>
            <w:spacing w:line="440" w:lineRule="exact"/>
            <w:ind w:firstLine="1546" w:firstLineChars="550"/>
            <w:jc w:val="left"/>
            <w:rPr>
              <w:rFonts w:hint="eastAsia" w:ascii="仿宋" w:hAnsi="仿宋" w:eastAsia="仿宋" w:cs="仿宋"/>
              <w:sz w:val="28"/>
              <w:szCs w:val="28"/>
            </w:rPr>
          </w:pPr>
          <w:r>
            <w:rPr>
              <w:rFonts w:hint="eastAsia" w:ascii="仿宋" w:hAnsi="仿宋" w:eastAsia="仿宋" w:cs="仿宋"/>
              <w:b/>
              <w:sz w:val="28"/>
              <w:szCs w:val="28"/>
            </w:rPr>
            <w:fldChar w:fldCharType="end"/>
          </w:r>
        </w:p>
      </w:sdtContent>
    </w:sdt>
    <w:p w14:paraId="3034B3C3">
      <w:pPr>
        <w:widowControl/>
        <w:adjustRightInd w:val="0"/>
        <w:snapToGrid w:val="0"/>
        <w:spacing w:line="440" w:lineRule="exact"/>
        <w:ind w:firstLine="1320" w:firstLineChars="550"/>
        <w:jc w:val="left"/>
        <w:rPr>
          <w:rFonts w:hint="eastAsia" w:ascii="仿宋" w:hAnsi="仿宋" w:eastAsia="仿宋"/>
          <w:sz w:val="24"/>
          <w:lang w:eastAsia="zh-CN"/>
        </w:rPr>
      </w:pPr>
      <w:r>
        <w:rPr>
          <w:rFonts w:hint="eastAsia" w:ascii="仿宋" w:hAnsi="仿宋" w:eastAsia="仿宋"/>
          <w:sz w:val="24"/>
          <w:lang w:eastAsia="zh-CN"/>
        </w:rPr>
        <w:t>（</w:t>
      </w:r>
      <w:r>
        <w:rPr>
          <w:rFonts w:ascii="仿宋" w:hAnsi="仿宋" w:eastAsia="仿宋"/>
          <w:sz w:val="24"/>
        </w:rPr>
        <w:t>注：</w:t>
      </w:r>
      <w:r>
        <w:rPr>
          <w:rFonts w:hint="eastAsia" w:ascii="仿宋" w:hAnsi="仿宋" w:eastAsia="仿宋"/>
          <w:sz w:val="24"/>
        </w:rPr>
        <w:t>请单位根据实际注明页码</w:t>
      </w:r>
      <w:r>
        <w:rPr>
          <w:rFonts w:hint="eastAsia" w:ascii="仿宋" w:hAnsi="仿宋" w:eastAsia="仿宋"/>
          <w:sz w:val="24"/>
          <w:lang w:eastAsia="zh-CN"/>
        </w:rPr>
        <w:t>）</w:t>
      </w:r>
    </w:p>
    <w:p w14:paraId="0E9C02C3">
      <w:pPr>
        <w:widowControl/>
        <w:spacing w:line="440" w:lineRule="exact"/>
        <w:jc w:val="left"/>
        <w:rPr>
          <w:rFonts w:ascii="仿宋" w:hAnsi="仿宋" w:eastAsia="仿宋"/>
          <w:bCs/>
          <w:kern w:val="44"/>
          <w:sz w:val="24"/>
        </w:rPr>
      </w:pPr>
      <w:bookmarkStart w:id="2" w:name="_Toc15396599"/>
      <w:bookmarkStart w:id="3" w:name="_Toc15377196"/>
      <w:r>
        <w:rPr>
          <w:rFonts w:ascii="仿宋" w:hAnsi="仿宋" w:eastAsia="仿宋"/>
          <w:b/>
          <w:sz w:val="24"/>
        </w:rPr>
        <w:br w:type="page"/>
      </w:r>
    </w:p>
    <w:p w14:paraId="13FC13A0">
      <w:pPr>
        <w:pStyle w:val="2"/>
        <w:jc w:val="center"/>
        <w:rPr>
          <w:rStyle w:val="32"/>
          <w:rFonts w:ascii="黑体" w:hAnsi="黑体" w:eastAsia="黑体"/>
          <w:b/>
          <w:bCs w:val="0"/>
        </w:rPr>
      </w:pPr>
      <w:bookmarkStart w:id="4" w:name="_Toc29001"/>
      <w:r>
        <w:rPr>
          <w:rFonts w:hint="eastAsia" w:ascii="黑体" w:hAnsi="黑体" w:eastAsia="黑体"/>
          <w:b w:val="0"/>
        </w:rPr>
        <w:t>第一部分 单位</w:t>
      </w:r>
      <w:r>
        <w:rPr>
          <w:rStyle w:val="32"/>
          <w:rFonts w:hint="eastAsia" w:ascii="黑体" w:hAnsi="黑体" w:eastAsia="黑体"/>
          <w:b w:val="0"/>
          <w:bCs w:val="0"/>
        </w:rPr>
        <w:t>概况</w:t>
      </w:r>
      <w:bookmarkEnd w:id="2"/>
      <w:bookmarkEnd w:id="3"/>
      <w:bookmarkEnd w:id="4"/>
    </w:p>
    <w:p w14:paraId="74CE8663">
      <w:pPr>
        <w:widowControl/>
        <w:jc w:val="left"/>
        <w:rPr>
          <w:rFonts w:ascii="黑体" w:eastAsia="黑体"/>
          <w:sz w:val="32"/>
          <w:szCs w:val="32"/>
        </w:rPr>
      </w:pPr>
    </w:p>
    <w:p w14:paraId="36874728">
      <w:pPr>
        <w:pStyle w:val="3"/>
        <w:numPr>
          <w:ilvl w:val="0"/>
          <w:numId w:val="2"/>
        </w:numPr>
        <w:rPr>
          <w:rFonts w:hint="eastAsia" w:ascii="仿宋_GB2312" w:hAnsi="仿宋" w:eastAsia="仿宋_GB2312"/>
          <w:sz w:val="32"/>
          <w:szCs w:val="32"/>
        </w:rPr>
      </w:pPr>
      <w:bookmarkStart w:id="5" w:name="_Toc15377197"/>
      <w:bookmarkStart w:id="6" w:name="_Toc15396600"/>
      <w:r>
        <w:rPr>
          <w:rFonts w:hint="eastAsia" w:ascii="仿宋_GB2312" w:hAnsi="仿宋" w:eastAsia="仿宋_GB2312"/>
          <w:sz w:val="32"/>
          <w:szCs w:val="32"/>
          <w:lang w:eastAsia="zh-CN"/>
        </w:rPr>
        <w:t>主要职责</w:t>
      </w:r>
    </w:p>
    <w:p w14:paraId="04D5C279">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负责应急管理工作，组织和指导全区应对安全生产类、自然灾害类等突发事件和综合防灾减灾救灾工作。负责安全生产综合监督管理和工矿商贸、煤炭行业安全生产监督管理工作。</w:t>
      </w:r>
    </w:p>
    <w:p w14:paraId="5985BF3B">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拟订应急管理、安全生产等政策措施，组织编制应急体系建设、安全生产和综合防灾减灾规划，拟订相关规范性文件。</w:t>
      </w:r>
    </w:p>
    <w:p w14:paraId="1455186F">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负责组织、指导应急预案体系建设，建立完善事故灾难和自然灾害分级应对制度，牵头组织编制综合应急防灾减灾预案和安全生产类、自然灾害类专项预案，负责应急预案衔接工作，组织开展预案演练，推动应急避难设施建设。</w:t>
      </w:r>
    </w:p>
    <w:p w14:paraId="6D1822B5">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牵头建立统一的应急管理信息系统，负责信息传输渠道的规划和布局，建立监测预警和灾情报告制度，健全自然灾害信息资源获取和共享机制，依法统一发布灾情。</w:t>
      </w:r>
    </w:p>
    <w:p w14:paraId="33537A41">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负责组织、指导、协调安全生产类、自然灾害类等突发事件应急救援的有关工作。</w:t>
      </w:r>
    </w:p>
    <w:p w14:paraId="6144DA6A">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w:t>
      </w:r>
      <w:r>
        <w:rPr>
          <w:rFonts w:hint="eastAsia" w:ascii="仿宋_GB2312" w:hAnsi="仿宋" w:eastAsia="仿宋_GB2312"/>
          <w:sz w:val="32"/>
          <w:szCs w:val="32"/>
          <w:lang w:val="en-US" w:eastAsia="zh-CN"/>
        </w:rPr>
        <w:t>.</w:t>
      </w:r>
      <w:r>
        <w:rPr>
          <w:rFonts w:hint="eastAsia" w:ascii="仿宋_GB2312" w:hAnsi="仿宋" w:eastAsia="仿宋_GB2312"/>
          <w:sz w:val="32"/>
          <w:szCs w:val="32"/>
        </w:rPr>
        <w:t>统一协调指挥各类应急专业队伍，建立应急协调联动机制，推进指挥平台对接，提请衔接解放军和武警部队参与应急救援工作。</w:t>
      </w:r>
    </w:p>
    <w:p w14:paraId="7483972F">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w:t>
      </w:r>
      <w:r>
        <w:rPr>
          <w:rFonts w:hint="eastAsia" w:ascii="仿宋_GB2312" w:hAnsi="仿宋" w:eastAsia="仿宋_GB2312"/>
          <w:sz w:val="32"/>
          <w:szCs w:val="32"/>
          <w:lang w:val="en-US" w:eastAsia="zh-CN"/>
        </w:rPr>
        <w:t>.</w:t>
      </w:r>
      <w:r>
        <w:rPr>
          <w:rFonts w:hint="eastAsia" w:ascii="仿宋_GB2312" w:hAnsi="仿宋" w:eastAsia="仿宋_GB2312"/>
          <w:sz w:val="32"/>
          <w:szCs w:val="32"/>
        </w:rPr>
        <w:t>按照国家相关政策和规定</w:t>
      </w:r>
      <w:r>
        <w:rPr>
          <w:rFonts w:hint="eastAsia" w:ascii="仿宋_GB2312" w:hAnsi="仿宋" w:eastAsia="仿宋_GB2312"/>
          <w:sz w:val="32"/>
          <w:szCs w:val="32"/>
          <w:lang w:eastAsia="zh-CN"/>
        </w:rPr>
        <w:t>，</w:t>
      </w:r>
      <w:r>
        <w:rPr>
          <w:rFonts w:hint="eastAsia" w:ascii="仿宋_GB2312" w:hAnsi="仿宋" w:eastAsia="仿宋_GB2312"/>
          <w:sz w:val="32"/>
          <w:szCs w:val="32"/>
        </w:rPr>
        <w:t>负责消防、森林和草原火灾扑救、抗洪抢险、地震和地质灾害救援、生产安全事故救援等专业应急救援力量建设，依法依规统筹指导各乡镇及社会应急救援力量和保障能力建设。</w:t>
      </w:r>
    </w:p>
    <w:p w14:paraId="44347A97">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w:t>
      </w:r>
      <w:r>
        <w:rPr>
          <w:rFonts w:hint="eastAsia" w:ascii="仿宋_GB2312" w:hAnsi="仿宋" w:eastAsia="仿宋_GB2312"/>
          <w:sz w:val="32"/>
          <w:szCs w:val="32"/>
          <w:lang w:val="en-US" w:eastAsia="zh-CN"/>
        </w:rPr>
        <w:t>.</w:t>
      </w:r>
      <w:r>
        <w:rPr>
          <w:rFonts w:hint="eastAsia" w:ascii="仿宋_GB2312" w:hAnsi="仿宋" w:eastAsia="仿宋_GB2312"/>
          <w:sz w:val="32"/>
          <w:szCs w:val="32"/>
        </w:rPr>
        <w:t>按照上级相关政策和区委、区政府相关规定负责消防工作，组织和指导消防监督、火灾预防、火灾扑救等工作。</w:t>
      </w:r>
    </w:p>
    <w:p w14:paraId="5AF221C5">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w:t>
      </w:r>
      <w:r>
        <w:rPr>
          <w:rFonts w:hint="eastAsia" w:ascii="仿宋_GB2312" w:hAnsi="仿宋" w:eastAsia="仿宋_GB2312"/>
          <w:sz w:val="32"/>
          <w:szCs w:val="32"/>
          <w:lang w:val="en-US" w:eastAsia="zh-CN"/>
        </w:rPr>
        <w:t>.</w:t>
      </w:r>
      <w:r>
        <w:rPr>
          <w:rFonts w:hint="eastAsia" w:ascii="仿宋_GB2312" w:hAnsi="仿宋" w:eastAsia="仿宋_GB2312"/>
          <w:sz w:val="32"/>
          <w:szCs w:val="32"/>
        </w:rPr>
        <w:t>负责自然灾害综合监测预警工作，承担自然灾害综合风险评估工作，指导协调森林和草原火灾、水旱灾害、地震和地质灾害等防治工作。</w:t>
      </w:r>
    </w:p>
    <w:p w14:paraId="2D04F12B">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w:t>
      </w:r>
      <w:r>
        <w:rPr>
          <w:rFonts w:hint="eastAsia" w:ascii="仿宋_GB2312" w:hAnsi="仿宋" w:eastAsia="仿宋_GB2312"/>
          <w:sz w:val="32"/>
          <w:szCs w:val="32"/>
          <w:lang w:val="en-US" w:eastAsia="zh-CN"/>
        </w:rPr>
        <w:t>.</w:t>
      </w:r>
      <w:r>
        <w:rPr>
          <w:rFonts w:hint="eastAsia" w:ascii="仿宋_GB2312" w:hAnsi="仿宋" w:eastAsia="仿宋_GB2312"/>
          <w:sz w:val="32"/>
          <w:szCs w:val="32"/>
        </w:rPr>
        <w:t>负责组织、协调灾害救助工作</w:t>
      </w:r>
      <w:r>
        <w:rPr>
          <w:rFonts w:hint="eastAsia" w:ascii="仿宋_GB2312" w:hAnsi="仿宋" w:eastAsia="仿宋_GB2312"/>
          <w:sz w:val="32"/>
          <w:szCs w:val="32"/>
          <w:lang w:eastAsia="zh-CN"/>
        </w:rPr>
        <w:t>，</w:t>
      </w:r>
      <w:r>
        <w:rPr>
          <w:rFonts w:hint="eastAsia" w:ascii="仿宋_GB2312" w:hAnsi="仿宋" w:eastAsia="仿宋_GB2312"/>
          <w:sz w:val="32"/>
          <w:szCs w:val="32"/>
        </w:rPr>
        <w:t>组织和指导灾情核查、损失评估、救灾捐赠工作，管理和分配中央、省、市下拨及区级救灾款物并监督使用。</w:t>
      </w:r>
    </w:p>
    <w:p w14:paraId="7CADCCA1">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w:t>
      </w:r>
      <w:r>
        <w:rPr>
          <w:rFonts w:hint="eastAsia" w:ascii="仿宋_GB2312" w:hAnsi="仿宋" w:eastAsia="仿宋_GB2312"/>
          <w:sz w:val="32"/>
          <w:szCs w:val="32"/>
          <w:lang w:val="en-US" w:eastAsia="zh-CN"/>
        </w:rPr>
        <w:t>.</w:t>
      </w:r>
      <w:r>
        <w:rPr>
          <w:rFonts w:hint="eastAsia" w:ascii="仿宋_GB2312" w:hAnsi="仿宋" w:eastAsia="仿宋_GB2312"/>
          <w:sz w:val="32"/>
          <w:szCs w:val="32"/>
        </w:rPr>
        <w:t>依法承担区政府安全生产综合监督管理责任，指导协调、监督检查区级有关部门和各乡镇人民政府安全生产工作，组织开展安全生产巡查、考核工作。</w:t>
      </w:r>
    </w:p>
    <w:p w14:paraId="1AD5F7F1">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w:t>
      </w:r>
      <w:r>
        <w:rPr>
          <w:rFonts w:hint="eastAsia" w:ascii="仿宋_GB2312" w:hAnsi="仿宋" w:eastAsia="仿宋_GB2312"/>
          <w:sz w:val="32"/>
          <w:szCs w:val="32"/>
          <w:lang w:val="en-US" w:eastAsia="zh-CN"/>
        </w:rPr>
        <w:t>.</w:t>
      </w:r>
      <w:r>
        <w:rPr>
          <w:rFonts w:hint="eastAsia" w:ascii="仿宋_GB2312" w:hAnsi="仿宋" w:eastAsia="仿宋_GB2312"/>
          <w:sz w:val="32"/>
          <w:szCs w:val="32"/>
        </w:rPr>
        <w:t>按照分级、属地原则，依法监督检查工矿商贸生产经营单位贯彻执行安全生产法律法规情况及其安全生产条件和有关设备（特种设备除外）、材料、劳动防护用品的安全生产管理工作。</w:t>
      </w:r>
    </w:p>
    <w:p w14:paraId="75FAA914">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13</w:t>
      </w:r>
      <w:r>
        <w:rPr>
          <w:rFonts w:hint="eastAsia" w:ascii="仿宋_GB2312" w:hAnsi="仿宋" w:eastAsia="仿宋_GB2312"/>
          <w:sz w:val="32"/>
          <w:szCs w:val="32"/>
          <w:lang w:val="en-US" w:eastAsia="zh-CN"/>
        </w:rPr>
        <w:t>.</w:t>
      </w:r>
      <w:r>
        <w:rPr>
          <w:rFonts w:ascii="仿宋_GB2312" w:hAnsi="仿宋" w:eastAsia="仿宋_GB2312"/>
          <w:sz w:val="32"/>
          <w:szCs w:val="32"/>
        </w:rPr>
        <w:t>承担煤矿、非煤矿山、危险化学品、非药品类易制毒化学品和烟花爆竹等生产经营单位安全生产准入管理责任。负责危险化学品安全监督管理综合工作和烟花爆竹安全生产监督管理工作。</w:t>
      </w:r>
    </w:p>
    <w:p w14:paraId="2D5193AE">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14</w:t>
      </w:r>
      <w:r>
        <w:rPr>
          <w:rFonts w:hint="eastAsia" w:ascii="仿宋_GB2312" w:hAnsi="仿宋" w:eastAsia="仿宋_GB2312"/>
          <w:sz w:val="32"/>
          <w:szCs w:val="32"/>
          <w:lang w:val="en-US" w:eastAsia="zh-CN"/>
        </w:rPr>
        <w:t>.</w:t>
      </w:r>
      <w:r>
        <w:rPr>
          <w:rFonts w:ascii="仿宋_GB2312" w:hAnsi="仿宋" w:eastAsia="仿宋_GB2312"/>
          <w:sz w:val="32"/>
          <w:szCs w:val="32"/>
        </w:rPr>
        <w:t>拟订煤炭产业发展计划，组织实施准入条件、行业标准，按权限审核、上报煤炭项目并负责建设管理，负责煤炭生产协调和监督管理，负责煤炭行业结构调整与产业升级，负责煤矿瓦斯等级鉴定、瓦斯治理与利用，推进煤炭体制改革。</w:t>
      </w:r>
    </w:p>
    <w:p w14:paraId="516066CE">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15</w:t>
      </w:r>
      <w:r>
        <w:rPr>
          <w:rFonts w:hint="eastAsia" w:ascii="仿宋_GB2312" w:hAnsi="仿宋" w:eastAsia="仿宋_GB2312"/>
          <w:sz w:val="32"/>
          <w:szCs w:val="32"/>
          <w:lang w:val="en-US" w:eastAsia="zh-CN"/>
        </w:rPr>
        <w:t>.</w:t>
      </w:r>
      <w:r>
        <w:rPr>
          <w:rFonts w:ascii="仿宋_GB2312" w:hAnsi="仿宋" w:eastAsia="仿宋_GB2312"/>
          <w:sz w:val="32"/>
          <w:szCs w:val="32"/>
        </w:rPr>
        <w:t>承担煤矿安全生产监督管理责任，依法监督检查煤矿企业贯彻执行安全生产法律法规情况及安全生产条件和有关设备（特种设备除外）、材料、劳动防护用品的安全生产管理工作。负责组织、指导煤矿企业安全专项整治、安全标准化、瓦斯和水害防治及相关安全科技发展工作，参与煤矿事故抢险救援和调查处理。</w:t>
      </w:r>
    </w:p>
    <w:p w14:paraId="74179947">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16</w:t>
      </w:r>
      <w:r>
        <w:rPr>
          <w:rFonts w:hint="eastAsia" w:ascii="仿宋_GB2312" w:hAnsi="仿宋" w:eastAsia="仿宋_GB2312"/>
          <w:sz w:val="32"/>
          <w:szCs w:val="32"/>
          <w:lang w:val="en-US" w:eastAsia="zh-CN"/>
        </w:rPr>
        <w:t>.</w:t>
      </w:r>
      <w:r>
        <w:rPr>
          <w:rFonts w:ascii="仿宋_GB2312" w:hAnsi="仿宋" w:eastAsia="仿宋_GB2312"/>
          <w:sz w:val="32"/>
          <w:szCs w:val="32"/>
        </w:rPr>
        <w:t>依法组织、指导安全生产事故调查处理，监督事故查处和责任追究落实情况。组织开展自然灾害类突发事件的调查评估工作。</w:t>
      </w:r>
    </w:p>
    <w:p w14:paraId="5BA3DDF4">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17</w:t>
      </w:r>
      <w:r>
        <w:rPr>
          <w:rFonts w:hint="eastAsia" w:ascii="仿宋_GB2312" w:hAnsi="仿宋" w:eastAsia="仿宋_GB2312"/>
          <w:sz w:val="32"/>
          <w:szCs w:val="32"/>
          <w:lang w:val="en-US" w:eastAsia="zh-CN"/>
        </w:rPr>
        <w:t>.</w:t>
      </w:r>
      <w:r>
        <w:rPr>
          <w:rFonts w:ascii="仿宋_GB2312" w:hAnsi="仿宋" w:eastAsia="仿宋_GB2312"/>
          <w:sz w:val="32"/>
          <w:szCs w:val="32"/>
        </w:rPr>
        <w:t>开展应急管理和安全生产方面的交流与合作，组织参与安全生产类、自然灾害类等突发事件的跨区域救援工作。</w:t>
      </w:r>
    </w:p>
    <w:p w14:paraId="6ECF3A9D">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18</w:t>
      </w:r>
      <w:r>
        <w:rPr>
          <w:rFonts w:hint="eastAsia" w:ascii="仿宋_GB2312" w:hAnsi="仿宋" w:eastAsia="仿宋_GB2312"/>
          <w:sz w:val="32"/>
          <w:szCs w:val="32"/>
          <w:lang w:val="en-US" w:eastAsia="zh-CN"/>
        </w:rPr>
        <w:t>.</w:t>
      </w:r>
      <w:r>
        <w:rPr>
          <w:rFonts w:ascii="仿宋_GB2312" w:hAnsi="仿宋" w:eastAsia="仿宋_GB2312"/>
          <w:sz w:val="32"/>
          <w:szCs w:val="32"/>
        </w:rPr>
        <w:t>制定应急物资储备和应急救援装备规划并组织实施，会同有关部门建立健全应急物资信息平台和调拨制度，在救灾时统一调度。</w:t>
      </w:r>
    </w:p>
    <w:p w14:paraId="1E6D7BCF">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19</w:t>
      </w:r>
      <w:r>
        <w:rPr>
          <w:rFonts w:hint="eastAsia" w:ascii="仿宋_GB2312" w:hAnsi="仿宋" w:eastAsia="仿宋_GB2312"/>
          <w:sz w:val="32"/>
          <w:szCs w:val="32"/>
          <w:lang w:val="en-US" w:eastAsia="zh-CN"/>
        </w:rPr>
        <w:t>.</w:t>
      </w:r>
      <w:r>
        <w:rPr>
          <w:rFonts w:ascii="仿宋_GB2312" w:hAnsi="仿宋" w:eastAsia="仿宋_GB2312"/>
          <w:sz w:val="32"/>
          <w:szCs w:val="32"/>
        </w:rPr>
        <w:t>负责应急管理、安全生产宣传教育和培训工作，组织和指导应急管理、安全生产的科学技术研究、推广应用和信息化建设工作。</w:t>
      </w:r>
    </w:p>
    <w:p w14:paraId="1058B835">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w:t>
      </w:r>
      <w:r>
        <w:rPr>
          <w:rFonts w:ascii="仿宋_GB2312" w:hAnsi="仿宋" w:eastAsia="仿宋_GB2312"/>
          <w:sz w:val="32"/>
          <w:szCs w:val="32"/>
        </w:rPr>
        <w:t>负责职责范围内的职业健康、生态环境保护</w:t>
      </w:r>
      <w:r>
        <w:rPr>
          <w:rFonts w:hint="eastAsia" w:ascii="仿宋_GB2312" w:hAnsi="仿宋" w:eastAsia="仿宋_GB2312"/>
          <w:sz w:val="32"/>
          <w:szCs w:val="32"/>
        </w:rPr>
        <w:t>等工作；按照行政审批、综合执法等方面的相关要求，做好有关</w:t>
      </w:r>
      <w:r>
        <w:rPr>
          <w:rFonts w:ascii="仿宋_GB2312" w:hAnsi="仿宋" w:eastAsia="仿宋_GB2312"/>
          <w:sz w:val="32"/>
          <w:szCs w:val="32"/>
        </w:rPr>
        <w:t>工作。</w:t>
      </w:r>
    </w:p>
    <w:p w14:paraId="70CDF0AA">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21</w:t>
      </w:r>
      <w:r>
        <w:rPr>
          <w:rFonts w:hint="eastAsia" w:ascii="仿宋_GB2312" w:hAnsi="仿宋" w:eastAsia="仿宋_GB2312"/>
          <w:sz w:val="32"/>
          <w:szCs w:val="32"/>
          <w:lang w:val="en-US" w:eastAsia="zh-CN"/>
        </w:rPr>
        <w:t>.</w:t>
      </w:r>
      <w:r>
        <w:rPr>
          <w:rFonts w:ascii="仿宋_GB2312" w:hAnsi="仿宋" w:eastAsia="仿宋_GB2312"/>
          <w:sz w:val="32"/>
          <w:szCs w:val="32"/>
        </w:rPr>
        <w:t>完成</w:t>
      </w:r>
      <w:r>
        <w:rPr>
          <w:rFonts w:hint="eastAsia" w:ascii="仿宋_GB2312" w:hAnsi="仿宋" w:eastAsia="仿宋_GB2312"/>
          <w:sz w:val="32"/>
          <w:szCs w:val="32"/>
        </w:rPr>
        <w:t>区</w:t>
      </w:r>
      <w:r>
        <w:rPr>
          <w:rFonts w:ascii="仿宋_GB2312" w:hAnsi="仿宋" w:eastAsia="仿宋_GB2312"/>
          <w:sz w:val="32"/>
          <w:szCs w:val="32"/>
        </w:rPr>
        <w:t>委、</w:t>
      </w:r>
      <w:r>
        <w:rPr>
          <w:rFonts w:hint="eastAsia" w:ascii="仿宋_GB2312" w:hAnsi="仿宋" w:eastAsia="仿宋_GB2312"/>
          <w:sz w:val="32"/>
          <w:szCs w:val="32"/>
        </w:rPr>
        <w:t>区</w:t>
      </w:r>
      <w:r>
        <w:rPr>
          <w:rFonts w:ascii="仿宋_GB2312" w:hAnsi="仿宋" w:eastAsia="仿宋_GB2312"/>
          <w:sz w:val="32"/>
          <w:szCs w:val="32"/>
        </w:rPr>
        <w:t>政府交办的其他工作。</w:t>
      </w:r>
    </w:p>
    <w:p w14:paraId="5C6DDBB7">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22</w:t>
      </w:r>
      <w:r>
        <w:rPr>
          <w:rFonts w:hint="eastAsia" w:ascii="仿宋_GB2312" w:hAnsi="仿宋" w:eastAsia="仿宋_GB2312"/>
          <w:sz w:val="32"/>
          <w:szCs w:val="32"/>
          <w:lang w:val="en-US" w:eastAsia="zh-CN"/>
        </w:rPr>
        <w:t>.</w:t>
      </w:r>
      <w:r>
        <w:rPr>
          <w:rFonts w:ascii="仿宋_GB2312" w:hAnsi="仿宋" w:eastAsia="仿宋_GB2312"/>
          <w:sz w:val="32"/>
          <w:szCs w:val="32"/>
        </w:rPr>
        <w:t>职能转变。</w:t>
      </w:r>
    </w:p>
    <w:p w14:paraId="7262349A">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加强、优化、统筹应急能力建设，构建统一领导、权责一致、权威高效的应急能力体系，推动形成统一指挥、</w:t>
      </w:r>
      <w:r>
        <w:rPr>
          <w:rFonts w:ascii="仿宋_GB2312" w:hAnsi="仿宋" w:eastAsia="仿宋_GB2312"/>
          <w:sz w:val="32"/>
          <w:szCs w:val="32"/>
        </w:rPr>
        <w:t>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较大及以上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安全事故。</w:t>
      </w:r>
    </w:p>
    <w:p w14:paraId="00263657"/>
    <w:p w14:paraId="50275F59">
      <w:pPr>
        <w:pStyle w:val="3"/>
        <w:rPr>
          <w:rFonts w:ascii="黑体" w:hAnsi="黑体" w:eastAsia="黑体"/>
          <w:b w:val="0"/>
        </w:rPr>
      </w:pPr>
      <w:bookmarkStart w:id="7" w:name="_Toc17287"/>
      <w:r>
        <w:rPr>
          <w:rFonts w:hint="eastAsia" w:ascii="黑体" w:hAnsi="黑体" w:eastAsia="黑体"/>
          <w:b w:val="0"/>
        </w:rPr>
        <w:t>二、机构设置</w:t>
      </w:r>
      <w:bookmarkEnd w:id="7"/>
    </w:p>
    <w:bookmarkEnd w:id="5"/>
    <w:bookmarkEnd w:id="6"/>
    <w:p w14:paraId="3E7CB8C1">
      <w:pPr>
        <w:numPr>
          <w:ilvl w:val="0"/>
          <w:numId w:val="0"/>
        </w:numPr>
        <w:spacing w:line="600" w:lineRule="exact"/>
        <w:ind w:firstLine="640" w:firstLineChars="200"/>
        <w:rPr>
          <w:rFonts w:hint="eastAsia" w:ascii="仿宋" w:hAnsi="仿宋" w:eastAsia="仿宋"/>
          <w:sz w:val="32"/>
          <w:szCs w:val="32"/>
          <w:lang w:eastAsia="zh-CN"/>
        </w:rPr>
      </w:pPr>
      <w:r>
        <w:rPr>
          <w:rFonts w:hint="eastAsia" w:ascii="仿宋_GB2312" w:hAnsi="仿宋_GB2312" w:eastAsia="仿宋_GB2312" w:cs="仿宋_GB2312"/>
          <w:color w:val="auto"/>
          <w:sz w:val="32"/>
          <w:szCs w:val="32"/>
          <w:highlight w:val="none"/>
        </w:rPr>
        <w:t>乐山市金口河区应急管理局</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w:t>
      </w:r>
      <w:r>
        <w:rPr>
          <w:rFonts w:hint="eastAsia" w:eastAsia="仿宋_GB2312" w:cs="仿宋_GB2312"/>
          <w:color w:val="auto"/>
          <w:sz w:val="32"/>
          <w:szCs w:val="32"/>
          <w:highlight w:val="none"/>
          <w:lang w:eastAsia="zh-CN"/>
        </w:rPr>
        <w:t>。分别为：</w:t>
      </w:r>
      <w:r>
        <w:rPr>
          <w:rFonts w:hint="eastAsia" w:ascii="华文仿宋" w:hAnsi="华文仿宋" w:eastAsia="华文仿宋" w:cs="华文仿宋"/>
          <w:sz w:val="32"/>
          <w:szCs w:val="32"/>
        </w:rPr>
        <w:t>（1）安全生产监察执法大队（2）应急预警救援指挥中心。</w:t>
      </w:r>
      <w:r>
        <w:rPr>
          <w:rFonts w:hint="eastAsia" w:ascii="华文仿宋" w:hAnsi="华文仿宋" w:eastAsia="华文仿宋" w:cs="华文仿宋"/>
          <w:sz w:val="32"/>
          <w:szCs w:val="32"/>
          <w:lang w:eastAsia="zh-CN"/>
        </w:rPr>
        <w:t>均未</w:t>
      </w:r>
      <w:r>
        <w:rPr>
          <w:rFonts w:hint="eastAsia" w:ascii="仿宋" w:hAnsi="仿宋" w:eastAsia="仿宋"/>
          <w:sz w:val="32"/>
          <w:szCs w:val="32"/>
        </w:rPr>
        <w:t>纳入</w:t>
      </w:r>
      <w:r>
        <w:rPr>
          <w:rFonts w:hint="eastAsia" w:ascii="仿宋" w:hAnsi="仿宋" w:eastAsia="仿宋"/>
          <w:sz w:val="32"/>
          <w:szCs w:val="32"/>
          <w:lang w:val="en-US" w:eastAsia="zh-CN"/>
        </w:rPr>
        <w:t>2</w:t>
      </w:r>
      <w:r>
        <w:rPr>
          <w:rFonts w:hint="eastAsia"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年度部门决算编制范围</w:t>
      </w:r>
      <w:r>
        <w:rPr>
          <w:rFonts w:hint="eastAsia" w:ascii="仿宋" w:hAnsi="仿宋" w:eastAsia="仿宋"/>
          <w:sz w:val="32"/>
          <w:szCs w:val="32"/>
          <w:lang w:eastAsia="zh-CN"/>
        </w:rPr>
        <w:t>。</w:t>
      </w:r>
    </w:p>
    <w:p w14:paraId="6C2F0F15">
      <w:pPr>
        <w:pStyle w:val="16"/>
      </w:pPr>
    </w:p>
    <w:p w14:paraId="1EE13954">
      <w:pPr>
        <w:widowControl/>
        <w:jc w:val="left"/>
        <w:rPr>
          <w:rStyle w:val="32"/>
          <w:rFonts w:hint="eastAsia" w:ascii="黑体" w:hAnsi="黑体" w:eastAsia="黑体"/>
          <w:b w:val="0"/>
          <w:bCs/>
        </w:rPr>
      </w:pPr>
      <w:bookmarkStart w:id="8" w:name="_Toc15377204"/>
      <w:bookmarkStart w:id="9" w:name="_Toc6464"/>
      <w:bookmarkStart w:id="10" w:name="_Toc15396602"/>
      <w:r>
        <w:rPr>
          <w:rStyle w:val="32"/>
          <w:rFonts w:hint="eastAsia" w:ascii="黑体" w:hAnsi="黑体" w:eastAsia="黑体"/>
          <w:b w:val="0"/>
          <w:bCs/>
        </w:rPr>
        <w:t>第二部分 202</w:t>
      </w:r>
      <w:r>
        <w:rPr>
          <w:rStyle w:val="32"/>
          <w:rFonts w:hint="eastAsia" w:ascii="黑体" w:hAnsi="黑体" w:eastAsia="黑体"/>
          <w:b w:val="0"/>
          <w:bCs/>
          <w:lang w:val="en-US" w:eastAsia="zh-CN"/>
        </w:rPr>
        <w:t>4</w:t>
      </w:r>
      <w:r>
        <w:rPr>
          <w:rStyle w:val="32"/>
          <w:rFonts w:hint="eastAsia" w:ascii="黑体" w:hAnsi="黑体" w:eastAsia="黑体"/>
          <w:b w:val="0"/>
          <w:bCs/>
        </w:rPr>
        <w:t>年度单位决算情况说明</w:t>
      </w:r>
      <w:bookmarkEnd w:id="8"/>
      <w:bookmarkEnd w:id="9"/>
      <w:bookmarkEnd w:id="10"/>
    </w:p>
    <w:p w14:paraId="4398402A"/>
    <w:p w14:paraId="5408B970">
      <w:pPr>
        <w:pStyle w:val="31"/>
        <w:numPr>
          <w:ilvl w:val="0"/>
          <w:numId w:val="3"/>
        </w:numPr>
        <w:spacing w:line="600" w:lineRule="exact"/>
        <w:ind w:firstLineChars="0"/>
        <w:outlineLvl w:val="1"/>
        <w:rPr>
          <w:rStyle w:val="33"/>
          <w:rFonts w:ascii="黑体" w:hAnsi="黑体" w:eastAsia="黑体"/>
          <w:b w:val="0"/>
        </w:rPr>
      </w:pPr>
      <w:bookmarkStart w:id="11" w:name="_Toc15396603"/>
      <w:bookmarkStart w:id="12" w:name="_Toc15377205"/>
      <w:bookmarkStart w:id="13" w:name="_Toc10536"/>
      <w:r>
        <w:rPr>
          <w:rFonts w:hint="eastAsia" w:ascii="黑体" w:hAnsi="黑体" w:eastAsia="黑体"/>
          <w:sz w:val="32"/>
          <w:szCs w:val="32"/>
        </w:rPr>
        <w:t>收</w:t>
      </w:r>
      <w:r>
        <w:rPr>
          <w:rStyle w:val="33"/>
          <w:rFonts w:hint="eastAsia" w:ascii="黑体" w:hAnsi="黑体" w:eastAsia="黑体"/>
          <w:b w:val="0"/>
        </w:rPr>
        <w:t>入支出决算总体情况说明</w:t>
      </w:r>
      <w:bookmarkEnd w:id="11"/>
      <w:bookmarkEnd w:id="12"/>
      <w:bookmarkEnd w:id="13"/>
    </w:p>
    <w:p w14:paraId="6ACBCFC8">
      <w:pPr>
        <w:spacing w:line="600" w:lineRule="exact"/>
        <w:ind w:firstLine="640" w:firstLineChars="200"/>
        <w:rPr>
          <w:rFonts w:hint="eastAsia" w:ascii="仿宋" w:hAnsi="仿宋" w:eastAsia="仿宋" w:cs="Times New Roman"/>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年度收、支总计均为</w:t>
      </w:r>
      <w:r>
        <w:rPr>
          <w:rFonts w:hint="eastAsia" w:ascii="仿宋_GB2312" w:hAnsi="仿宋_GB2312" w:eastAsia="仿宋_GB2312" w:cs="仿宋_GB2312"/>
          <w:sz w:val="32"/>
          <w:szCs w:val="32"/>
        </w:rPr>
        <w:t>1377.69</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552.98</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67.05</w:t>
      </w:r>
      <w:r>
        <w:rPr>
          <w:rFonts w:hint="eastAsia" w:ascii="仿宋" w:hAnsi="仿宋" w:eastAsia="仿宋"/>
          <w:sz w:val="32"/>
          <w:szCs w:val="32"/>
          <w:lang w:eastAsia="zh-CN"/>
        </w:rPr>
        <w:t>％</w:t>
      </w:r>
      <w:r>
        <w:rPr>
          <w:rFonts w:hint="eastAsia" w:ascii="仿宋" w:hAnsi="仿宋" w:eastAsia="仿宋"/>
          <w:sz w:val="32"/>
          <w:szCs w:val="32"/>
        </w:rPr>
        <w:t>。主要变动原因</w:t>
      </w:r>
      <w:r>
        <w:rPr>
          <w:rFonts w:hint="eastAsia" w:ascii="仿宋" w:hAnsi="仿宋" w:eastAsia="仿宋" w:cs="Times New Roman"/>
          <w:sz w:val="32"/>
          <w:szCs w:val="32"/>
        </w:rPr>
        <w:t>是主要变动原因是本年度</w:t>
      </w:r>
      <w:r>
        <w:rPr>
          <w:rFonts w:hint="eastAsia" w:ascii="仿宋" w:hAnsi="仿宋" w:eastAsia="仿宋" w:cs="Times New Roman"/>
          <w:sz w:val="32"/>
          <w:szCs w:val="32"/>
          <w:lang w:eastAsia="zh-CN"/>
        </w:rPr>
        <w:t>增加因</w:t>
      </w:r>
      <w:r>
        <w:rPr>
          <w:rFonts w:hint="eastAsia" w:ascii="仿宋" w:hAnsi="仿宋" w:eastAsia="仿宋" w:cs="Times New Roman"/>
          <w:sz w:val="32"/>
          <w:szCs w:val="32"/>
        </w:rPr>
        <w:t>自然灾害灾后重建补助及其他自然灾害救灾及恢复重建支出。</w:t>
      </w:r>
    </w:p>
    <w:p w14:paraId="28634E5E">
      <w:pPr>
        <w:pStyle w:val="6"/>
        <w:rPr>
          <w:rFonts w:hint="eastAsia"/>
        </w:rPr>
      </w:pPr>
      <w:r>
        <w:drawing>
          <wp:inline distT="0" distB="0" distL="114300" distR="114300">
            <wp:extent cx="4826000" cy="2743200"/>
            <wp:effectExtent l="4445" t="4445" r="8255"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953D46">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790E08F3">
      <w:pPr>
        <w:spacing w:line="600" w:lineRule="exact"/>
        <w:ind w:firstLine="640" w:firstLineChars="200"/>
        <w:jc w:val="left"/>
        <w:rPr>
          <w:rFonts w:ascii="仿宋_GB2312" w:eastAsia="仿宋_GB2312"/>
          <w:sz w:val="32"/>
          <w:szCs w:val="32"/>
        </w:rPr>
      </w:pPr>
    </w:p>
    <w:p w14:paraId="7E712423">
      <w:pPr>
        <w:pStyle w:val="31"/>
        <w:numPr>
          <w:ilvl w:val="0"/>
          <w:numId w:val="3"/>
        </w:numPr>
        <w:spacing w:line="600" w:lineRule="exact"/>
        <w:ind w:firstLineChars="0"/>
        <w:outlineLvl w:val="1"/>
        <w:rPr>
          <w:rStyle w:val="33"/>
          <w:rFonts w:ascii="黑体" w:hAnsi="黑体" w:eastAsia="黑体"/>
          <w:b w:val="0"/>
        </w:rPr>
      </w:pPr>
      <w:bookmarkStart w:id="14" w:name="_Toc10987"/>
      <w:bookmarkStart w:id="15" w:name="_Toc15377206"/>
      <w:bookmarkStart w:id="16" w:name="_Toc15396604"/>
      <w:r>
        <w:rPr>
          <w:rFonts w:hint="eastAsia" w:ascii="黑体" w:hAnsi="黑体" w:eastAsia="黑体"/>
          <w:sz w:val="32"/>
          <w:szCs w:val="32"/>
        </w:rPr>
        <w:t>收</w:t>
      </w:r>
      <w:r>
        <w:rPr>
          <w:rStyle w:val="33"/>
          <w:rFonts w:hint="eastAsia" w:ascii="黑体" w:hAnsi="黑体" w:eastAsia="黑体"/>
          <w:b w:val="0"/>
        </w:rPr>
        <w:t>入决算情况说明</w:t>
      </w:r>
      <w:bookmarkEnd w:id="14"/>
      <w:bookmarkEnd w:id="15"/>
      <w:bookmarkEnd w:id="16"/>
    </w:p>
    <w:p w14:paraId="3B03988F">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bookmarkStart w:id="17" w:name="_Toc19515"/>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1377.61万元，其中：一般公共预算财政拨款收入1377.59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0.01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14:paraId="044EC497">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bookmarkEnd w:id="17"/>
    </w:p>
    <w:p w14:paraId="07EE60A3">
      <w:pPr>
        <w:spacing w:line="600" w:lineRule="exact"/>
        <w:ind w:firstLine="420" w:firstLineChars="200"/>
        <w:outlineLvl w:val="9"/>
      </w:pPr>
    </w:p>
    <w:p w14:paraId="347C3245">
      <w:pPr>
        <w:pStyle w:val="6"/>
      </w:pPr>
      <w:r>
        <w:drawing>
          <wp:inline distT="0" distB="0" distL="114300" distR="114300">
            <wp:extent cx="4572000" cy="2743200"/>
            <wp:effectExtent l="4445" t="4445" r="14605"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24CF89">
      <w:pPr>
        <w:pStyle w:val="16"/>
      </w:pPr>
    </w:p>
    <w:p w14:paraId="6F9ACEE0">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659A0B37">
      <w:pPr>
        <w:spacing w:line="600" w:lineRule="exact"/>
        <w:ind w:firstLine="640" w:firstLineChars="200"/>
        <w:rPr>
          <w:rFonts w:ascii="仿宋_GB2312" w:eastAsia="仿宋_GB2312"/>
          <w:sz w:val="32"/>
          <w:szCs w:val="32"/>
        </w:rPr>
      </w:pPr>
    </w:p>
    <w:p w14:paraId="3A7A6C48">
      <w:pPr>
        <w:pStyle w:val="31"/>
        <w:numPr>
          <w:ilvl w:val="0"/>
          <w:numId w:val="3"/>
        </w:numPr>
        <w:spacing w:line="600" w:lineRule="exact"/>
        <w:ind w:firstLineChars="0"/>
        <w:outlineLvl w:val="1"/>
        <w:rPr>
          <w:rStyle w:val="33"/>
          <w:rFonts w:ascii="黑体" w:hAnsi="黑体" w:eastAsia="黑体"/>
          <w:b w:val="0"/>
        </w:rPr>
      </w:pPr>
      <w:bookmarkStart w:id="18" w:name="_Toc15377207"/>
      <w:bookmarkStart w:id="19" w:name="_Toc15658"/>
      <w:bookmarkStart w:id="20" w:name="_Toc15396605"/>
      <w:r>
        <w:rPr>
          <w:rFonts w:hint="eastAsia" w:ascii="黑体" w:hAnsi="黑体" w:eastAsia="黑体"/>
          <w:sz w:val="32"/>
          <w:szCs w:val="32"/>
        </w:rPr>
        <w:t>支</w:t>
      </w:r>
      <w:r>
        <w:rPr>
          <w:rStyle w:val="33"/>
          <w:rFonts w:hint="eastAsia" w:ascii="黑体" w:hAnsi="黑体" w:eastAsia="黑体"/>
          <w:b w:val="0"/>
        </w:rPr>
        <w:t>出决算情况说明</w:t>
      </w:r>
      <w:bookmarkEnd w:id="18"/>
      <w:bookmarkEnd w:id="19"/>
      <w:bookmarkEnd w:id="20"/>
    </w:p>
    <w:p w14:paraId="45271128">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1377.59</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423.64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30.75</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953.96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69.24</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14:paraId="706D867E">
      <w:pPr>
        <w:spacing w:line="600" w:lineRule="exact"/>
        <w:rPr>
          <w:rFonts w:hint="eastAsia" w:ascii="仿宋" w:hAnsi="仿宋" w:eastAsia="仿宋"/>
          <w:sz w:val="32"/>
          <w:szCs w:val="32"/>
        </w:rPr>
      </w:pPr>
    </w:p>
    <w:p w14:paraId="3F384F22">
      <w:pPr>
        <w:spacing w:line="600" w:lineRule="exact"/>
        <w:ind w:firstLine="640" w:firstLineChars="200"/>
        <w:rPr>
          <w:rFonts w:hint="eastAsia" w:ascii="仿宋" w:hAnsi="仿宋" w:eastAsia="仿宋"/>
          <w:sz w:val="32"/>
          <w:szCs w:val="32"/>
        </w:rPr>
      </w:pPr>
    </w:p>
    <w:p w14:paraId="6E7FB1F9">
      <w:pPr>
        <w:pStyle w:val="6"/>
        <w:rPr>
          <w:rFonts w:hint="eastAsia" w:ascii="仿宋" w:hAnsi="仿宋" w:eastAsia="仿宋"/>
          <w:sz w:val="32"/>
          <w:szCs w:val="32"/>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B110A4">
      <w:pPr>
        <w:pStyle w:val="16"/>
        <w:rPr>
          <w:rFonts w:hint="eastAsia"/>
        </w:rPr>
      </w:pPr>
    </w:p>
    <w:p w14:paraId="111B7D7F">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18B85AAA">
      <w:pPr>
        <w:spacing w:line="600" w:lineRule="exact"/>
        <w:ind w:firstLine="640" w:firstLineChars="200"/>
        <w:rPr>
          <w:rFonts w:ascii="仿宋_GB2312" w:eastAsia="仿宋_GB2312"/>
          <w:sz w:val="32"/>
          <w:szCs w:val="32"/>
        </w:rPr>
      </w:pPr>
    </w:p>
    <w:p w14:paraId="18686C85">
      <w:pPr>
        <w:spacing w:line="600" w:lineRule="exact"/>
        <w:ind w:firstLine="640" w:firstLineChars="200"/>
        <w:outlineLvl w:val="1"/>
        <w:rPr>
          <w:rStyle w:val="33"/>
          <w:rFonts w:ascii="黑体" w:hAnsi="黑体" w:eastAsia="黑体"/>
          <w:b w:val="0"/>
        </w:rPr>
      </w:pPr>
      <w:bookmarkStart w:id="21" w:name="_Toc15396606"/>
      <w:bookmarkStart w:id="22" w:name="_Toc18906"/>
      <w:bookmarkStart w:id="23" w:name="_Toc15377208"/>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21"/>
      <w:bookmarkEnd w:id="22"/>
      <w:bookmarkEnd w:id="23"/>
    </w:p>
    <w:p w14:paraId="21E50855">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年度财政拨款收、支总计均为</w:t>
      </w:r>
      <w:r>
        <w:rPr>
          <w:rFonts w:hint="eastAsia" w:ascii="仿宋_GB2312" w:hAnsi="仿宋_GB2312" w:eastAsia="仿宋_GB2312" w:cs="仿宋_GB2312"/>
          <w:sz w:val="32"/>
          <w:szCs w:val="32"/>
        </w:rPr>
        <w:t>1377.59</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年度相比，财政拨款收、支总计各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552.96</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67.05</w:t>
      </w:r>
      <w:r>
        <w:rPr>
          <w:rFonts w:hint="eastAsia" w:ascii="仿宋" w:hAnsi="仿宋" w:eastAsia="仿宋"/>
          <w:sz w:val="32"/>
          <w:szCs w:val="32"/>
          <w:lang w:eastAsia="zh-CN"/>
        </w:rPr>
        <w:t>％</w:t>
      </w:r>
      <w:r>
        <w:rPr>
          <w:rFonts w:hint="eastAsia" w:ascii="仿宋" w:hAnsi="仿宋" w:eastAsia="仿宋"/>
          <w:sz w:val="32"/>
          <w:szCs w:val="32"/>
        </w:rPr>
        <w:t>。主要变动原因是</w:t>
      </w:r>
      <w:r>
        <w:rPr>
          <w:rFonts w:hint="eastAsia" w:ascii="仿宋" w:hAnsi="仿宋" w:eastAsia="仿宋" w:cs="Times New Roman"/>
          <w:sz w:val="32"/>
          <w:szCs w:val="32"/>
        </w:rPr>
        <w:t>本年度</w:t>
      </w:r>
      <w:r>
        <w:rPr>
          <w:rFonts w:hint="eastAsia" w:ascii="仿宋" w:hAnsi="仿宋" w:eastAsia="仿宋" w:cs="Times New Roman"/>
          <w:sz w:val="32"/>
          <w:szCs w:val="32"/>
          <w:lang w:eastAsia="zh-CN"/>
        </w:rPr>
        <w:t>增加因</w:t>
      </w:r>
      <w:r>
        <w:rPr>
          <w:rFonts w:hint="eastAsia" w:ascii="仿宋" w:hAnsi="仿宋" w:eastAsia="仿宋" w:cs="Times New Roman"/>
          <w:sz w:val="32"/>
          <w:szCs w:val="32"/>
        </w:rPr>
        <w:t>自然灾害灾后重建补助及其他自然灾害救灾及恢复重建支出。</w:t>
      </w:r>
    </w:p>
    <w:p w14:paraId="1B992A5F">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30D5FA7F">
      <w:pPr>
        <w:pStyle w:val="16"/>
      </w:pPr>
      <w:r>
        <w:drawing>
          <wp:inline distT="0" distB="0" distL="114300" distR="114300">
            <wp:extent cx="4826000" cy="2743200"/>
            <wp:effectExtent l="4445" t="4445" r="8255"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50453B">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47C48964">
      <w:pPr>
        <w:spacing w:line="600" w:lineRule="exact"/>
        <w:ind w:firstLine="640"/>
        <w:rPr>
          <w:rFonts w:ascii="仿宋" w:hAnsi="仿宋" w:eastAsia="仿宋"/>
          <w:b/>
          <w:sz w:val="32"/>
          <w:szCs w:val="32"/>
        </w:rPr>
      </w:pPr>
    </w:p>
    <w:p w14:paraId="37A8612C">
      <w:pPr>
        <w:spacing w:line="600" w:lineRule="exact"/>
        <w:ind w:firstLine="640" w:firstLineChars="200"/>
        <w:outlineLvl w:val="1"/>
        <w:rPr>
          <w:rStyle w:val="33"/>
          <w:rFonts w:ascii="黑体" w:hAnsi="黑体" w:eastAsia="黑体"/>
          <w:b w:val="0"/>
        </w:rPr>
      </w:pPr>
      <w:bookmarkStart w:id="24" w:name="_Toc15396607"/>
      <w:bookmarkStart w:id="25" w:name="_Toc15377209"/>
      <w:bookmarkStart w:id="26" w:name="_Toc22252"/>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24"/>
      <w:bookmarkEnd w:id="25"/>
      <w:bookmarkEnd w:id="26"/>
    </w:p>
    <w:p w14:paraId="6A441171">
      <w:pPr>
        <w:spacing w:line="600" w:lineRule="exact"/>
        <w:ind w:firstLine="643" w:firstLineChars="200"/>
        <w:outlineLvl w:val="2"/>
        <w:rPr>
          <w:rFonts w:ascii="仿宋" w:hAnsi="仿宋" w:eastAsia="仿宋"/>
          <w:b/>
          <w:sz w:val="32"/>
          <w:szCs w:val="32"/>
        </w:rPr>
      </w:pPr>
      <w:bookmarkStart w:id="27" w:name="_Toc15377210"/>
      <w:r>
        <w:rPr>
          <w:rFonts w:hint="eastAsia" w:ascii="仿宋" w:hAnsi="仿宋" w:eastAsia="仿宋"/>
          <w:b/>
          <w:sz w:val="32"/>
          <w:szCs w:val="32"/>
        </w:rPr>
        <w:t>（一）一般公共预算财政拨款支出决算总体情况</w:t>
      </w:r>
      <w:bookmarkEnd w:id="27"/>
    </w:p>
    <w:p w14:paraId="50377A9F">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_GB2312" w:hAnsi="仿宋_GB2312" w:eastAsia="仿宋_GB2312" w:cs="仿宋_GB2312"/>
          <w:sz w:val="32"/>
          <w:szCs w:val="32"/>
        </w:rPr>
        <w:t>1377.59</w:t>
      </w:r>
      <w:r>
        <w:rPr>
          <w:rFonts w:hint="eastAsia" w:ascii="仿宋" w:hAnsi="仿宋" w:eastAsia="仿宋"/>
          <w:sz w:val="32"/>
          <w:szCs w:val="32"/>
        </w:rPr>
        <w:t>万元，占本年支出合计的</w:t>
      </w:r>
      <w:r>
        <w:rPr>
          <w:rFonts w:ascii="仿宋" w:hAnsi="仿宋" w:eastAsia="仿宋"/>
          <w:b/>
          <w:sz w:val="32"/>
          <w:szCs w:val="32"/>
        </w:rPr>
        <w:t>100</w:t>
      </w:r>
      <w:r>
        <w:rPr>
          <w:rFonts w:hint="eastAsia" w:ascii="仿宋" w:hAnsi="仿宋" w:eastAsia="仿宋"/>
          <w:sz w:val="32"/>
          <w:szCs w:val="32"/>
          <w:lang w:eastAsia="zh-CN"/>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年度相比，一般公共预算财政拨款支出</w:t>
      </w:r>
      <w:r>
        <w:rPr>
          <w:rFonts w:hint="eastAsia" w:ascii="仿宋" w:hAnsi="仿宋" w:eastAsia="仿宋"/>
          <w:sz w:val="32"/>
          <w:szCs w:val="32"/>
          <w:lang w:eastAsia="zh-CN"/>
        </w:rPr>
        <w:t>增加</w:t>
      </w:r>
      <w:r>
        <w:rPr>
          <w:rFonts w:hint="eastAsia" w:ascii="仿宋" w:hAnsi="仿宋" w:eastAsia="仿宋"/>
          <w:sz w:val="32"/>
          <w:szCs w:val="32"/>
          <w:lang w:val="en-US" w:eastAsia="zh-CN"/>
        </w:rPr>
        <w:t>552.96</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67.05</w:t>
      </w:r>
      <w:r>
        <w:rPr>
          <w:rFonts w:hint="eastAsia" w:ascii="仿宋" w:hAnsi="仿宋" w:eastAsia="仿宋"/>
          <w:sz w:val="32"/>
          <w:szCs w:val="32"/>
          <w:lang w:eastAsia="zh-CN"/>
        </w:rPr>
        <w:t>％</w:t>
      </w:r>
      <w:r>
        <w:rPr>
          <w:rFonts w:hint="eastAsia" w:ascii="仿宋" w:hAnsi="仿宋" w:eastAsia="仿宋"/>
          <w:sz w:val="32"/>
          <w:szCs w:val="32"/>
        </w:rPr>
        <w:t>。主要变动原因是</w:t>
      </w:r>
      <w:r>
        <w:rPr>
          <w:rFonts w:hint="eastAsia" w:ascii="仿宋" w:hAnsi="仿宋" w:eastAsia="仿宋" w:cs="Times New Roman"/>
          <w:sz w:val="32"/>
          <w:szCs w:val="32"/>
        </w:rPr>
        <w:t>本年度</w:t>
      </w:r>
      <w:r>
        <w:rPr>
          <w:rFonts w:hint="eastAsia" w:ascii="仿宋" w:hAnsi="仿宋" w:eastAsia="仿宋" w:cs="Times New Roman"/>
          <w:sz w:val="32"/>
          <w:szCs w:val="32"/>
          <w:lang w:eastAsia="zh-CN"/>
        </w:rPr>
        <w:t>增加因</w:t>
      </w:r>
      <w:r>
        <w:rPr>
          <w:rFonts w:hint="eastAsia" w:ascii="仿宋" w:hAnsi="仿宋" w:eastAsia="仿宋" w:cs="Times New Roman"/>
          <w:sz w:val="32"/>
          <w:szCs w:val="32"/>
        </w:rPr>
        <w:t>自然灾害灾后重建补助及其他自然灾害救灾及恢复重建支出。</w:t>
      </w:r>
    </w:p>
    <w:p w14:paraId="67F1EA4F">
      <w:pPr>
        <w:spacing w:line="600" w:lineRule="exact"/>
        <w:ind w:firstLine="420" w:firstLineChars="200"/>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337820</wp:posOffset>
            </wp:positionH>
            <wp:positionV relativeFrom="paragraph">
              <wp:posOffset>332740</wp:posOffset>
            </wp:positionV>
            <wp:extent cx="4826000" cy="1743075"/>
            <wp:effectExtent l="4445" t="4445" r="8255" b="5080"/>
            <wp:wrapTopAndBottom/>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（图5：一般公共预算财政拨款支出决算变动情况）（柱状图）</w:t>
      </w:r>
    </w:p>
    <w:p w14:paraId="7790A261">
      <w:pPr>
        <w:spacing w:line="600" w:lineRule="exact"/>
        <w:ind w:firstLine="640" w:firstLineChars="200"/>
        <w:rPr>
          <w:rFonts w:ascii="仿宋" w:hAnsi="仿宋" w:eastAsia="仿宋"/>
          <w:sz w:val="32"/>
          <w:szCs w:val="32"/>
        </w:rPr>
      </w:pPr>
    </w:p>
    <w:p w14:paraId="131A7820">
      <w:pPr>
        <w:spacing w:line="600" w:lineRule="exact"/>
        <w:ind w:firstLine="643" w:firstLineChars="200"/>
        <w:outlineLvl w:val="2"/>
        <w:rPr>
          <w:rFonts w:ascii="仿宋" w:hAnsi="仿宋" w:eastAsia="仿宋"/>
          <w:b/>
          <w:sz w:val="32"/>
          <w:szCs w:val="32"/>
        </w:rPr>
      </w:pPr>
      <w:bookmarkStart w:id="28" w:name="_Toc15377211"/>
      <w:r>
        <w:rPr>
          <w:rFonts w:hint="eastAsia" w:ascii="仿宋" w:hAnsi="仿宋" w:eastAsia="仿宋"/>
          <w:b/>
          <w:sz w:val="32"/>
          <w:szCs w:val="32"/>
        </w:rPr>
        <w:t>（二）一般公共预算财政拨款支出决算结构情况</w:t>
      </w:r>
      <w:bookmarkEnd w:id="28"/>
    </w:p>
    <w:p w14:paraId="16D6DBE6">
      <w:pPr>
        <w:spacing w:line="600" w:lineRule="exact"/>
        <w:ind w:firstLine="640"/>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_GB2312" w:hAnsi="仿宋_GB2312" w:eastAsia="仿宋_GB2312" w:cs="仿宋_GB2312"/>
          <w:sz w:val="32"/>
          <w:szCs w:val="32"/>
        </w:rPr>
        <w:t>1377.59</w:t>
      </w:r>
      <w:r>
        <w:rPr>
          <w:rFonts w:hint="eastAsia" w:ascii="仿宋" w:hAnsi="仿宋" w:eastAsia="仿宋"/>
          <w:sz w:val="32"/>
          <w:szCs w:val="32"/>
        </w:rPr>
        <w:t>万元，主要用于以下方面</w:t>
      </w:r>
      <w:r>
        <w:rPr>
          <w:rFonts w:hint="eastAsia" w:ascii="仿宋" w:hAnsi="仿宋" w:eastAsia="仿宋"/>
          <w:sz w:val="32"/>
          <w:szCs w:val="32"/>
          <w:lang w:eastAsia="zh-CN"/>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val="0"/>
          <w:bCs w:val="0"/>
          <w:sz w:val="32"/>
          <w:szCs w:val="32"/>
        </w:rPr>
        <w:t>101.05</w:t>
      </w:r>
      <w:r>
        <w:rPr>
          <w:rFonts w:hint="eastAsia" w:ascii="仿宋" w:hAnsi="仿宋" w:eastAsia="仿宋"/>
          <w:sz w:val="32"/>
          <w:szCs w:val="32"/>
        </w:rPr>
        <w:t>万元，占</w:t>
      </w:r>
      <w:r>
        <w:rPr>
          <w:rFonts w:hint="eastAsia" w:ascii="仿宋" w:hAnsi="仿宋" w:eastAsia="仿宋"/>
          <w:sz w:val="32"/>
          <w:szCs w:val="32"/>
          <w:lang w:val="en-US" w:eastAsia="zh-CN"/>
        </w:rPr>
        <w:t>7.33</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10.47</w:t>
      </w:r>
      <w:r>
        <w:rPr>
          <w:rFonts w:hint="eastAsia" w:ascii="仿宋" w:hAnsi="仿宋" w:eastAsia="仿宋"/>
          <w:sz w:val="32"/>
          <w:szCs w:val="32"/>
        </w:rPr>
        <w:t>万元，占</w:t>
      </w:r>
      <w:r>
        <w:rPr>
          <w:rFonts w:hint="eastAsia" w:ascii="仿宋" w:hAnsi="仿宋" w:eastAsia="仿宋"/>
          <w:sz w:val="32"/>
          <w:szCs w:val="32"/>
          <w:lang w:val="en-US" w:eastAsia="zh-CN"/>
        </w:rPr>
        <w:t>0.76</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28</w:t>
      </w:r>
      <w:r>
        <w:rPr>
          <w:rFonts w:hint="eastAsia" w:ascii="仿宋" w:hAnsi="仿宋" w:eastAsia="仿宋"/>
          <w:sz w:val="32"/>
          <w:szCs w:val="32"/>
        </w:rPr>
        <w:t>万元，占</w:t>
      </w:r>
      <w:r>
        <w:rPr>
          <w:rFonts w:hint="eastAsia" w:ascii="仿宋" w:hAnsi="仿宋" w:eastAsia="仿宋"/>
          <w:sz w:val="32"/>
          <w:szCs w:val="32"/>
          <w:lang w:val="en-US" w:eastAsia="zh-CN"/>
        </w:rPr>
        <w:t>2.03</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lang w:val="en-US" w:eastAsia="zh-CN"/>
        </w:rPr>
        <w:t>1.44</w:t>
      </w:r>
      <w:r>
        <w:rPr>
          <w:rFonts w:hint="eastAsia" w:ascii="仿宋" w:hAnsi="仿宋" w:eastAsia="仿宋"/>
          <w:sz w:val="32"/>
          <w:szCs w:val="32"/>
        </w:rPr>
        <w:t>万元，占</w:t>
      </w:r>
      <w:r>
        <w:rPr>
          <w:rFonts w:hint="eastAsia" w:ascii="仿宋" w:hAnsi="仿宋" w:eastAsia="仿宋"/>
          <w:sz w:val="32"/>
          <w:szCs w:val="32"/>
          <w:lang w:val="en-US" w:eastAsia="zh-CN"/>
        </w:rPr>
        <w:t>0.1％；</w:t>
      </w:r>
      <w:r>
        <w:rPr>
          <w:rFonts w:hint="eastAsia" w:ascii="仿宋" w:hAnsi="仿宋" w:eastAsia="仿宋"/>
          <w:b/>
          <w:bCs/>
          <w:sz w:val="32"/>
          <w:szCs w:val="32"/>
        </w:rPr>
        <w:t>灾害防治及应急管理支出</w:t>
      </w:r>
      <w:r>
        <w:rPr>
          <w:rFonts w:hint="eastAsia" w:ascii="仿宋" w:hAnsi="仿宋" w:eastAsia="仿宋"/>
          <w:sz w:val="32"/>
          <w:szCs w:val="32"/>
          <w:lang w:val="en-US" w:eastAsia="zh-CN"/>
        </w:rPr>
        <w:t>1236.63</w:t>
      </w:r>
      <w:r>
        <w:rPr>
          <w:rFonts w:hint="eastAsia" w:ascii="仿宋" w:hAnsi="仿宋" w:eastAsia="仿宋"/>
          <w:sz w:val="32"/>
          <w:szCs w:val="32"/>
        </w:rPr>
        <w:t>万元，占</w:t>
      </w:r>
      <w:r>
        <w:rPr>
          <w:rFonts w:hint="eastAsia" w:ascii="仿宋" w:hAnsi="仿宋" w:eastAsia="仿宋"/>
          <w:sz w:val="32"/>
          <w:szCs w:val="32"/>
          <w:lang w:val="en-US" w:eastAsia="zh-CN"/>
        </w:rPr>
        <w:t>89.76％。</w:t>
      </w:r>
    </w:p>
    <w:p w14:paraId="2641897D">
      <w:pPr>
        <w:spacing w:line="600" w:lineRule="exact"/>
        <w:ind w:firstLine="640"/>
        <w:rPr>
          <w:rFonts w:ascii="仿宋" w:hAnsi="仿宋" w:eastAsia="仿宋"/>
          <w:b/>
          <w:sz w:val="32"/>
          <w:szCs w:val="32"/>
        </w:rPr>
      </w:pPr>
    </w:p>
    <w:p w14:paraId="2594E564">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14:paraId="7789C409">
      <w:pPr>
        <w:pStyle w:val="16"/>
        <w:rPr>
          <w:rFonts w:ascii="仿宋" w:hAnsi="仿宋" w:eastAsia="仿宋"/>
          <w:sz w:val="32"/>
          <w:szCs w:val="32"/>
        </w:rPr>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837664">
      <w:pPr>
        <w:pStyle w:val="6"/>
      </w:pPr>
    </w:p>
    <w:p w14:paraId="345E559C">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56CFE846">
      <w:pPr>
        <w:spacing w:line="600" w:lineRule="exact"/>
        <w:ind w:firstLine="640" w:firstLineChars="200"/>
        <w:rPr>
          <w:rFonts w:ascii="仿宋" w:hAnsi="仿宋" w:eastAsia="仿宋"/>
          <w:sz w:val="32"/>
          <w:szCs w:val="32"/>
        </w:rPr>
      </w:pPr>
    </w:p>
    <w:p w14:paraId="7703B55B">
      <w:pPr>
        <w:spacing w:line="600" w:lineRule="exact"/>
        <w:ind w:firstLine="643" w:firstLineChars="200"/>
        <w:outlineLvl w:val="2"/>
        <w:rPr>
          <w:rFonts w:ascii="仿宋" w:hAnsi="仿宋" w:eastAsia="仿宋"/>
          <w:b/>
          <w:sz w:val="32"/>
          <w:szCs w:val="32"/>
        </w:rPr>
      </w:pPr>
      <w:bookmarkStart w:id="29" w:name="_Toc15377212"/>
      <w:r>
        <w:rPr>
          <w:rFonts w:hint="eastAsia" w:ascii="仿宋" w:hAnsi="仿宋" w:eastAsia="仿宋"/>
          <w:b/>
          <w:sz w:val="32"/>
          <w:szCs w:val="32"/>
        </w:rPr>
        <w:t>（三）一般公共预算财政拨款支出决算具体情况</w:t>
      </w:r>
      <w:bookmarkEnd w:id="29"/>
    </w:p>
    <w:p w14:paraId="44FF652A">
      <w:pPr>
        <w:spacing w:line="600" w:lineRule="exact"/>
        <w:ind w:firstLine="643" w:firstLineChars="200"/>
        <w:outlineLvl w:val="2"/>
        <w:rPr>
          <w:rFonts w:ascii="仿宋" w:hAnsi="仿宋" w:eastAsia="仿宋"/>
          <w:sz w:val="32"/>
          <w:szCs w:val="32"/>
        </w:rPr>
      </w:pPr>
      <w:bookmarkStart w:id="30" w:name="_Toc15378460"/>
      <w:bookmarkStart w:id="31" w:name="_Toc15377213"/>
      <w:bookmarkStart w:id="32" w:name="_Toc15377444"/>
      <w:r>
        <w:rPr>
          <w:rFonts w:hint="eastAsia" w:ascii="仿宋" w:hAnsi="仿宋" w:eastAsia="仿宋"/>
          <w:b/>
          <w:sz w:val="32"/>
          <w:szCs w:val="32"/>
        </w:rPr>
        <w:t>202</w:t>
      </w:r>
      <w:r>
        <w:rPr>
          <w:rFonts w:hint="eastAsia" w:ascii="仿宋" w:hAnsi="仿宋" w:eastAsia="仿宋"/>
          <w:b/>
          <w:sz w:val="32"/>
          <w:szCs w:val="32"/>
          <w:lang w:val="en-US" w:eastAsia="zh-CN"/>
        </w:rPr>
        <w:t>4</w:t>
      </w:r>
      <w:r>
        <w:rPr>
          <w:rFonts w:hint="eastAsia" w:ascii="仿宋" w:hAnsi="仿宋" w:eastAsia="仿宋"/>
          <w:b/>
          <w:sz w:val="32"/>
          <w:szCs w:val="32"/>
        </w:rPr>
        <w:t>年度一般公共预算支出</w:t>
      </w:r>
      <w:r>
        <w:rPr>
          <w:rFonts w:hint="eastAsia" w:ascii="仿宋" w:hAnsi="仿宋" w:eastAsia="仿宋"/>
          <w:b/>
          <w:bCs w:val="0"/>
          <w:sz w:val="32"/>
          <w:szCs w:val="32"/>
        </w:rPr>
        <w:t>决算数为</w:t>
      </w:r>
      <w:r>
        <w:rPr>
          <w:rFonts w:hint="eastAsia" w:ascii="仿宋_GB2312" w:hAnsi="仿宋_GB2312" w:eastAsia="仿宋_GB2312" w:cs="仿宋_GB2312"/>
          <w:b/>
          <w:bCs w:val="0"/>
          <w:sz w:val="32"/>
          <w:szCs w:val="32"/>
        </w:rPr>
        <w:t>1377.59</w:t>
      </w:r>
      <w:r>
        <w:rPr>
          <w:rFonts w:hint="eastAsia" w:ascii="仿宋_GB2312" w:hAnsi="仿宋_GB2312" w:eastAsia="仿宋_GB2312" w:cs="仿宋_GB2312"/>
          <w:b/>
          <w:bCs w:val="0"/>
          <w:sz w:val="32"/>
          <w:szCs w:val="32"/>
          <w:lang w:eastAsia="zh-CN"/>
        </w:rPr>
        <w:t>万元</w:t>
      </w:r>
      <w:r>
        <w:rPr>
          <w:rFonts w:hint="eastAsia" w:ascii="仿宋" w:hAnsi="仿宋" w:eastAsia="仿宋"/>
          <w:b/>
          <w:bCs w:val="0"/>
          <w:sz w:val="32"/>
          <w:szCs w:val="32"/>
        </w:rPr>
        <w:t>，</w:t>
      </w:r>
      <w:r>
        <w:rPr>
          <w:rStyle w:val="20"/>
          <w:rFonts w:hint="eastAsia" w:ascii="仿宋" w:hAnsi="仿宋" w:eastAsia="仿宋"/>
          <w:b/>
          <w:bCs w:val="0"/>
          <w:sz w:val="32"/>
          <w:szCs w:val="32"/>
        </w:rPr>
        <w:t>完</w:t>
      </w:r>
      <w:r>
        <w:rPr>
          <w:rStyle w:val="20"/>
          <w:rFonts w:hint="eastAsia" w:ascii="仿宋" w:hAnsi="仿宋" w:eastAsia="仿宋"/>
          <w:bCs/>
          <w:sz w:val="32"/>
          <w:szCs w:val="32"/>
        </w:rPr>
        <w:t>成预算</w:t>
      </w:r>
      <w:r>
        <w:rPr>
          <w:rStyle w:val="20"/>
          <w:rFonts w:hint="eastAsia" w:ascii="仿宋" w:hAnsi="仿宋" w:eastAsia="仿宋"/>
          <w:bCs/>
          <w:sz w:val="32"/>
          <w:szCs w:val="32"/>
          <w:lang w:val="en-US" w:eastAsia="zh-CN"/>
        </w:rPr>
        <w:t>100</w:t>
      </w:r>
      <w:r>
        <w:rPr>
          <w:rStyle w:val="20"/>
          <w:rFonts w:hint="eastAsia" w:ascii="仿宋" w:hAnsi="仿宋" w:eastAsia="仿宋"/>
          <w:bCs/>
          <w:sz w:val="32"/>
          <w:szCs w:val="32"/>
          <w:lang w:eastAsia="zh-CN"/>
        </w:rPr>
        <w:t>％</w:t>
      </w:r>
      <w:r>
        <w:rPr>
          <w:rStyle w:val="20"/>
          <w:rFonts w:hint="eastAsia" w:ascii="仿宋" w:hAnsi="仿宋" w:eastAsia="仿宋"/>
          <w:bCs/>
          <w:sz w:val="32"/>
          <w:szCs w:val="32"/>
        </w:rPr>
        <w:t>。其中：</w:t>
      </w:r>
      <w:bookmarkEnd w:id="30"/>
      <w:bookmarkEnd w:id="31"/>
      <w:bookmarkEnd w:id="32"/>
    </w:p>
    <w:p w14:paraId="075BA784">
      <w:pPr>
        <w:pStyle w:val="15"/>
        <w:keepNext w:val="0"/>
        <w:keepLines w:val="0"/>
        <w:widowControl/>
        <w:numPr>
          <w:ilvl w:val="0"/>
          <w:numId w:val="4"/>
        </w:numPr>
        <w:suppressLineNumbers w:val="0"/>
        <w:spacing w:before="315" w:beforeAutospacing="0" w:after="315" w:afterAutospacing="0" w:line="15" w:lineRule="atLeast"/>
        <w:ind w:left="-210" w:leftChars="0" w:firstLine="420" w:firstLineChars="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社会保障和就业（类）：社会保障和就业支出（类）行政事业单位养老支出（款）机关事业单位基本养老保险缴费支出（项）：支出决算为33.3万元，完成预算100％，决算数等于预算数。社会保障和就业支出（类）行政事业单位养老支出（款）机关事业单位职业年金缴费支出（项）：决算为16.65万元，完成预算100％，决算数等于预算数。社会保障和就业支出（类）残疾人事业（款）残疾人就业（项）：支出决算为3.18万元，完成预算100％，决算数等于预算数；社会保障和就业支出（类）其他社会保障和就业支出（款）其他社会保障和就业支出（项）：支出决算为47.92万元，完成预算100％，决算数等于预算数。</w:t>
      </w:r>
    </w:p>
    <w:p w14:paraId="27584785">
      <w:pPr>
        <w:pStyle w:val="15"/>
        <w:keepNext w:val="0"/>
        <w:keepLines w:val="0"/>
        <w:widowControl/>
        <w:numPr>
          <w:ilvl w:val="0"/>
          <w:numId w:val="4"/>
        </w:numPr>
        <w:suppressLineNumbers w:val="0"/>
        <w:spacing w:before="315" w:beforeAutospacing="0" w:after="315" w:afterAutospacing="0" w:line="15" w:lineRule="atLeast"/>
        <w:ind w:left="-210" w:leftChars="0" w:firstLine="420" w:firstLineChars="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卫生健康（类）：卫生健康支出（类）行政事业单位医疗（款）行政单位医疗（项）：支出决算为7.03万元，完成预算100％，决算数等于预算数。卫生健康支出（类）行政事业单位医疗（款）事业单位医疗（项）：支出决算为2.42万元，完成预算100％，决算数等于预算数。卫生健康支出（类）行政事业单位医疗（款）公务员医疗补助（项）：支出决算为1.02万元，完成预算100％，决算数等于预算数。</w:t>
      </w:r>
    </w:p>
    <w:p w14:paraId="6C0EE6CA">
      <w:pPr>
        <w:pStyle w:val="15"/>
        <w:keepNext w:val="0"/>
        <w:keepLines w:val="0"/>
        <w:widowControl/>
        <w:numPr>
          <w:ilvl w:val="0"/>
          <w:numId w:val="4"/>
        </w:numPr>
        <w:suppressLineNumbers w:val="0"/>
        <w:spacing w:before="315" w:beforeAutospacing="0" w:after="315" w:afterAutospacing="0" w:line="15" w:lineRule="atLeast"/>
        <w:ind w:left="-210" w:leftChars="0" w:firstLine="420" w:firstLineChars="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住房保障（类）：住房保障支出（类）住房改革支出（款）住房公积金（项）：支出决算为28万元，完成预算100％，决算数等于预算数。</w:t>
      </w:r>
    </w:p>
    <w:p w14:paraId="54F26E4A">
      <w:pPr>
        <w:pStyle w:val="15"/>
        <w:keepNext w:val="0"/>
        <w:keepLines w:val="0"/>
        <w:widowControl/>
        <w:numPr>
          <w:ilvl w:val="0"/>
          <w:numId w:val="4"/>
        </w:numPr>
        <w:suppressLineNumbers w:val="0"/>
        <w:spacing w:before="315" w:beforeAutospacing="0" w:after="315" w:afterAutospacing="0" w:line="15" w:lineRule="atLeast"/>
        <w:ind w:left="-210" w:leftChars="0" w:firstLine="420" w:firstLineChars="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农林水支出（类）：巩固脱贫攻坚成果衔接乡村振兴（类）其他巩固脱贫攻坚成果衔接乡村振兴支出（款）其他城乡社区支出（项）：支出决算为1.44万元，完成预算100％，决算数等于预算数。</w:t>
      </w:r>
    </w:p>
    <w:p w14:paraId="54824FBD">
      <w:pPr>
        <w:pStyle w:val="15"/>
        <w:keepNext w:val="0"/>
        <w:keepLines w:val="0"/>
        <w:widowControl/>
        <w:numPr>
          <w:ilvl w:val="0"/>
          <w:numId w:val="4"/>
        </w:numPr>
        <w:suppressLineNumbers w:val="0"/>
        <w:spacing w:before="315" w:beforeAutospacing="0" w:after="315" w:afterAutospacing="0" w:line="15" w:lineRule="atLeast"/>
        <w:ind w:left="-210" w:leftChars="0" w:firstLine="420" w:firstLineChars="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灾害防治及应急管理（类）灾害防治及应急管理支出（类）应急管理事务（款）行政运行（项）：支出决算为223.75万元，完成预算100％，决算数等于预算数。灾害防治及应急管理支出（类）应急管理事务（款）灾害风险防治（项）：支出决算为62.71万元，完成预算100％，决算数等于预算数。灾害防治及应急管理支出（类）应急管理事务（款）安全监管（项）：支出决算为57.70万元，完成预算100％，决算数等于预算数。灾害防治及应急管理支出（类）应急管理事务（款）应急管理（项）：支出决算为8.96万元，完成预算100％，决算数等于预算数。灾害防治及应急管理支出（类）应急管理事务（款）事业运行（项）：支出决算为59.99万元，完成预算100％，决算数等于预算数。灾害防治及应急管理支出（类）应急管理事务（款）其他应急管理支出（项）：支出决算为508.38万元，完成预算100％，决算数等于预算数；灾害防治及应急管理支出（类）矿山安全（款）行政运行（项）：支出决算为0.37万元，完成预算100％。 灾害防治及应急管理支出（类）自然灾害救灾及恢复重建支出（款）自然灾害救灾补助（项）：支出决算为305.25万元，完成预算100％。灾害防治及应急管理支出（类）自然灾害救灾及恢复重建支出（款）其他自然灾害救灾及恢复重建支出（项）：支出决算为9.52万元，完成预算100％。</w:t>
      </w:r>
    </w:p>
    <w:p w14:paraId="557C5560">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36F8FB92">
      <w:pPr>
        <w:spacing w:line="600" w:lineRule="exact"/>
        <w:ind w:firstLine="640"/>
        <w:rPr>
          <w:rFonts w:ascii="仿宋" w:hAnsi="仿宋" w:eastAsia="仿宋"/>
          <w:b/>
          <w:sz w:val="32"/>
          <w:szCs w:val="32"/>
        </w:rPr>
      </w:pPr>
    </w:p>
    <w:p w14:paraId="27ED833E">
      <w:pPr>
        <w:tabs>
          <w:tab w:val="right" w:pos="8306"/>
        </w:tabs>
        <w:spacing w:line="600" w:lineRule="exact"/>
        <w:ind w:firstLine="640"/>
        <w:outlineLvl w:val="1"/>
        <w:rPr>
          <w:rStyle w:val="33"/>
        </w:rPr>
      </w:pPr>
      <w:bookmarkStart w:id="33" w:name="_Toc15396608"/>
      <w:bookmarkStart w:id="34" w:name="_Toc31076"/>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33"/>
      <w:bookmarkEnd w:id="34"/>
      <w:bookmarkEnd w:id="35"/>
      <w:r>
        <w:rPr>
          <w:rStyle w:val="33"/>
          <w:rFonts w:ascii="黑体" w:hAnsi="黑体" w:eastAsia="黑体"/>
          <w:b w:val="0"/>
        </w:rPr>
        <w:tab/>
      </w:r>
    </w:p>
    <w:p w14:paraId="08F29D1E">
      <w:pPr>
        <w:spacing w:line="600" w:lineRule="exact"/>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年度一般公共预算财政拨款基本支出</w:t>
      </w:r>
      <w:r>
        <w:rPr>
          <w:rFonts w:hint="eastAsia" w:ascii="仿宋_GB2312" w:hAnsi="仿宋_GB2312" w:eastAsia="仿宋_GB2312" w:cs="仿宋_GB2312"/>
          <w:sz w:val="32"/>
          <w:szCs w:val="32"/>
        </w:rPr>
        <w:t>423.64</w:t>
      </w:r>
      <w:r>
        <w:rPr>
          <w:rFonts w:hint="eastAsia" w:ascii="仿宋" w:hAnsi="仿宋" w:eastAsia="仿宋"/>
          <w:sz w:val="32"/>
          <w:szCs w:val="32"/>
        </w:rPr>
        <w:t>万元，其中：</w:t>
      </w:r>
    </w:p>
    <w:p w14:paraId="29E78BEF">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_GB2312" w:hAnsi="仿宋_GB2312" w:eastAsia="仿宋_GB2312" w:cs="仿宋_GB2312"/>
          <w:sz w:val="32"/>
          <w:szCs w:val="32"/>
        </w:rPr>
        <w:t>383.28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w:t>
      </w:r>
      <w:r>
        <w:rPr>
          <w:rFonts w:hint="eastAsia" w:ascii="仿宋" w:hAnsi="仿宋" w:eastAsia="仿宋"/>
          <w:sz w:val="32"/>
          <w:szCs w:val="32"/>
          <w:lang w:eastAsia="zh-CN"/>
        </w:rPr>
        <w:t>、</w:t>
      </w:r>
      <w:r>
        <w:rPr>
          <w:rFonts w:hint="eastAsia" w:ascii="仿宋" w:hAnsi="仿宋" w:eastAsia="仿宋"/>
          <w:sz w:val="32"/>
          <w:szCs w:val="32"/>
        </w:rPr>
        <w:t>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_GB2312" w:hAnsi="仿宋_GB2312" w:eastAsia="仿宋_GB2312" w:cs="仿宋_GB2312"/>
          <w:sz w:val="32"/>
          <w:szCs w:val="32"/>
        </w:rPr>
        <w:t>40.36</w:t>
      </w:r>
      <w:r>
        <w:rPr>
          <w:rFonts w:hint="eastAsia" w:ascii="仿宋" w:hAnsi="仿宋" w:eastAsia="仿宋"/>
          <w:sz w:val="32"/>
          <w:szCs w:val="32"/>
        </w:rPr>
        <w:t>万元，主要包括：办公费、印刷费、水费、电费、邮电费、差旅费、维修（护）费、租赁费、会议费、培训费、公务接待费、劳务费、委托业务费、工会经费、福利费、公务用车运行维护费、其他交通费</w:t>
      </w:r>
      <w:r>
        <w:rPr>
          <w:rFonts w:hint="eastAsia" w:ascii="仿宋" w:hAnsi="仿宋" w:eastAsia="仿宋"/>
          <w:sz w:val="32"/>
          <w:szCs w:val="32"/>
          <w:lang w:eastAsia="zh-CN"/>
        </w:rPr>
        <w:t>等</w:t>
      </w:r>
      <w:r>
        <w:rPr>
          <w:rFonts w:hint="eastAsia" w:ascii="仿宋" w:hAnsi="仿宋" w:eastAsia="仿宋"/>
          <w:sz w:val="32"/>
          <w:szCs w:val="32"/>
        </w:rPr>
        <w:t>。</w:t>
      </w:r>
    </w:p>
    <w:p w14:paraId="1D335847">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512CFDC4">
      <w:pPr>
        <w:spacing w:line="600" w:lineRule="exact"/>
        <w:ind w:firstLine="640"/>
        <w:rPr>
          <w:rFonts w:ascii="仿宋" w:hAnsi="仿宋" w:eastAsia="仿宋"/>
          <w:b/>
          <w:sz w:val="32"/>
          <w:szCs w:val="32"/>
        </w:rPr>
      </w:pPr>
    </w:p>
    <w:p w14:paraId="6F1354E6">
      <w:pPr>
        <w:spacing w:line="600" w:lineRule="exact"/>
        <w:ind w:firstLine="640"/>
        <w:outlineLvl w:val="1"/>
        <w:rPr>
          <w:rStyle w:val="33"/>
          <w:rFonts w:ascii="黑体" w:hAnsi="黑体" w:eastAsia="黑体"/>
          <w:b w:val="0"/>
        </w:rPr>
      </w:pPr>
      <w:bookmarkStart w:id="36" w:name="_Toc27876"/>
      <w:bookmarkStart w:id="37" w:name="_Toc15377215"/>
      <w:bookmarkStart w:id="38" w:name="_Toc15396609"/>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36"/>
      <w:bookmarkEnd w:id="37"/>
      <w:bookmarkEnd w:id="38"/>
    </w:p>
    <w:p w14:paraId="35A0BB92">
      <w:pPr>
        <w:spacing w:line="600" w:lineRule="exact"/>
        <w:ind w:firstLine="64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14:paraId="29C52911">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年度“三公”经费财政拨款支出决算为</w:t>
      </w:r>
      <w:r>
        <w:rPr>
          <w:rFonts w:hint="eastAsia" w:ascii="仿宋_GB2312" w:hAnsi="仿宋_GB2312" w:eastAsia="仿宋_GB2312" w:cs="仿宋_GB2312"/>
          <w:sz w:val="32"/>
          <w:szCs w:val="32"/>
        </w:rPr>
        <w:t>0.32</w:t>
      </w:r>
      <w:r>
        <w:rPr>
          <w:rFonts w:hint="eastAsia" w:ascii="仿宋" w:hAnsi="仿宋" w:eastAsia="仿宋"/>
          <w:sz w:val="32"/>
          <w:szCs w:val="32"/>
        </w:rPr>
        <w:t>万元，完成预算</w:t>
      </w:r>
      <w:r>
        <w:rPr>
          <w:rFonts w:hint="eastAsia" w:ascii="仿宋_GB2312" w:hAnsi="仿宋_GB2312" w:eastAsia="仿宋_GB2312" w:cs="仿宋_GB2312"/>
          <w:sz w:val="32"/>
          <w:szCs w:val="32"/>
        </w:rPr>
        <w:t>31.85</w:t>
      </w:r>
      <w:r>
        <w:rPr>
          <w:rFonts w:hint="eastAsia" w:ascii="仿宋" w:hAnsi="仿宋" w:eastAsia="仿宋"/>
          <w:sz w:val="32"/>
          <w:szCs w:val="32"/>
          <w:lang w:eastAsia="zh-CN"/>
        </w:rPr>
        <w:t>％</w:t>
      </w:r>
      <w:r>
        <w:rPr>
          <w:rFonts w:hint="eastAsia" w:ascii="仿宋" w:hAnsi="仿宋" w:eastAsia="仿宋"/>
          <w:sz w:val="32"/>
          <w:szCs w:val="32"/>
        </w:rPr>
        <w:t>，较上年度减少</w:t>
      </w:r>
      <w:r>
        <w:rPr>
          <w:rFonts w:hint="eastAsia" w:ascii="仿宋" w:hAnsi="仿宋" w:eastAsia="仿宋"/>
          <w:sz w:val="32"/>
          <w:szCs w:val="32"/>
          <w:lang w:val="en-US" w:eastAsia="zh-CN"/>
        </w:rPr>
        <w:t>1.13</w:t>
      </w:r>
      <w:r>
        <w:rPr>
          <w:rFonts w:hint="eastAsia" w:ascii="仿宋" w:hAnsi="仿宋" w:eastAsia="仿宋"/>
          <w:sz w:val="32"/>
          <w:szCs w:val="32"/>
        </w:rPr>
        <w:t>万元，下降</w:t>
      </w:r>
      <w:r>
        <w:rPr>
          <w:rFonts w:hint="eastAsia" w:ascii="仿宋" w:hAnsi="仿宋" w:eastAsia="仿宋"/>
          <w:sz w:val="32"/>
          <w:szCs w:val="32"/>
          <w:lang w:val="en-US" w:eastAsia="zh-CN"/>
        </w:rPr>
        <w:t>77.93</w:t>
      </w:r>
      <w:r>
        <w:rPr>
          <w:rFonts w:hint="eastAsia" w:ascii="仿宋" w:hAnsi="仿宋" w:eastAsia="仿宋"/>
          <w:sz w:val="32"/>
          <w:szCs w:val="32"/>
          <w:lang w:eastAsia="zh-CN"/>
        </w:rPr>
        <w:t>％</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实际接待数减少</w:t>
      </w:r>
      <w:r>
        <w:rPr>
          <w:rFonts w:hint="eastAsia" w:ascii="仿宋" w:hAnsi="仿宋" w:eastAsia="仿宋"/>
          <w:sz w:val="32"/>
          <w:szCs w:val="32"/>
        </w:rPr>
        <w:t>。</w:t>
      </w:r>
    </w:p>
    <w:p w14:paraId="6FE246C8">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4D5D0121">
      <w:pPr>
        <w:spacing w:line="600" w:lineRule="exact"/>
        <w:ind w:firstLine="640"/>
        <w:outlineLvl w:val="2"/>
        <w:rPr>
          <w:rFonts w:ascii="仿宋" w:hAnsi="仿宋" w:eastAsia="仿宋"/>
          <w:b/>
          <w:sz w:val="32"/>
          <w:szCs w:val="32"/>
        </w:rPr>
      </w:pPr>
      <w:bookmarkStart w:id="40" w:name="_Toc15377217"/>
      <w:r>
        <w:rPr>
          <w:rFonts w:hint="eastAsia" w:ascii="仿宋" w:hAnsi="仿宋" w:eastAsia="仿宋"/>
          <w:b/>
          <w:sz w:val="32"/>
          <w:szCs w:val="32"/>
        </w:rPr>
        <w:t>（二）“三公”经费财政拨款支出决算具体情况说明</w:t>
      </w:r>
      <w:bookmarkEnd w:id="40"/>
    </w:p>
    <w:p w14:paraId="1D15C892">
      <w:pPr>
        <w:spacing w:line="600" w:lineRule="exact"/>
        <w:ind w:firstLine="64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hint="eastAsia" w:ascii="仿宋" w:hAnsi="仿宋" w:eastAsia="仿宋"/>
          <w:sz w:val="32"/>
          <w:szCs w:val="32"/>
          <w:lang w:eastAsia="zh-CN"/>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hint="eastAsia" w:ascii="仿宋" w:hAnsi="仿宋" w:eastAsia="仿宋"/>
          <w:sz w:val="32"/>
          <w:szCs w:val="32"/>
          <w:lang w:eastAsia="zh-CN"/>
        </w:rPr>
        <w:t>％</w:t>
      </w:r>
      <w:r>
        <w:rPr>
          <w:rFonts w:hint="eastAsia" w:ascii="仿宋" w:hAnsi="仿宋" w:eastAsia="仿宋"/>
          <w:sz w:val="32"/>
          <w:szCs w:val="32"/>
        </w:rPr>
        <w:t>；公务接待费支出决算</w:t>
      </w:r>
      <w:r>
        <w:rPr>
          <w:rFonts w:hint="eastAsia" w:ascii="仿宋_GB2312" w:hAnsi="仿宋_GB2312" w:eastAsia="仿宋_GB2312" w:cs="仿宋_GB2312"/>
          <w:sz w:val="32"/>
          <w:szCs w:val="32"/>
        </w:rPr>
        <w:t>0.32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lang w:eastAsia="zh-CN"/>
        </w:rPr>
        <w:t>％</w:t>
      </w:r>
      <w:r>
        <w:rPr>
          <w:rFonts w:hint="eastAsia" w:ascii="仿宋" w:hAnsi="仿宋" w:eastAsia="仿宋"/>
          <w:sz w:val="32"/>
          <w:szCs w:val="32"/>
        </w:rPr>
        <w:t>。具体情况如下：</w:t>
      </w:r>
    </w:p>
    <w:p w14:paraId="7C32E18A">
      <w:pPr>
        <w:pStyle w:val="6"/>
      </w:pPr>
      <w:r>
        <w:drawing>
          <wp:inline distT="0" distB="0" distL="114300" distR="114300">
            <wp:extent cx="4826000" cy="2743200"/>
            <wp:effectExtent l="4445" t="4445" r="8255" b="1460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5A61DC">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6705C851">
      <w:pPr>
        <w:spacing w:line="600" w:lineRule="exact"/>
        <w:ind w:firstLine="640"/>
        <w:rPr>
          <w:rFonts w:ascii="仿宋_GB2312" w:eastAsia="仿宋_GB2312"/>
          <w:b/>
          <w:sz w:val="32"/>
          <w:szCs w:val="32"/>
        </w:rPr>
      </w:pPr>
      <w:bookmarkStart w:id="41" w:name="_Toc15377218"/>
      <w:bookmarkStart w:id="42"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ascii="仿宋" w:hAnsi="仿宋" w:eastAsia="仿宋"/>
          <w:bCs/>
          <w:sz w:val="32"/>
          <w:szCs w:val="32"/>
        </w:rPr>
        <w:t>0</w:t>
      </w:r>
      <w:r>
        <w:rPr>
          <w:rStyle w:val="20"/>
          <w:rFonts w:hint="eastAsia" w:ascii="仿宋" w:hAnsi="仿宋" w:eastAsia="仿宋"/>
          <w:b w:val="0"/>
          <w:bCs/>
          <w:sz w:val="32"/>
          <w:szCs w:val="32"/>
          <w:lang w:eastAsia="zh-CN"/>
        </w:rPr>
        <w:t>％</w:t>
      </w:r>
      <w:r>
        <w:rPr>
          <w:rStyle w:val="20"/>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无</w:t>
      </w:r>
      <w:r>
        <w:rPr>
          <w:rFonts w:hint="eastAsia" w:ascii="仿宋_GB2312" w:eastAsia="仿宋_GB2312"/>
          <w:sz w:val="32"/>
          <w:szCs w:val="32"/>
        </w:rPr>
        <w:t>。</w:t>
      </w:r>
    </w:p>
    <w:p w14:paraId="526E7145">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eastAsia="zh-CN"/>
        </w:rPr>
        <w:t>无</w:t>
      </w:r>
      <w:r>
        <w:rPr>
          <w:rFonts w:hint="eastAsia" w:ascii="仿宋_GB2312" w:eastAsia="仿宋_GB2312"/>
          <w:sz w:val="32"/>
          <w:szCs w:val="32"/>
        </w:rPr>
        <w:t>等。</w:t>
      </w:r>
    </w:p>
    <w:p w14:paraId="04BAE00D">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ascii="仿宋" w:hAnsi="仿宋" w:eastAsia="仿宋"/>
          <w:bCs/>
          <w:sz w:val="32"/>
          <w:szCs w:val="32"/>
        </w:rPr>
        <w:t>0</w:t>
      </w:r>
      <w:r>
        <w:rPr>
          <w:rStyle w:val="20"/>
          <w:rFonts w:hint="eastAsia" w:ascii="仿宋" w:hAnsi="仿宋" w:eastAsia="仿宋"/>
          <w:b w:val="0"/>
          <w:bCs/>
          <w:sz w:val="32"/>
          <w:szCs w:val="32"/>
          <w:lang w:eastAsia="zh-CN"/>
        </w:rPr>
        <w:t>％</w:t>
      </w:r>
      <w:r>
        <w:rPr>
          <w:rStyle w:val="20"/>
          <w:rFonts w:hint="eastAsia" w:ascii="仿宋" w:hAnsi="仿宋" w:eastAsia="仿宋"/>
          <w:b w:val="0"/>
          <w:bCs/>
          <w:sz w:val="32"/>
          <w:szCs w:val="32"/>
        </w:rPr>
        <w:t>。</w:t>
      </w:r>
      <w:r>
        <w:rPr>
          <w:rFonts w:hint="eastAsia" w:ascii="仿宋_GB2312" w:eastAsia="仿宋_GB2312"/>
          <w:sz w:val="32"/>
          <w:szCs w:val="32"/>
        </w:rPr>
        <w:t>公务用车购置及运行维护费支出决算比202</w:t>
      </w:r>
      <w:r>
        <w:rPr>
          <w:rFonts w:hint="eastAsia" w:ascii="仿宋_GB2312" w:eastAsia="仿宋_GB2312"/>
          <w:sz w:val="32"/>
          <w:szCs w:val="32"/>
          <w:lang w:val="en-US" w:eastAsia="zh-CN"/>
        </w:rPr>
        <w:t>3</w:t>
      </w:r>
      <w:r>
        <w:rPr>
          <w:rFonts w:hint="eastAsia" w:ascii="仿宋_GB2312" w:eastAsia="仿宋_GB2312"/>
          <w:sz w:val="32"/>
          <w:szCs w:val="32"/>
        </w:rPr>
        <w:t>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eastAsia="仿宋_GB2312"/>
          <w:sz w:val="32"/>
          <w:szCs w:val="32"/>
          <w:lang w:eastAsia="zh-CN"/>
        </w:rPr>
        <w:t>无</w:t>
      </w:r>
      <w:r>
        <w:rPr>
          <w:rFonts w:hint="eastAsia" w:ascii="仿宋_GB2312" w:eastAsia="仿宋_GB2312"/>
          <w:sz w:val="32"/>
          <w:szCs w:val="32"/>
        </w:rPr>
        <w:t>。</w:t>
      </w:r>
    </w:p>
    <w:p w14:paraId="322DD57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w:t>
      </w:r>
      <w:r>
        <w:rPr>
          <w:rFonts w:hint="eastAsia" w:ascii="仿宋_GB2312" w:eastAsia="仿宋_GB2312"/>
          <w:sz w:val="32"/>
          <w:szCs w:val="32"/>
          <w:lang w:eastAsia="zh-CN"/>
        </w:rPr>
        <w:t>额</w:t>
      </w:r>
      <w:bookmarkStart w:id="87" w:name="_GoBack"/>
      <w:bookmarkEnd w:id="87"/>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055E8BF7">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（具体工作）等所需的公务用车燃料费、维修费、过路过桥费、保险费等支出。</w:t>
      </w:r>
    </w:p>
    <w:p w14:paraId="4E259AE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b/>
          <w:sz w:val="32"/>
          <w:szCs w:val="32"/>
          <w:lang w:val="en-US" w:eastAsia="zh-CN"/>
        </w:rPr>
        <w:t>0.32</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Fonts w:hint="eastAsia" w:ascii="仿宋_GB2312" w:hAnsi="仿宋_GB2312" w:eastAsia="仿宋_GB2312" w:cs="仿宋_GB2312"/>
          <w:sz w:val="32"/>
          <w:szCs w:val="32"/>
        </w:rPr>
        <w:t>31.85</w:t>
      </w:r>
      <w:r>
        <w:rPr>
          <w:rStyle w:val="20"/>
          <w:rFonts w:hint="eastAsia" w:ascii="仿宋" w:hAnsi="仿宋" w:eastAsia="仿宋"/>
          <w:b w:val="0"/>
          <w:bCs/>
          <w:sz w:val="32"/>
          <w:szCs w:val="32"/>
          <w:lang w:eastAsia="zh-CN"/>
        </w:rPr>
        <w:t>％</w:t>
      </w:r>
      <w:r>
        <w:rPr>
          <w:rStyle w:val="20"/>
          <w:rFonts w:hint="eastAsia" w:ascii="仿宋" w:hAnsi="仿宋" w:eastAsia="仿宋"/>
          <w:b w:val="0"/>
          <w:bCs/>
          <w:sz w:val="32"/>
          <w:szCs w:val="32"/>
        </w:rPr>
        <w:t>。</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 w:hAnsi="仿宋" w:eastAsia="仿宋"/>
          <w:sz w:val="32"/>
          <w:szCs w:val="32"/>
        </w:rPr>
        <w:t>减少</w:t>
      </w:r>
      <w:r>
        <w:rPr>
          <w:rFonts w:hint="eastAsia" w:ascii="仿宋" w:hAnsi="仿宋" w:eastAsia="仿宋"/>
          <w:sz w:val="32"/>
          <w:szCs w:val="32"/>
          <w:lang w:val="en-US" w:eastAsia="zh-CN"/>
        </w:rPr>
        <w:t>1.13</w:t>
      </w:r>
      <w:r>
        <w:rPr>
          <w:rFonts w:hint="eastAsia" w:ascii="仿宋" w:hAnsi="仿宋" w:eastAsia="仿宋"/>
          <w:sz w:val="32"/>
          <w:szCs w:val="32"/>
        </w:rPr>
        <w:t>万元，下降</w:t>
      </w:r>
      <w:r>
        <w:rPr>
          <w:rFonts w:hint="eastAsia" w:ascii="仿宋" w:hAnsi="仿宋" w:eastAsia="仿宋"/>
          <w:sz w:val="32"/>
          <w:szCs w:val="32"/>
          <w:lang w:val="en-US" w:eastAsia="zh-CN"/>
        </w:rPr>
        <w:t>77.93</w:t>
      </w:r>
      <w:r>
        <w:rPr>
          <w:rFonts w:hint="eastAsia" w:ascii="仿宋" w:hAnsi="仿宋" w:eastAsia="仿宋"/>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接待减少</w:t>
      </w:r>
      <w:r>
        <w:rPr>
          <w:rFonts w:hint="eastAsia" w:ascii="仿宋_GB2312" w:eastAsia="仿宋_GB2312"/>
          <w:sz w:val="32"/>
          <w:szCs w:val="32"/>
        </w:rPr>
        <w:t>。其中：</w:t>
      </w:r>
    </w:p>
    <w:p w14:paraId="10ECD756">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0.32</w:t>
      </w:r>
      <w:r>
        <w:rPr>
          <w:rFonts w:hint="eastAsia" w:ascii="仿宋_GB2312" w:eastAsia="仿宋_GB2312"/>
          <w:sz w:val="32"/>
          <w:szCs w:val="32"/>
        </w:rPr>
        <w:t>万元，主要用于</w:t>
      </w:r>
      <w:r>
        <w:rPr>
          <w:rFonts w:hint="eastAsia" w:ascii="仿宋_GB2312" w:eastAsia="仿宋_GB2312"/>
          <w:sz w:val="32"/>
          <w:szCs w:val="32"/>
          <w:lang w:eastAsia="zh-CN"/>
        </w:rPr>
        <w:t>（</w:t>
      </w:r>
      <w:r>
        <w:rPr>
          <w:rFonts w:hint="eastAsia" w:ascii="仿宋_GB2312" w:eastAsia="仿宋_GB2312"/>
          <w:sz w:val="32"/>
          <w:szCs w:val="32"/>
        </w:rPr>
        <w:t>执行公务、开展业务活动开支的交通费、住宿费、用餐费等</w:t>
      </w:r>
      <w:r>
        <w:rPr>
          <w:rFonts w:hint="eastAsia" w:ascii="仿宋_GB2312" w:eastAsia="仿宋_GB2312"/>
          <w:sz w:val="32"/>
          <w:szCs w:val="32"/>
          <w:lang w:eastAsia="zh-CN"/>
        </w:rPr>
        <w:t>）</w:t>
      </w:r>
      <w:r>
        <w:rPr>
          <w:rFonts w:hint="eastAsia" w:ascii="仿宋_GB2312" w:eastAsia="仿宋_GB2312"/>
          <w:sz w:val="32"/>
          <w:szCs w:val="32"/>
        </w:rPr>
        <w:t>。国内公务接待</w:t>
      </w:r>
      <w:r>
        <w:rPr>
          <w:rFonts w:hint="eastAsia" w:ascii="仿宋_GB2312" w:eastAsia="仿宋_GB2312"/>
          <w:sz w:val="32"/>
          <w:szCs w:val="32"/>
          <w:lang w:val="en-US" w:eastAsia="zh-CN"/>
        </w:rPr>
        <w:t>3</w:t>
      </w:r>
      <w:r>
        <w:rPr>
          <w:rFonts w:hint="eastAsia" w:ascii="仿宋_GB2312" w:eastAsia="仿宋_GB2312"/>
          <w:sz w:val="32"/>
          <w:szCs w:val="32"/>
        </w:rPr>
        <w:t>批次，</w:t>
      </w:r>
      <w:r>
        <w:rPr>
          <w:rFonts w:hint="eastAsia" w:ascii="仿宋_GB2312" w:eastAsia="仿宋_GB2312"/>
          <w:sz w:val="32"/>
          <w:szCs w:val="32"/>
          <w:lang w:val="en-US" w:eastAsia="zh-CN"/>
        </w:rPr>
        <w:t>32</w:t>
      </w:r>
      <w:r>
        <w:rPr>
          <w:rFonts w:hint="eastAsia" w:ascii="仿宋_GB2312" w:eastAsia="仿宋_GB2312"/>
          <w:sz w:val="32"/>
          <w:szCs w:val="32"/>
        </w:rPr>
        <w:t>人次（不包括陪同人员），共计支出</w:t>
      </w:r>
      <w:r>
        <w:rPr>
          <w:rFonts w:hint="eastAsia" w:ascii="仿宋" w:hAnsi="仿宋" w:eastAsia="仿宋"/>
          <w:b w:val="0"/>
          <w:bCs/>
          <w:sz w:val="32"/>
          <w:szCs w:val="32"/>
          <w:lang w:val="en-US" w:eastAsia="zh-CN"/>
        </w:rPr>
        <w:t>0.32</w:t>
      </w:r>
      <w:r>
        <w:rPr>
          <w:rFonts w:hint="eastAsia" w:ascii="仿宋_GB2312" w:eastAsia="仿宋_GB2312"/>
          <w:sz w:val="32"/>
          <w:szCs w:val="32"/>
        </w:rPr>
        <w:t>万元，具体内容包括：</w:t>
      </w:r>
      <w:r>
        <w:rPr>
          <w:rFonts w:hint="eastAsia" w:ascii="仿宋_GB2312" w:hAnsi="Times New Roman" w:eastAsia="仿宋_GB2312" w:cs="Times New Roman"/>
          <w:kern w:val="0"/>
          <w:sz w:val="32"/>
          <w:szCs w:val="32"/>
          <w:lang w:val="en-US" w:eastAsia="zh-CN" w:bidi="ar"/>
        </w:rPr>
        <w:t>专家会诊项目、灾害生活补助项目、地震桌面演练</w:t>
      </w:r>
      <w:r>
        <w:rPr>
          <w:rFonts w:hint="eastAsia" w:ascii="仿宋_GB2312" w:eastAsia="仿宋_GB2312"/>
          <w:sz w:val="32"/>
          <w:szCs w:val="32"/>
        </w:rPr>
        <w:t>。</w:t>
      </w:r>
    </w:p>
    <w:p w14:paraId="024E4DCD">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18B03CF5">
      <w:pPr>
        <w:spacing w:line="600" w:lineRule="exact"/>
        <w:ind w:firstLine="640"/>
        <w:outlineLvl w:val="9"/>
        <w:rPr>
          <w:rFonts w:ascii="黑体" w:eastAsia="黑体"/>
          <w:sz w:val="32"/>
          <w:szCs w:val="32"/>
        </w:rPr>
      </w:pPr>
    </w:p>
    <w:p w14:paraId="4A672BCD">
      <w:pPr>
        <w:spacing w:line="600" w:lineRule="exact"/>
        <w:ind w:firstLine="640"/>
        <w:outlineLvl w:val="1"/>
        <w:rPr>
          <w:rStyle w:val="33"/>
          <w:rFonts w:ascii="黑体" w:hAnsi="黑体" w:eastAsia="黑体"/>
        </w:rPr>
      </w:pPr>
      <w:bookmarkStart w:id="43" w:name="_Toc6619"/>
      <w:r>
        <w:rPr>
          <w:rFonts w:hint="eastAsia" w:ascii="黑体" w:eastAsia="黑体"/>
          <w:sz w:val="32"/>
          <w:szCs w:val="32"/>
        </w:rPr>
        <w:t>八、</w:t>
      </w:r>
      <w:r>
        <w:rPr>
          <w:rStyle w:val="33"/>
          <w:rFonts w:hint="eastAsia" w:ascii="黑体" w:hAnsi="黑体" w:eastAsia="黑体"/>
          <w:b w:val="0"/>
        </w:rPr>
        <w:t>政府性基金预算支出决算情况说明</w:t>
      </w:r>
      <w:bookmarkEnd w:id="41"/>
      <w:bookmarkEnd w:id="42"/>
      <w:bookmarkEnd w:id="43"/>
    </w:p>
    <w:p w14:paraId="5A4A8B8B">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27C9BF1">
      <w:pPr>
        <w:spacing w:line="600" w:lineRule="exact"/>
        <w:ind w:firstLine="640"/>
        <w:rPr>
          <w:rFonts w:ascii="仿宋_GB2312" w:eastAsia="仿宋_GB2312"/>
          <w:sz w:val="32"/>
          <w:szCs w:val="32"/>
        </w:rPr>
      </w:pPr>
    </w:p>
    <w:p w14:paraId="7FC6F672">
      <w:pPr>
        <w:numPr>
          <w:ilvl w:val="0"/>
          <w:numId w:val="5"/>
        </w:numPr>
        <w:spacing w:line="600" w:lineRule="exact"/>
        <w:ind w:firstLine="640"/>
        <w:outlineLvl w:val="1"/>
        <w:rPr>
          <w:rStyle w:val="33"/>
          <w:rFonts w:ascii="黑体" w:hAnsi="黑体" w:eastAsia="黑体"/>
          <w:b w:val="0"/>
        </w:rPr>
      </w:pPr>
      <w:bookmarkStart w:id="44" w:name="_Toc15396611"/>
      <w:bookmarkStart w:id="45" w:name="_Toc15377219"/>
      <w:bookmarkStart w:id="46" w:name="_Toc29695"/>
      <w:r>
        <w:rPr>
          <w:rStyle w:val="33"/>
          <w:rFonts w:hint="eastAsia" w:ascii="黑体" w:hAnsi="黑体" w:eastAsia="黑体"/>
          <w:b w:val="0"/>
        </w:rPr>
        <w:t>国有资本经营预算支出决算情况说明</w:t>
      </w:r>
      <w:bookmarkEnd w:id="44"/>
      <w:bookmarkEnd w:id="45"/>
      <w:bookmarkEnd w:id="46"/>
    </w:p>
    <w:p w14:paraId="491FB97B">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52A38381">
      <w:pPr>
        <w:spacing w:line="580" w:lineRule="exact"/>
        <w:jc w:val="center"/>
        <w:rPr>
          <w:rFonts w:ascii="方正小标宋简体" w:hAnsi="方正小标宋简体" w:eastAsia="方正小标宋简体" w:cs="方正小标宋简体"/>
          <w:sz w:val="44"/>
          <w:szCs w:val="44"/>
        </w:rPr>
      </w:pPr>
    </w:p>
    <w:p w14:paraId="2B9FA05B">
      <w:pPr>
        <w:numPr>
          <w:ilvl w:val="0"/>
          <w:numId w:val="5"/>
        </w:numPr>
        <w:spacing w:line="600" w:lineRule="exact"/>
        <w:ind w:firstLine="640"/>
        <w:outlineLvl w:val="1"/>
        <w:rPr>
          <w:rStyle w:val="33"/>
          <w:rFonts w:ascii="黑体" w:hAnsi="黑体" w:eastAsia="黑体"/>
          <w:b w:val="0"/>
        </w:rPr>
      </w:pPr>
      <w:bookmarkStart w:id="47" w:name="_Toc15377221"/>
      <w:bookmarkStart w:id="48" w:name="_Toc7203"/>
      <w:bookmarkStart w:id="49" w:name="_Toc15396612"/>
      <w:r>
        <w:rPr>
          <w:rStyle w:val="33"/>
          <w:rFonts w:hint="eastAsia" w:ascii="黑体" w:hAnsi="黑体" w:eastAsia="黑体"/>
          <w:b w:val="0"/>
        </w:rPr>
        <w:t>其他重要事项的情况说明</w:t>
      </w:r>
      <w:bookmarkEnd w:id="47"/>
      <w:bookmarkEnd w:id="48"/>
      <w:bookmarkEnd w:id="49"/>
    </w:p>
    <w:p w14:paraId="4D58E93E">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14:paraId="4839BEB7">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乐山市金口河区应急管理局</w:t>
      </w:r>
      <w:r>
        <w:rPr>
          <w:rFonts w:hint="eastAsia" w:ascii="仿宋_GB2312" w:eastAsia="仿宋_GB2312"/>
          <w:sz w:val="32"/>
          <w:szCs w:val="32"/>
        </w:rPr>
        <w:t>机关运行经费支出</w:t>
      </w:r>
      <w:r>
        <w:rPr>
          <w:rFonts w:hint="eastAsia" w:ascii="仿宋_GB2312" w:hAnsi="仿宋_GB2312" w:eastAsia="仿宋_GB2312" w:cs="仿宋_GB2312"/>
          <w:sz w:val="32"/>
          <w:szCs w:val="32"/>
        </w:rPr>
        <w:t>40.36</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增加</w:t>
      </w:r>
      <w:r>
        <w:rPr>
          <w:rFonts w:hint="eastAsia" w:ascii="仿宋_GB2312" w:eastAsia="仿宋_GB2312"/>
          <w:sz w:val="32"/>
          <w:szCs w:val="32"/>
          <w:lang w:val="en-US" w:eastAsia="zh-CN"/>
        </w:rPr>
        <w:t>3.23</w:t>
      </w:r>
      <w:r>
        <w:rPr>
          <w:rFonts w:hint="eastAsia" w:ascii="仿宋_GB2312" w:eastAsia="仿宋_GB2312"/>
          <w:sz w:val="32"/>
          <w:szCs w:val="32"/>
        </w:rPr>
        <w:t>万元，</w:t>
      </w:r>
      <w:r>
        <w:rPr>
          <w:rFonts w:hint="eastAsia" w:ascii="仿宋_GB2312" w:eastAsia="仿宋_GB2312"/>
          <w:sz w:val="32"/>
          <w:szCs w:val="32"/>
          <w:lang w:eastAsia="zh-CN"/>
        </w:rPr>
        <w:t>上升</w:t>
      </w:r>
      <w:r>
        <w:rPr>
          <w:rFonts w:hint="eastAsia" w:ascii="仿宋_GB2312" w:eastAsia="仿宋_GB2312"/>
          <w:sz w:val="32"/>
          <w:szCs w:val="32"/>
          <w:lang w:val="en-US" w:eastAsia="zh-CN"/>
        </w:rPr>
        <w:t>8.78</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新调入人员，新增临聘人员</w:t>
      </w:r>
      <w:r>
        <w:rPr>
          <w:rFonts w:hint="eastAsia" w:ascii="仿宋_GB2312" w:eastAsia="仿宋_GB2312"/>
          <w:sz w:val="32"/>
          <w:szCs w:val="32"/>
        </w:rPr>
        <w:t>。</w:t>
      </w:r>
    </w:p>
    <w:p w14:paraId="1B6DFBF8">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38E26177">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14:paraId="1AB32A0F">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乐山市金口河区应急管理局</w:t>
      </w:r>
      <w:r>
        <w:rPr>
          <w:rFonts w:hint="eastAsia" w:ascii="仿宋_GB2312" w:eastAsia="仿宋_GB2312"/>
          <w:sz w:val="32"/>
          <w:szCs w:val="32"/>
        </w:rPr>
        <w:t>政府采购支出总额</w:t>
      </w:r>
      <w:r>
        <w:rPr>
          <w:rFonts w:hint="eastAsia" w:ascii="仿宋" w:hAnsi="仿宋" w:eastAsia="仿宋"/>
          <w:b/>
          <w:sz w:val="32"/>
          <w:szCs w:val="32"/>
          <w:lang w:val="en-US" w:eastAsia="zh-CN"/>
        </w:rPr>
        <w:t>0</w:t>
      </w:r>
      <w:r>
        <w:rPr>
          <w:rFonts w:hint="eastAsia" w:ascii="仿宋_GB2312" w:eastAsia="仿宋_GB2312"/>
          <w:sz w:val="32"/>
          <w:szCs w:val="32"/>
        </w:rPr>
        <w:t>万元，其中：政府采购货物支出</w:t>
      </w:r>
      <w:r>
        <w:rPr>
          <w:rFonts w:hint="eastAsia" w:ascii="仿宋" w:hAnsi="仿宋" w:eastAsia="仿宋"/>
          <w:b/>
          <w:sz w:val="32"/>
          <w:szCs w:val="32"/>
          <w:lang w:val="en-US" w:eastAsia="zh-CN"/>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lang w:eastAsia="zh-CN"/>
        </w:rPr>
        <w:t>％</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hint="eastAsia" w:ascii="仿宋_GB2312" w:eastAsia="仿宋_GB2312"/>
          <w:sz w:val="32"/>
          <w:szCs w:val="32"/>
          <w:lang w:eastAsia="zh-CN"/>
        </w:rPr>
        <w:t>％</w:t>
      </w:r>
      <w:r>
        <w:rPr>
          <w:rFonts w:hint="eastAsia" w:ascii="仿宋_GB2312" w:eastAsia="仿宋_GB2312"/>
          <w:sz w:val="32"/>
          <w:szCs w:val="32"/>
        </w:rPr>
        <w:t>。</w:t>
      </w:r>
    </w:p>
    <w:p w14:paraId="7825DD77">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993BA11">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14:paraId="024E3C2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eastAsia="zh-CN"/>
        </w:rPr>
        <w:t>度</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乐山市金口河区应急管理局</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w:t>
      </w:r>
      <w:r>
        <w:rPr>
          <w:rFonts w:hint="eastAsia" w:ascii="仿宋_GB2312" w:eastAsia="仿宋_GB2312"/>
          <w:sz w:val="32"/>
          <w:szCs w:val="32"/>
          <w:lang w:eastAsia="zh-CN"/>
        </w:rPr>
        <w:t>无</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0C0EC5B">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2E1E0B40">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29A6E075">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根据预算绩效管理要求，本单位在202</w:t>
      </w:r>
      <w:r>
        <w:rPr>
          <w:rFonts w:hint="eastAsia" w:ascii="仿宋_GB2312" w:eastAsia="仿宋_GB2312"/>
          <w:sz w:val="32"/>
          <w:szCs w:val="32"/>
          <w:lang w:val="en-US" w:eastAsia="zh-CN"/>
        </w:rPr>
        <w:t>4</w:t>
      </w:r>
      <w:r>
        <w:rPr>
          <w:rFonts w:hint="eastAsia" w:ascii="仿宋_GB2312" w:eastAsia="仿宋_GB2312"/>
          <w:sz w:val="32"/>
          <w:szCs w:val="32"/>
        </w:rPr>
        <w:t>年度预算编制阶段，组织</w:t>
      </w:r>
      <w:r>
        <w:rPr>
          <w:rFonts w:hint="eastAsia" w:ascii="仿宋_GB2312" w:hAnsi="Times New Roman" w:eastAsia="仿宋_GB2312" w:cs="Times New Roman"/>
          <w:sz w:val="32"/>
          <w:szCs w:val="32"/>
        </w:rPr>
        <w:t>对</w:t>
      </w:r>
      <w:r>
        <w:rPr>
          <w:rFonts w:hint="eastAsia" w:ascii="仿宋_GB2312" w:eastAsia="仿宋_GB2312" w:cs="Times New Roman"/>
          <w:sz w:val="32"/>
          <w:szCs w:val="32"/>
          <w:lang w:val="en-US" w:eastAsia="zh-CN"/>
        </w:rPr>
        <w:t>7</w:t>
      </w:r>
      <w:r>
        <w:rPr>
          <w:rFonts w:hint="eastAsia" w:ascii="仿宋_GB2312" w:hAnsi="Times New Roman" w:eastAsia="仿宋_GB2312" w:cs="Times New Roman"/>
          <w:sz w:val="32"/>
          <w:szCs w:val="32"/>
        </w:rPr>
        <w:t>项目</w:t>
      </w:r>
      <w:r>
        <w:rPr>
          <w:rFonts w:hint="eastAsia" w:ascii="仿宋_GB2312" w:hAnsi="Times New Roman" w:eastAsia="仿宋_GB2312" w:cs="Times New Roman"/>
          <w:sz w:val="32"/>
          <w:szCs w:val="32"/>
          <w:lang w:val="en-US" w:eastAsia="zh-CN"/>
        </w:rPr>
        <w:t>专家会诊经费、轻骑兵骑手及速报员队伍运行经费、综合应急演练及管理费</w:t>
      </w:r>
      <w:r>
        <w:rPr>
          <w:rFonts w:hint="eastAsia" w:ascii="仿宋_GB2312" w:hAnsi="Times New Roman" w:eastAsia="仿宋_GB2312" w:cs="Times New Roman"/>
          <w:sz w:val="32"/>
          <w:szCs w:val="32"/>
        </w:rPr>
        <w:t>等</w:t>
      </w:r>
      <w:r>
        <w:rPr>
          <w:rFonts w:hint="eastAsia" w:ascii="仿宋_GB2312" w:eastAsia="仿宋_GB2312" w:cs="Times New Roman"/>
          <w:sz w:val="32"/>
          <w:szCs w:val="32"/>
          <w:lang w:val="en-US" w:eastAsia="zh-CN"/>
        </w:rPr>
        <w:t>7</w:t>
      </w:r>
      <w:r>
        <w:rPr>
          <w:rFonts w:hint="eastAsia" w:ascii="仿宋_GB2312" w:hAnsi="Times New Roman" w:eastAsia="仿宋_GB2312" w:cs="Times New Roman"/>
          <w:sz w:val="32"/>
          <w:szCs w:val="32"/>
        </w:rPr>
        <w:t>个项目开展了预算事前绩效评估，对</w:t>
      </w:r>
      <w:r>
        <w:rPr>
          <w:rFonts w:hint="eastAsia" w:ascii="仿宋_GB2312" w:eastAsia="仿宋_GB2312" w:cs="Times New Roman"/>
          <w:sz w:val="32"/>
          <w:szCs w:val="32"/>
          <w:lang w:val="en-US" w:eastAsia="zh-CN"/>
        </w:rPr>
        <w:t>7</w:t>
      </w:r>
      <w:r>
        <w:rPr>
          <w:rFonts w:hint="eastAsia" w:ascii="仿宋_GB2312" w:hAnsi="Times New Roman" w:eastAsia="仿宋_GB2312" w:cs="Times New Roman"/>
          <w:sz w:val="32"/>
          <w:szCs w:val="32"/>
        </w:rPr>
        <w:t>个项目编制了绩效目标，预</w:t>
      </w:r>
      <w:r>
        <w:rPr>
          <w:rFonts w:hint="eastAsia" w:ascii="仿宋_GB2312" w:eastAsia="仿宋_GB2312"/>
          <w:sz w:val="32"/>
          <w:szCs w:val="32"/>
        </w:rPr>
        <w:t>算执行过程中，选取</w:t>
      </w:r>
      <w:r>
        <w:rPr>
          <w:rFonts w:hint="eastAsia" w:ascii="仿宋_GB2312" w:eastAsia="仿宋_GB2312"/>
          <w:sz w:val="32"/>
          <w:szCs w:val="32"/>
          <w:lang w:val="en-US" w:eastAsia="zh-CN"/>
        </w:rPr>
        <w:t>7</w:t>
      </w:r>
      <w:r>
        <w:rPr>
          <w:rFonts w:hint="eastAsia" w:ascii="仿宋_GB2312" w:eastAsia="仿宋_GB2312"/>
          <w:sz w:val="32"/>
          <w:szCs w:val="32"/>
        </w:rPr>
        <w:t>个项目开展绩效监控</w:t>
      </w:r>
      <w:r>
        <w:rPr>
          <w:rFonts w:hint="eastAsia" w:ascii="仿宋_GB2312" w:eastAsia="仿宋_GB2312"/>
          <w:sz w:val="32"/>
          <w:szCs w:val="32"/>
          <w:lang w:eastAsia="zh-CN"/>
        </w:rPr>
        <w:t>。</w:t>
      </w:r>
    </w:p>
    <w:p w14:paraId="262AA2C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部门整体（含部门预算项目）绩效自评报告，其中</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rPr>
        <w:t>绩效自评报告详见附件。（如不涉及，可根据实际修改表述。）</w:t>
      </w:r>
    </w:p>
    <w:p w14:paraId="5C2D3151">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3E39AFEA">
      <w:pPr>
        <w:numPr>
          <w:ilvl w:val="0"/>
          <w:numId w:val="6"/>
        </w:numPr>
        <w:spacing w:line="600" w:lineRule="exact"/>
        <w:ind w:firstLine="660" w:firstLineChars="150"/>
        <w:jc w:val="center"/>
        <w:outlineLvl w:val="0"/>
        <w:rPr>
          <w:rStyle w:val="32"/>
          <w:rFonts w:ascii="黑体" w:hAnsi="黑体" w:eastAsia="黑体"/>
          <w:b w:val="0"/>
        </w:rPr>
      </w:pPr>
      <w:bookmarkStart w:id="53" w:name="_Toc15377225"/>
      <w:bookmarkStart w:id="54" w:name="_Toc13048"/>
      <w:bookmarkStart w:id="55" w:name="_Toc15396613"/>
      <w:r>
        <w:rPr>
          <w:rFonts w:hint="eastAsia" w:ascii="黑体" w:hAnsi="黑体" w:eastAsia="黑体"/>
          <w:sz w:val="44"/>
          <w:szCs w:val="44"/>
        </w:rPr>
        <w:t>名</w:t>
      </w:r>
      <w:r>
        <w:rPr>
          <w:rStyle w:val="32"/>
          <w:rFonts w:hint="eastAsia" w:ascii="黑体" w:hAnsi="黑体" w:eastAsia="黑体"/>
          <w:b w:val="0"/>
        </w:rPr>
        <w:t>词解释</w:t>
      </w:r>
      <w:bookmarkEnd w:id="53"/>
      <w:bookmarkEnd w:id="54"/>
      <w:bookmarkEnd w:id="55"/>
    </w:p>
    <w:p w14:paraId="2CEE68BA">
      <w:pPr>
        <w:spacing w:line="600" w:lineRule="exact"/>
        <w:jc w:val="left"/>
        <w:rPr>
          <w:rFonts w:ascii="宋体"/>
          <w:b/>
          <w:sz w:val="44"/>
          <w:szCs w:val="44"/>
        </w:rPr>
      </w:pPr>
    </w:p>
    <w:p w14:paraId="61DA474A">
      <w:pPr>
        <w:pStyle w:val="3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5DB691F">
      <w:pPr>
        <w:pStyle w:val="30"/>
        <w:spacing w:line="560" w:lineRule="exact"/>
        <w:ind w:firstLine="640" w:firstLineChars="200"/>
        <w:rPr>
          <w:rFonts w:ascii="仿宋_GB2312" w:eastAsia="仿宋_GB2312"/>
          <w:b w:val="0"/>
          <w:bCs w:val="0"/>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w:t>
      </w:r>
      <w:r>
        <w:rPr>
          <w:rFonts w:hint="eastAsia" w:ascii="仿宋_GB2312" w:eastAsia="仿宋_GB2312"/>
          <w:color w:val="auto"/>
          <w:sz w:val="32"/>
          <w:szCs w:val="32"/>
        </w:rPr>
        <w:t>（收入类型）</w:t>
      </w:r>
      <w:r>
        <w:rPr>
          <w:rFonts w:hint="eastAsia" w:ascii="仿宋_GB2312" w:eastAsia="仿宋_GB2312"/>
          <w:b w:val="0"/>
          <w:bCs w:val="0"/>
          <w:color w:val="auto"/>
          <w:sz w:val="32"/>
          <w:szCs w:val="32"/>
        </w:rPr>
        <w:t>等。</w:t>
      </w:r>
      <w:r>
        <w:rPr>
          <w:rFonts w:ascii="仿宋_GB2312" w:eastAsia="仿宋_GB2312"/>
          <w:b w:val="0"/>
          <w:bCs w:val="0"/>
          <w:color w:val="auto"/>
          <w:sz w:val="32"/>
          <w:szCs w:val="32"/>
        </w:rPr>
        <w:t xml:space="preserve"> </w:t>
      </w:r>
    </w:p>
    <w:p w14:paraId="4F667299">
      <w:pPr>
        <w:pStyle w:val="3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3</w:t>
      </w:r>
      <w:r>
        <w:rPr>
          <w:rFonts w:ascii="仿宋_GB2312" w:eastAsia="仿宋_GB2312"/>
          <w:b w:val="0"/>
          <w:bCs w:val="0"/>
          <w:color w:val="auto"/>
          <w:sz w:val="32"/>
          <w:szCs w:val="32"/>
        </w:rPr>
        <w:t>.</w:t>
      </w:r>
      <w:r>
        <w:rPr>
          <w:rFonts w:hint="eastAsia" w:ascii="仿宋_GB2312" w:eastAsia="仿宋_GB2312"/>
          <w:b w:val="0"/>
          <w:bCs w:val="0"/>
          <w:color w:val="auto"/>
          <w:sz w:val="32"/>
          <w:szCs w:val="32"/>
        </w:rPr>
        <w:t>年初结转和结余：指以前年度尚未完成、结转到本年按有关规定继续使用的资金。</w:t>
      </w:r>
      <w:r>
        <w:rPr>
          <w:rFonts w:ascii="仿宋_GB2312" w:eastAsia="仿宋_GB2312"/>
          <w:b w:val="0"/>
          <w:bCs w:val="0"/>
          <w:color w:val="auto"/>
          <w:sz w:val="32"/>
          <w:szCs w:val="32"/>
        </w:rPr>
        <w:t xml:space="preserve"> </w:t>
      </w:r>
    </w:p>
    <w:p w14:paraId="1F2670F5">
      <w:pPr>
        <w:pStyle w:val="3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4</w:t>
      </w:r>
      <w:r>
        <w:rPr>
          <w:rFonts w:hint="eastAsia" w:ascii="仿宋_GB2312" w:eastAsia="仿宋_GB2312"/>
          <w:b w:val="0"/>
          <w:bCs w:val="0"/>
          <w:color w:val="auto"/>
          <w:sz w:val="32"/>
          <w:szCs w:val="32"/>
        </w:rPr>
        <w:t>.年末结转和结余：指单位按有关规定结转到下年或以后年度继续使用的资金。</w:t>
      </w:r>
    </w:p>
    <w:p w14:paraId="730881B6">
      <w:pPr>
        <w:ind w:firstLine="640" w:firstLineChars="200"/>
        <w:rPr>
          <w:rStyle w:val="20"/>
          <w:rFonts w:hint="eastAsia"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5.</w:t>
      </w:r>
      <w:r>
        <w:rPr>
          <w:rFonts w:hint="eastAsia" w:ascii="仿宋" w:hAnsi="仿宋" w:eastAsia="仿宋" w:cs="Times New Roman"/>
          <w:b w:val="0"/>
          <w:bCs w:val="0"/>
          <w:kern w:val="2"/>
          <w:sz w:val="32"/>
          <w:szCs w:val="32"/>
          <w:lang w:val="en-US" w:eastAsia="zh-CN" w:bidi="ar-SA"/>
        </w:rPr>
        <w:t>城乡社区支出（类）：城乡社区支出（类）其他城乡社区支出（款）其他城乡社区支出（项）反映其他用于乡社区方面的支出</w:t>
      </w:r>
    </w:p>
    <w:p w14:paraId="74767AE8">
      <w:pPr>
        <w:ind w:firstLine="640" w:firstLineChars="200"/>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6.</w:t>
      </w:r>
      <w:r>
        <w:rPr>
          <w:rFonts w:hint="eastAsia" w:ascii="仿宋" w:hAnsi="仿宋" w:eastAsia="仿宋" w:cs="Times New Roman"/>
          <w:b w:val="0"/>
          <w:bCs w:val="0"/>
          <w:kern w:val="2"/>
          <w:sz w:val="32"/>
          <w:szCs w:val="32"/>
          <w:lang w:val="en-US" w:eastAsia="zh-CN" w:bidi="ar-SA"/>
        </w:rPr>
        <w:t>灾害防治及应急管理（类）  灾害防治及应急管理支出（类）应急管理事务（款）行政运行（项）：单位行政运转支出。  灾害防治及应急管理支出（类）应急管理事务（款）安全监管（项）：安全生产监督支出费用  灾害防治及应急管理支出（类）应急管理事务（款）应急管理（项）：应急事务管理费用支出。灾害防治及应急管理支出（类）应急管理事务（款）其他应急管理支出（项）：其他应急管理类费用支出； 灾害防治及应急管理支出（类）自然灾害防治（款）地质灾害防治（项）：地质灾害勘察，防治支出  灾害防治及应急管理支出（类）自然灾害救灾及恢复重建支出（款）自然灾害救灾补助（项）：对自然灾害救灾支出的费用安排  灾害防治及应急管理支出（类）自然灾害救灾及恢复重建支出（款）自然灾害灾后重建补助（项）：自然灾害灾后重建补助费用， 灾害防治及应急管理支出（类）自然灾害救灾及恢复重建支出（款）其他自然灾害救灾及恢复重建支出（项）：指其他灾害防治及应急管理费用</w:t>
      </w:r>
      <w:r>
        <w:rPr>
          <w:rFonts w:hint="eastAsia" w:ascii="仿宋" w:hAnsi="仿宋" w:eastAsia="仿宋"/>
          <w:b w:val="0"/>
          <w:bCs w:val="0"/>
          <w:color w:val="000000"/>
          <w:sz w:val="32"/>
          <w:szCs w:val="32"/>
          <w:lang w:val="en-US" w:eastAsia="zh-CN"/>
        </w:rPr>
        <w:t xml:space="preserve">  </w:t>
      </w:r>
    </w:p>
    <w:p w14:paraId="4344DC4F">
      <w:pPr>
        <w:spacing w:line="600" w:lineRule="exact"/>
        <w:ind w:firstLine="640" w:firstLineChars="200"/>
        <w:rPr>
          <w:rFonts w:hint="eastAsia" w:ascii="仿宋" w:hAnsi="仿宋" w:eastAsia="仿宋"/>
          <w:b w:val="0"/>
          <w:bCs w:val="0"/>
          <w:color w:val="000000"/>
          <w:sz w:val="32"/>
          <w:szCs w:val="32"/>
          <w:lang w:val="en-US" w:eastAsia="zh-CN"/>
        </w:rPr>
      </w:pPr>
      <w:r>
        <w:rPr>
          <w:rStyle w:val="20"/>
          <w:rFonts w:hint="eastAsia" w:ascii="仿宋" w:hAnsi="仿宋" w:eastAsia="仿宋"/>
          <w:b w:val="0"/>
          <w:bCs w:val="0"/>
          <w:color w:val="000000"/>
          <w:sz w:val="32"/>
          <w:szCs w:val="32"/>
          <w:lang w:val="en-US" w:eastAsia="zh-CN"/>
        </w:rPr>
        <w:t>7</w:t>
      </w:r>
      <w:r>
        <w:rPr>
          <w:rStyle w:val="20"/>
          <w:rFonts w:ascii="仿宋" w:hAnsi="仿宋" w:eastAsia="仿宋"/>
          <w:b w:val="0"/>
          <w:bCs w:val="0"/>
          <w:color w:val="000000"/>
          <w:sz w:val="32"/>
          <w:szCs w:val="32"/>
        </w:rPr>
        <w:t>.</w:t>
      </w:r>
      <w:r>
        <w:rPr>
          <w:rFonts w:hint="eastAsia" w:ascii="仿宋_GB2312" w:eastAsia="仿宋_GB2312"/>
          <w:b w:val="0"/>
          <w:bCs w:val="0"/>
          <w:color w:val="auto"/>
          <w:sz w:val="32"/>
          <w:szCs w:val="32"/>
          <w:highlight w:val="none"/>
        </w:rPr>
        <w:t>社会保障和就业（类）</w:t>
      </w:r>
      <w:r>
        <w:rPr>
          <w:rFonts w:hint="eastAsia" w:ascii="仿宋_GB2312" w:eastAsia="仿宋_GB2312"/>
          <w:b w:val="0"/>
          <w:bCs w:val="0"/>
          <w:color w:val="auto"/>
          <w:sz w:val="32"/>
          <w:szCs w:val="32"/>
          <w:highlight w:val="none"/>
          <w:lang w:val="en-US" w:eastAsia="zh-CN"/>
        </w:rPr>
        <w:t>行政事业单位养老支出</w:t>
      </w:r>
      <w:r>
        <w:rPr>
          <w:rFonts w:hint="eastAsia" w:ascii="仿宋_GB2312" w:eastAsia="仿宋_GB2312"/>
          <w:b w:val="0"/>
          <w:bCs w:val="0"/>
          <w:color w:val="auto"/>
          <w:sz w:val="32"/>
          <w:szCs w:val="32"/>
          <w:highlight w:val="none"/>
        </w:rPr>
        <w:t>（款）</w:t>
      </w:r>
      <w:r>
        <w:rPr>
          <w:rFonts w:hint="eastAsia" w:ascii="仿宋_GB2312" w:eastAsia="仿宋_GB2312"/>
          <w:b w:val="0"/>
          <w:bCs w:val="0"/>
          <w:color w:val="auto"/>
          <w:sz w:val="32"/>
          <w:szCs w:val="32"/>
          <w:highlight w:val="none"/>
          <w:lang w:val="en-US" w:eastAsia="zh-CN"/>
        </w:rPr>
        <w:t>机关事业单位基本养老保险缴费支出</w:t>
      </w:r>
      <w:r>
        <w:rPr>
          <w:rFonts w:hint="eastAsia" w:ascii="仿宋_GB2312" w:eastAsia="仿宋_GB2312"/>
          <w:b w:val="0"/>
          <w:bCs w:val="0"/>
          <w:color w:val="auto"/>
          <w:sz w:val="32"/>
          <w:szCs w:val="32"/>
          <w:highlight w:val="none"/>
        </w:rPr>
        <w:t>（项）</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指</w:t>
      </w:r>
      <w:r>
        <w:rPr>
          <w:rFonts w:hint="eastAsia" w:ascii="仿宋_GB2312" w:eastAsia="仿宋_GB2312"/>
          <w:b w:val="0"/>
          <w:bCs w:val="0"/>
          <w:color w:val="auto"/>
          <w:sz w:val="32"/>
          <w:szCs w:val="32"/>
          <w:highlight w:val="none"/>
        </w:rPr>
        <w:t>机关事业单位</w:t>
      </w:r>
      <w:r>
        <w:rPr>
          <w:rFonts w:hint="eastAsia" w:ascii="仿宋_GB2312" w:eastAsia="仿宋_GB2312"/>
          <w:b w:val="0"/>
          <w:bCs w:val="0"/>
          <w:color w:val="auto"/>
          <w:sz w:val="32"/>
          <w:szCs w:val="32"/>
          <w:highlight w:val="none"/>
          <w:lang w:val="en-US" w:eastAsia="zh-CN"/>
        </w:rPr>
        <w:t>实施养老保险制度由单位缴纳的</w:t>
      </w:r>
      <w:r>
        <w:rPr>
          <w:rFonts w:hint="eastAsia" w:ascii="仿宋_GB2312" w:eastAsia="仿宋_GB2312"/>
          <w:b w:val="0"/>
          <w:bCs w:val="0"/>
          <w:color w:val="auto"/>
          <w:sz w:val="32"/>
          <w:szCs w:val="32"/>
          <w:highlight w:val="none"/>
        </w:rPr>
        <w:t>基本养老保险费支出</w:t>
      </w:r>
      <w:r>
        <w:rPr>
          <w:rFonts w:hint="eastAsia" w:ascii="仿宋_GB2312" w:eastAsia="仿宋_GB2312"/>
          <w:b w:val="0"/>
          <w:bCs w:val="0"/>
          <w:color w:val="auto"/>
          <w:sz w:val="32"/>
          <w:szCs w:val="32"/>
          <w:highlight w:val="none"/>
          <w:lang w:eastAsia="zh-CN"/>
        </w:rPr>
        <w:t>；社会保障和就业（类）</w:t>
      </w:r>
      <w:r>
        <w:rPr>
          <w:rFonts w:hint="eastAsia" w:ascii="仿宋_GB2312" w:eastAsia="仿宋_GB2312"/>
          <w:b w:val="0"/>
          <w:bCs w:val="0"/>
          <w:color w:val="auto"/>
          <w:sz w:val="32"/>
          <w:szCs w:val="32"/>
          <w:highlight w:val="none"/>
          <w:lang w:val="en-US" w:eastAsia="zh-CN"/>
        </w:rPr>
        <w:t>行政事业单位养老支出</w:t>
      </w:r>
      <w:r>
        <w:rPr>
          <w:rFonts w:hint="eastAsia" w:ascii="仿宋_GB2312" w:eastAsia="仿宋_GB2312"/>
          <w:b w:val="0"/>
          <w:bCs w:val="0"/>
          <w:color w:val="auto"/>
          <w:sz w:val="32"/>
          <w:szCs w:val="32"/>
          <w:highlight w:val="none"/>
          <w:lang w:eastAsia="zh-CN"/>
        </w:rPr>
        <w:t>（款）</w:t>
      </w:r>
      <w:r>
        <w:rPr>
          <w:rFonts w:hint="eastAsia" w:ascii="仿宋_GB2312" w:eastAsia="仿宋_GB2312"/>
          <w:b w:val="0"/>
          <w:bCs w:val="0"/>
          <w:color w:val="auto"/>
          <w:sz w:val="32"/>
          <w:szCs w:val="32"/>
          <w:highlight w:val="none"/>
          <w:lang w:val="en-US" w:eastAsia="zh-CN"/>
        </w:rPr>
        <w:t>机关事业单位职业年金缴费支出</w:t>
      </w:r>
      <w:r>
        <w:rPr>
          <w:rFonts w:hint="eastAsia" w:ascii="仿宋_GB2312" w:eastAsia="仿宋_GB2312"/>
          <w:b w:val="0"/>
          <w:bCs w:val="0"/>
          <w:color w:val="auto"/>
          <w:sz w:val="32"/>
          <w:szCs w:val="32"/>
          <w:highlight w:val="none"/>
          <w:lang w:eastAsia="zh-CN"/>
        </w:rPr>
        <w:t>（项）：</w:t>
      </w:r>
      <w:r>
        <w:rPr>
          <w:rFonts w:hint="eastAsia" w:ascii="仿宋_GB2312" w:eastAsia="仿宋_GB2312"/>
          <w:b w:val="0"/>
          <w:bCs w:val="0"/>
          <w:color w:val="auto"/>
          <w:sz w:val="32"/>
          <w:szCs w:val="32"/>
          <w:highlight w:val="none"/>
          <w:lang w:val="en-US" w:eastAsia="zh-CN"/>
        </w:rPr>
        <w:t>指</w:t>
      </w:r>
      <w:r>
        <w:rPr>
          <w:rFonts w:hint="eastAsia" w:ascii="仿宋_GB2312" w:eastAsia="仿宋_GB2312"/>
          <w:b w:val="0"/>
          <w:bCs w:val="0"/>
          <w:color w:val="auto"/>
          <w:sz w:val="32"/>
          <w:szCs w:val="32"/>
          <w:highlight w:val="none"/>
        </w:rPr>
        <w:t>机关事业单位</w:t>
      </w:r>
      <w:r>
        <w:rPr>
          <w:rFonts w:hint="eastAsia" w:ascii="仿宋_GB2312" w:eastAsia="仿宋_GB2312"/>
          <w:b w:val="0"/>
          <w:bCs w:val="0"/>
          <w:color w:val="auto"/>
          <w:sz w:val="32"/>
          <w:szCs w:val="32"/>
          <w:highlight w:val="none"/>
          <w:lang w:val="en-US" w:eastAsia="zh-CN"/>
        </w:rPr>
        <w:t>实施养老保险制度由单位缴纳的职业年金</w:t>
      </w:r>
      <w:r>
        <w:rPr>
          <w:rFonts w:hint="eastAsia" w:ascii="仿宋_GB2312" w:eastAsia="仿宋_GB2312"/>
          <w:b w:val="0"/>
          <w:bCs w:val="0"/>
          <w:color w:val="auto"/>
          <w:sz w:val="32"/>
          <w:szCs w:val="32"/>
          <w:highlight w:val="none"/>
        </w:rPr>
        <w:t>支出</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 xml:space="preserve"> 社会保障和就业（类）</w:t>
      </w:r>
      <w:r>
        <w:rPr>
          <w:rFonts w:hint="eastAsia" w:ascii="仿宋_GB2312" w:eastAsia="仿宋_GB2312"/>
          <w:b w:val="0"/>
          <w:bCs w:val="0"/>
          <w:color w:val="auto"/>
          <w:sz w:val="32"/>
          <w:szCs w:val="32"/>
          <w:highlight w:val="none"/>
          <w:lang w:val="en-US" w:eastAsia="zh-CN"/>
        </w:rPr>
        <w:t>行政事业单位养老支出</w:t>
      </w:r>
      <w:r>
        <w:rPr>
          <w:rFonts w:hint="eastAsia" w:ascii="仿宋_GB2312" w:eastAsia="仿宋_GB2312"/>
          <w:b w:val="0"/>
          <w:bCs w:val="0"/>
          <w:color w:val="auto"/>
          <w:sz w:val="32"/>
          <w:szCs w:val="32"/>
          <w:highlight w:val="none"/>
        </w:rPr>
        <w:t>（款）</w:t>
      </w:r>
      <w:r>
        <w:rPr>
          <w:rFonts w:hint="eastAsia" w:ascii="仿宋_GB2312" w:eastAsia="仿宋_GB2312"/>
          <w:b w:val="0"/>
          <w:bCs w:val="0"/>
          <w:color w:val="auto"/>
          <w:sz w:val="32"/>
          <w:szCs w:val="32"/>
          <w:highlight w:val="none"/>
          <w:lang w:val="en-US" w:eastAsia="zh-CN"/>
        </w:rPr>
        <w:t>其他行政事业单位养老支出</w:t>
      </w:r>
      <w:r>
        <w:rPr>
          <w:rFonts w:hint="eastAsia" w:ascii="仿宋_GB2312" w:eastAsia="仿宋_GB2312"/>
          <w:b w:val="0"/>
          <w:bCs w:val="0"/>
          <w:color w:val="auto"/>
          <w:sz w:val="32"/>
          <w:szCs w:val="32"/>
          <w:highlight w:val="none"/>
        </w:rPr>
        <w:t>（项）</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 xml:space="preserve"> </w:t>
      </w:r>
      <w:r>
        <w:rPr>
          <w:rFonts w:hint="eastAsia" w:ascii="仿宋_GB2312" w:eastAsia="仿宋_GB2312"/>
          <w:b w:val="0"/>
          <w:bCs w:val="0"/>
          <w:color w:val="auto"/>
          <w:sz w:val="32"/>
          <w:szCs w:val="32"/>
          <w:highlight w:val="none"/>
          <w:lang w:val="en-US" w:eastAsia="zh-CN"/>
        </w:rPr>
        <w:t>指</w:t>
      </w:r>
      <w:r>
        <w:rPr>
          <w:rFonts w:hint="eastAsia" w:ascii="仿宋_GB2312" w:eastAsia="仿宋_GB2312"/>
          <w:b w:val="0"/>
          <w:bCs w:val="0"/>
          <w:color w:val="auto"/>
          <w:sz w:val="32"/>
          <w:szCs w:val="32"/>
          <w:highlight w:val="none"/>
        </w:rPr>
        <w:t>支其他</w:t>
      </w:r>
      <w:r>
        <w:rPr>
          <w:rFonts w:hint="eastAsia" w:ascii="仿宋_GB2312" w:eastAsia="仿宋_GB2312"/>
          <w:b w:val="0"/>
          <w:bCs w:val="0"/>
          <w:color w:val="auto"/>
          <w:sz w:val="32"/>
          <w:szCs w:val="32"/>
          <w:highlight w:val="none"/>
          <w:lang w:val="en-US" w:eastAsia="zh-CN"/>
        </w:rPr>
        <w:t>用于</w:t>
      </w:r>
      <w:r>
        <w:rPr>
          <w:rFonts w:hint="eastAsia" w:ascii="仿宋_GB2312" w:eastAsia="仿宋_GB2312"/>
          <w:b w:val="0"/>
          <w:bCs w:val="0"/>
          <w:color w:val="auto"/>
          <w:sz w:val="32"/>
          <w:szCs w:val="32"/>
          <w:highlight w:val="none"/>
        </w:rPr>
        <w:t>行政事业单位养老</w:t>
      </w:r>
      <w:r>
        <w:rPr>
          <w:rFonts w:hint="eastAsia" w:ascii="仿宋_GB2312" w:eastAsia="仿宋_GB2312"/>
          <w:b w:val="0"/>
          <w:bCs w:val="0"/>
          <w:color w:val="auto"/>
          <w:sz w:val="32"/>
          <w:szCs w:val="32"/>
          <w:highlight w:val="none"/>
          <w:lang w:val="en-US" w:eastAsia="zh-CN"/>
        </w:rPr>
        <w:t>方面</w:t>
      </w:r>
      <w:r>
        <w:rPr>
          <w:rFonts w:hint="eastAsia" w:ascii="仿宋_GB2312" w:eastAsia="仿宋_GB2312"/>
          <w:b w:val="0"/>
          <w:bCs w:val="0"/>
          <w:color w:val="auto"/>
          <w:sz w:val="32"/>
          <w:szCs w:val="32"/>
          <w:highlight w:val="none"/>
        </w:rPr>
        <w:t xml:space="preserve">支出 </w:t>
      </w:r>
      <w:r>
        <w:rPr>
          <w:rFonts w:hint="eastAsia" w:ascii="仿宋_GB2312" w:eastAsia="仿宋_GB2312"/>
          <w:b w:val="0"/>
          <w:bCs w:val="0"/>
          <w:color w:val="auto"/>
          <w:sz w:val="32"/>
          <w:szCs w:val="32"/>
          <w:highlight w:val="none"/>
          <w:lang w:eastAsia="zh-CN"/>
        </w:rPr>
        <w:t>；社会保障和就业（类）</w:t>
      </w:r>
      <w:r>
        <w:rPr>
          <w:rFonts w:hint="eastAsia" w:ascii="仿宋_GB2312" w:eastAsia="仿宋_GB2312"/>
          <w:b w:val="0"/>
          <w:bCs w:val="0"/>
          <w:color w:val="auto"/>
          <w:sz w:val="32"/>
          <w:szCs w:val="32"/>
          <w:highlight w:val="none"/>
          <w:lang w:val="en-US" w:eastAsia="zh-CN"/>
        </w:rPr>
        <w:t>残疾人事业</w:t>
      </w:r>
      <w:r>
        <w:rPr>
          <w:rFonts w:hint="eastAsia" w:ascii="仿宋_GB2312" w:eastAsia="仿宋_GB2312"/>
          <w:b w:val="0"/>
          <w:bCs w:val="0"/>
          <w:color w:val="auto"/>
          <w:sz w:val="32"/>
          <w:szCs w:val="32"/>
          <w:highlight w:val="none"/>
          <w:lang w:eastAsia="zh-CN"/>
        </w:rPr>
        <w:t>（款）</w:t>
      </w:r>
      <w:r>
        <w:rPr>
          <w:rFonts w:hint="eastAsia" w:ascii="仿宋_GB2312" w:eastAsia="仿宋_GB2312"/>
          <w:b w:val="0"/>
          <w:bCs w:val="0"/>
          <w:color w:val="auto"/>
          <w:sz w:val="32"/>
          <w:szCs w:val="32"/>
          <w:highlight w:val="none"/>
          <w:lang w:val="en-US" w:eastAsia="zh-CN"/>
        </w:rPr>
        <w:t>残疾人就业</w:t>
      </w:r>
      <w:r>
        <w:rPr>
          <w:rFonts w:hint="eastAsia" w:ascii="仿宋_GB2312" w:eastAsia="仿宋_GB2312"/>
          <w:b w:val="0"/>
          <w:bCs w:val="0"/>
          <w:color w:val="auto"/>
          <w:sz w:val="32"/>
          <w:szCs w:val="32"/>
          <w:highlight w:val="none"/>
          <w:lang w:eastAsia="zh-CN"/>
        </w:rPr>
        <w:t xml:space="preserve">（项）： </w:t>
      </w:r>
      <w:r>
        <w:rPr>
          <w:rFonts w:hint="eastAsia" w:ascii="仿宋_GB2312" w:eastAsia="仿宋_GB2312"/>
          <w:b w:val="0"/>
          <w:bCs w:val="0"/>
          <w:color w:val="auto"/>
          <w:sz w:val="32"/>
          <w:szCs w:val="32"/>
          <w:highlight w:val="none"/>
          <w:lang w:val="en-US" w:eastAsia="zh-CN"/>
        </w:rPr>
        <w:t>指残疾人联合会用于残疾人就业方面的支出；社会保障和就业（类）其他社会保障和就业支出（款）（项）</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 xml:space="preserve"> </w:t>
      </w:r>
      <w:r>
        <w:rPr>
          <w:rFonts w:hint="eastAsia" w:ascii="仿宋_GB2312" w:eastAsia="仿宋_GB2312"/>
          <w:b w:val="0"/>
          <w:bCs w:val="0"/>
          <w:color w:val="auto"/>
          <w:sz w:val="32"/>
          <w:szCs w:val="32"/>
          <w:highlight w:val="none"/>
          <w:lang w:val="en-US" w:eastAsia="zh-CN"/>
        </w:rPr>
        <w:t>指</w:t>
      </w:r>
      <w:r>
        <w:rPr>
          <w:rFonts w:hint="eastAsia" w:ascii="仿宋_GB2312" w:eastAsia="仿宋_GB2312"/>
          <w:b w:val="0"/>
          <w:bCs w:val="0"/>
          <w:color w:val="auto"/>
          <w:sz w:val="32"/>
          <w:szCs w:val="32"/>
          <w:highlight w:val="none"/>
        </w:rPr>
        <w:t>其他</w:t>
      </w:r>
      <w:r>
        <w:rPr>
          <w:rFonts w:hint="eastAsia" w:ascii="仿宋_GB2312" w:eastAsia="仿宋_GB2312"/>
          <w:b w:val="0"/>
          <w:bCs w:val="0"/>
          <w:color w:val="auto"/>
          <w:sz w:val="32"/>
          <w:szCs w:val="32"/>
          <w:highlight w:val="none"/>
          <w:lang w:val="en-US" w:eastAsia="zh-CN"/>
        </w:rPr>
        <w:t>用于</w:t>
      </w:r>
      <w:r>
        <w:rPr>
          <w:rFonts w:hint="eastAsia" w:ascii="仿宋_GB2312" w:eastAsia="仿宋_GB2312"/>
          <w:b w:val="0"/>
          <w:bCs w:val="0"/>
          <w:color w:val="auto"/>
          <w:sz w:val="32"/>
          <w:szCs w:val="32"/>
          <w:highlight w:val="none"/>
        </w:rPr>
        <w:t>社会保障和就业</w:t>
      </w:r>
      <w:r>
        <w:rPr>
          <w:rFonts w:hint="eastAsia" w:ascii="仿宋_GB2312" w:eastAsia="仿宋_GB2312"/>
          <w:b w:val="0"/>
          <w:bCs w:val="0"/>
          <w:color w:val="auto"/>
          <w:sz w:val="32"/>
          <w:szCs w:val="32"/>
          <w:highlight w:val="none"/>
          <w:lang w:val="en-US" w:eastAsia="zh-CN"/>
        </w:rPr>
        <w:t>方面的</w:t>
      </w:r>
      <w:r>
        <w:rPr>
          <w:rFonts w:hint="eastAsia" w:ascii="仿宋_GB2312" w:eastAsia="仿宋_GB2312"/>
          <w:b w:val="0"/>
          <w:bCs w:val="0"/>
          <w:color w:val="auto"/>
          <w:sz w:val="32"/>
          <w:szCs w:val="32"/>
          <w:highlight w:val="none"/>
        </w:rPr>
        <w:t>支出</w:t>
      </w:r>
      <w:r>
        <w:rPr>
          <w:rFonts w:hint="eastAsia" w:ascii="仿宋_GB2312" w:eastAsia="仿宋_GB2312"/>
          <w:b w:val="0"/>
          <w:bCs w:val="0"/>
          <w:color w:val="auto"/>
          <w:sz w:val="32"/>
          <w:szCs w:val="32"/>
          <w:highlight w:val="none"/>
          <w:lang w:eastAsia="zh-CN"/>
        </w:rPr>
        <w:t>。</w:t>
      </w:r>
    </w:p>
    <w:p w14:paraId="57E9CE0E">
      <w:pPr>
        <w:numPr>
          <w:ilvl w:val="0"/>
          <w:numId w:val="0"/>
        </w:num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8.</w:t>
      </w:r>
      <w:r>
        <w:rPr>
          <w:rFonts w:hint="eastAsia" w:ascii="仿宋_GB2312" w:eastAsia="仿宋_GB2312" w:cs="Times New Roman"/>
          <w:b w:val="0"/>
          <w:bCs w:val="0"/>
          <w:color w:val="auto"/>
          <w:sz w:val="32"/>
          <w:szCs w:val="32"/>
          <w:highlight w:val="none"/>
          <w:lang w:eastAsia="zh-CN"/>
        </w:rPr>
        <w:t>卫生健康（类）</w:t>
      </w:r>
      <w:r>
        <w:rPr>
          <w:rFonts w:hint="eastAsia" w:ascii="仿宋_GB2312" w:eastAsia="仿宋_GB2312" w:cs="Times New Roman"/>
          <w:b w:val="0"/>
          <w:bCs w:val="0"/>
          <w:color w:val="auto"/>
          <w:sz w:val="32"/>
          <w:szCs w:val="32"/>
          <w:highlight w:val="none"/>
          <w:lang w:val="en-US" w:eastAsia="zh-CN"/>
        </w:rPr>
        <w:t>行政事业单位医疗</w:t>
      </w:r>
      <w:r>
        <w:rPr>
          <w:rFonts w:hint="eastAsia" w:ascii="仿宋_GB2312" w:eastAsia="仿宋_GB2312" w:cs="Times New Roman"/>
          <w:b w:val="0"/>
          <w:bCs w:val="0"/>
          <w:color w:val="auto"/>
          <w:sz w:val="32"/>
          <w:szCs w:val="32"/>
          <w:highlight w:val="none"/>
          <w:lang w:eastAsia="zh-CN"/>
        </w:rPr>
        <w:t>（款）</w:t>
      </w:r>
      <w:r>
        <w:rPr>
          <w:rFonts w:hint="eastAsia" w:ascii="仿宋_GB2312" w:eastAsia="仿宋_GB2312" w:cs="Times New Roman"/>
          <w:b w:val="0"/>
          <w:bCs w:val="0"/>
          <w:color w:val="auto"/>
          <w:sz w:val="32"/>
          <w:szCs w:val="32"/>
          <w:highlight w:val="none"/>
          <w:lang w:val="en-US" w:eastAsia="zh-CN"/>
        </w:rPr>
        <w:t>事业单位医疗</w:t>
      </w:r>
      <w:r>
        <w:rPr>
          <w:rFonts w:hint="eastAsia" w:ascii="仿宋_GB2312" w:eastAsia="仿宋_GB2312" w:cs="Times New Roman"/>
          <w:b w:val="0"/>
          <w:bCs w:val="0"/>
          <w:color w:val="auto"/>
          <w:sz w:val="32"/>
          <w:szCs w:val="32"/>
          <w:highlight w:val="none"/>
          <w:lang w:eastAsia="zh-CN"/>
        </w:rPr>
        <w:t>（项）</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指财政部门安排的事业单位单位基本医疗保险缴费经费，未参加医疗保险的事业单位的公费医疗经费，按国家规定享受离休人员待遇的医疗经费</w:t>
      </w:r>
      <w:r>
        <w:rPr>
          <w:rFonts w:hint="eastAsia" w:ascii="仿宋_GB2312" w:eastAsia="仿宋_GB2312"/>
          <w:b w:val="0"/>
          <w:bCs w:val="0"/>
          <w:color w:val="auto"/>
          <w:sz w:val="32"/>
          <w:szCs w:val="32"/>
          <w:highlight w:val="none"/>
          <w:lang w:eastAsia="zh-CN"/>
        </w:rPr>
        <w:t>；卫生健康（类）</w:t>
      </w:r>
      <w:r>
        <w:rPr>
          <w:rFonts w:hint="eastAsia" w:ascii="仿宋_GB2312" w:eastAsia="仿宋_GB2312"/>
          <w:b w:val="0"/>
          <w:bCs w:val="0"/>
          <w:color w:val="auto"/>
          <w:sz w:val="32"/>
          <w:szCs w:val="32"/>
          <w:highlight w:val="none"/>
          <w:lang w:val="en-US" w:eastAsia="zh-CN"/>
        </w:rPr>
        <w:t>行政事业单位医疗</w:t>
      </w:r>
      <w:r>
        <w:rPr>
          <w:rFonts w:hint="eastAsia" w:ascii="仿宋_GB2312" w:eastAsia="仿宋_GB2312"/>
          <w:b w:val="0"/>
          <w:bCs w:val="0"/>
          <w:color w:val="auto"/>
          <w:sz w:val="32"/>
          <w:szCs w:val="32"/>
          <w:highlight w:val="none"/>
          <w:lang w:eastAsia="zh-CN"/>
        </w:rPr>
        <w:t>（款）</w:t>
      </w:r>
      <w:r>
        <w:rPr>
          <w:rFonts w:hint="eastAsia" w:ascii="仿宋_GB2312" w:eastAsia="仿宋_GB2312"/>
          <w:b w:val="0"/>
          <w:bCs w:val="0"/>
          <w:color w:val="auto"/>
          <w:sz w:val="32"/>
          <w:szCs w:val="32"/>
          <w:highlight w:val="none"/>
          <w:lang w:val="en-US" w:eastAsia="zh-CN"/>
        </w:rPr>
        <w:t>公务员医</w:t>
      </w:r>
      <w:r>
        <w:rPr>
          <w:rFonts w:hint="eastAsia" w:ascii="仿宋_GB2312" w:eastAsia="仿宋_GB2312"/>
          <w:color w:val="auto"/>
          <w:sz w:val="32"/>
          <w:szCs w:val="32"/>
          <w:highlight w:val="none"/>
          <w:lang w:val="en-US" w:eastAsia="zh-CN"/>
        </w:rPr>
        <w:t>疗补助</w:t>
      </w:r>
      <w:r>
        <w:rPr>
          <w:rFonts w:hint="eastAsia" w:ascii="仿宋_GB2312" w:eastAsia="仿宋_GB2312"/>
          <w:color w:val="auto"/>
          <w:sz w:val="32"/>
          <w:szCs w:val="32"/>
          <w:highlight w:val="none"/>
          <w:lang w:eastAsia="zh-CN"/>
        </w:rPr>
        <w:t xml:space="preserve">（项）： </w:t>
      </w:r>
      <w:r>
        <w:rPr>
          <w:rFonts w:hint="eastAsia" w:ascii="仿宋_GB2312" w:eastAsia="仿宋_GB2312"/>
          <w:color w:val="auto"/>
          <w:sz w:val="32"/>
          <w:szCs w:val="32"/>
          <w:highlight w:val="none"/>
          <w:lang w:val="en-US" w:eastAsia="zh-CN"/>
        </w:rPr>
        <w:t>指财政部门安排的公务员医疗补助经费。</w:t>
      </w:r>
    </w:p>
    <w:p w14:paraId="26642DFD">
      <w:pPr>
        <w:numPr>
          <w:ilvl w:val="0"/>
          <w:numId w:val="0"/>
        </w:numPr>
        <w:ind w:firstLine="640" w:firstLineChars="200"/>
        <w:rPr>
          <w:rFonts w:hint="eastAsia" w:ascii="仿宋_GB2312" w:eastAsia="仿宋_GB2312"/>
          <w:b w:val="0"/>
          <w:bCs w:val="0"/>
          <w:color w:val="000000"/>
          <w:sz w:val="32"/>
          <w:szCs w:val="32"/>
        </w:rPr>
      </w:pPr>
      <w:r>
        <w:rPr>
          <w:rStyle w:val="20"/>
          <w:rFonts w:hint="eastAsia" w:ascii="仿宋" w:hAnsi="仿宋" w:eastAsia="仿宋"/>
          <w:b w:val="0"/>
          <w:bCs w:val="0"/>
          <w:color w:val="000000"/>
          <w:sz w:val="32"/>
          <w:szCs w:val="32"/>
          <w:lang w:val="en-US" w:eastAsia="zh-CN"/>
        </w:rPr>
        <w:t>9.</w:t>
      </w:r>
      <w:r>
        <w:rPr>
          <w:rFonts w:hint="eastAsia" w:ascii="仿宋_GB2312" w:eastAsia="仿宋_GB2312"/>
          <w:color w:val="auto"/>
          <w:sz w:val="32"/>
          <w:szCs w:val="32"/>
          <w:highlight w:val="none"/>
          <w:lang w:val="en-US" w:eastAsia="zh-CN"/>
        </w:rPr>
        <w:t>住房保障支出支出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住房公积金</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行政事业单位按人力资源和社会保障部、财政部规定的基本工资和津贴补贴以及规定比例为职工缴纳的</w:t>
      </w:r>
      <w:r>
        <w:rPr>
          <w:rFonts w:hint="eastAsia" w:ascii="仿宋_GB2312" w:eastAsia="仿宋_GB2312"/>
          <w:color w:val="auto"/>
          <w:sz w:val="32"/>
          <w:szCs w:val="32"/>
          <w:highlight w:val="none"/>
        </w:rPr>
        <w:t>住房公积金。</w:t>
      </w:r>
    </w:p>
    <w:p w14:paraId="2E899392">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14:paraId="2B24E1D1">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6F0D21DC">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329C7FC">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2DA8EC9">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DBD500D">
      <w:pPr>
        <w:pStyle w:val="30"/>
        <w:spacing w:line="560" w:lineRule="exact"/>
        <w:ind w:firstLine="640" w:firstLineChars="200"/>
        <w:rPr>
          <w:rFonts w:ascii="仿宋_GB2312" w:eastAsia="仿宋_GB2312" w:cs="黑体"/>
          <w:color w:val="auto"/>
          <w:sz w:val="32"/>
          <w:szCs w:val="32"/>
        </w:rPr>
      </w:pPr>
    </w:p>
    <w:p w14:paraId="494518D2">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72BB13DC">
      <w:pPr>
        <w:spacing w:line="600" w:lineRule="exact"/>
        <w:jc w:val="center"/>
        <w:outlineLvl w:val="0"/>
        <w:rPr>
          <w:rStyle w:val="32"/>
          <w:rFonts w:ascii="黑体" w:hAnsi="黑体" w:eastAsia="黑体"/>
          <w:b w:val="0"/>
        </w:rPr>
      </w:pPr>
      <w:bookmarkStart w:id="56" w:name="_Toc15377226"/>
      <w:r>
        <w:rPr>
          <w:rFonts w:ascii="宋体"/>
          <w:b/>
          <w:sz w:val="44"/>
          <w:szCs w:val="44"/>
        </w:rPr>
        <w:br w:type="page"/>
      </w:r>
      <w:bookmarkStart w:id="57" w:name="_Toc26602"/>
      <w:bookmarkStart w:id="58" w:name="_Toc15396614"/>
      <w:r>
        <w:rPr>
          <w:rFonts w:hint="eastAsia" w:ascii="黑体" w:hAnsi="黑体" w:eastAsia="黑体"/>
          <w:sz w:val="44"/>
          <w:szCs w:val="44"/>
        </w:rPr>
        <w:t>第</w:t>
      </w:r>
      <w:r>
        <w:rPr>
          <w:rStyle w:val="32"/>
          <w:rFonts w:hint="eastAsia" w:ascii="黑体" w:hAnsi="黑体" w:eastAsia="黑体"/>
          <w:b w:val="0"/>
        </w:rPr>
        <w:t>四部分 附件</w:t>
      </w:r>
      <w:bookmarkEnd w:id="57"/>
      <w:bookmarkEnd w:id="58"/>
    </w:p>
    <w:p w14:paraId="0CE855FC">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 w:val="0"/>
          <w:bCs/>
          <w:sz w:val="44"/>
          <w:szCs w:val="44"/>
          <w:shd w:val="clear" w:color="auto" w:fill="FFFFFF"/>
          <w:lang w:val="en-US" w:eastAsia="zh-CN"/>
        </w:rPr>
      </w:pPr>
      <w:r>
        <w:rPr>
          <w:rFonts w:hint="eastAsia" w:ascii="方正小标宋简体" w:hAnsi="方正小标宋简体" w:eastAsia="方正小标宋简体" w:cs="方正小标宋简体"/>
          <w:b w:val="0"/>
          <w:bCs/>
          <w:sz w:val="44"/>
          <w:szCs w:val="44"/>
          <w:shd w:val="clear" w:color="auto" w:fill="FFFFFF"/>
          <w:lang w:val="en-US" w:eastAsia="zh-CN"/>
        </w:rPr>
        <w:t>乐山市金口河区应急管理局</w:t>
      </w:r>
    </w:p>
    <w:p w14:paraId="7A9E6620">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lang w:val="en-US" w:eastAsia="zh-CN"/>
        </w:rPr>
        <w:t>2024年度部门</w:t>
      </w:r>
      <w:r>
        <w:rPr>
          <w:rFonts w:hint="eastAsia" w:ascii="方正小标宋简体" w:hAnsi="方正小标宋简体" w:eastAsia="方正小标宋简体" w:cs="方正小标宋简体"/>
          <w:b w:val="0"/>
          <w:bCs/>
          <w:sz w:val="44"/>
          <w:szCs w:val="44"/>
          <w:shd w:val="clear" w:color="auto" w:fill="FFFFFF"/>
        </w:rPr>
        <w:t>整体绩效自评报告</w:t>
      </w:r>
    </w:p>
    <w:p w14:paraId="345CE4B2">
      <w:pPr>
        <w:widowControl/>
        <w:adjustRightInd w:val="0"/>
        <w:snapToGrid w:val="0"/>
        <w:spacing w:line="580" w:lineRule="exact"/>
        <w:ind w:firstLine="660" w:firstLineChars="200"/>
        <w:contextualSpacing/>
        <w:jc w:val="left"/>
        <w:rPr>
          <w:rFonts w:ascii="方正仿宋_GBK" w:hAnsi="宋体" w:eastAsia="方正仿宋_GBK" w:cs="宋体"/>
          <w:color w:val="000000"/>
          <w:kern w:val="0"/>
          <w:sz w:val="33"/>
          <w:szCs w:val="33"/>
          <w:shd w:val="clear" w:color="auto" w:fill="FFFFFF"/>
        </w:rPr>
      </w:pPr>
    </w:p>
    <w:p w14:paraId="6E392F2F">
      <w:pPr>
        <w:keepNext w:val="0"/>
        <w:keepLines w:val="0"/>
        <w:pageBreakBefore w:val="0"/>
        <w:widowControl/>
        <w:kinsoku/>
        <w:wordWrap/>
        <w:overflowPunct/>
        <w:topLinePunct w:val="0"/>
        <w:bidi w:val="0"/>
        <w:adjustRightInd w:val="0"/>
        <w:snapToGrid w:val="0"/>
        <w:spacing w:line="560" w:lineRule="exact"/>
        <w:ind w:firstLine="640" w:firstLineChars="200"/>
        <w:contextualSpacing/>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一、</w:t>
      </w:r>
      <w:r>
        <w:rPr>
          <w:rFonts w:hint="eastAsia" w:ascii="仿宋_GB2312" w:hAnsi="Calibri" w:eastAsia="仿宋_GB2312" w:cs="仿宋"/>
          <w:color w:val="auto"/>
          <w:kern w:val="0"/>
          <w:sz w:val="32"/>
          <w:szCs w:val="32"/>
          <w:lang w:val="zh-CN" w:eastAsia="zh-CN" w:bidi="ar-SA"/>
        </w:rPr>
        <w:t>部门基本情况</w:t>
      </w:r>
    </w:p>
    <w:p w14:paraId="52392757">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（一）机构组成。</w:t>
      </w:r>
    </w:p>
    <w:p w14:paraId="197B0174">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乐山市金口河区应急管理局属独立核算的一级预算单位，执行行政单位会计制度。</w:t>
      </w:r>
      <w:r>
        <w:rPr>
          <w:rFonts w:hint="eastAsia" w:ascii="仿宋_GB2312" w:hAnsi="Calibri" w:eastAsia="仿宋_GB2312" w:cs="仿宋"/>
          <w:color w:val="auto"/>
          <w:kern w:val="0"/>
          <w:sz w:val="32"/>
          <w:szCs w:val="32"/>
          <w:lang w:val="zh-CN" w:eastAsia="zh-CN" w:bidi="ar-SA"/>
        </w:rPr>
        <w:t>内设机构</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个，即综合办公室，另有下属参公</w:t>
      </w:r>
      <w:r>
        <w:rPr>
          <w:rFonts w:hint="eastAsia" w:ascii="仿宋_GB2312" w:hAnsi="Calibri" w:eastAsia="仿宋_GB2312" w:cs="仿宋"/>
          <w:color w:val="auto"/>
          <w:kern w:val="0"/>
          <w:sz w:val="32"/>
          <w:szCs w:val="32"/>
          <w:lang w:val="en-US" w:eastAsia="zh-CN" w:bidi="ar-SA"/>
        </w:rPr>
        <w:t>单位1</w:t>
      </w:r>
      <w:r>
        <w:rPr>
          <w:rFonts w:hint="eastAsia" w:ascii="仿宋_GB2312" w:hAnsi="Calibri" w:eastAsia="仿宋_GB2312" w:cs="仿宋"/>
          <w:color w:val="auto"/>
          <w:kern w:val="0"/>
          <w:sz w:val="32"/>
          <w:szCs w:val="32"/>
          <w:lang w:val="zh-CN" w:eastAsia="zh-CN" w:bidi="ar-SA"/>
        </w:rPr>
        <w:t>个，事业单位</w:t>
      </w:r>
      <w:r>
        <w:rPr>
          <w:rFonts w:hint="eastAsia" w:ascii="仿宋_GB2312" w:hAnsi="Calibri" w:eastAsia="仿宋_GB2312" w:cs="仿宋"/>
          <w:color w:val="auto"/>
          <w:kern w:val="0"/>
          <w:sz w:val="32"/>
          <w:szCs w:val="32"/>
          <w:lang w:val="en-US" w:eastAsia="zh-CN" w:bidi="ar-SA"/>
        </w:rPr>
        <w:t>1个</w:t>
      </w:r>
      <w:r>
        <w:rPr>
          <w:rFonts w:hint="eastAsia" w:ascii="仿宋_GB2312" w:hAnsi="Calibri" w:eastAsia="仿宋_GB2312" w:cs="仿宋"/>
          <w:color w:val="auto"/>
          <w:kern w:val="0"/>
          <w:sz w:val="32"/>
          <w:szCs w:val="32"/>
          <w:lang w:val="zh-CN" w:eastAsia="zh-CN" w:bidi="ar-SA"/>
        </w:rPr>
        <w:t>。</w:t>
      </w:r>
    </w:p>
    <w:p w14:paraId="3D787757">
      <w:pPr>
        <w:keepNext w:val="0"/>
        <w:keepLines w:val="0"/>
        <w:pageBreakBefore w:val="0"/>
        <w:numPr>
          <w:ilvl w:val="0"/>
          <w:numId w:val="7"/>
        </w:numPr>
        <w:kinsoku/>
        <w:wordWrap/>
        <w:overflowPunct/>
        <w:topLinePunct w:val="0"/>
        <w:bidi w:val="0"/>
        <w:spacing w:line="560" w:lineRule="exact"/>
        <w:ind w:left="0" w:leftChars="0" w:firstLine="640" w:firstLineChars="200"/>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机构职能。</w:t>
      </w:r>
    </w:p>
    <w:p w14:paraId="4B2F5BC2">
      <w:pPr>
        <w:keepNext w:val="0"/>
        <w:keepLines w:val="0"/>
        <w:pageBreakBefore w:val="0"/>
        <w:numPr>
          <w:ilvl w:val="0"/>
          <w:numId w:val="0"/>
        </w:numPr>
        <w:kinsoku/>
        <w:wordWrap/>
        <w:overflowPunct/>
        <w:topLinePunct w:val="0"/>
        <w:bidi w:val="0"/>
        <w:spacing w:line="560" w:lineRule="exact"/>
        <w:ind w:firstLine="640" w:firstLineChars="200"/>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根据文件，金口河区应急管理局确定为区政府组成部门，主要职能包括：</w:t>
      </w:r>
    </w:p>
    <w:p w14:paraId="14857C93">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1.负责应急管理工作，组织和指导全区应对安全生产类、自然灾害类等突发事件和综合防灾减灾救灾工作。负责安全生产综合监督管理和工矿商贸、煤炭行业安全生产监督管理工作。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2.拟订应急管理、安全生产等政策措施，组织编制应急体系建设、安全生产和综合防灾减灾规划，拟订相关规范性文件。</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3.负责组织、指导应急预案体系建设，建立完善事故灾难和自然灾害分级应对制度，牵头组织编制综合应急防灾减灾预案和安全生产类、自然灾害类专项预案，负责应急预案衔接工作，组织开展预案演练，推动应急避难设施建设。</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4.牵头建立统一的应急管理信息系统，负责信息传输渠道的规划和布局，建立监测预警和灾情报告制度，健全自然灾害信息资源获取和共享机制，依法统一发布灾情。</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5.负责组织、指导、协调安全生产类、自然灾害类等突发事件应急救援的有关工作。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6.统一协调指挥各类应急专业队伍，建立应急协调联动机制，推进指挥平台对接，提请衔接解放军和武警部队参与应急救援工作。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7.按照国家相关政策和规定，负责消防、森林和草原火灾扑救、抗洪抢险、地震和地质灾害救援、生产安全事故救援等专业应急救援力量建设，依法依规统筹指导各乡镇及社会应急救援力量和保障能力建设。</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8.按照上级相关政策和区委、区政府相关规定负责消防工作，组织和指导消防监督、火灾预防、火灾扑救等工作。</w:t>
      </w:r>
    </w:p>
    <w:p w14:paraId="78A35FC3">
      <w:pPr>
        <w:keepNext w:val="0"/>
        <w:keepLines w:val="0"/>
        <w:pageBreakBefore w:val="0"/>
        <w:numPr>
          <w:ilvl w:val="0"/>
          <w:numId w:val="0"/>
        </w:numPr>
        <w:kinsoku/>
        <w:wordWrap/>
        <w:overflowPunct/>
        <w:topLinePunct w:val="0"/>
        <w:bidi w:val="0"/>
        <w:spacing w:line="560" w:lineRule="exact"/>
        <w:ind w:firstLine="640" w:firstLineChars="200"/>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9.负责自然灾害综合监测预警工作，承担自然灾害综合风险评估工作，指导协调森林和草原火灾、水旱灾害、地震和地质灾害等防治工作。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10.负责组织、协调灾害救助工作。组织和指导灾情核查、损失评估、救灾捐赠工作，管理和分配中央、省、市下拨及区级救灾款物并监督使用。</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11.依法承担区政府安全生产综合监督管理责任，指导协调、监督检查区级有关部门和各乡镇人民政府安全生产工作，组织开展安全生产巡查、考核工作。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12.按照分级、属地原则，依法监督检查工矿商贸生产经营单位贯彻执行安全生产法律法规情况及其安全生产条件和有关设备（特种设备除外）、材料、劳动防护用品的安全生产管理工作。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13.承担煤矿、非煤矿山、危险化学品、非药品类易制毒化学品和烟花爆竹等生产经营单位安全生产准入管理责任。负责危险化学品安全监督管理综合工作和烟花爆竹安全生产监督管理工作。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14.拟订煤炭产业发展计划，组织实施准入条件、行业标准，按权限审核、上报煤炭项目并负责建设管理，负责煤炭生产协调和监督管理，负责煤炭行业结构调整与产业升级，负责煤矿瓦斯等级鉴定、瓦斯治理与利用，推进煤炭体制改革。</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15.承担煤矿安全生产监督管理责任，依法监督检查煤矿企业贯彻执行安全生产法律法规情况及安全生产条件和有关设备（特种设备除外）、材料、劳动防护用品的安全生产管理工作。负责组织、指导煤矿企业安全专项整治、安全标准化、瓦斯和水害防治及相关安全科技发展工作，参与煤矿事故抢险救援和调查处理。</w:t>
      </w:r>
    </w:p>
    <w:p w14:paraId="6BEDD617">
      <w:pPr>
        <w:keepNext w:val="0"/>
        <w:keepLines w:val="0"/>
        <w:pageBreakBefore w:val="0"/>
        <w:kinsoku/>
        <w:wordWrap/>
        <w:overflowPunct/>
        <w:topLinePunct w:val="0"/>
        <w:bidi w:val="0"/>
        <w:spacing w:line="560" w:lineRule="exact"/>
        <w:ind w:left="0" w:leftChars="0" w:firstLine="640" w:firstLineChars="200"/>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16.依法组织、指导安全生产事故调查处理，监督事故查处和责任追究落实情况。组织开展自然灾害类突发事件的调查评估工作。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17.开展应急管理和安全生产方面的交流与合作，组织参与安全生产类、自然灾害类等突发事件的跨区域救援工作。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18.制定应急物资储备和应急救援装备规划并组织实施，会同有关部门建立健全应急物资信息平台和调拨制度，在救灾时统一调度。</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19.负责应急管理、安全生产宣传教育和培训工作，组织和指导应急管理、安全生产的科学技术研究、推广应用和信息化建设工作。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20.按照省市统一部署稳妥推进综合行政执法工作。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21.负责职责范围内的职业健康、生态环境保护、行政审批和公共服务工作。</w:t>
      </w:r>
      <w:r>
        <w:rPr>
          <w:rFonts w:hint="eastAsia" w:ascii="仿宋_GB2312" w:hAnsi="Calibri" w:eastAsia="仿宋_GB2312" w:cs="仿宋"/>
          <w:color w:val="auto"/>
          <w:kern w:val="0"/>
          <w:sz w:val="32"/>
          <w:szCs w:val="32"/>
          <w:lang w:val="en-US" w:eastAsia="zh-CN" w:bidi="ar-SA"/>
        </w:rPr>
        <w:br w:type="textWrapping"/>
      </w:r>
      <w:r>
        <w:rPr>
          <w:rFonts w:hint="eastAsia" w:ascii="仿宋_GB2312" w:hAnsi="Calibri" w:eastAsia="仿宋_GB2312" w:cs="仿宋"/>
          <w:color w:val="auto"/>
          <w:kern w:val="0"/>
          <w:sz w:val="32"/>
          <w:szCs w:val="32"/>
          <w:lang w:val="en-US" w:eastAsia="zh-CN" w:bidi="ar-SA"/>
        </w:rPr>
        <w:t xml:space="preserve">    22.完成区委、区政府交办的其他工作。</w:t>
      </w:r>
    </w:p>
    <w:p w14:paraId="08998EA4">
      <w:pPr>
        <w:keepNext w:val="0"/>
        <w:keepLines w:val="0"/>
        <w:pageBreakBefore w:val="0"/>
        <w:kinsoku/>
        <w:wordWrap/>
        <w:overflowPunct/>
        <w:topLinePunct w:val="0"/>
        <w:bidi w:val="0"/>
        <w:spacing w:line="560" w:lineRule="exact"/>
        <w:ind w:left="0" w:leftChars="0" w:firstLine="640" w:firstLineChars="200"/>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金口河区应急管理局的上级主管业务机关是乐山市应急管理局</w:t>
      </w:r>
      <w:r>
        <w:rPr>
          <w:rFonts w:hint="eastAsia" w:ascii="仿宋_GB2312" w:hAnsi="Calibri" w:eastAsia="仿宋_GB2312" w:cs="仿宋"/>
          <w:color w:val="auto"/>
          <w:kern w:val="0"/>
          <w:sz w:val="32"/>
          <w:szCs w:val="32"/>
          <w:lang w:val="en-US" w:eastAsia="zh-CN" w:bidi="ar-SA"/>
        </w:rPr>
        <w:t>。</w:t>
      </w:r>
    </w:p>
    <w:p w14:paraId="312E8DF8">
      <w:pPr>
        <w:keepNext w:val="0"/>
        <w:keepLines w:val="0"/>
        <w:pageBreakBefore w:val="0"/>
        <w:widowControl/>
        <w:numPr>
          <w:ilvl w:val="0"/>
          <w:numId w:val="0"/>
        </w:numPr>
        <w:tabs>
          <w:tab w:val="left" w:pos="3840"/>
        </w:tabs>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（三）</w:t>
      </w:r>
      <w:r>
        <w:rPr>
          <w:rFonts w:hint="eastAsia" w:ascii="仿宋_GB2312" w:hAnsi="Calibri" w:eastAsia="仿宋_GB2312" w:cs="仿宋"/>
          <w:color w:val="auto"/>
          <w:kern w:val="0"/>
          <w:sz w:val="32"/>
          <w:szCs w:val="32"/>
          <w:lang w:val="zh-CN" w:eastAsia="zh-CN" w:bidi="ar-SA"/>
        </w:rPr>
        <w:t>人员概况。</w:t>
      </w:r>
    </w:p>
    <w:p w14:paraId="276059FE">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区应急管理局共有编制公务员6个，参公9个，机关工勤2个，事业4个。截至2024年12月实有人员共19人。</w:t>
      </w:r>
      <w:r>
        <w:rPr>
          <w:rFonts w:hint="eastAsia" w:ascii="仿宋_GB2312" w:hAnsi="Calibri" w:eastAsia="仿宋_GB2312" w:cs="仿宋"/>
          <w:color w:val="auto"/>
          <w:kern w:val="0"/>
          <w:sz w:val="32"/>
          <w:szCs w:val="32"/>
          <w:lang w:val="zh-CN" w:eastAsia="zh-CN" w:bidi="ar-SA"/>
        </w:rPr>
        <w:tab/>
      </w:r>
      <w:r>
        <w:rPr>
          <w:rFonts w:hint="eastAsia" w:ascii="仿宋_GB2312" w:hAnsi="Calibri" w:eastAsia="仿宋_GB2312" w:cs="仿宋"/>
          <w:color w:val="auto"/>
          <w:kern w:val="0"/>
          <w:sz w:val="32"/>
          <w:szCs w:val="32"/>
          <w:lang w:val="en-US" w:eastAsia="zh-CN" w:bidi="ar-SA"/>
        </w:rPr>
        <w:t>二、部门财政资金收支情况</w:t>
      </w:r>
    </w:p>
    <w:p w14:paraId="7DB606D0">
      <w:pPr>
        <w:keepNext w:val="0"/>
        <w:keepLines w:val="0"/>
        <w:pageBreakBefore w:val="0"/>
        <w:widowControl/>
        <w:numPr>
          <w:ilvl w:val="0"/>
          <w:numId w:val="0"/>
        </w:numPr>
        <w:tabs>
          <w:tab w:val="left" w:pos="3840"/>
        </w:tabs>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（一）部门财政资金收入情况。</w:t>
      </w:r>
    </w:p>
    <w:p w14:paraId="0222B6AA">
      <w:pPr>
        <w:keepNext w:val="0"/>
        <w:keepLines w:val="0"/>
        <w:pageBreakBefore w:val="0"/>
        <w:widowControl/>
        <w:numPr>
          <w:ilvl w:val="0"/>
          <w:numId w:val="0"/>
        </w:numPr>
        <w:tabs>
          <w:tab w:val="left" w:pos="3840"/>
        </w:tabs>
        <w:kinsoku/>
        <w:wordWrap/>
        <w:overflowPunct/>
        <w:topLinePunct w:val="0"/>
        <w:bidi w:val="0"/>
        <w:adjustRightInd w:val="0"/>
        <w:snapToGrid w:val="0"/>
        <w:spacing w:line="560" w:lineRule="exact"/>
        <w:ind w:firstLine="640" w:firstLineChars="200"/>
        <w:contextualSpacing/>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2024年区应急管理局本年总收入合计1,377.61万元，其中：一般公共预算财政拨款收入1,377.59万元，占99％，其他收入0.01万元；占0.01％。</w:t>
      </w:r>
    </w:p>
    <w:p w14:paraId="1FC61E3E">
      <w:pPr>
        <w:keepNext w:val="0"/>
        <w:keepLines w:val="0"/>
        <w:pageBreakBefore w:val="0"/>
        <w:widowControl/>
        <w:numPr>
          <w:ilvl w:val="0"/>
          <w:numId w:val="0"/>
        </w:numPr>
        <w:tabs>
          <w:tab w:val="left" w:pos="3840"/>
        </w:tabs>
        <w:kinsoku/>
        <w:wordWrap/>
        <w:overflowPunct/>
        <w:topLinePunct w:val="0"/>
        <w:bidi w:val="0"/>
        <w:adjustRightInd w:val="0"/>
        <w:snapToGrid w:val="0"/>
        <w:spacing w:line="560" w:lineRule="exact"/>
        <w:ind w:leftChars="200"/>
        <w:contextualSpacing/>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二</w:t>
      </w:r>
      <w:r>
        <w:rPr>
          <w:rFonts w:hint="eastAsia" w:ascii="仿宋_GB2312" w:hAnsi="Calibri" w:eastAsia="仿宋_GB2312" w:cs="仿宋"/>
          <w:color w:val="auto"/>
          <w:kern w:val="0"/>
          <w:sz w:val="32"/>
          <w:szCs w:val="32"/>
          <w:lang w:val="zh-CN" w:eastAsia="zh-CN" w:bidi="ar-SA"/>
        </w:rPr>
        <w:t>）部门财政资金支出情况。</w:t>
      </w:r>
    </w:p>
    <w:p w14:paraId="1AAD13B3">
      <w:pPr>
        <w:keepNext w:val="0"/>
        <w:keepLines w:val="0"/>
        <w:pageBreakBefore w:val="0"/>
        <w:widowControl/>
        <w:numPr>
          <w:ilvl w:val="0"/>
          <w:numId w:val="0"/>
        </w:numPr>
        <w:tabs>
          <w:tab w:val="left" w:pos="3840"/>
        </w:tabs>
        <w:kinsoku/>
        <w:wordWrap/>
        <w:overflowPunct/>
        <w:topLinePunct w:val="0"/>
        <w:bidi w:val="0"/>
        <w:adjustRightInd w:val="0"/>
        <w:snapToGrid w:val="0"/>
        <w:spacing w:line="560" w:lineRule="exact"/>
        <w:ind w:firstLine="640" w:firstLineChars="200"/>
        <w:contextualSpacing/>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2024年区应急管理局本年支出合计1,377.59万元，其中：基本支出423.64万元，占30％；项目支出953.96万元，占70％。</w:t>
      </w:r>
    </w:p>
    <w:p w14:paraId="06103906">
      <w:pPr>
        <w:keepNext w:val="0"/>
        <w:keepLines w:val="0"/>
        <w:pageBreakBefore w:val="0"/>
        <w:widowControl/>
        <w:numPr>
          <w:ilvl w:val="0"/>
          <w:numId w:val="7"/>
        </w:numPr>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部门财政资金结转结余情况。</w:t>
      </w:r>
    </w:p>
    <w:p w14:paraId="1D92B534">
      <w:pPr>
        <w:keepNext w:val="0"/>
        <w:keepLines w:val="0"/>
        <w:pageBreakBefore w:val="0"/>
        <w:widowControl/>
        <w:numPr>
          <w:ilvl w:val="0"/>
          <w:numId w:val="0"/>
        </w:numPr>
        <w:kinsoku/>
        <w:wordWrap/>
        <w:overflowPunct/>
        <w:topLinePunct w:val="0"/>
        <w:bidi w:val="0"/>
        <w:adjustRightInd w:val="0"/>
        <w:snapToGrid w:val="0"/>
        <w:spacing w:line="560" w:lineRule="exact"/>
        <w:ind w:firstLine="640" w:firstLineChars="200"/>
        <w:contextualSpacing/>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202</w:t>
      </w:r>
      <w:r>
        <w:rPr>
          <w:rFonts w:hint="eastAsia" w:ascii="仿宋_GB2312" w:hAnsi="Calibri" w:eastAsia="仿宋_GB2312" w:cs="仿宋"/>
          <w:color w:val="auto"/>
          <w:kern w:val="0"/>
          <w:sz w:val="32"/>
          <w:szCs w:val="32"/>
          <w:lang w:val="en-US" w:eastAsia="zh-CN" w:bidi="ar-SA"/>
        </w:rPr>
        <w:t>4</w:t>
      </w:r>
      <w:r>
        <w:rPr>
          <w:rFonts w:hint="eastAsia" w:ascii="仿宋_GB2312" w:hAnsi="Calibri" w:eastAsia="仿宋_GB2312" w:cs="仿宋"/>
          <w:color w:val="auto"/>
          <w:kern w:val="0"/>
          <w:sz w:val="32"/>
          <w:szCs w:val="32"/>
          <w:lang w:val="zh-CN" w:eastAsia="zh-CN" w:bidi="ar-SA"/>
        </w:rPr>
        <w:t>年年末结转结余</w:t>
      </w:r>
      <w:r>
        <w:rPr>
          <w:rFonts w:hint="eastAsia" w:ascii="仿宋_GB2312" w:hAnsi="Calibri" w:eastAsia="仿宋_GB2312" w:cs="仿宋"/>
          <w:color w:val="auto"/>
          <w:kern w:val="0"/>
          <w:sz w:val="32"/>
          <w:szCs w:val="32"/>
          <w:lang w:val="en-US" w:eastAsia="zh-CN" w:bidi="ar-SA"/>
        </w:rPr>
        <w:t>0.10</w:t>
      </w:r>
      <w:r>
        <w:rPr>
          <w:rFonts w:hint="eastAsia" w:ascii="仿宋_GB2312" w:hAnsi="Calibri" w:eastAsia="仿宋_GB2312" w:cs="仿宋"/>
          <w:color w:val="auto"/>
          <w:kern w:val="0"/>
          <w:sz w:val="32"/>
          <w:szCs w:val="32"/>
          <w:lang w:val="zh-CN" w:eastAsia="zh-CN" w:bidi="ar-SA"/>
        </w:rPr>
        <w:t>万元，全部为非财政拨款结转。</w:t>
      </w:r>
    </w:p>
    <w:p w14:paraId="54CEA09A">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三、部门整体绩效管理情况（根据自评体系进行描述）</w:t>
      </w:r>
    </w:p>
    <w:p w14:paraId="3FA84063">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（一）部门预算总体绩效分析。</w:t>
      </w:r>
    </w:p>
    <w:p w14:paraId="3A885DC8">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1.履职效能</w:t>
      </w:r>
    </w:p>
    <w:p w14:paraId="1CEAFB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是深入学习贯彻。一是区委常委会、区政府常务会议先后13次传达学习了习近平总书记关于安全生产的重要论述和重要指示批示精神；二是组织县级领导、部门和乡镇及企业负责人2000余人次观看凉山州金阳县“8·21”山洪灾害警示教育片《天灾犹可恕 人祸不可宥》《安全生产 责任在肩》等，进一步筑牢了安全生产防线。</w:t>
      </w:r>
    </w:p>
    <w:p w14:paraId="1B0FE0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是强化执法检查。全年，共完成执法检查49家次，出动执法检查人员116人次，检查出147项问题和隐患，已完成整改134项，其余13项问题还在整改中。立案处罚7起，其中，吊销经营许可证1起，罚款6起，罚款金额55.79万元，其中26.89万元为没收违法所得。</w:t>
      </w:r>
    </w:p>
    <w:p w14:paraId="2D1279F7">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三是完善体制机制。为认真贯彻落实习近平总书记重要指示精神和中央领导同志批示要求，有力推动全区安全生产治本攻坚三年行动既定目标任务落地落实，制定印发了《乐山市金口河区安全生产治本攻坚三年行动（2024—2026 年）任务清单》《全区消防安全治本攻坚三年行动方案（2024-2026年）》《乐山市金口河区非煤矿山安全生产治本攻坚三年行动实施方案（2024-2026年）》《金口河区消防安全集中除患攻坚大整治行动方案》《开展以施工动火作业为重点的消防安全专项整治行动的通知》《金口河区金属冶炼领域安全生产专项整治工作方案》等方案，加强源头治理、综合治理、精准治理，推动高质量发展和高水平安全良性互动，坚决维护人民群众生命财产安全。</w:t>
      </w:r>
    </w:p>
    <w:p w14:paraId="05A2E950">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2.预算管理</w:t>
      </w:r>
    </w:p>
    <w:p w14:paraId="755DDE6E">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以预算编制为基础，提高资金使用效益通过不断强化预算管理意识，实行部门综合预算管理，形成以领导支持、财务部门牵头、其他部门密切配合的工作格局，使预算编制的科学性、合理性不断提高，以保证预算编制质量。同时不断加强会计基础工作规范化建设，建立健全财务工作制度，建立自我激励约束机制，提高资金使用效益，确保资金安全。</w:t>
      </w:r>
    </w:p>
    <w:p w14:paraId="7B8B7D41">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定期开展预算执行分析，确保预算目标完成结合2023年度业务情况，进行科学合理分配细化，部门预算经批复后，跟踪预算执行进度，科学合理安排支出。严格执行项目支出预算，积极组织项目实施，对于达到政府采购标准的项目支出，明确规定采购项目的采购期限，督促尽快组织实施采购计划。加强对预算执行过程的控制和结果的反馈，对预算执行差异及时分析成因和影响，并及时向领导和单位内各部门进行反馈，以采取措施纠正执行偏差，促进预算目标的全面完成。</w:t>
      </w:r>
    </w:p>
    <w:p w14:paraId="2F6FE7EB">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3.财务管理</w:t>
      </w:r>
    </w:p>
    <w:p w14:paraId="6509B221">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加强学习，提高工作水平。规范财务核算工作，保证原始凭证完整性和填制凭证规范性、提供科学决策数据的及时性和准确性，通过预算管理一体化系统平台的实施准备和部分模块的实施，有效地提高财务工作效率；巩固学习政府会计准则，确保政府会计制度的严格实施；关注新政策的出台，及时调整财政管理办法。计继续教育和相关部门组织的业务培训会议，保证财务知识不断更新，提高单位财务核算和财务管理的工作水平。</w:t>
      </w:r>
    </w:p>
    <w:p w14:paraId="6A4C7A3A">
      <w:pPr>
        <w:keepNext w:val="0"/>
        <w:keepLines w:val="0"/>
        <w:pageBreakBefore w:val="0"/>
        <w:widowControl/>
        <w:kinsoku/>
        <w:wordWrap/>
        <w:overflowPunct/>
        <w:topLinePunct w:val="0"/>
        <w:autoSpaceDE/>
        <w:autoSpaceDN/>
        <w:bidi w:val="0"/>
        <w:adjustRightInd w:val="0"/>
        <w:snapToGrid w:val="0"/>
        <w:spacing w:line="560" w:lineRule="exact"/>
        <w:ind w:firstLine="320" w:firstLineChars="1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4.资产管理</w:t>
      </w:r>
    </w:p>
    <w:p w14:paraId="79E27D7C">
      <w:pPr>
        <w:keepNext w:val="0"/>
        <w:keepLines w:val="0"/>
        <w:pageBreakBefore w:val="0"/>
        <w:widowControl/>
        <w:kinsoku/>
        <w:wordWrap/>
        <w:overflowPunct/>
        <w:topLinePunct w:val="0"/>
        <w:autoSpaceDE/>
        <w:autoSpaceDN/>
        <w:bidi w:val="0"/>
        <w:adjustRightInd w:val="0"/>
        <w:snapToGrid w:val="0"/>
        <w:spacing w:line="560" w:lineRule="exact"/>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（1）加强会计核算</w:t>
      </w:r>
    </w:p>
    <w:p w14:paraId="4AA8CD51">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严格执行政府会计准则，结合现行固定资产相关政策和本单位管理制度，对已完工的基建工程、购入的固定资产、收到的捐赠资产等及时入账，并按照数量、金额登记明细账，编制固定资产卡片，确保账面上能真实、完整地反映单位的固定资产情况，并结合本单位的实际情况，完善固定资产管理制度。</w:t>
      </w:r>
    </w:p>
    <w:p w14:paraId="14AA6734">
      <w:pPr>
        <w:keepNext w:val="0"/>
        <w:keepLines w:val="0"/>
        <w:pageBreakBefore w:val="0"/>
        <w:widowControl/>
        <w:kinsoku/>
        <w:wordWrap/>
        <w:overflowPunct/>
        <w:topLinePunct w:val="0"/>
        <w:autoSpaceDE/>
        <w:autoSpaceDN/>
        <w:bidi w:val="0"/>
        <w:adjustRightInd w:val="0"/>
        <w:snapToGrid w:val="0"/>
        <w:spacing w:line="560" w:lineRule="exact"/>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（2）加强内部监督</w:t>
      </w:r>
    </w:p>
    <w:p w14:paraId="6B282324">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定期或不定期地对固定资产进行抽查。检查固定资产的购置、领用、处置等程序是否合规，账实是否相符等，防止国有资产的流失。</w:t>
      </w:r>
    </w:p>
    <w:p w14:paraId="2A5CCC6E">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5.采购管理。</w:t>
      </w:r>
    </w:p>
    <w:p w14:paraId="344169ED">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对纳入政府采购目录范围内的资产采购，必须报政府采购中心进行政府采购；未纳入政府采购目录范围内的资产采购，采用其他</w:t>
      </w:r>
    </w:p>
    <w:p w14:paraId="2CAC29B0">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形式采购。未纳入预算的固定资产，不得随意采购，确需急用，必须经相关部门批准。</w:t>
      </w:r>
    </w:p>
    <w:p w14:paraId="6F22FB8E">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（二）部门预算项目绩效分析。</w:t>
      </w:r>
    </w:p>
    <w:p w14:paraId="7146AEAB">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项目决策。我单位预算严格按照新《预算法》及其实施条例的相关规定，结合上一年度预算执行情况和本年度预算收支变化因素，科学、合理地编制本年预算，避免项目支出与基本支出划分不准或预算支出与实际执行出现较大偏差的情况。</w:t>
      </w:r>
    </w:p>
    <w:p w14:paraId="26BFA137">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2.项目执行。我单位严格按照新《预算法》及其实施条例的相关规定，严格执行资金支出，执行中确需调剂预算的，按规定程序报经批准。</w:t>
      </w:r>
    </w:p>
    <w:p w14:paraId="3744AAAD">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目标实现。为加快建成“全方位、全过程、全覆盖”的预算绩效管理体系，一是进一步提高预算绩效管理认识，加强预算绩效管理的培训工作，进一步提高预算绩效管理工作水平。二是在绩效目标编制方面，针对绩效目标设置指向不清、预算和目标匹配不足，</w:t>
      </w:r>
    </w:p>
    <w:p w14:paraId="38F047AC">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数量目标和质量目标量化不细，效益目标编制不完整等方面加以了改善。三是加强预算绩效动态监控管理，及时跟踪项目进度，对项目实施中存在的具体问题采取纠偏措施。四是开展预算绩效事后的评价工作，对评价结果组织开展分析工作，结合财政部门相关政策及单位业务实际，加强绩效评价结果的应用。</w:t>
      </w:r>
    </w:p>
    <w:p w14:paraId="40C9CE80">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信息公开：在规定时间内将报告于政府门户网站上进行公开，对于今年的绩效评价结果，我局将严格用于明年度的预算安排。</w:t>
      </w:r>
    </w:p>
    <w:p w14:paraId="5B73F1E0">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自评质量：2024年部门预算编制合理，各项目标按计划、进度执行，各项经费开支按预算实施，财政收支平衡，达到预期绩效目标。</w:t>
      </w:r>
    </w:p>
    <w:p w14:paraId="0352E3D6">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整改反馈：经过自查，内部控制制度存在不完善等问题，本单位立即进行了修改、完善，保证制度的建立健全。</w:t>
      </w:r>
    </w:p>
    <w:p w14:paraId="63469F3F">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四、评价结论及建议</w:t>
      </w:r>
    </w:p>
    <w:p w14:paraId="69E048E0">
      <w:pPr>
        <w:pStyle w:val="40"/>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054FC48A">
      <w:pPr>
        <w:pStyle w:val="40"/>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2024年，区应急管理局按照国家的法律法规加强预算管理，不断完善内控制度，认真地完成了2024年部门预算和决算汇总工作，能够按照财政部门批复的预算组织实施。通过项目资金的分配使用。综合以上各项指标，财务管理健全规范，没有发生违法违规现象，我局2024年的部门整体支出做到了使用规范、程序透明、达到预期绩效目标确保了机关的正常运行和各部门职能的正常履行，保证了目标任务的圆满完成。</w:t>
      </w:r>
    </w:p>
    <w:p w14:paraId="12C142E5">
      <w:pPr>
        <w:pStyle w:val="6"/>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存在问题。</w:t>
      </w:r>
    </w:p>
    <w:p w14:paraId="6DBB1508">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个别项目推进不及时，造成资金结转结余数额较大。下一步改进措施：一是进一步加强项目资金管理，加强项目预算的计划性、科学性、确保专项资金使用公开、公平、公正；二是加强财政资金绩效管理，实现财政资金使用安全、高效、透明。</w:t>
      </w:r>
    </w:p>
    <w:p w14:paraId="387D541B">
      <w:pPr>
        <w:pStyle w:val="40"/>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改进建议。</w:t>
      </w:r>
    </w:p>
    <w:p w14:paraId="1BBF0538">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进一步健全和完善财务管理制度及内部控制制度，科学合理编制预算，严格执行预算。在规范财务收支和控制经费增长上，创新管理手段，用新思路、新方法，改进完善财务管理方法。按照财政支出绩效管理的要求，建立科学的财政资金效益考评制度体系，牢固树立行政成本意识，不断提高财政资金使用管理的水平和效率。</w:t>
      </w:r>
    </w:p>
    <w:p w14:paraId="3F303E6D">
      <w:pPr>
        <w:spacing w:line="572" w:lineRule="exact"/>
        <w:jc w:val="left"/>
        <w:outlineLvl w:val="9"/>
        <w:rPr>
          <w:rFonts w:ascii="仿宋_GB2312" w:hAnsi="仿宋_GB2312" w:eastAsia="仿宋_GB2312" w:cs="仿宋_GB2312"/>
          <w:sz w:val="32"/>
          <w:szCs w:val="32"/>
        </w:rPr>
      </w:pPr>
    </w:p>
    <w:tbl>
      <w:tblPr>
        <w:tblStyle w:val="18"/>
        <w:tblW w:w="8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8"/>
        <w:gridCol w:w="514"/>
        <w:gridCol w:w="514"/>
        <w:gridCol w:w="2020"/>
        <w:gridCol w:w="980"/>
        <w:gridCol w:w="1013"/>
        <w:gridCol w:w="857"/>
        <w:gridCol w:w="560"/>
        <w:gridCol w:w="853"/>
      </w:tblGrid>
      <w:tr w14:paraId="51E6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370" w:type="dxa"/>
            <w:gridSpan w:val="9"/>
            <w:tcBorders>
              <w:top w:val="nil"/>
              <w:left w:val="nil"/>
              <w:bottom w:val="nil"/>
              <w:right w:val="nil"/>
            </w:tcBorders>
            <w:shd w:val="clear" w:color="auto" w:fill="auto"/>
            <w:noWrap/>
            <w:vAlign w:val="center"/>
          </w:tcPr>
          <w:p w14:paraId="7C25929E">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59" w:name="_Toc15396618"/>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7F41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D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6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专家会诊经费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E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7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6D1A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6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3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E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48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r>
      <w:tr w14:paraId="26B8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C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0A7D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7C7CCD8F">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E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9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75AF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A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D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2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5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r>
      <w:tr w14:paraId="1EE1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5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2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7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6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r>
      <w:tr w14:paraId="078E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C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5537">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6E24">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F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34A7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2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2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F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2217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A714">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14:paraId="37EC7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完成专家会诊项目，能及时跟踪督办隐患整改。</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14:paraId="0494A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专家会诊项目，能及时跟踪督办隐患整改已完成。</w:t>
            </w:r>
          </w:p>
        </w:tc>
      </w:tr>
      <w:tr w14:paraId="5BC2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4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6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C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F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2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B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BB7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2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0094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5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7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D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7A24">
            <w:pPr>
              <w:jc w:val="center"/>
              <w:rPr>
                <w:rFonts w:hint="eastAsia" w:ascii="宋体" w:hAnsi="宋体" w:eastAsia="宋体" w:cs="宋体"/>
                <w:i w:val="0"/>
                <w:iCs w:val="0"/>
                <w:color w:val="000000"/>
                <w:sz w:val="18"/>
                <w:szCs w:val="18"/>
                <w:u w:val="none"/>
              </w:rPr>
            </w:pPr>
          </w:p>
        </w:tc>
      </w:tr>
      <w:tr w14:paraId="3CCB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E3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7D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9F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9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0C97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6B80">
            <w:pPr>
              <w:rPr>
                <w:rFonts w:hint="eastAsia" w:ascii="宋体" w:hAnsi="宋体" w:eastAsia="宋体" w:cs="宋体"/>
                <w:i w:val="0"/>
                <w:iCs w:val="0"/>
                <w:color w:val="000000"/>
                <w:sz w:val="18"/>
                <w:szCs w:val="18"/>
                <w:u w:val="none"/>
              </w:rPr>
            </w:pPr>
          </w:p>
        </w:tc>
      </w:tr>
      <w:tr w14:paraId="7FDC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09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037DF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E5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专家会诊次数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70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A9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A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70B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E0C7">
            <w:pPr>
              <w:rPr>
                <w:rFonts w:hint="eastAsia" w:ascii="宋体" w:hAnsi="宋体" w:eastAsia="宋体" w:cs="宋体"/>
                <w:i w:val="0"/>
                <w:iCs w:val="0"/>
                <w:color w:val="000000"/>
                <w:sz w:val="18"/>
                <w:szCs w:val="18"/>
                <w:u w:val="none"/>
              </w:rPr>
            </w:pPr>
          </w:p>
        </w:tc>
      </w:tr>
      <w:tr w14:paraId="5678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6DCDA">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23D02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B2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出动专家人数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A3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39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8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3FD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1074">
            <w:pPr>
              <w:rPr>
                <w:rFonts w:hint="eastAsia" w:ascii="宋体" w:hAnsi="宋体" w:eastAsia="宋体" w:cs="宋体"/>
                <w:i w:val="0"/>
                <w:iCs w:val="0"/>
                <w:color w:val="000000"/>
                <w:sz w:val="18"/>
                <w:szCs w:val="18"/>
                <w:u w:val="none"/>
              </w:rPr>
            </w:pPr>
          </w:p>
        </w:tc>
      </w:tr>
      <w:tr w14:paraId="4365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68159">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71B04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9369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75E1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2D53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C8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A1BE27">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8B6C">
            <w:pPr>
              <w:rPr>
                <w:rFonts w:hint="eastAsia" w:ascii="宋体" w:hAnsi="宋体" w:eastAsia="宋体" w:cs="宋体"/>
                <w:i w:val="0"/>
                <w:iCs w:val="0"/>
                <w:color w:val="000000"/>
                <w:sz w:val="18"/>
                <w:szCs w:val="18"/>
                <w:u w:val="none"/>
              </w:rPr>
            </w:pPr>
          </w:p>
        </w:tc>
      </w:tr>
      <w:tr w14:paraId="2C64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7F395">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6E7F4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9B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会诊完成年限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CB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EC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5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A7A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765F">
            <w:pPr>
              <w:rPr>
                <w:rFonts w:hint="eastAsia" w:ascii="宋体" w:hAnsi="宋体" w:eastAsia="宋体" w:cs="宋体"/>
                <w:i w:val="0"/>
                <w:iCs w:val="0"/>
                <w:color w:val="000000"/>
                <w:sz w:val="18"/>
                <w:szCs w:val="18"/>
                <w:u w:val="none"/>
              </w:rPr>
            </w:pPr>
          </w:p>
        </w:tc>
      </w:tr>
      <w:tr w14:paraId="663F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7206B">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788FD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73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开展专家会诊所需费用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E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42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D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B3E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5929">
            <w:pPr>
              <w:rPr>
                <w:rFonts w:hint="eastAsia" w:ascii="宋体" w:hAnsi="宋体" w:eastAsia="宋体" w:cs="宋体"/>
                <w:i w:val="0"/>
                <w:iCs w:val="0"/>
                <w:color w:val="000000"/>
                <w:sz w:val="18"/>
                <w:szCs w:val="18"/>
                <w:u w:val="none"/>
              </w:rPr>
            </w:pPr>
          </w:p>
        </w:tc>
      </w:tr>
      <w:tr w14:paraId="2440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06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0EE1B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A28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7B61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095E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D0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6565B2">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E4C1">
            <w:pPr>
              <w:rPr>
                <w:rFonts w:hint="eastAsia" w:ascii="宋体" w:hAnsi="宋体" w:eastAsia="宋体" w:cs="宋体"/>
                <w:i w:val="0"/>
                <w:iCs w:val="0"/>
                <w:color w:val="000000"/>
                <w:sz w:val="18"/>
                <w:szCs w:val="18"/>
                <w:u w:val="none"/>
              </w:rPr>
            </w:pPr>
          </w:p>
        </w:tc>
      </w:tr>
      <w:tr w14:paraId="5CB9E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25426">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2FE8E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56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确保企业、非煤矿山安全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6E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36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C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D60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E263">
            <w:pPr>
              <w:rPr>
                <w:rFonts w:hint="eastAsia" w:ascii="宋体" w:hAnsi="宋体" w:eastAsia="宋体" w:cs="宋体"/>
                <w:i w:val="0"/>
                <w:iCs w:val="0"/>
                <w:color w:val="000000"/>
                <w:sz w:val="18"/>
                <w:szCs w:val="18"/>
                <w:u w:val="none"/>
              </w:rPr>
            </w:pPr>
          </w:p>
        </w:tc>
      </w:tr>
      <w:tr w14:paraId="0B0D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1FC74">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19C9C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68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A945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875F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F77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1B9CAF">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4AF0">
            <w:pPr>
              <w:rPr>
                <w:rFonts w:hint="eastAsia" w:ascii="宋体" w:hAnsi="宋体" w:eastAsia="宋体" w:cs="宋体"/>
                <w:i w:val="0"/>
                <w:iCs w:val="0"/>
                <w:color w:val="000000"/>
                <w:sz w:val="18"/>
                <w:szCs w:val="18"/>
                <w:u w:val="none"/>
              </w:rPr>
            </w:pPr>
          </w:p>
        </w:tc>
      </w:tr>
      <w:tr w14:paraId="7651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671AE">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4072F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4BBC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40C3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3012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B8C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1B3548">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5C36">
            <w:pPr>
              <w:rPr>
                <w:rFonts w:hint="eastAsia" w:ascii="宋体" w:hAnsi="宋体" w:eastAsia="宋体" w:cs="宋体"/>
                <w:i w:val="0"/>
                <w:iCs w:val="0"/>
                <w:color w:val="000000"/>
                <w:sz w:val="18"/>
                <w:szCs w:val="18"/>
                <w:u w:val="none"/>
              </w:rPr>
            </w:pPr>
          </w:p>
        </w:tc>
      </w:tr>
      <w:tr w14:paraId="3716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64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61146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A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BC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9A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1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2A5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22D8">
            <w:pPr>
              <w:rPr>
                <w:rFonts w:hint="eastAsia" w:ascii="宋体" w:hAnsi="宋体" w:eastAsia="宋体" w:cs="宋体"/>
                <w:i w:val="0"/>
                <w:iCs w:val="0"/>
                <w:color w:val="000000"/>
                <w:sz w:val="18"/>
                <w:szCs w:val="18"/>
                <w:u w:val="none"/>
              </w:rPr>
            </w:pPr>
          </w:p>
        </w:tc>
      </w:tr>
      <w:tr w14:paraId="6D04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70" w:type="dxa"/>
            <w:gridSpan w:val="9"/>
            <w:tcBorders>
              <w:top w:val="single" w:color="000000" w:sz="4" w:space="0"/>
              <w:left w:val="nil"/>
              <w:bottom w:val="nil"/>
              <w:right w:val="nil"/>
            </w:tcBorders>
            <w:shd w:val="clear" w:color="auto" w:fill="auto"/>
            <w:vAlign w:val="center"/>
          </w:tcPr>
          <w:p w14:paraId="2DD0A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14:paraId="395E5FEA">
      <w:pPr>
        <w:pStyle w:val="6"/>
        <w:spacing w:before="93"/>
        <w:rPr>
          <w:rFonts w:hAnsi="Calibri" w:cs="仿宋"/>
          <w:sz w:val="32"/>
          <w:szCs w:val="32"/>
        </w:rPr>
      </w:pPr>
    </w:p>
    <w:p w14:paraId="42F959EC">
      <w:pPr>
        <w:pStyle w:val="6"/>
        <w:spacing w:before="93"/>
        <w:rPr>
          <w:rFonts w:hAnsi="Calibri" w:cs="仿宋"/>
          <w:sz w:val="32"/>
          <w:szCs w:val="32"/>
        </w:rPr>
      </w:pPr>
    </w:p>
    <w:tbl>
      <w:tblPr>
        <w:tblStyle w:val="18"/>
        <w:tblW w:w="6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7"/>
        <w:gridCol w:w="1278"/>
        <w:gridCol w:w="2188"/>
        <w:gridCol w:w="1059"/>
        <w:gridCol w:w="974"/>
        <w:gridCol w:w="653"/>
        <w:gridCol w:w="519"/>
        <w:gridCol w:w="531"/>
      </w:tblGrid>
      <w:tr w14:paraId="2F97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15" w:type="dxa"/>
            <w:gridSpan w:val="8"/>
            <w:tcBorders>
              <w:top w:val="nil"/>
              <w:left w:val="nil"/>
              <w:bottom w:val="nil"/>
              <w:right w:val="nil"/>
            </w:tcBorders>
            <w:shd w:val="clear" w:color="auto" w:fill="auto"/>
            <w:noWrap/>
            <w:vAlign w:val="center"/>
          </w:tcPr>
          <w:p w14:paraId="7B7AFF8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73CA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E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5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轻骑兵骑手及速报员队伍运行经费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6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8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6191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6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7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4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F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r>
      <w:tr w14:paraId="3A7F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B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76F6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65E1DC0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B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8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2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7DC4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8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1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3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7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84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A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A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5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28D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D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5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2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C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7B24C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D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C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2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794A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41C1">
            <w:pPr>
              <w:jc w:val="left"/>
              <w:rPr>
                <w:rFonts w:hint="eastAsia" w:ascii="宋体" w:hAnsi="宋体" w:eastAsia="宋体" w:cs="宋体"/>
                <w:i w:val="0"/>
                <w:iCs w:val="0"/>
                <w:color w:val="000000"/>
                <w:sz w:val="20"/>
                <w:szCs w:val="20"/>
                <w:u w:val="none"/>
              </w:rPr>
            </w:pPr>
          </w:p>
        </w:tc>
        <w:tc>
          <w:tcPr>
            <w:tcW w:w="2940" w:type="dxa"/>
            <w:gridSpan w:val="3"/>
            <w:tcBorders>
              <w:top w:val="single" w:color="000000" w:sz="4" w:space="0"/>
              <w:left w:val="single" w:color="000000" w:sz="4" w:space="0"/>
              <w:bottom w:val="nil"/>
              <w:right w:val="single" w:color="000000" w:sz="4" w:space="0"/>
            </w:tcBorders>
            <w:shd w:val="clear" w:color="auto" w:fill="auto"/>
            <w:vAlign w:val="center"/>
          </w:tcPr>
          <w:p w14:paraId="76245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大震大灾后专司信息收集、灾情速报、定时联络等工作的人员；“轻骑兵”骑手（以下简称骑手）是指消防“轻骑兵”前突通信小队摩托驾驶员或马匹骑。志愿消防速报员平时做好设备充电、维护保养、使用管理，以及熟悉责任区内人口分布、道路交通等工作，应急期间履行灾情收集、信息速报、跟踪联络等职责，有条件的建立卫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话值守台，及时接收上级指令，报送灾情信息。骑手应熟练掌握辖区人口分布、地形地貌、道路条件、响应集结地点等情况。摩托车骑手平时做好对摩托车的维护保养、安全性能检测及机动性能测试，马匹骑手平时做好马匹的日常喂养、健康体检以及耐力测试，熟悉马匹的性格及缺点。应急期间，按照应急响应程序主动赶往约定地点集结。</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7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轻骑兵骑手及速报员集结已完成</w:t>
            </w:r>
          </w:p>
        </w:tc>
      </w:tr>
      <w:tr w14:paraId="543C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9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6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3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E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8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0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C7A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8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1302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3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0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E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3816">
            <w:pPr>
              <w:jc w:val="center"/>
              <w:rPr>
                <w:rFonts w:hint="eastAsia" w:ascii="宋体" w:hAnsi="宋体" w:eastAsia="宋体" w:cs="宋体"/>
                <w:i w:val="0"/>
                <w:iCs w:val="0"/>
                <w:color w:val="000000"/>
                <w:sz w:val="18"/>
                <w:szCs w:val="18"/>
                <w:u w:val="none"/>
              </w:rPr>
            </w:pPr>
          </w:p>
        </w:tc>
      </w:tr>
      <w:tr w14:paraId="0729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67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36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B3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B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7FC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6D95">
            <w:pPr>
              <w:rPr>
                <w:rFonts w:hint="eastAsia" w:ascii="宋体" w:hAnsi="宋体" w:eastAsia="宋体" w:cs="宋体"/>
                <w:i w:val="0"/>
                <w:iCs w:val="0"/>
                <w:color w:val="000000"/>
                <w:sz w:val="18"/>
                <w:szCs w:val="18"/>
                <w:u w:val="none"/>
              </w:rPr>
            </w:pPr>
          </w:p>
        </w:tc>
      </w:tr>
      <w:tr w14:paraId="46AC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B1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30E2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81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对2024年速报员不定时抽查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B8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7D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8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8FE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C617">
            <w:pPr>
              <w:rPr>
                <w:rFonts w:hint="eastAsia" w:ascii="宋体" w:hAnsi="宋体" w:eastAsia="宋体" w:cs="宋体"/>
                <w:i w:val="0"/>
                <w:iCs w:val="0"/>
                <w:color w:val="000000"/>
                <w:sz w:val="18"/>
                <w:szCs w:val="18"/>
                <w:u w:val="none"/>
              </w:rPr>
            </w:pPr>
          </w:p>
        </w:tc>
      </w:tr>
      <w:tr w14:paraId="25F3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2D8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A6EE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625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3A1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BC46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723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9EDCC8">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FF20">
            <w:pPr>
              <w:rPr>
                <w:rFonts w:hint="eastAsia" w:ascii="宋体" w:hAnsi="宋体" w:eastAsia="宋体" w:cs="宋体"/>
                <w:i w:val="0"/>
                <w:iCs w:val="0"/>
                <w:color w:val="000000"/>
                <w:sz w:val="18"/>
                <w:szCs w:val="18"/>
                <w:u w:val="none"/>
              </w:rPr>
            </w:pPr>
          </w:p>
        </w:tc>
      </w:tr>
      <w:tr w14:paraId="3A38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2FD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ED77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E2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保障应急救援抢险任务及时性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E6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D7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8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202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98B6">
            <w:pPr>
              <w:rPr>
                <w:rFonts w:hint="eastAsia" w:ascii="宋体" w:hAnsi="宋体" w:eastAsia="宋体" w:cs="宋体"/>
                <w:i w:val="0"/>
                <w:iCs w:val="0"/>
                <w:color w:val="000000"/>
                <w:sz w:val="18"/>
                <w:szCs w:val="18"/>
                <w:u w:val="none"/>
              </w:rPr>
            </w:pPr>
          </w:p>
        </w:tc>
      </w:tr>
      <w:tr w14:paraId="316C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4EDB">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14:paraId="12BAC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3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马匹骑手按照参与训练补助</w:t>
            </w:r>
          </w:p>
        </w:tc>
        <w:tc>
          <w:tcPr>
            <w:tcW w:w="735" w:type="dxa"/>
            <w:tcBorders>
              <w:top w:val="nil"/>
              <w:left w:val="nil"/>
              <w:bottom w:val="single" w:color="000000" w:sz="4" w:space="0"/>
              <w:right w:val="single" w:color="000000" w:sz="4" w:space="0"/>
            </w:tcBorders>
            <w:shd w:val="clear" w:color="auto" w:fill="auto"/>
            <w:vAlign w:val="center"/>
          </w:tcPr>
          <w:p w14:paraId="64DB8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200元/人/次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E3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F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5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20A4">
            <w:pPr>
              <w:rPr>
                <w:rFonts w:hint="eastAsia" w:ascii="宋体" w:hAnsi="宋体" w:eastAsia="宋体" w:cs="宋体"/>
                <w:i w:val="0"/>
                <w:iCs w:val="0"/>
                <w:color w:val="000000"/>
                <w:sz w:val="18"/>
                <w:szCs w:val="18"/>
                <w:u w:val="none"/>
              </w:rPr>
            </w:pPr>
          </w:p>
        </w:tc>
      </w:tr>
      <w:tr w14:paraId="1A5E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FF7B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14:paraId="69F14F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D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参加实战补助</w:t>
            </w:r>
          </w:p>
        </w:tc>
        <w:tc>
          <w:tcPr>
            <w:tcW w:w="735" w:type="dxa"/>
            <w:tcBorders>
              <w:top w:val="nil"/>
              <w:left w:val="nil"/>
              <w:bottom w:val="single" w:color="000000" w:sz="4" w:space="0"/>
              <w:right w:val="single" w:color="000000" w:sz="4" w:space="0"/>
            </w:tcBorders>
            <w:shd w:val="clear" w:color="auto" w:fill="auto"/>
            <w:vAlign w:val="center"/>
          </w:tcPr>
          <w:p w14:paraId="36BA2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200元/人/次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E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A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D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C465">
            <w:pPr>
              <w:rPr>
                <w:rFonts w:hint="eastAsia" w:ascii="宋体" w:hAnsi="宋体" w:eastAsia="宋体" w:cs="宋体"/>
                <w:i w:val="0"/>
                <w:iCs w:val="0"/>
                <w:color w:val="000000"/>
                <w:sz w:val="18"/>
                <w:szCs w:val="18"/>
                <w:u w:val="none"/>
              </w:rPr>
            </w:pPr>
          </w:p>
        </w:tc>
      </w:tr>
      <w:tr w14:paraId="1E92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A0B1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14:paraId="0E1FBE2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4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参与训练补助</w:t>
            </w:r>
          </w:p>
        </w:tc>
        <w:tc>
          <w:tcPr>
            <w:tcW w:w="735" w:type="dxa"/>
            <w:tcBorders>
              <w:top w:val="nil"/>
              <w:left w:val="nil"/>
              <w:bottom w:val="single" w:color="000000" w:sz="4" w:space="0"/>
              <w:right w:val="single" w:color="000000" w:sz="4" w:space="0"/>
            </w:tcBorders>
            <w:shd w:val="clear" w:color="auto" w:fill="auto"/>
            <w:vAlign w:val="center"/>
          </w:tcPr>
          <w:p w14:paraId="7953B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150元/人/次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91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F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B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3AD7">
            <w:pPr>
              <w:rPr>
                <w:rFonts w:hint="eastAsia" w:ascii="宋体" w:hAnsi="宋体" w:eastAsia="宋体" w:cs="宋体"/>
                <w:i w:val="0"/>
                <w:iCs w:val="0"/>
                <w:color w:val="000000"/>
                <w:sz w:val="18"/>
                <w:szCs w:val="18"/>
                <w:u w:val="none"/>
              </w:rPr>
            </w:pPr>
          </w:p>
        </w:tc>
      </w:tr>
      <w:tr w14:paraId="2BD1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F365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14:paraId="08981E8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E8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摩托车骑手按照参与集结补助</w:t>
            </w:r>
          </w:p>
        </w:tc>
        <w:tc>
          <w:tcPr>
            <w:tcW w:w="735" w:type="dxa"/>
            <w:tcBorders>
              <w:top w:val="nil"/>
              <w:left w:val="nil"/>
              <w:bottom w:val="single" w:color="000000" w:sz="4" w:space="0"/>
              <w:right w:val="single" w:color="000000" w:sz="4" w:space="0"/>
            </w:tcBorders>
            <w:shd w:val="clear" w:color="auto" w:fill="auto"/>
            <w:vAlign w:val="center"/>
          </w:tcPr>
          <w:p w14:paraId="3E82B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100元/人/次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81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C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8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E279">
            <w:pPr>
              <w:rPr>
                <w:rFonts w:hint="eastAsia" w:ascii="宋体" w:hAnsi="宋体" w:eastAsia="宋体" w:cs="宋体"/>
                <w:i w:val="0"/>
                <w:iCs w:val="0"/>
                <w:color w:val="000000"/>
                <w:sz w:val="18"/>
                <w:szCs w:val="18"/>
                <w:u w:val="none"/>
              </w:rPr>
            </w:pPr>
          </w:p>
        </w:tc>
      </w:tr>
      <w:tr w14:paraId="5A69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95B7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14:paraId="305837B0">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9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参加实战补助</w:t>
            </w:r>
          </w:p>
        </w:tc>
        <w:tc>
          <w:tcPr>
            <w:tcW w:w="735" w:type="dxa"/>
            <w:tcBorders>
              <w:top w:val="nil"/>
              <w:left w:val="nil"/>
              <w:bottom w:val="single" w:color="000000" w:sz="4" w:space="0"/>
              <w:right w:val="single" w:color="000000" w:sz="4" w:space="0"/>
            </w:tcBorders>
            <w:shd w:val="clear" w:color="auto" w:fill="auto"/>
            <w:vAlign w:val="center"/>
          </w:tcPr>
          <w:p w14:paraId="7E847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1A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A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1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2E45">
            <w:pPr>
              <w:rPr>
                <w:rFonts w:hint="eastAsia" w:ascii="宋体" w:hAnsi="宋体" w:eastAsia="宋体" w:cs="宋体"/>
                <w:i w:val="0"/>
                <w:iCs w:val="0"/>
                <w:color w:val="000000"/>
                <w:sz w:val="18"/>
                <w:szCs w:val="18"/>
                <w:u w:val="none"/>
              </w:rPr>
            </w:pPr>
          </w:p>
        </w:tc>
      </w:tr>
      <w:tr w14:paraId="496E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54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C580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6F7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9320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8A59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781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FABDDE">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0437">
            <w:pPr>
              <w:rPr>
                <w:rFonts w:hint="eastAsia" w:ascii="宋体" w:hAnsi="宋体" w:eastAsia="宋体" w:cs="宋体"/>
                <w:i w:val="0"/>
                <w:iCs w:val="0"/>
                <w:color w:val="000000"/>
                <w:sz w:val="18"/>
                <w:szCs w:val="18"/>
                <w:u w:val="none"/>
              </w:rPr>
            </w:pPr>
          </w:p>
        </w:tc>
      </w:tr>
      <w:tr w14:paraId="5F4F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F7F2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4EE9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A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确保三段情况下能及时报送信息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43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40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8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79F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1E01">
            <w:pPr>
              <w:rPr>
                <w:rFonts w:hint="eastAsia" w:ascii="宋体" w:hAnsi="宋体" w:eastAsia="宋体" w:cs="宋体"/>
                <w:i w:val="0"/>
                <w:iCs w:val="0"/>
                <w:color w:val="000000"/>
                <w:sz w:val="18"/>
                <w:szCs w:val="18"/>
                <w:u w:val="none"/>
              </w:rPr>
            </w:pPr>
          </w:p>
        </w:tc>
      </w:tr>
      <w:tr w14:paraId="486E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911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50D6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6146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D521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BFB5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C8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5E8AD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F35D">
            <w:pPr>
              <w:rPr>
                <w:rFonts w:hint="eastAsia" w:ascii="宋体" w:hAnsi="宋体" w:eastAsia="宋体" w:cs="宋体"/>
                <w:i w:val="0"/>
                <w:iCs w:val="0"/>
                <w:color w:val="000000"/>
                <w:sz w:val="18"/>
                <w:szCs w:val="18"/>
                <w:u w:val="none"/>
              </w:rPr>
            </w:pPr>
          </w:p>
        </w:tc>
      </w:tr>
      <w:tr w14:paraId="585B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4F81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BA89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CE5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17F9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0AA4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F0E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73361E">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486">
            <w:pPr>
              <w:rPr>
                <w:rFonts w:hint="eastAsia" w:ascii="宋体" w:hAnsi="宋体" w:eastAsia="宋体" w:cs="宋体"/>
                <w:i w:val="0"/>
                <w:iCs w:val="0"/>
                <w:color w:val="000000"/>
                <w:sz w:val="18"/>
                <w:szCs w:val="18"/>
                <w:u w:val="none"/>
              </w:rPr>
            </w:pPr>
          </w:p>
        </w:tc>
      </w:tr>
      <w:tr w14:paraId="164C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B8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3316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0F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受益人员满意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21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FB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0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BCE1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2EAA">
            <w:pPr>
              <w:rPr>
                <w:rFonts w:hint="eastAsia" w:ascii="宋体" w:hAnsi="宋体" w:eastAsia="宋体" w:cs="宋体"/>
                <w:i w:val="0"/>
                <w:iCs w:val="0"/>
                <w:color w:val="000000"/>
                <w:sz w:val="18"/>
                <w:szCs w:val="18"/>
                <w:u w:val="none"/>
              </w:rPr>
            </w:pPr>
          </w:p>
        </w:tc>
      </w:tr>
      <w:tr w14:paraId="601C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15" w:type="dxa"/>
            <w:gridSpan w:val="8"/>
            <w:tcBorders>
              <w:top w:val="single" w:color="000000" w:sz="4" w:space="0"/>
              <w:left w:val="nil"/>
              <w:bottom w:val="nil"/>
              <w:right w:val="nil"/>
            </w:tcBorders>
            <w:shd w:val="clear" w:color="auto" w:fill="auto"/>
            <w:vAlign w:val="center"/>
          </w:tcPr>
          <w:p w14:paraId="04580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14:paraId="34B46828">
      <w:pPr>
        <w:pStyle w:val="6"/>
        <w:spacing w:before="93"/>
        <w:rPr>
          <w:rFonts w:hAnsi="Calibri" w:cs="仿宋"/>
          <w:sz w:val="32"/>
          <w:szCs w:val="32"/>
        </w:rPr>
      </w:pPr>
    </w:p>
    <w:tbl>
      <w:tblPr>
        <w:tblStyle w:val="18"/>
        <w:tblW w:w="5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6"/>
        <w:gridCol w:w="1476"/>
        <w:gridCol w:w="1656"/>
        <w:gridCol w:w="1116"/>
        <w:gridCol w:w="1116"/>
        <w:gridCol w:w="576"/>
        <w:gridCol w:w="576"/>
        <w:gridCol w:w="396"/>
      </w:tblGrid>
      <w:tr w14:paraId="5AE6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63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区级项目支出绩效自评表</w:t>
            </w:r>
          </w:p>
        </w:tc>
      </w:tr>
      <w:tr w14:paraId="5974F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3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4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综合应急演练及管理费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C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98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w:t>
            </w:r>
          </w:p>
        </w:tc>
      </w:tr>
      <w:tr w14:paraId="3505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0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51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D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B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乐山市金口河区应急管理局</w:t>
            </w:r>
          </w:p>
        </w:tc>
      </w:tr>
      <w:tr w14:paraId="7C11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E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r>
      <w:tr w14:paraId="4C45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0749072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F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8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B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r>
      <w:tr w14:paraId="3112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8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9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0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9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0.482666667</w:t>
            </w:r>
          </w:p>
        </w:tc>
      </w:tr>
      <w:tr w14:paraId="599F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9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B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6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F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0.482666667</w:t>
            </w:r>
          </w:p>
        </w:tc>
      </w:tr>
      <w:tr w14:paraId="3197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E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25D0">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15E4">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B451">
            <w:pPr>
              <w:jc w:val="center"/>
              <w:rPr>
                <w:rFonts w:hint="eastAsia" w:ascii="宋体" w:hAnsi="宋体" w:eastAsia="宋体" w:cs="宋体"/>
                <w:i w:val="0"/>
                <w:iCs w:val="0"/>
                <w:color w:val="000000"/>
                <w:sz w:val="18"/>
                <w:szCs w:val="18"/>
                <w:u w:val="none"/>
              </w:rPr>
            </w:pPr>
          </w:p>
        </w:tc>
      </w:tr>
      <w:tr w14:paraId="70EB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3D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6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E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25A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9CDD">
            <w:pPr>
              <w:jc w:val="left"/>
              <w:rPr>
                <w:rFonts w:hint="eastAsia" w:ascii="宋体" w:hAnsi="宋体" w:eastAsia="宋体" w:cs="宋体"/>
                <w:i w:val="0"/>
                <w:iCs w:val="0"/>
                <w:color w:val="000000"/>
                <w:sz w:val="18"/>
                <w:szCs w:val="18"/>
                <w:u w:val="none"/>
              </w:rPr>
            </w:pPr>
          </w:p>
        </w:tc>
        <w:tc>
          <w:tcPr>
            <w:tcW w:w="2316" w:type="dxa"/>
            <w:gridSpan w:val="3"/>
            <w:tcBorders>
              <w:top w:val="single" w:color="000000" w:sz="4" w:space="0"/>
              <w:left w:val="single" w:color="000000" w:sz="4" w:space="0"/>
              <w:bottom w:val="nil"/>
              <w:right w:val="single" w:color="000000" w:sz="4" w:space="0"/>
            </w:tcBorders>
            <w:shd w:val="clear" w:color="auto" w:fill="auto"/>
            <w:vAlign w:val="center"/>
          </w:tcPr>
          <w:p w14:paraId="68A33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防控重特大交通工程安全事故，高效推进项目建设。进一步健全我区交通、应急联动响应机制，促进消防救援、防汛、森林防火等部门和民兵预备役、基层单位及重点企业间的联系，增强防灾减灾意识，磨合机制、锤炼队伍、提升应对能力，为全市经济社会发展提供坚实的交通运输保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64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综合应急演练已完成</w:t>
            </w:r>
          </w:p>
        </w:tc>
      </w:tr>
      <w:tr w14:paraId="22D6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2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9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F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9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9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8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52F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9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29B6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3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1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E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E0F4">
            <w:pPr>
              <w:jc w:val="center"/>
              <w:rPr>
                <w:rFonts w:hint="eastAsia" w:ascii="宋体" w:hAnsi="宋体" w:eastAsia="宋体" w:cs="宋体"/>
                <w:i w:val="0"/>
                <w:iCs w:val="0"/>
                <w:color w:val="000000"/>
                <w:sz w:val="18"/>
                <w:szCs w:val="18"/>
                <w:u w:val="none"/>
              </w:rPr>
            </w:pPr>
          </w:p>
        </w:tc>
      </w:tr>
      <w:tr w14:paraId="23F0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1A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1D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95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5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AC5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1A0">
            <w:pPr>
              <w:rPr>
                <w:rFonts w:hint="eastAsia" w:ascii="宋体" w:hAnsi="宋体" w:eastAsia="宋体" w:cs="宋体"/>
                <w:i w:val="0"/>
                <w:iCs w:val="0"/>
                <w:color w:val="000000"/>
                <w:sz w:val="18"/>
                <w:szCs w:val="18"/>
                <w:u w:val="none"/>
              </w:rPr>
            </w:pPr>
          </w:p>
        </w:tc>
      </w:tr>
      <w:tr w14:paraId="08F7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7D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D30B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3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开展综合应急演练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9B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34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A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14E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9A1A">
            <w:pPr>
              <w:rPr>
                <w:rFonts w:hint="eastAsia" w:ascii="宋体" w:hAnsi="宋体" w:eastAsia="宋体" w:cs="宋体"/>
                <w:i w:val="0"/>
                <w:iCs w:val="0"/>
                <w:color w:val="000000"/>
                <w:sz w:val="18"/>
                <w:szCs w:val="18"/>
                <w:u w:val="none"/>
              </w:rPr>
            </w:pPr>
          </w:p>
        </w:tc>
      </w:tr>
      <w:tr w14:paraId="1CCF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E49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8998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5D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达到检验预案、锻炼队伍、磨合机制的目的，提高应急处置能力和应急响应效率，切实保护人民群众的生命财产安全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4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2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2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E15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42A4">
            <w:pPr>
              <w:rPr>
                <w:rFonts w:hint="eastAsia" w:ascii="宋体" w:hAnsi="宋体" w:eastAsia="宋体" w:cs="宋体"/>
                <w:i w:val="0"/>
                <w:iCs w:val="0"/>
                <w:color w:val="000000"/>
                <w:sz w:val="18"/>
                <w:szCs w:val="18"/>
                <w:u w:val="none"/>
              </w:rPr>
            </w:pPr>
          </w:p>
        </w:tc>
      </w:tr>
      <w:tr w14:paraId="29BA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1271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591D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D7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演练完成时间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1A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4D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3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952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6416">
            <w:pPr>
              <w:rPr>
                <w:rFonts w:hint="eastAsia" w:ascii="宋体" w:hAnsi="宋体" w:eastAsia="宋体" w:cs="宋体"/>
                <w:i w:val="0"/>
                <w:iCs w:val="0"/>
                <w:color w:val="000000"/>
                <w:sz w:val="18"/>
                <w:szCs w:val="18"/>
                <w:u w:val="none"/>
              </w:rPr>
            </w:pPr>
          </w:p>
        </w:tc>
      </w:tr>
      <w:tr w14:paraId="0093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DCCF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5004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A5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开展综合应急演练所需费用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78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69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1.448万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9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B7B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13D3">
            <w:pPr>
              <w:rPr>
                <w:rFonts w:hint="eastAsia" w:ascii="宋体" w:hAnsi="宋体" w:eastAsia="宋体" w:cs="宋体"/>
                <w:i w:val="0"/>
                <w:iCs w:val="0"/>
                <w:color w:val="000000"/>
                <w:sz w:val="18"/>
                <w:szCs w:val="18"/>
                <w:u w:val="none"/>
              </w:rPr>
            </w:pPr>
          </w:p>
        </w:tc>
      </w:tr>
      <w:tr w14:paraId="3B73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76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5E24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62F3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616B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ADDB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F3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DD75E7">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DEF">
            <w:pPr>
              <w:rPr>
                <w:rFonts w:hint="eastAsia" w:ascii="宋体" w:hAnsi="宋体" w:eastAsia="宋体" w:cs="宋体"/>
                <w:i w:val="0"/>
                <w:iCs w:val="0"/>
                <w:color w:val="000000"/>
                <w:sz w:val="18"/>
                <w:szCs w:val="18"/>
                <w:u w:val="none"/>
              </w:rPr>
            </w:pPr>
          </w:p>
        </w:tc>
      </w:tr>
      <w:tr w14:paraId="3E2E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7BD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4FD5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88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有效防控重特大交通工程安全事故，高效推进项目建设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65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49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9FB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DB70">
            <w:pPr>
              <w:rPr>
                <w:rFonts w:hint="eastAsia" w:ascii="宋体" w:hAnsi="宋体" w:eastAsia="宋体" w:cs="宋体"/>
                <w:i w:val="0"/>
                <w:iCs w:val="0"/>
                <w:color w:val="000000"/>
                <w:sz w:val="18"/>
                <w:szCs w:val="18"/>
                <w:u w:val="none"/>
              </w:rPr>
            </w:pPr>
          </w:p>
        </w:tc>
      </w:tr>
      <w:tr w14:paraId="4203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9B2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5C47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17A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3AC3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E40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80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3E1DFE">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3D9E">
            <w:pPr>
              <w:rPr>
                <w:rFonts w:hint="eastAsia" w:ascii="宋体" w:hAnsi="宋体" w:eastAsia="宋体" w:cs="宋体"/>
                <w:i w:val="0"/>
                <w:iCs w:val="0"/>
                <w:color w:val="000000"/>
                <w:sz w:val="18"/>
                <w:szCs w:val="18"/>
                <w:u w:val="none"/>
              </w:rPr>
            </w:pPr>
          </w:p>
        </w:tc>
      </w:tr>
      <w:tr w14:paraId="37BF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CC8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B7DD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062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2981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3C0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19D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D5D8945">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032F">
            <w:pPr>
              <w:rPr>
                <w:rFonts w:hint="eastAsia" w:ascii="宋体" w:hAnsi="宋体" w:eastAsia="宋体" w:cs="宋体"/>
                <w:i w:val="0"/>
                <w:iCs w:val="0"/>
                <w:color w:val="000000"/>
                <w:sz w:val="18"/>
                <w:szCs w:val="18"/>
                <w:u w:val="none"/>
              </w:rPr>
            </w:pPr>
          </w:p>
        </w:tc>
      </w:tr>
      <w:tr w14:paraId="59A1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B3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3D06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2B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A1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DC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7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9B7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3E12">
            <w:pPr>
              <w:rPr>
                <w:rFonts w:hint="eastAsia" w:ascii="宋体" w:hAnsi="宋体" w:eastAsia="宋体" w:cs="宋体"/>
                <w:i w:val="0"/>
                <w:iCs w:val="0"/>
                <w:color w:val="000000"/>
                <w:sz w:val="18"/>
                <w:szCs w:val="18"/>
                <w:u w:val="none"/>
              </w:rPr>
            </w:pPr>
          </w:p>
        </w:tc>
      </w:tr>
      <w:tr w14:paraId="64EC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1" w:type="dxa"/>
            <w:gridSpan w:val="8"/>
            <w:tcBorders>
              <w:top w:val="single" w:color="000000" w:sz="4" w:space="0"/>
              <w:left w:val="nil"/>
              <w:bottom w:val="nil"/>
              <w:right w:val="nil"/>
            </w:tcBorders>
            <w:shd w:val="clear" w:color="auto" w:fill="auto"/>
            <w:vAlign w:val="center"/>
          </w:tcPr>
          <w:p w14:paraId="410FD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说明：1.预算执行率得分=全年执行数/全年预算数*10分；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2.“产出指标、效益指标、满意度指标”一共90分，对应的是一体化系统中单位编制的项目绩效目标。</w:t>
            </w:r>
          </w:p>
        </w:tc>
      </w:tr>
    </w:tbl>
    <w:p w14:paraId="213CAFA9">
      <w:pPr>
        <w:pStyle w:val="6"/>
        <w:spacing w:before="93"/>
        <w:rPr>
          <w:rFonts w:hAnsi="Calibri" w:cs="仿宋"/>
          <w:sz w:val="32"/>
          <w:szCs w:val="32"/>
        </w:rPr>
      </w:pPr>
    </w:p>
    <w:tbl>
      <w:tblPr>
        <w:tblStyle w:val="18"/>
        <w:tblW w:w="72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476"/>
        <w:gridCol w:w="1656"/>
        <w:gridCol w:w="1216"/>
        <w:gridCol w:w="1116"/>
        <w:gridCol w:w="576"/>
        <w:gridCol w:w="576"/>
        <w:gridCol w:w="396"/>
      </w:tblGrid>
      <w:tr w14:paraId="0983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90" w:type="dxa"/>
            <w:gridSpan w:val="8"/>
            <w:tcBorders>
              <w:top w:val="nil"/>
              <w:left w:val="nil"/>
              <w:bottom w:val="nil"/>
              <w:right w:val="nil"/>
            </w:tcBorders>
            <w:shd w:val="clear" w:color="auto" w:fill="auto"/>
            <w:noWrap/>
            <w:vAlign w:val="center"/>
          </w:tcPr>
          <w:p w14:paraId="09A61E1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6130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B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B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日常安全监察经费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A8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B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7C2C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6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6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3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F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r>
      <w:tr w14:paraId="344E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3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479C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796F16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A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2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4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1C79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1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B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E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3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B1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A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8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F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9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F6D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E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990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8BB4">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2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40AD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D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B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C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5F12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A540">
            <w:pPr>
              <w:jc w:val="left"/>
              <w:rPr>
                <w:rFonts w:hint="eastAsia" w:ascii="宋体" w:hAnsi="宋体" w:eastAsia="宋体" w:cs="宋体"/>
                <w:i w:val="0"/>
                <w:iCs w:val="0"/>
                <w:color w:val="000000"/>
                <w:sz w:val="20"/>
                <w:szCs w:val="20"/>
                <w:u w:val="none"/>
              </w:rPr>
            </w:pP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14:paraId="029B7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有效开展相关工作，如安全生产月宣传活动、 安全生产例会工作、职业健康工作、安全生产业务培训、 日常安全监察及考核督查工作等</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03F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安全生产月宣传活动、 安全生产例会工作、职业健康工作、安全生产业务培训、 日常安全监察及考核督查工作已完成。</w:t>
            </w:r>
          </w:p>
        </w:tc>
      </w:tr>
      <w:tr w14:paraId="5DA9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9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2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6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B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3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1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77B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A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66ED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3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5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3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373C">
            <w:pPr>
              <w:jc w:val="center"/>
              <w:rPr>
                <w:rFonts w:hint="eastAsia" w:ascii="宋体" w:hAnsi="宋体" w:eastAsia="宋体" w:cs="宋体"/>
                <w:i w:val="0"/>
                <w:iCs w:val="0"/>
                <w:color w:val="000000"/>
                <w:sz w:val="18"/>
                <w:szCs w:val="18"/>
                <w:u w:val="none"/>
              </w:rPr>
            </w:pPr>
          </w:p>
        </w:tc>
      </w:tr>
      <w:tr w14:paraId="00E4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45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74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A3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4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DD0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6F5F">
            <w:pPr>
              <w:rPr>
                <w:rFonts w:hint="eastAsia" w:ascii="宋体" w:hAnsi="宋体" w:eastAsia="宋体" w:cs="宋体"/>
                <w:i w:val="0"/>
                <w:iCs w:val="0"/>
                <w:color w:val="000000"/>
                <w:sz w:val="18"/>
                <w:szCs w:val="18"/>
                <w:u w:val="none"/>
              </w:rPr>
            </w:pPr>
          </w:p>
        </w:tc>
      </w:tr>
      <w:tr w14:paraId="4C5EF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40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8841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E3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2024年全年不定时检查全区安全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18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11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F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E47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9787">
            <w:pPr>
              <w:rPr>
                <w:rFonts w:hint="eastAsia" w:ascii="宋体" w:hAnsi="宋体" w:eastAsia="宋体" w:cs="宋体"/>
                <w:i w:val="0"/>
                <w:iCs w:val="0"/>
                <w:color w:val="000000"/>
                <w:sz w:val="18"/>
                <w:szCs w:val="18"/>
                <w:u w:val="none"/>
              </w:rPr>
            </w:pPr>
          </w:p>
        </w:tc>
      </w:tr>
      <w:tr w14:paraId="2D0F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B07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11A9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3454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537C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1DF3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F6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621CF6">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1993">
            <w:pPr>
              <w:rPr>
                <w:rFonts w:hint="eastAsia" w:ascii="宋体" w:hAnsi="宋体" w:eastAsia="宋体" w:cs="宋体"/>
                <w:i w:val="0"/>
                <w:iCs w:val="0"/>
                <w:color w:val="000000"/>
                <w:sz w:val="18"/>
                <w:szCs w:val="18"/>
                <w:u w:val="none"/>
              </w:rPr>
            </w:pPr>
          </w:p>
        </w:tc>
      </w:tr>
      <w:tr w14:paraId="3D9B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3ECA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47A2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42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安全检查完成年限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C0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61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F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E04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3ADA">
            <w:pPr>
              <w:rPr>
                <w:rFonts w:hint="eastAsia" w:ascii="宋体" w:hAnsi="宋体" w:eastAsia="宋体" w:cs="宋体"/>
                <w:i w:val="0"/>
                <w:iCs w:val="0"/>
                <w:color w:val="000000"/>
                <w:sz w:val="18"/>
                <w:szCs w:val="18"/>
                <w:u w:val="none"/>
              </w:rPr>
            </w:pPr>
          </w:p>
        </w:tc>
      </w:tr>
      <w:tr w14:paraId="4267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D444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44BD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8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开展相关工作，如安全生产月宣传活动、 安全生产例会工作、职业健康工作、安全生产业务培训、 日常安全监察及考核督查工作等所需成本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6E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15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6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C62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F5F5">
            <w:pPr>
              <w:rPr>
                <w:rFonts w:hint="eastAsia" w:ascii="宋体" w:hAnsi="宋体" w:eastAsia="宋体" w:cs="宋体"/>
                <w:i w:val="0"/>
                <w:iCs w:val="0"/>
                <w:color w:val="000000"/>
                <w:sz w:val="18"/>
                <w:szCs w:val="18"/>
                <w:u w:val="none"/>
              </w:rPr>
            </w:pPr>
          </w:p>
        </w:tc>
      </w:tr>
      <w:tr w14:paraId="377C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40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B112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89D5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20B1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B849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866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C1A4CA">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2FD5">
            <w:pPr>
              <w:rPr>
                <w:rFonts w:hint="eastAsia" w:ascii="宋体" w:hAnsi="宋体" w:eastAsia="宋体" w:cs="宋体"/>
                <w:i w:val="0"/>
                <w:iCs w:val="0"/>
                <w:color w:val="000000"/>
                <w:sz w:val="18"/>
                <w:szCs w:val="18"/>
                <w:u w:val="none"/>
              </w:rPr>
            </w:pPr>
          </w:p>
        </w:tc>
      </w:tr>
      <w:tr w14:paraId="04C1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4C04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2FAD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B8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确保全区安全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57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C5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D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3A76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8B1D">
            <w:pPr>
              <w:rPr>
                <w:rFonts w:hint="eastAsia" w:ascii="宋体" w:hAnsi="宋体" w:eastAsia="宋体" w:cs="宋体"/>
                <w:i w:val="0"/>
                <w:iCs w:val="0"/>
                <w:color w:val="000000"/>
                <w:sz w:val="18"/>
                <w:szCs w:val="18"/>
                <w:u w:val="none"/>
              </w:rPr>
            </w:pPr>
          </w:p>
        </w:tc>
      </w:tr>
      <w:tr w14:paraId="6BCF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8E17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F87A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9ABF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12A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19C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BC6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E5FF416">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9234">
            <w:pPr>
              <w:rPr>
                <w:rFonts w:hint="eastAsia" w:ascii="宋体" w:hAnsi="宋体" w:eastAsia="宋体" w:cs="宋体"/>
                <w:i w:val="0"/>
                <w:iCs w:val="0"/>
                <w:color w:val="000000"/>
                <w:sz w:val="18"/>
                <w:szCs w:val="18"/>
                <w:u w:val="none"/>
              </w:rPr>
            </w:pPr>
          </w:p>
        </w:tc>
      </w:tr>
      <w:tr w14:paraId="124F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22E4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5E34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2751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96F4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43A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8A1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07CD0C">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F8EC">
            <w:pPr>
              <w:rPr>
                <w:rFonts w:hint="eastAsia" w:ascii="宋体" w:hAnsi="宋体" w:eastAsia="宋体" w:cs="宋体"/>
                <w:i w:val="0"/>
                <w:iCs w:val="0"/>
                <w:color w:val="000000"/>
                <w:sz w:val="18"/>
                <w:szCs w:val="18"/>
                <w:u w:val="none"/>
              </w:rPr>
            </w:pPr>
          </w:p>
        </w:tc>
      </w:tr>
      <w:tr w14:paraId="3815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67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0263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7D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E5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EA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C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15F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BED1">
            <w:pPr>
              <w:rPr>
                <w:rFonts w:hint="eastAsia" w:ascii="宋体" w:hAnsi="宋体" w:eastAsia="宋体" w:cs="宋体"/>
                <w:i w:val="0"/>
                <w:iCs w:val="0"/>
                <w:color w:val="000000"/>
                <w:sz w:val="18"/>
                <w:szCs w:val="18"/>
                <w:u w:val="none"/>
              </w:rPr>
            </w:pPr>
          </w:p>
        </w:tc>
      </w:tr>
      <w:tr w14:paraId="2072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90" w:type="dxa"/>
            <w:gridSpan w:val="8"/>
            <w:tcBorders>
              <w:top w:val="single" w:color="000000" w:sz="4" w:space="0"/>
              <w:left w:val="nil"/>
              <w:bottom w:val="nil"/>
              <w:right w:val="nil"/>
            </w:tcBorders>
            <w:shd w:val="clear" w:color="auto" w:fill="auto"/>
            <w:vAlign w:val="center"/>
          </w:tcPr>
          <w:p w14:paraId="227B0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14:paraId="657C3311">
      <w:pPr>
        <w:pStyle w:val="6"/>
        <w:spacing w:before="93"/>
        <w:rPr>
          <w:rFonts w:hAnsi="Calibri" w:cs="仿宋"/>
          <w:sz w:val="32"/>
          <w:szCs w:val="32"/>
        </w:rPr>
      </w:pPr>
    </w:p>
    <w:tbl>
      <w:tblPr>
        <w:tblStyle w:val="18"/>
        <w:tblW w:w="7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1215"/>
        <w:gridCol w:w="1358"/>
        <w:gridCol w:w="1009"/>
        <w:gridCol w:w="1366"/>
        <w:gridCol w:w="847"/>
        <w:gridCol w:w="727"/>
        <w:gridCol w:w="741"/>
      </w:tblGrid>
      <w:tr w14:paraId="1F2A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20" w:type="dxa"/>
            <w:gridSpan w:val="8"/>
            <w:tcBorders>
              <w:top w:val="nil"/>
              <w:left w:val="nil"/>
              <w:bottom w:val="nil"/>
              <w:right w:val="nil"/>
            </w:tcBorders>
            <w:shd w:val="clear" w:color="auto" w:fill="auto"/>
            <w:noWrap/>
            <w:vAlign w:val="center"/>
          </w:tcPr>
          <w:p w14:paraId="5CFC443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3183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2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A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安办专班实战化运行工作经费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2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9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397E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4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D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A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D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r>
      <w:tr w14:paraId="0B6C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F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6FC3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6CAF62D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1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6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B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299B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1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2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1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F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D3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E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B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D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F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40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C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029E">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3475">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F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147D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B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B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0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7642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EEEF">
            <w:pPr>
              <w:jc w:val="left"/>
              <w:rPr>
                <w:rFonts w:hint="eastAsia" w:ascii="宋体" w:hAnsi="宋体" w:eastAsia="宋体" w:cs="宋体"/>
                <w:i w:val="0"/>
                <w:iCs w:val="0"/>
                <w:color w:val="000000"/>
                <w:sz w:val="20"/>
                <w:szCs w:val="20"/>
                <w:u w:val="none"/>
              </w:rPr>
            </w:pPr>
          </w:p>
        </w:tc>
        <w:tc>
          <w:tcPr>
            <w:tcW w:w="3120" w:type="dxa"/>
            <w:gridSpan w:val="3"/>
            <w:tcBorders>
              <w:top w:val="single" w:color="000000" w:sz="4" w:space="0"/>
              <w:left w:val="single" w:color="000000" w:sz="4" w:space="0"/>
              <w:bottom w:val="nil"/>
              <w:right w:val="single" w:color="000000" w:sz="4" w:space="0"/>
            </w:tcBorders>
            <w:shd w:val="clear" w:color="auto" w:fill="auto"/>
            <w:vAlign w:val="center"/>
          </w:tcPr>
          <w:p w14:paraId="2C5E9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保障安班实战化专班人员全脱产专职从事安办工作。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0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保障专班人员全脱产专职从事安办工作已完成。</w:t>
            </w:r>
          </w:p>
        </w:tc>
      </w:tr>
      <w:tr w14:paraId="47CA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6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0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B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A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E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0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8B6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0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4CCD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C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4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7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1814">
            <w:pPr>
              <w:jc w:val="center"/>
              <w:rPr>
                <w:rFonts w:hint="eastAsia" w:ascii="宋体" w:hAnsi="宋体" w:eastAsia="宋体" w:cs="宋体"/>
                <w:i w:val="0"/>
                <w:iCs w:val="0"/>
                <w:color w:val="000000"/>
                <w:sz w:val="18"/>
                <w:szCs w:val="18"/>
                <w:u w:val="none"/>
              </w:rPr>
            </w:pPr>
          </w:p>
        </w:tc>
      </w:tr>
      <w:tr w14:paraId="2F09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6B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9F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A7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0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0BB1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02CB">
            <w:pPr>
              <w:rPr>
                <w:rFonts w:hint="eastAsia" w:ascii="宋体" w:hAnsi="宋体" w:eastAsia="宋体" w:cs="宋体"/>
                <w:i w:val="0"/>
                <w:iCs w:val="0"/>
                <w:color w:val="000000"/>
                <w:sz w:val="18"/>
                <w:szCs w:val="18"/>
                <w:u w:val="none"/>
              </w:rPr>
            </w:pPr>
          </w:p>
        </w:tc>
      </w:tr>
      <w:tr w14:paraId="3D13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C8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06AD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34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经费保障人数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54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CA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6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A45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2622">
            <w:pPr>
              <w:rPr>
                <w:rFonts w:hint="eastAsia" w:ascii="宋体" w:hAnsi="宋体" w:eastAsia="宋体" w:cs="宋体"/>
                <w:i w:val="0"/>
                <w:iCs w:val="0"/>
                <w:color w:val="000000"/>
                <w:sz w:val="18"/>
                <w:szCs w:val="18"/>
                <w:u w:val="none"/>
              </w:rPr>
            </w:pPr>
          </w:p>
        </w:tc>
      </w:tr>
      <w:tr w14:paraId="7E96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EC34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95A1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E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保障专班实战化专班人员全脱产专职从事安办工作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45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24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B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6FB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B0B5">
            <w:pPr>
              <w:rPr>
                <w:rFonts w:hint="eastAsia" w:ascii="宋体" w:hAnsi="宋体" w:eastAsia="宋体" w:cs="宋体"/>
                <w:i w:val="0"/>
                <w:iCs w:val="0"/>
                <w:color w:val="000000"/>
                <w:sz w:val="18"/>
                <w:szCs w:val="18"/>
                <w:u w:val="none"/>
              </w:rPr>
            </w:pPr>
          </w:p>
        </w:tc>
      </w:tr>
      <w:tr w14:paraId="526E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57D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46F3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6865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E127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E11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7E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54C4E6">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946A">
            <w:pPr>
              <w:rPr>
                <w:rFonts w:hint="eastAsia" w:ascii="宋体" w:hAnsi="宋体" w:eastAsia="宋体" w:cs="宋体"/>
                <w:i w:val="0"/>
                <w:iCs w:val="0"/>
                <w:color w:val="000000"/>
                <w:sz w:val="18"/>
                <w:szCs w:val="18"/>
                <w:u w:val="none"/>
              </w:rPr>
            </w:pPr>
          </w:p>
        </w:tc>
      </w:tr>
      <w:tr w14:paraId="3360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64E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38FB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83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安班专班运行成本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C9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07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9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676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ABE4">
            <w:pPr>
              <w:rPr>
                <w:rFonts w:hint="eastAsia" w:ascii="宋体" w:hAnsi="宋体" w:eastAsia="宋体" w:cs="宋体"/>
                <w:i w:val="0"/>
                <w:iCs w:val="0"/>
                <w:color w:val="000000"/>
                <w:sz w:val="18"/>
                <w:szCs w:val="18"/>
                <w:u w:val="none"/>
              </w:rPr>
            </w:pPr>
          </w:p>
        </w:tc>
      </w:tr>
      <w:tr w14:paraId="6DBB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EA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B8BD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9ED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07D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5434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AD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F9C7FD">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E785">
            <w:pPr>
              <w:rPr>
                <w:rFonts w:hint="eastAsia" w:ascii="宋体" w:hAnsi="宋体" w:eastAsia="宋体" w:cs="宋体"/>
                <w:i w:val="0"/>
                <w:iCs w:val="0"/>
                <w:color w:val="000000"/>
                <w:sz w:val="18"/>
                <w:szCs w:val="18"/>
                <w:u w:val="none"/>
              </w:rPr>
            </w:pPr>
          </w:p>
        </w:tc>
      </w:tr>
      <w:tr w14:paraId="69C8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6FB9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B5EE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49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确保全区安全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83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84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C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55A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4F9E">
            <w:pPr>
              <w:rPr>
                <w:rFonts w:hint="eastAsia" w:ascii="宋体" w:hAnsi="宋体" w:eastAsia="宋体" w:cs="宋体"/>
                <w:i w:val="0"/>
                <w:iCs w:val="0"/>
                <w:color w:val="000000"/>
                <w:sz w:val="18"/>
                <w:szCs w:val="18"/>
                <w:u w:val="none"/>
              </w:rPr>
            </w:pPr>
          </w:p>
        </w:tc>
      </w:tr>
      <w:tr w14:paraId="73EC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F238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56F6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C4F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A251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2D41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1D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207B27">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C093">
            <w:pPr>
              <w:rPr>
                <w:rFonts w:hint="eastAsia" w:ascii="宋体" w:hAnsi="宋体" w:eastAsia="宋体" w:cs="宋体"/>
                <w:i w:val="0"/>
                <w:iCs w:val="0"/>
                <w:color w:val="000000"/>
                <w:sz w:val="18"/>
                <w:szCs w:val="18"/>
                <w:u w:val="none"/>
              </w:rPr>
            </w:pPr>
          </w:p>
        </w:tc>
      </w:tr>
      <w:tr w14:paraId="4F2A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2B1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C105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41A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4FCC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109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21C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6CAB4F">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1BF5">
            <w:pPr>
              <w:rPr>
                <w:rFonts w:hint="eastAsia" w:ascii="宋体" w:hAnsi="宋体" w:eastAsia="宋体" w:cs="宋体"/>
                <w:i w:val="0"/>
                <w:iCs w:val="0"/>
                <w:color w:val="000000"/>
                <w:sz w:val="18"/>
                <w:szCs w:val="18"/>
                <w:u w:val="none"/>
              </w:rPr>
            </w:pPr>
          </w:p>
        </w:tc>
      </w:tr>
      <w:tr w14:paraId="31AB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FC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A1BE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0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专班人员满意度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FA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9B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C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55C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B204">
            <w:pPr>
              <w:rPr>
                <w:rFonts w:hint="eastAsia" w:ascii="宋体" w:hAnsi="宋体" w:eastAsia="宋体" w:cs="宋体"/>
                <w:i w:val="0"/>
                <w:iCs w:val="0"/>
                <w:color w:val="000000"/>
                <w:sz w:val="18"/>
                <w:szCs w:val="18"/>
                <w:u w:val="none"/>
              </w:rPr>
            </w:pPr>
          </w:p>
        </w:tc>
      </w:tr>
      <w:tr w14:paraId="4BEDA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20" w:type="dxa"/>
            <w:gridSpan w:val="8"/>
            <w:tcBorders>
              <w:top w:val="single" w:color="000000" w:sz="4" w:space="0"/>
              <w:left w:val="nil"/>
              <w:bottom w:val="nil"/>
              <w:right w:val="nil"/>
            </w:tcBorders>
            <w:shd w:val="clear" w:color="auto" w:fill="auto"/>
            <w:vAlign w:val="center"/>
          </w:tcPr>
          <w:p w14:paraId="15EC8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14:paraId="4858428F">
      <w:pPr>
        <w:pStyle w:val="6"/>
        <w:spacing w:before="93"/>
        <w:rPr>
          <w:rFonts w:hAnsi="Calibri" w:cs="仿宋"/>
          <w:sz w:val="32"/>
          <w:szCs w:val="32"/>
        </w:rPr>
      </w:pPr>
    </w:p>
    <w:p w14:paraId="6C605A3A">
      <w:pPr>
        <w:pStyle w:val="6"/>
        <w:spacing w:before="93"/>
        <w:rPr>
          <w:rFonts w:hAnsi="Calibri" w:cs="仿宋"/>
          <w:sz w:val="32"/>
          <w:szCs w:val="32"/>
        </w:rPr>
      </w:pPr>
    </w:p>
    <w:tbl>
      <w:tblPr>
        <w:tblStyle w:val="18"/>
        <w:tblW w:w="6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0"/>
        <w:gridCol w:w="1505"/>
        <w:gridCol w:w="1326"/>
        <w:gridCol w:w="1020"/>
        <w:gridCol w:w="1266"/>
        <w:gridCol w:w="778"/>
        <w:gridCol w:w="674"/>
        <w:gridCol w:w="680"/>
      </w:tblGrid>
      <w:tr w14:paraId="1F25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885" w:type="dxa"/>
            <w:gridSpan w:val="8"/>
            <w:tcBorders>
              <w:top w:val="nil"/>
              <w:left w:val="nil"/>
              <w:bottom w:val="nil"/>
              <w:right w:val="nil"/>
            </w:tcBorders>
            <w:shd w:val="clear" w:color="auto" w:fill="auto"/>
            <w:noWrap/>
            <w:vAlign w:val="center"/>
          </w:tcPr>
          <w:p w14:paraId="13FE449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45B0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B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C5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公共突发事件应对系统平台建设经费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F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C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2C39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9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5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7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0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r>
      <w:tr w14:paraId="0836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8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4B74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7F591C5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0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2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7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5D43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5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0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B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7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w:t>
            </w:r>
          </w:p>
        </w:tc>
      </w:tr>
      <w:tr w14:paraId="7D5F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2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A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7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6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w:t>
            </w:r>
          </w:p>
        </w:tc>
      </w:tr>
      <w:tr w14:paraId="7EFE2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038B">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462E">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9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1663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0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4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4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645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4DBC">
            <w:pPr>
              <w:jc w:val="left"/>
              <w:rPr>
                <w:rFonts w:hint="eastAsia" w:ascii="宋体" w:hAnsi="宋体" w:eastAsia="宋体" w:cs="宋体"/>
                <w:i w:val="0"/>
                <w:iCs w:val="0"/>
                <w:color w:val="000000"/>
                <w:sz w:val="20"/>
                <w:szCs w:val="20"/>
                <w:u w:val="none"/>
              </w:rPr>
            </w:pPr>
          </w:p>
        </w:tc>
        <w:tc>
          <w:tcPr>
            <w:tcW w:w="3060" w:type="dxa"/>
            <w:gridSpan w:val="3"/>
            <w:tcBorders>
              <w:top w:val="single" w:color="000000" w:sz="4" w:space="0"/>
              <w:left w:val="single" w:color="000000" w:sz="4" w:space="0"/>
              <w:bottom w:val="nil"/>
              <w:right w:val="single" w:color="000000" w:sz="4" w:space="0"/>
            </w:tcBorders>
            <w:shd w:val="clear" w:color="auto" w:fill="auto"/>
            <w:vAlign w:val="center"/>
          </w:tcPr>
          <w:p w14:paraId="64D12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实时掌握企业，避难场所，日常监管工作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5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监控我区范围所有企业安全、避难场所等。</w:t>
            </w:r>
          </w:p>
        </w:tc>
      </w:tr>
      <w:tr w14:paraId="17C5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A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4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D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A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C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6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798E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7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5E19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2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7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7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E9C3">
            <w:pPr>
              <w:jc w:val="center"/>
              <w:rPr>
                <w:rFonts w:hint="eastAsia" w:ascii="宋体" w:hAnsi="宋体" w:eastAsia="宋体" w:cs="宋体"/>
                <w:i w:val="0"/>
                <w:iCs w:val="0"/>
                <w:color w:val="000000"/>
                <w:sz w:val="18"/>
                <w:szCs w:val="18"/>
                <w:u w:val="none"/>
              </w:rPr>
            </w:pPr>
          </w:p>
        </w:tc>
      </w:tr>
      <w:tr w14:paraId="640E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44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01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AB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6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419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D2F9">
            <w:pPr>
              <w:rPr>
                <w:rFonts w:hint="eastAsia" w:ascii="宋体" w:hAnsi="宋体" w:eastAsia="宋体" w:cs="宋体"/>
                <w:i w:val="0"/>
                <w:iCs w:val="0"/>
                <w:color w:val="000000"/>
                <w:sz w:val="18"/>
                <w:szCs w:val="18"/>
                <w:u w:val="none"/>
              </w:rPr>
            </w:pPr>
          </w:p>
        </w:tc>
      </w:tr>
      <w:tr w14:paraId="6D24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8E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DA05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96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公共突发事件系统维护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3C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05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D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144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4F42">
            <w:pPr>
              <w:rPr>
                <w:rFonts w:hint="eastAsia" w:ascii="宋体" w:hAnsi="宋体" w:eastAsia="宋体" w:cs="宋体"/>
                <w:i w:val="0"/>
                <w:iCs w:val="0"/>
                <w:color w:val="000000"/>
                <w:sz w:val="18"/>
                <w:szCs w:val="18"/>
                <w:u w:val="none"/>
              </w:rPr>
            </w:pPr>
          </w:p>
        </w:tc>
      </w:tr>
      <w:tr w14:paraId="79E4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2C90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CDBF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17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实时掌握企业，避难场所，日常监管工作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46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66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8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A83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519F">
            <w:pPr>
              <w:rPr>
                <w:rFonts w:hint="eastAsia" w:ascii="宋体" w:hAnsi="宋体" w:eastAsia="宋体" w:cs="宋体"/>
                <w:i w:val="0"/>
                <w:iCs w:val="0"/>
                <w:color w:val="000000"/>
                <w:sz w:val="18"/>
                <w:szCs w:val="18"/>
                <w:u w:val="none"/>
              </w:rPr>
            </w:pPr>
          </w:p>
        </w:tc>
      </w:tr>
      <w:tr w14:paraId="1D7E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4153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053A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4F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检测时间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27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71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F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CE0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D20B">
            <w:pPr>
              <w:rPr>
                <w:rFonts w:hint="eastAsia" w:ascii="宋体" w:hAnsi="宋体" w:eastAsia="宋体" w:cs="宋体"/>
                <w:i w:val="0"/>
                <w:iCs w:val="0"/>
                <w:color w:val="000000"/>
                <w:sz w:val="18"/>
                <w:szCs w:val="18"/>
                <w:u w:val="none"/>
              </w:rPr>
            </w:pPr>
          </w:p>
        </w:tc>
      </w:tr>
      <w:tr w14:paraId="2B9B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380F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55B4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7F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公共突发事件应对系统平台建设所需费用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C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5F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A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CAC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07F9">
            <w:pPr>
              <w:rPr>
                <w:rFonts w:hint="eastAsia" w:ascii="宋体" w:hAnsi="宋体" w:eastAsia="宋体" w:cs="宋体"/>
                <w:i w:val="0"/>
                <w:iCs w:val="0"/>
                <w:color w:val="000000"/>
                <w:sz w:val="18"/>
                <w:szCs w:val="18"/>
                <w:u w:val="none"/>
              </w:rPr>
            </w:pPr>
          </w:p>
        </w:tc>
      </w:tr>
      <w:tr w14:paraId="4325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43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137A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2DA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D4E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74C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E6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BC605EE">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826">
            <w:pPr>
              <w:rPr>
                <w:rFonts w:hint="eastAsia" w:ascii="宋体" w:hAnsi="宋体" w:eastAsia="宋体" w:cs="宋体"/>
                <w:i w:val="0"/>
                <w:iCs w:val="0"/>
                <w:color w:val="000000"/>
                <w:sz w:val="18"/>
                <w:szCs w:val="18"/>
                <w:u w:val="none"/>
              </w:rPr>
            </w:pPr>
          </w:p>
        </w:tc>
      </w:tr>
      <w:tr w14:paraId="4206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BE6D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F8C2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05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保证全区安全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7C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8E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B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128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FA71">
            <w:pPr>
              <w:rPr>
                <w:rFonts w:hint="eastAsia" w:ascii="宋体" w:hAnsi="宋体" w:eastAsia="宋体" w:cs="宋体"/>
                <w:i w:val="0"/>
                <w:iCs w:val="0"/>
                <w:color w:val="000000"/>
                <w:sz w:val="18"/>
                <w:szCs w:val="18"/>
                <w:u w:val="none"/>
              </w:rPr>
            </w:pPr>
          </w:p>
        </w:tc>
      </w:tr>
      <w:tr w14:paraId="1D98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E422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D900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8933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6BE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678A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4A2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B8EE4A3">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8AE1">
            <w:pPr>
              <w:rPr>
                <w:rFonts w:hint="eastAsia" w:ascii="宋体" w:hAnsi="宋体" w:eastAsia="宋体" w:cs="宋体"/>
                <w:i w:val="0"/>
                <w:iCs w:val="0"/>
                <w:color w:val="000000"/>
                <w:sz w:val="18"/>
                <w:szCs w:val="18"/>
                <w:u w:val="none"/>
              </w:rPr>
            </w:pPr>
          </w:p>
        </w:tc>
      </w:tr>
      <w:tr w14:paraId="606C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91E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4E44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E06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7631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2DED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124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0E8F9D">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51AD">
            <w:pPr>
              <w:rPr>
                <w:rFonts w:hint="eastAsia" w:ascii="宋体" w:hAnsi="宋体" w:eastAsia="宋体" w:cs="宋体"/>
                <w:i w:val="0"/>
                <w:iCs w:val="0"/>
                <w:color w:val="000000"/>
                <w:sz w:val="18"/>
                <w:szCs w:val="18"/>
                <w:u w:val="none"/>
              </w:rPr>
            </w:pPr>
          </w:p>
        </w:tc>
      </w:tr>
      <w:tr w14:paraId="6FA2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53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C907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1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F5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4C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F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B33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6D93">
            <w:pPr>
              <w:rPr>
                <w:rFonts w:hint="eastAsia" w:ascii="宋体" w:hAnsi="宋体" w:eastAsia="宋体" w:cs="宋体"/>
                <w:i w:val="0"/>
                <w:iCs w:val="0"/>
                <w:color w:val="000000"/>
                <w:sz w:val="18"/>
                <w:szCs w:val="18"/>
                <w:u w:val="none"/>
              </w:rPr>
            </w:pPr>
          </w:p>
        </w:tc>
      </w:tr>
      <w:tr w14:paraId="79A9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5" w:type="dxa"/>
            <w:gridSpan w:val="8"/>
            <w:tcBorders>
              <w:top w:val="single" w:color="000000" w:sz="4" w:space="0"/>
              <w:left w:val="nil"/>
              <w:bottom w:val="nil"/>
              <w:right w:val="nil"/>
            </w:tcBorders>
            <w:shd w:val="clear" w:color="auto" w:fill="auto"/>
            <w:vAlign w:val="center"/>
          </w:tcPr>
          <w:p w14:paraId="7BC78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14:paraId="073A1D32">
      <w:pPr>
        <w:pStyle w:val="6"/>
        <w:spacing w:before="93"/>
        <w:rPr>
          <w:rFonts w:hAnsi="Calibri" w:cs="仿宋"/>
          <w:sz w:val="32"/>
          <w:szCs w:val="32"/>
        </w:rPr>
      </w:pPr>
    </w:p>
    <w:p w14:paraId="20B0C503">
      <w:pPr>
        <w:pStyle w:val="6"/>
        <w:spacing w:before="93"/>
        <w:rPr>
          <w:rFonts w:hAnsi="Calibri" w:cs="仿宋"/>
          <w:sz w:val="32"/>
          <w:szCs w:val="32"/>
        </w:rPr>
      </w:pPr>
    </w:p>
    <w:p w14:paraId="1672E997">
      <w:pPr>
        <w:pStyle w:val="41"/>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7209AC17">
      <w:pPr>
        <w:pStyle w:val="41"/>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4DEEBB48">
      <w:pPr>
        <w:pStyle w:val="41"/>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19AD9F47">
      <w:pPr>
        <w:pStyle w:val="41"/>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0F1DB376">
      <w:pPr>
        <w:pStyle w:val="41"/>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3C9C6D31">
      <w:pPr>
        <w:pStyle w:val="41"/>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0B836C42">
      <w:pPr>
        <w:pStyle w:val="41"/>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570A2B90">
      <w:pPr>
        <w:numPr>
          <w:ilvl w:val="0"/>
          <w:numId w:val="0"/>
        </w:numPr>
        <w:ind w:firstLine="482" w:firstLineChars="100"/>
        <w:jc w:val="center"/>
        <w:rPr>
          <w:rFonts w:hint="eastAsia" w:ascii="仿宋_GB2312" w:hAnsi="仿宋_GB2312" w:eastAsia="仿宋_GB2312" w:cs="仿宋_GB2312"/>
          <w:b/>
          <w:bCs w:val="0"/>
          <w:sz w:val="48"/>
          <w:szCs w:val="48"/>
          <w:lang w:eastAsia="zh-CN"/>
        </w:rPr>
      </w:pPr>
      <w:r>
        <w:rPr>
          <w:rFonts w:hint="eastAsia" w:ascii="仿宋_GB2312" w:hAnsi="仿宋_GB2312" w:eastAsia="仿宋_GB2312" w:cs="仿宋_GB2312"/>
          <w:b/>
          <w:bCs w:val="0"/>
          <w:sz w:val="48"/>
          <w:szCs w:val="48"/>
        </w:rPr>
        <w:t>专家会诊经费</w:t>
      </w:r>
      <w:r>
        <w:rPr>
          <w:rFonts w:hint="eastAsia" w:ascii="仿宋_GB2312" w:hAnsi="仿宋_GB2312" w:eastAsia="仿宋_GB2312" w:cs="仿宋_GB2312"/>
          <w:b/>
          <w:bCs w:val="0"/>
          <w:sz w:val="48"/>
          <w:szCs w:val="48"/>
          <w:lang w:eastAsia="zh-CN"/>
        </w:rPr>
        <w:t>项目支出绩效自评报告</w:t>
      </w:r>
    </w:p>
    <w:p w14:paraId="0C7B7E72">
      <w:pPr>
        <w:pStyle w:val="6"/>
        <w:rPr>
          <w:rFonts w:hint="eastAsia"/>
          <w:lang w:eastAsia="zh-CN"/>
        </w:rPr>
      </w:pPr>
    </w:p>
    <w:p w14:paraId="08E167C6">
      <w:pPr>
        <w:numPr>
          <w:ilvl w:val="0"/>
          <w:numId w:val="9"/>
        </w:numPr>
        <w:rPr>
          <w:rFonts w:ascii="仿宋_GB2312" w:hAnsi="宋体" w:eastAsia="仿宋_GB2312"/>
          <w:sz w:val="32"/>
          <w:szCs w:val="32"/>
        </w:rPr>
      </w:pPr>
      <w:r>
        <w:rPr>
          <w:rFonts w:hint="eastAsia" w:ascii="仿宋_GB2312" w:hAnsi="宋体" w:eastAsia="仿宋_GB2312"/>
          <w:b/>
          <w:bCs/>
          <w:sz w:val="32"/>
          <w:szCs w:val="32"/>
        </w:rPr>
        <w:t>项目</w:t>
      </w:r>
      <w:r>
        <w:rPr>
          <w:rFonts w:hint="eastAsia" w:ascii="仿宋_GB2312" w:hAnsi="宋体" w:eastAsia="仿宋_GB2312"/>
          <w:b/>
          <w:bCs/>
          <w:sz w:val="32"/>
          <w:szCs w:val="32"/>
          <w:lang w:eastAsia="zh-CN"/>
        </w:rPr>
        <w:t>概况</w:t>
      </w:r>
    </w:p>
    <w:p w14:paraId="02585F2F">
      <w:pPr>
        <w:pStyle w:val="6"/>
        <w:numPr>
          <w:ilvl w:val="0"/>
          <w:numId w:val="10"/>
        </w:numPr>
        <w:rPr>
          <w:rFonts w:hint="eastAsia" w:hAnsi="宋体"/>
          <w:b/>
          <w:bCs/>
          <w:sz w:val="32"/>
          <w:szCs w:val="32"/>
          <w:lang w:eastAsia="zh-CN"/>
        </w:rPr>
      </w:pPr>
      <w:r>
        <w:rPr>
          <w:rFonts w:hint="eastAsia" w:hAnsi="宋体"/>
          <w:b/>
          <w:bCs/>
          <w:sz w:val="32"/>
          <w:szCs w:val="32"/>
          <w:lang w:eastAsia="zh-CN"/>
        </w:rPr>
        <w:t>基本情况。</w:t>
      </w:r>
    </w:p>
    <w:p w14:paraId="680A93B1">
      <w:pPr>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专家会诊经费，根据金府复【2015】147号批复，专家会诊经费，每年预算经费为20万元，从2016年起列入我单位预算，此项目为长期预算项目。</w:t>
      </w:r>
    </w:p>
    <w:p w14:paraId="01B41954">
      <w:pPr>
        <w:adjustRightInd w:val="0"/>
        <w:snapToGrid w:val="0"/>
        <w:spacing w:line="520" w:lineRule="exact"/>
        <w:rPr>
          <w:rFonts w:hint="eastAsia" w:ascii="仿宋_GB2312" w:hAnsi="宋体" w:eastAsia="仿宋_GB2312" w:cs="Times New Roman"/>
          <w:b/>
          <w:bCs/>
          <w:sz w:val="32"/>
          <w:szCs w:val="32"/>
          <w:lang w:eastAsia="zh-CN"/>
        </w:rPr>
      </w:pPr>
      <w:r>
        <w:rPr>
          <w:rFonts w:hint="eastAsia" w:ascii="仿宋_GB2312" w:hAnsi="宋体" w:eastAsia="仿宋_GB2312" w:cs="Times New Roman"/>
          <w:b/>
          <w:bCs/>
          <w:sz w:val="32"/>
          <w:szCs w:val="32"/>
          <w:lang w:eastAsia="zh-CN"/>
        </w:rPr>
        <w:t>（二）实施目的。</w:t>
      </w:r>
    </w:p>
    <w:p w14:paraId="301CC7B8">
      <w:pPr>
        <w:numPr>
          <w:ilvl w:val="0"/>
          <w:numId w:val="0"/>
        </w:numPr>
        <w:adjustRightInd w:val="0"/>
        <w:snapToGrid w:val="0"/>
        <w:spacing w:line="520" w:lineRule="exact"/>
        <w:rPr>
          <w:rFonts w:hint="eastAsia" w:ascii="仿宋_GB2312" w:eastAsia="仿宋_GB2312"/>
          <w:sz w:val="32"/>
          <w:szCs w:val="32"/>
        </w:rPr>
      </w:pPr>
      <w:r>
        <w:rPr>
          <w:rFonts w:hint="eastAsia" w:ascii="仿宋_GB2312" w:hAnsi="宋体" w:eastAsia="仿宋_GB2312"/>
          <w:sz w:val="32"/>
          <w:szCs w:val="32"/>
        </w:rPr>
        <w:t>项目实施是为</w:t>
      </w:r>
      <w:r>
        <w:rPr>
          <w:rFonts w:hint="eastAsia" w:ascii="仿宋_GB2312" w:eastAsia="仿宋_GB2312"/>
          <w:sz w:val="32"/>
          <w:szCs w:val="32"/>
          <w:lang w:val="en-US" w:eastAsia="zh-CN"/>
        </w:rPr>
        <w:t>了</w:t>
      </w:r>
      <w:r>
        <w:rPr>
          <w:rFonts w:hint="eastAsia" w:ascii="仿宋_GB2312" w:eastAsia="仿宋_GB2312"/>
          <w:sz w:val="32"/>
          <w:szCs w:val="32"/>
        </w:rPr>
        <w:t>充分发挥安全生产专家库的专业技术优势，组织专家开展非煤矿山、冶炼、危化、纺织等企业安全生产“会诊”检查，从严查处违法、违规行为，跟踪督办隐患整改直至销号，确保我区安全生产形势</w:t>
      </w:r>
      <w:r>
        <w:rPr>
          <w:rFonts w:hint="eastAsia" w:ascii="仿宋_GB2312" w:eastAsia="仿宋_GB2312"/>
          <w:sz w:val="32"/>
          <w:szCs w:val="32"/>
          <w:lang w:val="en-US" w:eastAsia="zh-CN"/>
        </w:rPr>
        <w:t>持续</w:t>
      </w:r>
      <w:r>
        <w:rPr>
          <w:rFonts w:hint="eastAsia" w:ascii="仿宋_GB2312" w:eastAsia="仿宋_GB2312"/>
          <w:sz w:val="32"/>
          <w:szCs w:val="32"/>
        </w:rPr>
        <w:t>稳定</w:t>
      </w:r>
      <w:r>
        <w:rPr>
          <w:rFonts w:hint="eastAsia" w:ascii="仿宋_GB2312" w:eastAsia="仿宋_GB2312"/>
          <w:sz w:val="32"/>
          <w:szCs w:val="32"/>
          <w:lang w:val="en-US" w:eastAsia="zh-CN"/>
        </w:rPr>
        <w:t>向好</w:t>
      </w:r>
      <w:r>
        <w:rPr>
          <w:rFonts w:hint="eastAsia" w:ascii="仿宋_GB2312" w:eastAsia="仿宋_GB2312"/>
          <w:sz w:val="32"/>
          <w:szCs w:val="32"/>
        </w:rPr>
        <w:t>。</w:t>
      </w:r>
    </w:p>
    <w:p w14:paraId="3F42FEF7">
      <w:pPr>
        <w:adjustRightInd w:val="0"/>
        <w:snapToGrid w:val="0"/>
        <w:spacing w:line="52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（三）绩效目标。</w:t>
      </w:r>
    </w:p>
    <w:p w14:paraId="16CC2A3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eastAsia="仿宋_GB2312"/>
          <w:sz w:val="32"/>
          <w:szCs w:val="32"/>
          <w:lang w:eastAsia="zh-CN"/>
        </w:rPr>
      </w:pPr>
      <w:r>
        <w:rPr>
          <w:rFonts w:hint="eastAsia" w:ascii="Times New Roman" w:hAnsi="Times New Roman" w:eastAsia="仿宋_GB2312" w:cs="仿宋_GB2312"/>
          <w:b w:val="0"/>
          <w:bCs w:val="0"/>
          <w:kern w:val="0"/>
          <w:position w:val="0"/>
          <w:sz w:val="32"/>
          <w:szCs w:val="32"/>
          <w:highlight w:val="none"/>
          <w:lang w:val="en-US" w:eastAsia="zh-CN" w:bidi="ar-SA"/>
        </w:rPr>
        <w:t>1.项目主要内容。</w:t>
      </w:r>
      <w:r>
        <w:rPr>
          <w:rFonts w:hint="eastAsia" w:ascii="仿宋_GB2312" w:eastAsia="仿宋_GB2312"/>
          <w:sz w:val="32"/>
          <w:szCs w:val="32"/>
        </w:rPr>
        <w:t>发挥安全生产专家库的专业技术优势，组织专家开展非煤矿山、冶炼、危化、纺织等企业安全生产“会诊”检查</w:t>
      </w:r>
      <w:r>
        <w:rPr>
          <w:rFonts w:hint="eastAsia" w:ascii="仿宋_GB2312" w:eastAsia="仿宋_GB2312"/>
          <w:sz w:val="32"/>
          <w:szCs w:val="32"/>
          <w:lang w:eastAsia="zh-CN"/>
        </w:rPr>
        <w:t>。</w:t>
      </w:r>
    </w:p>
    <w:p w14:paraId="4AC4D22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eastAsia="宋体"/>
          <w:sz w:val="32"/>
          <w:szCs w:val="32"/>
          <w:lang w:val="en-US" w:eastAsia="zh-CN"/>
        </w:rPr>
      </w:pPr>
      <w:r>
        <w:rPr>
          <w:rFonts w:hint="eastAsia" w:ascii="Times New Roman" w:hAnsi="Times New Roman" w:eastAsia="仿宋_GB2312" w:cs="仿宋_GB2312"/>
          <w:b w:val="0"/>
          <w:bCs w:val="0"/>
          <w:kern w:val="0"/>
          <w:position w:val="0"/>
          <w:sz w:val="32"/>
          <w:szCs w:val="32"/>
          <w:highlight w:val="none"/>
          <w:lang w:val="en-US" w:eastAsia="zh-CN" w:bidi="ar-SA"/>
        </w:rPr>
        <w:t>2.项目应实现的具体绩效目标，</w:t>
      </w:r>
      <w:r>
        <w:rPr>
          <w:rFonts w:hint="eastAsia" w:ascii="仿宋_GB2312" w:eastAsia="仿宋_GB2312"/>
          <w:sz w:val="32"/>
          <w:szCs w:val="32"/>
        </w:rPr>
        <w:t>确保我区安全生产形势</w:t>
      </w:r>
      <w:r>
        <w:rPr>
          <w:rFonts w:hint="eastAsia" w:ascii="仿宋_GB2312" w:eastAsia="仿宋_GB2312"/>
          <w:sz w:val="32"/>
          <w:szCs w:val="32"/>
          <w:lang w:val="en-US" w:eastAsia="zh-CN"/>
        </w:rPr>
        <w:t>持续</w:t>
      </w:r>
      <w:r>
        <w:rPr>
          <w:rFonts w:hint="eastAsia" w:ascii="仿宋_GB2312" w:eastAsia="仿宋_GB2312"/>
          <w:sz w:val="32"/>
          <w:szCs w:val="32"/>
        </w:rPr>
        <w:t>稳定</w:t>
      </w:r>
      <w:r>
        <w:rPr>
          <w:rFonts w:hint="eastAsia" w:ascii="仿宋_GB2312" w:eastAsia="仿宋_GB2312"/>
          <w:sz w:val="32"/>
          <w:szCs w:val="32"/>
          <w:lang w:val="en-US" w:eastAsia="zh-CN"/>
        </w:rPr>
        <w:t>向好</w:t>
      </w:r>
      <w:r>
        <w:rPr>
          <w:rFonts w:hint="eastAsia" w:ascii="Times New Roman" w:hAnsi="Times New Roman" w:eastAsia="仿宋_GB2312" w:cs="仿宋_GB2312"/>
          <w:b w:val="0"/>
          <w:bCs w:val="0"/>
          <w:kern w:val="0"/>
          <w:position w:val="0"/>
          <w:sz w:val="32"/>
          <w:szCs w:val="32"/>
          <w:highlight w:val="none"/>
          <w:lang w:val="en-US" w:eastAsia="zh-CN" w:bidi="ar-SA"/>
        </w:rPr>
        <w:t>。确保企业、非煤矿山安全。</w:t>
      </w:r>
    </w:p>
    <w:p w14:paraId="2768579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3.申报内容与实际相符，申报目标合理可行。</w:t>
      </w:r>
    </w:p>
    <w:p w14:paraId="7B4CCEA3">
      <w:pPr>
        <w:adjustRightInd w:val="0"/>
        <w:snapToGrid w:val="0"/>
        <w:spacing w:line="52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二、项目资金申报及使用情况</w:t>
      </w:r>
    </w:p>
    <w:p w14:paraId="65BDC81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我单位按照申请事项和具体工作开展确定，根据使用进度向财政申请相应资金及时支付。</w:t>
      </w:r>
    </w:p>
    <w:p w14:paraId="726BF8B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1．资金计划。</w:t>
      </w:r>
      <w:r>
        <w:rPr>
          <w:rFonts w:hint="eastAsia" w:ascii="仿宋_GB2312" w:hAnsi="仿宋_GB2312" w:eastAsia="仿宋_GB2312" w:cs="仿宋_GB2312"/>
          <w:bCs/>
          <w:sz w:val="32"/>
          <w:szCs w:val="32"/>
        </w:rPr>
        <w:t>专家会诊</w:t>
      </w:r>
      <w:r>
        <w:rPr>
          <w:rFonts w:hint="eastAsia" w:ascii="Times New Roman" w:hAnsi="Times New Roman" w:eastAsia="仿宋_GB2312" w:cs="仿宋_GB2312"/>
          <w:b w:val="0"/>
          <w:bCs w:val="0"/>
          <w:kern w:val="0"/>
          <w:position w:val="0"/>
          <w:sz w:val="32"/>
          <w:szCs w:val="32"/>
          <w:highlight w:val="none"/>
          <w:lang w:val="en-US" w:eastAsia="zh-CN" w:bidi="ar-SA"/>
        </w:rPr>
        <w:t>经费是本级财政资金。</w:t>
      </w:r>
    </w:p>
    <w:p w14:paraId="5CF1637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2．资金到位。2024 年度到位</w:t>
      </w:r>
      <w:r>
        <w:rPr>
          <w:rFonts w:hint="eastAsia" w:ascii="仿宋_GB2312" w:hAnsi="仿宋_GB2312" w:eastAsia="仿宋_GB2312" w:cs="仿宋_GB2312"/>
          <w:bCs/>
          <w:sz w:val="32"/>
          <w:szCs w:val="32"/>
        </w:rPr>
        <w:t>专家会诊经费</w:t>
      </w:r>
      <w:r>
        <w:rPr>
          <w:rFonts w:hint="eastAsia" w:ascii="Times New Roman" w:hAnsi="Times New Roman" w:eastAsia="仿宋_GB2312" w:cs="仿宋_GB2312"/>
          <w:b w:val="0"/>
          <w:bCs w:val="0"/>
          <w:kern w:val="0"/>
          <w:position w:val="0"/>
          <w:sz w:val="32"/>
          <w:szCs w:val="32"/>
          <w:highlight w:val="none"/>
          <w:lang w:val="en-US" w:eastAsia="zh-CN" w:bidi="ar-SA"/>
        </w:rPr>
        <w:t xml:space="preserve"> 18.8万元。到位率为 100</w:t>
      </w:r>
      <w:r>
        <w:rPr>
          <w:rFonts w:hint="eastAsia" w:eastAsia="仿宋_GB2312" w:cs="仿宋_GB2312"/>
          <w:b w:val="0"/>
          <w:bCs w:val="0"/>
          <w:kern w:val="0"/>
          <w:position w:val="0"/>
          <w:sz w:val="32"/>
          <w:szCs w:val="32"/>
          <w:highlight w:val="none"/>
          <w:lang w:val="en-US" w:eastAsia="zh-CN" w:bidi="ar-SA"/>
        </w:rPr>
        <w:t>％</w:t>
      </w:r>
      <w:r>
        <w:rPr>
          <w:rFonts w:hint="eastAsia" w:ascii="Times New Roman" w:hAnsi="Times New Roman" w:eastAsia="仿宋_GB2312" w:cs="仿宋_GB2312"/>
          <w:b w:val="0"/>
          <w:bCs w:val="0"/>
          <w:kern w:val="0"/>
          <w:position w:val="0"/>
          <w:sz w:val="32"/>
          <w:szCs w:val="32"/>
          <w:highlight w:val="none"/>
          <w:lang w:val="en-US" w:eastAsia="zh-CN" w:bidi="ar-SA"/>
        </w:rPr>
        <w:t>。</w:t>
      </w:r>
    </w:p>
    <w:p w14:paraId="076D180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3．资金使用。2024 年度，</w:t>
      </w:r>
      <w:r>
        <w:rPr>
          <w:rFonts w:hint="eastAsia" w:ascii="仿宋_GB2312" w:hAnsi="仿宋_GB2312" w:eastAsia="仿宋_GB2312" w:cs="仿宋_GB2312"/>
          <w:bCs/>
          <w:sz w:val="32"/>
          <w:szCs w:val="32"/>
        </w:rPr>
        <w:t>专家会诊经费</w:t>
      </w:r>
      <w:r>
        <w:rPr>
          <w:rFonts w:hint="eastAsia" w:ascii="Times New Roman" w:hAnsi="Times New Roman" w:eastAsia="仿宋_GB2312" w:cs="仿宋_GB2312"/>
          <w:b w:val="0"/>
          <w:bCs w:val="0"/>
          <w:kern w:val="0"/>
          <w:position w:val="0"/>
          <w:sz w:val="32"/>
          <w:szCs w:val="32"/>
          <w:highlight w:val="none"/>
          <w:lang w:val="en-US" w:eastAsia="zh-CN" w:bidi="ar-SA"/>
        </w:rPr>
        <w:t xml:space="preserve"> 18.8万元，执行率为 100</w:t>
      </w:r>
      <w:r>
        <w:rPr>
          <w:rFonts w:hint="eastAsia" w:eastAsia="仿宋_GB2312" w:cs="仿宋_GB2312"/>
          <w:b w:val="0"/>
          <w:bCs w:val="0"/>
          <w:kern w:val="0"/>
          <w:position w:val="0"/>
          <w:sz w:val="32"/>
          <w:szCs w:val="32"/>
          <w:highlight w:val="none"/>
          <w:lang w:val="en-US" w:eastAsia="zh-CN" w:bidi="ar-SA"/>
        </w:rPr>
        <w:t>％</w:t>
      </w:r>
      <w:r>
        <w:rPr>
          <w:rFonts w:hint="eastAsia" w:ascii="Times New Roman" w:hAnsi="Times New Roman" w:eastAsia="仿宋_GB2312" w:cs="仿宋_GB2312"/>
          <w:b w:val="0"/>
          <w:bCs w:val="0"/>
          <w:kern w:val="0"/>
          <w:position w:val="0"/>
          <w:sz w:val="32"/>
          <w:szCs w:val="32"/>
          <w:highlight w:val="none"/>
          <w:lang w:val="en-US" w:eastAsia="zh-CN" w:bidi="ar-SA"/>
        </w:rPr>
        <w:t>。</w:t>
      </w:r>
    </w:p>
    <w:p w14:paraId="4590797F">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eastAsia="仿宋_GB2312" w:cs="仿宋_GB2312"/>
          <w:b/>
          <w:bCs/>
          <w:kern w:val="0"/>
          <w:position w:val="0"/>
          <w:sz w:val="32"/>
          <w:szCs w:val="32"/>
          <w:highlight w:val="none"/>
          <w:lang w:val="en-US" w:eastAsia="zh-CN" w:bidi="ar-SA"/>
        </w:rPr>
      </w:pPr>
      <w:r>
        <w:rPr>
          <w:rFonts w:hint="eastAsia" w:ascii="Times New Roman" w:hAnsi="Times New Roman" w:eastAsia="仿宋_GB2312" w:cs="仿宋_GB2312"/>
          <w:b/>
          <w:bCs/>
          <w:kern w:val="0"/>
          <w:position w:val="0"/>
          <w:sz w:val="32"/>
          <w:szCs w:val="32"/>
          <w:highlight w:val="none"/>
          <w:lang w:val="en-US" w:eastAsia="zh-CN" w:bidi="ar-SA"/>
        </w:rPr>
        <w:t>三、项目实施及管理情况</w:t>
      </w:r>
    </w:p>
    <w:p w14:paraId="3EB24464">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按照《乐山市金口河区</w:t>
      </w:r>
      <w:r>
        <w:rPr>
          <w:rFonts w:hint="eastAsia" w:eastAsia="仿宋_GB2312" w:cs="仿宋_GB2312"/>
          <w:b w:val="0"/>
          <w:bCs w:val="0"/>
          <w:kern w:val="0"/>
          <w:position w:val="0"/>
          <w:sz w:val="32"/>
          <w:szCs w:val="32"/>
          <w:highlight w:val="none"/>
          <w:lang w:val="en-US" w:eastAsia="zh-CN" w:bidi="ar-SA"/>
        </w:rPr>
        <w:t>应急管理局</w:t>
      </w:r>
      <w:r>
        <w:rPr>
          <w:rFonts w:hint="eastAsia" w:ascii="Times New Roman" w:hAnsi="Times New Roman" w:eastAsia="仿宋_GB2312" w:cs="仿宋_GB2312"/>
          <w:b w:val="0"/>
          <w:bCs w:val="0"/>
          <w:kern w:val="0"/>
          <w:position w:val="0"/>
          <w:sz w:val="32"/>
          <w:szCs w:val="32"/>
          <w:highlight w:val="none"/>
          <w:lang w:val="en-US" w:eastAsia="zh-CN" w:bidi="ar-SA"/>
        </w:rPr>
        <w:t>内控办法》，严格执行财务管理制度，根据实际需要</w:t>
      </w:r>
      <w:r>
        <w:rPr>
          <w:rFonts w:hint="eastAsia" w:eastAsia="仿宋_GB2312" w:cs="仿宋_GB2312"/>
          <w:b w:val="0"/>
          <w:bCs w:val="0"/>
          <w:kern w:val="0"/>
          <w:position w:val="0"/>
          <w:sz w:val="32"/>
          <w:szCs w:val="32"/>
          <w:highlight w:val="none"/>
          <w:lang w:val="en-US" w:eastAsia="zh-CN" w:bidi="ar-SA"/>
        </w:rPr>
        <w:t>支出项目经费。</w:t>
      </w:r>
    </w:p>
    <w:p w14:paraId="3C3DBA8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（一）项目组织架构及实施流程</w:t>
      </w:r>
    </w:p>
    <w:p w14:paraId="50118BE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Cs/>
          <w:sz w:val="32"/>
          <w:szCs w:val="32"/>
        </w:rPr>
        <w:t>专家会诊经费</w:t>
      </w:r>
      <w:r>
        <w:rPr>
          <w:rFonts w:hint="eastAsia" w:ascii="Times New Roman" w:hAnsi="Times New Roman" w:eastAsia="仿宋_GB2312" w:cs="仿宋_GB2312"/>
          <w:b w:val="0"/>
          <w:bCs w:val="0"/>
          <w:kern w:val="0"/>
          <w:position w:val="0"/>
          <w:sz w:val="32"/>
          <w:szCs w:val="32"/>
          <w:highlight w:val="none"/>
          <w:lang w:val="en-US" w:eastAsia="zh-CN" w:bidi="ar-SA"/>
        </w:rPr>
        <w:t>是本级财政经费，纳入财政预算。我部按照财政要求程序申报，本级财政及时下达至我</w:t>
      </w:r>
      <w:r>
        <w:rPr>
          <w:rFonts w:hint="eastAsia" w:eastAsia="仿宋_GB2312" w:cs="仿宋_GB2312"/>
          <w:b w:val="0"/>
          <w:bCs w:val="0"/>
          <w:kern w:val="0"/>
          <w:position w:val="0"/>
          <w:sz w:val="32"/>
          <w:szCs w:val="32"/>
          <w:highlight w:val="none"/>
          <w:lang w:val="en-US" w:eastAsia="zh-CN" w:bidi="ar-SA"/>
        </w:rPr>
        <w:t>局</w:t>
      </w:r>
      <w:r>
        <w:rPr>
          <w:rFonts w:hint="eastAsia" w:ascii="Times New Roman" w:hAnsi="Times New Roman" w:eastAsia="仿宋_GB2312" w:cs="仿宋_GB2312"/>
          <w:b w:val="0"/>
          <w:bCs w:val="0"/>
          <w:kern w:val="0"/>
          <w:position w:val="0"/>
          <w:sz w:val="32"/>
          <w:szCs w:val="32"/>
          <w:highlight w:val="none"/>
          <w:lang w:val="en-US" w:eastAsia="zh-CN" w:bidi="ar-SA"/>
        </w:rPr>
        <w:t>，根据实际需要和进度向财政申请相应资金并及时支付。</w:t>
      </w:r>
    </w:p>
    <w:p w14:paraId="2F351E3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（二）项目管理情况</w:t>
      </w:r>
    </w:p>
    <w:p w14:paraId="69D7B2A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按照《乐山市金口河区</w:t>
      </w:r>
      <w:r>
        <w:rPr>
          <w:rFonts w:hint="eastAsia" w:eastAsia="仿宋_GB2312" w:cs="仿宋_GB2312"/>
          <w:b w:val="0"/>
          <w:bCs w:val="0"/>
          <w:kern w:val="0"/>
          <w:position w:val="0"/>
          <w:sz w:val="32"/>
          <w:szCs w:val="32"/>
          <w:highlight w:val="none"/>
          <w:lang w:val="en-US" w:eastAsia="zh-CN" w:bidi="ar-SA"/>
        </w:rPr>
        <w:t>应急管理局</w:t>
      </w:r>
      <w:r>
        <w:rPr>
          <w:rFonts w:hint="eastAsia" w:ascii="Times New Roman" w:hAnsi="Times New Roman" w:eastAsia="仿宋_GB2312" w:cs="仿宋_GB2312"/>
          <w:b w:val="0"/>
          <w:bCs w:val="0"/>
          <w:kern w:val="0"/>
          <w:position w:val="0"/>
          <w:sz w:val="32"/>
          <w:szCs w:val="32"/>
          <w:highlight w:val="none"/>
          <w:lang w:val="en-US" w:eastAsia="zh-CN" w:bidi="ar-SA"/>
        </w:rPr>
        <w:t>内控办法》，严格执行财务管理制度</w:t>
      </w:r>
      <w:r>
        <w:rPr>
          <w:rFonts w:hint="eastAsia" w:eastAsia="仿宋_GB2312" w:cs="仿宋_GB2312"/>
          <w:b w:val="0"/>
          <w:bCs w:val="0"/>
          <w:kern w:val="0"/>
          <w:position w:val="0"/>
          <w:sz w:val="32"/>
          <w:szCs w:val="32"/>
          <w:highlight w:val="none"/>
          <w:lang w:val="en-US" w:eastAsia="zh-CN" w:bidi="ar-SA"/>
        </w:rPr>
        <w:t>。</w:t>
      </w:r>
    </w:p>
    <w:p w14:paraId="0029DB1D">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四、评价结论</w:t>
      </w:r>
    </w:p>
    <w:p w14:paraId="4964157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经自查，经费预算合理，资金管理较好，资金使用总体规范，整体工作发展态势良好，达到预期目标。</w:t>
      </w:r>
    </w:p>
    <w:p w14:paraId="7D7433F6">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五、存在主要问题</w:t>
      </w:r>
    </w:p>
    <w:p w14:paraId="721C26CB">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无。</w:t>
      </w:r>
    </w:p>
    <w:p w14:paraId="603C63EA">
      <w:pPr>
        <w:keepNext w:val="0"/>
        <w:keepLines w:val="0"/>
        <w:pageBreakBefore w:val="0"/>
        <w:widowControl w:val="0"/>
        <w:numPr>
          <w:ilvl w:val="0"/>
          <w:numId w:val="11"/>
        </w:numPr>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zh-CN" w:eastAsia="zh-CN" w:bidi="ar-SA"/>
        </w:rPr>
      </w:pPr>
      <w:r>
        <w:rPr>
          <w:rFonts w:hint="eastAsia" w:ascii="黑体" w:hAnsi="黑体" w:eastAsia="黑体" w:cs="黑体"/>
          <w:b w:val="0"/>
          <w:bCs w:val="0"/>
          <w:kern w:val="0"/>
          <w:position w:val="0"/>
          <w:sz w:val="32"/>
          <w:szCs w:val="32"/>
          <w:highlight w:val="none"/>
          <w:lang w:val="zh-CN" w:eastAsia="zh-CN" w:bidi="ar-SA"/>
        </w:rPr>
        <w:t>改进建议</w:t>
      </w:r>
    </w:p>
    <w:p w14:paraId="359A3659">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zh-CN" w:eastAsia="zh-CN" w:bidi="ar-SA"/>
        </w:rPr>
        <w:t>无。</w:t>
      </w:r>
    </w:p>
    <w:p w14:paraId="1469938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2EB26315">
      <w:pPr>
        <w:pStyle w:val="6"/>
        <w:spacing w:before="93"/>
        <w:rPr>
          <w:rFonts w:hAnsi="Calibri" w:cs="仿宋"/>
          <w:sz w:val="32"/>
          <w:szCs w:val="32"/>
        </w:rPr>
      </w:pPr>
    </w:p>
    <w:p w14:paraId="64B6B0D4">
      <w:pPr>
        <w:numPr>
          <w:ilvl w:val="0"/>
          <w:numId w:val="0"/>
        </w:numPr>
        <w:ind w:firstLine="482" w:firstLineChars="100"/>
        <w:jc w:val="center"/>
        <w:rPr>
          <w:rFonts w:hint="eastAsia" w:ascii="仿宋_GB2312" w:hAnsi="仿宋_GB2312" w:eastAsia="仿宋_GB2312" w:cs="仿宋_GB2312"/>
          <w:b/>
          <w:bCs w:val="0"/>
          <w:sz w:val="48"/>
          <w:szCs w:val="48"/>
          <w:lang w:eastAsia="zh-CN"/>
        </w:rPr>
      </w:pPr>
      <w:r>
        <w:rPr>
          <w:rFonts w:hint="eastAsia" w:ascii="仿宋_GB2312" w:hAnsi="仿宋_GB2312" w:eastAsia="仿宋_GB2312" w:cs="仿宋_GB2312"/>
          <w:b/>
          <w:bCs w:val="0"/>
          <w:sz w:val="48"/>
          <w:szCs w:val="48"/>
          <w:lang w:eastAsia="zh-CN"/>
        </w:rPr>
        <w:t>轻骑兵骑手及速报员队伍运行项目</w:t>
      </w:r>
    </w:p>
    <w:p w14:paraId="610D59FB">
      <w:pPr>
        <w:numPr>
          <w:ilvl w:val="0"/>
          <w:numId w:val="0"/>
        </w:numPr>
        <w:ind w:firstLine="482" w:firstLineChars="100"/>
        <w:jc w:val="center"/>
        <w:rPr>
          <w:rFonts w:hint="eastAsia" w:ascii="仿宋_GB2312" w:hAnsi="仿宋_GB2312" w:eastAsia="仿宋_GB2312" w:cs="仿宋_GB2312"/>
          <w:b/>
          <w:bCs w:val="0"/>
          <w:sz w:val="48"/>
          <w:szCs w:val="48"/>
          <w:lang w:eastAsia="zh-CN"/>
        </w:rPr>
      </w:pPr>
      <w:r>
        <w:rPr>
          <w:rFonts w:hint="eastAsia" w:ascii="仿宋_GB2312" w:hAnsi="仿宋_GB2312" w:eastAsia="仿宋_GB2312" w:cs="仿宋_GB2312"/>
          <w:b/>
          <w:bCs w:val="0"/>
          <w:sz w:val="48"/>
          <w:szCs w:val="48"/>
          <w:lang w:eastAsia="zh-CN"/>
        </w:rPr>
        <w:t>支出绩效自评报告</w:t>
      </w:r>
    </w:p>
    <w:p w14:paraId="08EC8960">
      <w:pPr>
        <w:numPr>
          <w:ilvl w:val="0"/>
          <w:numId w:val="9"/>
        </w:numPr>
        <w:rPr>
          <w:rFonts w:ascii="仿宋_GB2312" w:hAnsi="宋体" w:eastAsia="仿宋_GB2312"/>
          <w:sz w:val="32"/>
          <w:szCs w:val="32"/>
        </w:rPr>
      </w:pPr>
      <w:r>
        <w:rPr>
          <w:rFonts w:hint="eastAsia" w:ascii="仿宋_GB2312" w:hAnsi="宋体" w:eastAsia="仿宋_GB2312"/>
          <w:b/>
          <w:bCs/>
          <w:sz w:val="32"/>
          <w:szCs w:val="32"/>
        </w:rPr>
        <w:t>项目</w:t>
      </w:r>
      <w:r>
        <w:rPr>
          <w:rFonts w:hint="eastAsia" w:ascii="仿宋_GB2312" w:hAnsi="宋体" w:eastAsia="仿宋_GB2312"/>
          <w:b/>
          <w:bCs/>
          <w:sz w:val="32"/>
          <w:szCs w:val="32"/>
          <w:lang w:eastAsia="zh-CN"/>
        </w:rPr>
        <w:t>概况</w:t>
      </w:r>
    </w:p>
    <w:p w14:paraId="0EF1C16A">
      <w:pPr>
        <w:pStyle w:val="6"/>
        <w:numPr>
          <w:ilvl w:val="0"/>
          <w:numId w:val="10"/>
        </w:numPr>
        <w:rPr>
          <w:rFonts w:hint="eastAsia" w:hAnsi="宋体"/>
          <w:b/>
          <w:bCs/>
          <w:sz w:val="32"/>
          <w:szCs w:val="32"/>
          <w:lang w:eastAsia="zh-CN"/>
        </w:rPr>
      </w:pPr>
      <w:r>
        <w:rPr>
          <w:rFonts w:hint="eastAsia" w:hAnsi="宋体"/>
          <w:b/>
          <w:bCs/>
          <w:sz w:val="32"/>
          <w:szCs w:val="32"/>
          <w:lang w:eastAsia="zh-CN"/>
        </w:rPr>
        <w:t>基本情况。</w:t>
      </w:r>
    </w:p>
    <w:p w14:paraId="661C4CA6">
      <w:pPr>
        <w:ind w:firstLine="640"/>
        <w:rPr>
          <w:rFonts w:ascii="仿宋_GB2312" w:hAnsi="宋体" w:eastAsia="仿宋_GB2312"/>
          <w:sz w:val="32"/>
          <w:szCs w:val="32"/>
        </w:rPr>
      </w:pPr>
      <w:r>
        <w:rPr>
          <w:rFonts w:hint="eastAsia" w:ascii="仿宋_GB2312" w:hAnsi="仿宋_GB2312" w:eastAsia="仿宋_GB2312" w:cs="仿宋_GB2312"/>
          <w:bCs/>
          <w:sz w:val="32"/>
          <w:szCs w:val="32"/>
        </w:rPr>
        <w:t>根据金府办函【2020】164号，轻骑兵骑手及速报员队伍运行所需经费，每年预算经费为5.36万元，从2020年起列入我单位预算，此项目为长期预算项目。</w:t>
      </w:r>
    </w:p>
    <w:p w14:paraId="2F06E772">
      <w:pPr>
        <w:adjustRightInd w:val="0"/>
        <w:snapToGrid w:val="0"/>
        <w:spacing w:line="520" w:lineRule="exact"/>
        <w:rPr>
          <w:rFonts w:hint="eastAsia" w:ascii="仿宋_GB2312" w:hAnsi="宋体" w:eastAsia="仿宋_GB2312" w:cs="Times New Roman"/>
          <w:b/>
          <w:bCs/>
          <w:sz w:val="32"/>
          <w:szCs w:val="32"/>
          <w:lang w:eastAsia="zh-CN"/>
        </w:rPr>
      </w:pPr>
      <w:r>
        <w:rPr>
          <w:rFonts w:hint="eastAsia" w:ascii="仿宋_GB2312" w:hAnsi="宋体" w:eastAsia="仿宋_GB2312" w:cs="Times New Roman"/>
          <w:b/>
          <w:bCs/>
          <w:sz w:val="32"/>
          <w:szCs w:val="32"/>
          <w:lang w:eastAsia="zh-CN"/>
        </w:rPr>
        <w:t>（二）实施目的。</w:t>
      </w:r>
    </w:p>
    <w:p w14:paraId="0B6AEC58">
      <w:pPr>
        <w:numPr>
          <w:ilvl w:val="0"/>
          <w:numId w:val="12"/>
        </w:numPr>
        <w:adjustRightInd w:val="0"/>
        <w:snapToGrid w:val="0"/>
        <w:spacing w:line="520" w:lineRule="exact"/>
        <w:rPr>
          <w:rFonts w:ascii="仿宋_GB2312" w:hAnsi="宋体" w:eastAsia="仿宋_GB2312"/>
          <w:sz w:val="32"/>
          <w:szCs w:val="32"/>
        </w:rPr>
      </w:pPr>
      <w:r>
        <w:rPr>
          <w:rFonts w:hint="eastAsia" w:ascii="仿宋_GB2312" w:hAnsi="宋体" w:eastAsia="仿宋_GB2312"/>
          <w:sz w:val="32"/>
          <w:szCs w:val="32"/>
        </w:rPr>
        <w:t>该项目项目符合国家、市、区相关规划、政府决策、社会发展要求，与项目实施单位或委托单位职责密切相关</w:t>
      </w:r>
      <w:r>
        <w:rPr>
          <w:rFonts w:hint="eastAsia" w:ascii="仿宋_GB2312" w:hAnsi="宋体" w:eastAsia="仿宋_GB2312"/>
          <w:sz w:val="32"/>
          <w:szCs w:val="32"/>
          <w:lang w:eastAsia="zh-CN"/>
        </w:rPr>
        <w:t>。</w:t>
      </w:r>
    </w:p>
    <w:p w14:paraId="52630174">
      <w:pPr>
        <w:numPr>
          <w:ilvl w:val="0"/>
          <w:numId w:val="12"/>
        </w:numPr>
        <w:adjustRightInd w:val="0"/>
        <w:snapToGrid w:val="0"/>
        <w:spacing w:line="520" w:lineRule="exact"/>
        <w:rPr>
          <w:rFonts w:ascii="仿宋_GB2312" w:hAnsi="宋体" w:eastAsia="仿宋_GB2312"/>
          <w:sz w:val="32"/>
          <w:szCs w:val="32"/>
        </w:rPr>
      </w:pPr>
      <w:r>
        <w:rPr>
          <w:rFonts w:hint="eastAsia" w:ascii="仿宋_GB2312" w:hAnsi="宋体" w:eastAsia="仿宋_GB2312"/>
          <w:sz w:val="32"/>
          <w:szCs w:val="32"/>
        </w:rPr>
        <w:t>事前经过必要的可行性研究、专家论证、风险评估、集体决策等</w:t>
      </w:r>
      <w:r>
        <w:rPr>
          <w:rFonts w:hint="eastAsia" w:ascii="仿宋_GB2312" w:hAnsi="宋体" w:eastAsia="仿宋_GB2312"/>
          <w:sz w:val="32"/>
          <w:szCs w:val="32"/>
          <w:lang w:eastAsia="zh-CN"/>
        </w:rPr>
        <w:t>。</w:t>
      </w:r>
    </w:p>
    <w:p w14:paraId="24C8BB92">
      <w:pPr>
        <w:numPr>
          <w:ilvl w:val="0"/>
          <w:numId w:val="12"/>
        </w:numPr>
        <w:adjustRightInd w:val="0"/>
        <w:snapToGrid w:val="0"/>
        <w:spacing w:line="520" w:lineRule="exact"/>
        <w:rPr>
          <w:rFonts w:ascii="仿宋_GB2312" w:hAnsi="宋体" w:eastAsia="仿宋_GB2312"/>
          <w:sz w:val="32"/>
          <w:szCs w:val="32"/>
        </w:rPr>
      </w:pPr>
      <w:r>
        <w:rPr>
          <w:rFonts w:hint="eastAsia" w:ascii="仿宋_GB2312" w:hAnsi="宋体" w:eastAsia="仿宋_GB2312"/>
          <w:sz w:val="32"/>
          <w:szCs w:val="32"/>
        </w:rPr>
        <w:t>项目实施是为了</w:t>
      </w:r>
      <w:r>
        <w:rPr>
          <w:rFonts w:hint="eastAsia" w:ascii="仿宋_GB2312" w:hAnsi="仿宋_GB2312" w:eastAsia="仿宋_GB2312" w:cs="仿宋_GB2312"/>
          <w:sz w:val="32"/>
          <w:szCs w:val="32"/>
        </w:rPr>
        <w:t>破解“断路、断网、断电”等极端条件下的应急通信难题，切实加强和规范志愿消防速报员及“轻骑兵”骑手队伍建设</w:t>
      </w:r>
      <w:r>
        <w:rPr>
          <w:rFonts w:hint="eastAsia" w:ascii="仿宋_GB2312" w:hAnsi="仿宋_GB2312" w:eastAsia="仿宋_GB2312" w:cs="仿宋_GB2312"/>
          <w:sz w:val="32"/>
          <w:szCs w:val="32"/>
          <w:lang w:eastAsia="zh-CN"/>
        </w:rPr>
        <w:t>。</w:t>
      </w:r>
    </w:p>
    <w:p w14:paraId="1AFD812A">
      <w:pPr>
        <w:numPr>
          <w:ilvl w:val="0"/>
          <w:numId w:val="12"/>
        </w:numPr>
        <w:adjustRightInd w:val="0"/>
        <w:snapToGrid w:val="0"/>
        <w:spacing w:line="520" w:lineRule="exact"/>
        <w:rPr>
          <w:rFonts w:ascii="仿宋_GB2312" w:hAnsi="宋体" w:eastAsia="仿宋_GB2312"/>
          <w:sz w:val="32"/>
          <w:szCs w:val="32"/>
        </w:rPr>
      </w:pPr>
      <w:r>
        <w:rPr>
          <w:rFonts w:hint="eastAsia" w:ascii="仿宋_GB2312" w:hAnsi="宋体" w:eastAsia="仿宋_GB2312"/>
          <w:sz w:val="32"/>
          <w:szCs w:val="32"/>
        </w:rPr>
        <w:t>项目具有唯一性，与其他项目不存在重复交叉</w:t>
      </w:r>
      <w:r>
        <w:rPr>
          <w:rFonts w:hint="eastAsia" w:ascii="仿宋_GB2312" w:hAnsi="宋体" w:eastAsia="仿宋_GB2312"/>
          <w:sz w:val="32"/>
          <w:szCs w:val="32"/>
          <w:lang w:eastAsia="zh-CN"/>
        </w:rPr>
        <w:t>。</w:t>
      </w:r>
    </w:p>
    <w:p w14:paraId="7ED2B8AC">
      <w:pPr>
        <w:adjustRightInd w:val="0"/>
        <w:snapToGrid w:val="0"/>
        <w:spacing w:line="52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（三）绩效目标。</w:t>
      </w:r>
    </w:p>
    <w:p w14:paraId="6C43E163">
      <w:pPr>
        <w:numPr>
          <w:ilvl w:val="0"/>
          <w:numId w:val="0"/>
        </w:numPr>
        <w:adjustRightInd w:val="0"/>
        <w:snapToGrid w:val="0"/>
        <w:spacing w:line="520" w:lineRule="exact"/>
        <w:rPr>
          <w:rFonts w:ascii="仿宋_GB2312" w:hAnsi="宋体" w:eastAsia="仿宋_GB2312"/>
          <w:sz w:val="32"/>
          <w:szCs w:val="32"/>
        </w:rPr>
      </w:pPr>
      <w:r>
        <w:rPr>
          <w:rFonts w:hint="eastAsia" w:ascii="Times New Roman" w:hAnsi="Times New Roman" w:eastAsia="仿宋_GB2312" w:cs="仿宋_GB2312"/>
          <w:b w:val="0"/>
          <w:bCs w:val="0"/>
          <w:kern w:val="0"/>
          <w:position w:val="0"/>
          <w:sz w:val="32"/>
          <w:szCs w:val="32"/>
          <w:highlight w:val="none"/>
          <w:lang w:val="en-US" w:eastAsia="zh-CN" w:bidi="ar-SA"/>
        </w:rPr>
        <w:t>1.项目主要内容。</w:t>
      </w:r>
      <w:r>
        <w:rPr>
          <w:rFonts w:hint="eastAsia" w:ascii="仿宋_GB2312" w:hAnsi="仿宋_GB2312" w:eastAsia="仿宋_GB2312" w:cs="仿宋_GB2312"/>
          <w:sz w:val="32"/>
          <w:szCs w:val="32"/>
        </w:rPr>
        <w:t>切实加强和规范志愿消防速报员及“轻骑兵”骑手队伍建设</w:t>
      </w:r>
      <w:r>
        <w:rPr>
          <w:rFonts w:hint="eastAsia" w:ascii="仿宋_GB2312" w:hAnsi="仿宋_GB2312" w:eastAsia="仿宋_GB2312" w:cs="仿宋_GB2312"/>
          <w:sz w:val="32"/>
          <w:szCs w:val="32"/>
          <w:lang w:eastAsia="zh-CN"/>
        </w:rPr>
        <w:t>。</w:t>
      </w:r>
    </w:p>
    <w:p w14:paraId="4F24B649">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仿宋_GB2312" w:eastAsia="仿宋_GB2312"/>
          <w:sz w:val="32"/>
          <w:szCs w:val="32"/>
          <w:lang w:val="en-US" w:eastAsia="zh-CN"/>
        </w:rPr>
      </w:pPr>
      <w:r>
        <w:rPr>
          <w:rFonts w:hint="eastAsia" w:ascii="Times New Roman" w:hAnsi="Times New Roman" w:eastAsia="仿宋_GB2312" w:cs="仿宋_GB2312"/>
          <w:b w:val="0"/>
          <w:bCs w:val="0"/>
          <w:kern w:val="0"/>
          <w:position w:val="0"/>
          <w:sz w:val="32"/>
          <w:szCs w:val="32"/>
          <w:highlight w:val="none"/>
          <w:lang w:val="en-US" w:eastAsia="zh-CN" w:bidi="ar-SA"/>
        </w:rPr>
        <w:t>2.项目应实现的具体绩效目标，</w:t>
      </w:r>
      <w:r>
        <w:rPr>
          <w:rFonts w:hint="eastAsia" w:ascii="仿宋_GB2312" w:hAnsi="仿宋_GB2312" w:eastAsia="仿宋_GB2312" w:cs="仿宋_GB2312"/>
          <w:sz w:val="32"/>
          <w:szCs w:val="32"/>
        </w:rPr>
        <w:t>破解“断路、断网、断电”等极端条件下的应急通信难题</w:t>
      </w:r>
      <w:r>
        <w:rPr>
          <w:rFonts w:hint="eastAsia" w:ascii="仿宋_GB2312" w:hAnsi="仿宋_GB2312" w:eastAsia="仿宋_GB2312" w:cs="仿宋_GB2312"/>
          <w:sz w:val="32"/>
          <w:szCs w:val="32"/>
          <w:lang w:eastAsia="zh-CN"/>
        </w:rPr>
        <w:t>。</w:t>
      </w:r>
    </w:p>
    <w:p w14:paraId="580A9FF1">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3.申报内容与实际相符，申报目标合理可行。</w:t>
      </w:r>
    </w:p>
    <w:p w14:paraId="6C2745F9">
      <w:pPr>
        <w:adjustRightInd w:val="0"/>
        <w:snapToGrid w:val="0"/>
        <w:spacing w:line="52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二、项目资金申报及使用情况</w:t>
      </w:r>
    </w:p>
    <w:p w14:paraId="04B03D12">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我单位按照申请事项和具体工作开展确定，根据使用进度向财政申请相应资金及时支付。</w:t>
      </w:r>
    </w:p>
    <w:p w14:paraId="4ABCD69C">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1．资金计划。</w:t>
      </w:r>
      <w:r>
        <w:rPr>
          <w:rFonts w:hint="eastAsia" w:ascii="仿宋_GB2312" w:hAnsi="仿宋_GB2312" w:eastAsia="仿宋_GB2312" w:cs="仿宋_GB2312"/>
          <w:bCs/>
          <w:sz w:val="32"/>
          <w:szCs w:val="32"/>
        </w:rPr>
        <w:t>轻骑兵骑手及速报员队伍运行所经费</w:t>
      </w:r>
      <w:r>
        <w:rPr>
          <w:rFonts w:hint="eastAsia" w:ascii="Times New Roman" w:hAnsi="Times New Roman" w:eastAsia="仿宋_GB2312" w:cs="仿宋_GB2312"/>
          <w:b w:val="0"/>
          <w:bCs w:val="0"/>
          <w:kern w:val="0"/>
          <w:position w:val="0"/>
          <w:sz w:val="32"/>
          <w:szCs w:val="32"/>
          <w:highlight w:val="none"/>
          <w:lang w:val="en-US" w:eastAsia="zh-CN" w:bidi="ar-SA"/>
        </w:rPr>
        <w:t>是本级财政资金。</w:t>
      </w:r>
    </w:p>
    <w:p w14:paraId="07B7F0DF">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2．资金到位。2024年度到位轻骑兵骑手及速报员队伍运行所经费5.36万元。到位率为100</w:t>
      </w:r>
      <w:r>
        <w:rPr>
          <w:rFonts w:hint="eastAsia" w:eastAsia="仿宋_GB2312" w:cs="仿宋_GB2312"/>
          <w:b w:val="0"/>
          <w:bCs w:val="0"/>
          <w:kern w:val="0"/>
          <w:position w:val="0"/>
          <w:sz w:val="32"/>
          <w:szCs w:val="32"/>
          <w:highlight w:val="none"/>
          <w:lang w:val="en-US" w:eastAsia="zh-CN" w:bidi="ar-SA"/>
        </w:rPr>
        <w:t>％</w:t>
      </w:r>
      <w:r>
        <w:rPr>
          <w:rFonts w:hint="eastAsia" w:ascii="Times New Roman" w:hAnsi="Times New Roman" w:eastAsia="仿宋_GB2312" w:cs="仿宋_GB2312"/>
          <w:b w:val="0"/>
          <w:bCs w:val="0"/>
          <w:kern w:val="0"/>
          <w:position w:val="0"/>
          <w:sz w:val="32"/>
          <w:szCs w:val="32"/>
          <w:highlight w:val="none"/>
          <w:lang w:val="en-US" w:eastAsia="zh-CN" w:bidi="ar-SA"/>
        </w:rPr>
        <w:t>。</w:t>
      </w:r>
    </w:p>
    <w:p w14:paraId="231A1210">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3．资金使用。2024年度，轻骑兵骑手及速报员队伍运行所经费5.36万元，执行率为100</w:t>
      </w:r>
      <w:r>
        <w:rPr>
          <w:rFonts w:hint="eastAsia" w:eastAsia="仿宋_GB2312" w:cs="仿宋_GB2312"/>
          <w:b w:val="0"/>
          <w:bCs w:val="0"/>
          <w:kern w:val="0"/>
          <w:position w:val="0"/>
          <w:sz w:val="32"/>
          <w:szCs w:val="32"/>
          <w:highlight w:val="none"/>
          <w:lang w:val="en-US" w:eastAsia="zh-CN" w:bidi="ar-SA"/>
        </w:rPr>
        <w:t>％</w:t>
      </w:r>
      <w:r>
        <w:rPr>
          <w:rFonts w:hint="eastAsia" w:ascii="Times New Roman" w:hAnsi="Times New Roman" w:eastAsia="仿宋_GB2312" w:cs="仿宋_GB2312"/>
          <w:b w:val="0"/>
          <w:bCs w:val="0"/>
          <w:kern w:val="0"/>
          <w:position w:val="0"/>
          <w:sz w:val="32"/>
          <w:szCs w:val="32"/>
          <w:highlight w:val="none"/>
          <w:lang w:val="en-US" w:eastAsia="zh-CN" w:bidi="ar-SA"/>
        </w:rPr>
        <w:t>。</w:t>
      </w:r>
    </w:p>
    <w:p w14:paraId="46197329">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eastAsia="仿宋_GB2312" w:cs="仿宋_GB2312"/>
          <w:b/>
          <w:bCs/>
          <w:kern w:val="0"/>
          <w:position w:val="0"/>
          <w:sz w:val="32"/>
          <w:szCs w:val="32"/>
          <w:highlight w:val="none"/>
          <w:lang w:val="en-US" w:eastAsia="zh-CN" w:bidi="ar-SA"/>
        </w:rPr>
      </w:pPr>
      <w:r>
        <w:rPr>
          <w:rFonts w:hint="eastAsia" w:ascii="Times New Roman" w:hAnsi="Times New Roman" w:eastAsia="仿宋_GB2312" w:cs="仿宋_GB2312"/>
          <w:b/>
          <w:bCs/>
          <w:kern w:val="0"/>
          <w:position w:val="0"/>
          <w:sz w:val="32"/>
          <w:szCs w:val="32"/>
          <w:highlight w:val="none"/>
          <w:lang w:val="en-US" w:eastAsia="zh-CN" w:bidi="ar-SA"/>
        </w:rPr>
        <w:t>三、项目实施及管理情况</w:t>
      </w:r>
    </w:p>
    <w:p w14:paraId="1B5755D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按照《乐山市金口河区</w:t>
      </w:r>
      <w:r>
        <w:rPr>
          <w:rFonts w:hint="eastAsia" w:eastAsia="仿宋_GB2312" w:cs="仿宋_GB2312"/>
          <w:b w:val="0"/>
          <w:bCs w:val="0"/>
          <w:kern w:val="0"/>
          <w:position w:val="0"/>
          <w:sz w:val="32"/>
          <w:szCs w:val="32"/>
          <w:highlight w:val="none"/>
          <w:lang w:val="en-US" w:eastAsia="zh-CN" w:bidi="ar-SA"/>
        </w:rPr>
        <w:t>应急管理局</w:t>
      </w:r>
      <w:r>
        <w:rPr>
          <w:rFonts w:hint="eastAsia" w:ascii="Times New Roman" w:hAnsi="Times New Roman" w:eastAsia="仿宋_GB2312" w:cs="仿宋_GB2312"/>
          <w:b w:val="0"/>
          <w:bCs w:val="0"/>
          <w:kern w:val="0"/>
          <w:position w:val="0"/>
          <w:sz w:val="32"/>
          <w:szCs w:val="32"/>
          <w:highlight w:val="none"/>
          <w:lang w:val="en-US" w:eastAsia="zh-CN" w:bidi="ar-SA"/>
        </w:rPr>
        <w:t>内控办法》，严格执行财务管理制度，根据实际需要</w:t>
      </w:r>
      <w:r>
        <w:rPr>
          <w:rFonts w:hint="eastAsia" w:eastAsia="仿宋_GB2312" w:cs="仿宋_GB2312"/>
          <w:b w:val="0"/>
          <w:bCs w:val="0"/>
          <w:kern w:val="0"/>
          <w:position w:val="0"/>
          <w:sz w:val="32"/>
          <w:szCs w:val="32"/>
          <w:highlight w:val="none"/>
          <w:lang w:val="en-US" w:eastAsia="zh-CN" w:bidi="ar-SA"/>
        </w:rPr>
        <w:t>支出项目经费。</w:t>
      </w:r>
    </w:p>
    <w:p w14:paraId="05E6F47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（一）项目组织架构及实施流程</w:t>
      </w:r>
    </w:p>
    <w:p w14:paraId="01E1BB92">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Cs/>
          <w:sz w:val="32"/>
          <w:szCs w:val="32"/>
        </w:rPr>
        <w:t>专家会诊经费</w:t>
      </w:r>
      <w:r>
        <w:rPr>
          <w:rFonts w:hint="eastAsia" w:ascii="Times New Roman" w:hAnsi="Times New Roman" w:eastAsia="仿宋_GB2312" w:cs="仿宋_GB2312"/>
          <w:b w:val="0"/>
          <w:bCs w:val="0"/>
          <w:kern w:val="0"/>
          <w:position w:val="0"/>
          <w:sz w:val="32"/>
          <w:szCs w:val="32"/>
          <w:highlight w:val="none"/>
          <w:lang w:val="en-US" w:eastAsia="zh-CN" w:bidi="ar-SA"/>
        </w:rPr>
        <w:t>是本级财政经费，纳入财政预算。我部按照财政要求程序申报，本级财政及时下达至我</w:t>
      </w:r>
      <w:r>
        <w:rPr>
          <w:rFonts w:hint="eastAsia" w:eastAsia="仿宋_GB2312" w:cs="仿宋_GB2312"/>
          <w:b w:val="0"/>
          <w:bCs w:val="0"/>
          <w:kern w:val="0"/>
          <w:position w:val="0"/>
          <w:sz w:val="32"/>
          <w:szCs w:val="32"/>
          <w:highlight w:val="none"/>
          <w:lang w:val="en-US" w:eastAsia="zh-CN" w:bidi="ar-SA"/>
        </w:rPr>
        <w:t>局</w:t>
      </w:r>
      <w:r>
        <w:rPr>
          <w:rFonts w:hint="eastAsia" w:ascii="Times New Roman" w:hAnsi="Times New Roman" w:eastAsia="仿宋_GB2312" w:cs="仿宋_GB2312"/>
          <w:b w:val="0"/>
          <w:bCs w:val="0"/>
          <w:kern w:val="0"/>
          <w:position w:val="0"/>
          <w:sz w:val="32"/>
          <w:szCs w:val="32"/>
          <w:highlight w:val="none"/>
          <w:lang w:val="en-US" w:eastAsia="zh-CN" w:bidi="ar-SA"/>
        </w:rPr>
        <w:t>，根据实际需要和进度向财政申请相应资金并及时支付。</w:t>
      </w:r>
    </w:p>
    <w:p w14:paraId="612081D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（二）项目管理情况</w:t>
      </w:r>
    </w:p>
    <w:p w14:paraId="35F4BB9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按照《乐山市金口河区</w:t>
      </w:r>
      <w:r>
        <w:rPr>
          <w:rFonts w:hint="eastAsia" w:eastAsia="仿宋_GB2312" w:cs="仿宋_GB2312"/>
          <w:b w:val="0"/>
          <w:bCs w:val="0"/>
          <w:kern w:val="0"/>
          <w:position w:val="0"/>
          <w:sz w:val="32"/>
          <w:szCs w:val="32"/>
          <w:highlight w:val="none"/>
          <w:lang w:val="en-US" w:eastAsia="zh-CN" w:bidi="ar-SA"/>
        </w:rPr>
        <w:t>应急管理局</w:t>
      </w:r>
      <w:r>
        <w:rPr>
          <w:rFonts w:hint="eastAsia" w:ascii="Times New Roman" w:hAnsi="Times New Roman" w:eastAsia="仿宋_GB2312" w:cs="仿宋_GB2312"/>
          <w:b w:val="0"/>
          <w:bCs w:val="0"/>
          <w:kern w:val="0"/>
          <w:position w:val="0"/>
          <w:sz w:val="32"/>
          <w:szCs w:val="32"/>
          <w:highlight w:val="none"/>
          <w:lang w:val="en-US" w:eastAsia="zh-CN" w:bidi="ar-SA"/>
        </w:rPr>
        <w:t>内控办法》，严格执行财务管理制度</w:t>
      </w:r>
      <w:r>
        <w:rPr>
          <w:rFonts w:hint="eastAsia" w:eastAsia="仿宋_GB2312" w:cs="仿宋_GB2312"/>
          <w:b w:val="0"/>
          <w:bCs w:val="0"/>
          <w:kern w:val="0"/>
          <w:position w:val="0"/>
          <w:sz w:val="32"/>
          <w:szCs w:val="32"/>
          <w:highlight w:val="none"/>
          <w:lang w:val="en-US" w:eastAsia="zh-CN" w:bidi="ar-SA"/>
        </w:rPr>
        <w:t>。</w:t>
      </w:r>
    </w:p>
    <w:p w14:paraId="0D222F94">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四、评价结论</w:t>
      </w:r>
    </w:p>
    <w:p w14:paraId="6614DAF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经自查，经费预算合理，资金管理较好，资金使用总体规范，整体工作发展态势良好，达到预期目标。</w:t>
      </w:r>
    </w:p>
    <w:p w14:paraId="14BD585B">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五、存在主要问题</w:t>
      </w:r>
    </w:p>
    <w:p w14:paraId="2D46CEAB">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无。</w:t>
      </w:r>
    </w:p>
    <w:p w14:paraId="605CC6F0">
      <w:pPr>
        <w:keepNext w:val="0"/>
        <w:keepLines w:val="0"/>
        <w:pageBreakBefore w:val="0"/>
        <w:widowControl w:val="0"/>
        <w:numPr>
          <w:ilvl w:val="0"/>
          <w:numId w:val="11"/>
        </w:numPr>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zh-CN" w:eastAsia="zh-CN" w:bidi="ar-SA"/>
        </w:rPr>
      </w:pPr>
      <w:r>
        <w:rPr>
          <w:rFonts w:hint="eastAsia" w:ascii="黑体" w:hAnsi="黑体" w:eastAsia="黑体" w:cs="黑体"/>
          <w:b w:val="0"/>
          <w:bCs w:val="0"/>
          <w:kern w:val="0"/>
          <w:position w:val="0"/>
          <w:sz w:val="32"/>
          <w:szCs w:val="32"/>
          <w:highlight w:val="none"/>
          <w:lang w:val="zh-CN" w:eastAsia="zh-CN" w:bidi="ar-SA"/>
        </w:rPr>
        <w:t>改进建议</w:t>
      </w:r>
    </w:p>
    <w:p w14:paraId="10F98EAD">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zh-CN" w:eastAsia="zh-CN" w:bidi="ar-SA"/>
        </w:rPr>
        <w:t>无。</w:t>
      </w:r>
    </w:p>
    <w:p w14:paraId="6B9A7C4E">
      <w:pPr>
        <w:pStyle w:val="6"/>
        <w:spacing w:before="93"/>
        <w:rPr>
          <w:rFonts w:hAnsi="Calibri" w:cs="仿宋"/>
          <w:sz w:val="32"/>
          <w:szCs w:val="32"/>
        </w:rPr>
      </w:pPr>
    </w:p>
    <w:p w14:paraId="4DF269B2">
      <w:pPr>
        <w:spacing w:line="600" w:lineRule="exact"/>
        <w:jc w:val="center"/>
        <w:outlineLvl w:val="0"/>
        <w:rPr>
          <w:rFonts w:ascii="仿宋" w:hAnsi="仿宋" w:eastAsia="仿宋"/>
        </w:rPr>
      </w:pPr>
      <w:bookmarkStart w:id="60" w:name="_Toc12198"/>
      <w:r>
        <w:rPr>
          <w:rFonts w:hint="eastAsia" w:ascii="黑体" w:hAnsi="黑体" w:eastAsia="黑体"/>
          <w:sz w:val="44"/>
          <w:szCs w:val="44"/>
        </w:rPr>
        <w:t>第</w:t>
      </w:r>
      <w:r>
        <w:rPr>
          <w:rStyle w:val="32"/>
          <w:rFonts w:hint="eastAsia" w:ascii="黑体" w:hAnsi="黑体" w:eastAsia="黑体"/>
          <w:b w:val="0"/>
        </w:rPr>
        <w:t>五部分 附表</w:t>
      </w:r>
      <w:bookmarkEnd w:id="56"/>
      <w:bookmarkEnd w:id="59"/>
      <w:bookmarkEnd w:id="60"/>
      <w:bookmarkStart w:id="61" w:name="_Toc15396619"/>
    </w:p>
    <w:p w14:paraId="548F2986">
      <w:pPr>
        <w:pStyle w:val="3"/>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62" w:name="_Toc24914"/>
      <w:r>
        <w:rPr>
          <w:rFonts w:hint="eastAsia" w:ascii="仿宋" w:hAnsi="仿宋" w:eastAsia="仿宋"/>
          <w:b w:val="0"/>
        </w:rPr>
        <w:t>一、收</w:t>
      </w:r>
      <w:r>
        <w:rPr>
          <w:rStyle w:val="33"/>
          <w:rFonts w:hint="eastAsia" w:ascii="仿宋" w:hAnsi="仿宋" w:eastAsia="仿宋"/>
          <w:b w:val="0"/>
          <w:bCs w:val="0"/>
        </w:rPr>
        <w:t>入支出决算总表</w:t>
      </w:r>
      <w:bookmarkEnd w:id="61"/>
      <w:bookmarkEnd w:id="62"/>
    </w:p>
    <w:p w14:paraId="65C4692A">
      <w:pPr>
        <w:pStyle w:val="3"/>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63" w:name="_Toc20850"/>
      <w:bookmarkStart w:id="64" w:name="_Toc15396620"/>
      <w:r>
        <w:rPr>
          <w:rFonts w:hint="eastAsia" w:ascii="仿宋" w:hAnsi="仿宋" w:eastAsia="仿宋"/>
          <w:b w:val="0"/>
        </w:rPr>
        <w:t>二、收</w:t>
      </w:r>
      <w:r>
        <w:rPr>
          <w:rStyle w:val="33"/>
          <w:rFonts w:hint="eastAsia" w:ascii="仿宋" w:hAnsi="仿宋" w:eastAsia="仿宋"/>
          <w:b w:val="0"/>
          <w:bCs w:val="0"/>
        </w:rPr>
        <w:t>入决算表</w:t>
      </w:r>
      <w:bookmarkEnd w:id="63"/>
      <w:bookmarkEnd w:id="64"/>
    </w:p>
    <w:p w14:paraId="3D024F7F">
      <w:pPr>
        <w:pStyle w:val="3"/>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65" w:name="_Toc32534"/>
      <w:bookmarkStart w:id="66" w:name="_Toc15396621"/>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65"/>
      <w:bookmarkEnd w:id="66"/>
    </w:p>
    <w:p w14:paraId="53C38ADF">
      <w:pPr>
        <w:pStyle w:val="3"/>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b w:val="0"/>
        </w:rPr>
      </w:pPr>
      <w:bookmarkStart w:id="67" w:name="_Toc15396622"/>
      <w:bookmarkStart w:id="68" w:name="_Toc5075"/>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67"/>
      <w:bookmarkEnd w:id="68"/>
    </w:p>
    <w:p w14:paraId="6ADDC702">
      <w:pPr>
        <w:pStyle w:val="3"/>
        <w:keepNext/>
        <w:keepLines/>
        <w:pageBreakBefore w:val="0"/>
        <w:widowControl w:val="0"/>
        <w:kinsoku/>
        <w:wordWrap/>
        <w:overflowPunct/>
        <w:topLinePunct w:val="0"/>
        <w:autoSpaceDE/>
        <w:autoSpaceDN/>
        <w:bidi w:val="0"/>
        <w:adjustRightInd/>
        <w:snapToGrid/>
        <w:spacing w:line="560" w:lineRule="exact"/>
        <w:textAlignment w:val="auto"/>
        <w:rPr>
          <w:rStyle w:val="33"/>
          <w:rFonts w:ascii="仿宋" w:hAnsi="仿宋" w:eastAsia="仿宋"/>
          <w:b w:val="0"/>
          <w:bCs w:val="0"/>
        </w:rPr>
      </w:pPr>
      <w:bookmarkStart w:id="69" w:name="_Toc15396623"/>
      <w:bookmarkStart w:id="70" w:name="_Toc30095"/>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69"/>
      <w:bookmarkEnd w:id="70"/>
      <w:bookmarkStart w:id="71" w:name="_Toc15396624"/>
    </w:p>
    <w:p w14:paraId="131FAFFB">
      <w:pPr>
        <w:pStyle w:val="3"/>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72" w:name="_Toc17842"/>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71"/>
      <w:bookmarkEnd w:id="72"/>
    </w:p>
    <w:p w14:paraId="0DABF42E">
      <w:pPr>
        <w:pStyle w:val="3"/>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73" w:name="_Toc13751"/>
      <w:bookmarkStart w:id="74" w:name="_Toc15396625"/>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73"/>
      <w:bookmarkEnd w:id="74"/>
    </w:p>
    <w:p w14:paraId="7C2206B1">
      <w:pPr>
        <w:pStyle w:val="3"/>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75" w:name="_Toc15396626"/>
      <w:bookmarkStart w:id="76" w:name="_Toc17160"/>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75"/>
      <w:bookmarkEnd w:id="76"/>
    </w:p>
    <w:p w14:paraId="11B846C7">
      <w:pPr>
        <w:pStyle w:val="3"/>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77" w:name="_Toc18148"/>
      <w:bookmarkStart w:id="78" w:name="_Toc1539662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77"/>
      <w:bookmarkEnd w:id="78"/>
    </w:p>
    <w:p w14:paraId="7135537F">
      <w:pPr>
        <w:pStyle w:val="3"/>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79" w:name="_Toc15396628"/>
      <w:bookmarkStart w:id="80" w:name="_Toc11283"/>
      <w:r>
        <w:rPr>
          <w:rStyle w:val="33"/>
          <w:rFonts w:hint="eastAsia" w:ascii="仿宋" w:hAnsi="仿宋" w:eastAsia="仿宋"/>
          <w:b w:val="0"/>
          <w:bCs w:val="0"/>
        </w:rPr>
        <w:t>十、</w:t>
      </w:r>
      <w:bookmarkEnd w:id="79"/>
      <w:r>
        <w:rPr>
          <w:rFonts w:hint="eastAsia" w:ascii="仿宋" w:hAnsi="仿宋" w:eastAsia="仿宋"/>
          <w:b w:val="0"/>
        </w:rPr>
        <w:t>政</w:t>
      </w:r>
      <w:r>
        <w:rPr>
          <w:rStyle w:val="33"/>
          <w:rFonts w:hint="eastAsia" w:ascii="仿宋" w:hAnsi="仿宋" w:eastAsia="仿宋"/>
          <w:b w:val="0"/>
          <w:bCs w:val="0"/>
        </w:rPr>
        <w:t>府性基金预算财政拨款收入支出决算表</w:t>
      </w:r>
      <w:bookmarkEnd w:id="80"/>
    </w:p>
    <w:p w14:paraId="15F5EE92">
      <w:pPr>
        <w:pStyle w:val="3"/>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81" w:name="_Toc15396629"/>
      <w:bookmarkStart w:id="82" w:name="_Toc3504"/>
      <w:r>
        <w:rPr>
          <w:rStyle w:val="33"/>
          <w:rFonts w:hint="eastAsia" w:ascii="仿宋" w:hAnsi="仿宋" w:eastAsia="仿宋"/>
          <w:b w:val="0"/>
          <w:bCs w:val="0"/>
        </w:rPr>
        <w:t>十一、</w:t>
      </w:r>
      <w:bookmarkEnd w:id="81"/>
      <w:r>
        <w:rPr>
          <w:rFonts w:hint="eastAsia" w:ascii="仿宋" w:hAnsi="仿宋" w:eastAsia="仿宋"/>
          <w:b w:val="0"/>
        </w:rPr>
        <w:t>国</w:t>
      </w:r>
      <w:r>
        <w:rPr>
          <w:rStyle w:val="33"/>
          <w:rFonts w:hint="eastAsia" w:ascii="仿宋" w:hAnsi="仿宋" w:eastAsia="仿宋"/>
          <w:b w:val="0"/>
          <w:bCs w:val="0"/>
        </w:rPr>
        <w:t>有资本经营预算财政拨款收入支出决算表</w:t>
      </w:r>
      <w:bookmarkEnd w:id="82"/>
    </w:p>
    <w:p w14:paraId="4AA3C863">
      <w:pPr>
        <w:pStyle w:val="3"/>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83" w:name="_Toc15396630"/>
      <w:bookmarkStart w:id="84" w:name="_Toc19213"/>
      <w:r>
        <w:rPr>
          <w:rStyle w:val="33"/>
          <w:rFonts w:hint="eastAsia" w:ascii="仿宋" w:hAnsi="仿宋" w:eastAsia="仿宋"/>
          <w:b w:val="0"/>
          <w:bCs w:val="0"/>
        </w:rPr>
        <w:t>十二、</w:t>
      </w:r>
      <w:bookmarkEnd w:id="83"/>
      <w:r>
        <w:rPr>
          <w:rStyle w:val="33"/>
          <w:rFonts w:hint="eastAsia" w:ascii="仿宋" w:hAnsi="仿宋" w:eastAsia="仿宋"/>
          <w:b w:val="0"/>
          <w:bCs w:val="0"/>
        </w:rPr>
        <w:t>国有资本经营预算财政拨款支出决算表</w:t>
      </w:r>
      <w:bookmarkEnd w:id="84"/>
    </w:p>
    <w:p w14:paraId="41683C02">
      <w:pPr>
        <w:pStyle w:val="3"/>
        <w:keepNext/>
        <w:keepLines/>
        <w:pageBreakBefore w:val="0"/>
        <w:widowControl w:val="0"/>
        <w:kinsoku/>
        <w:wordWrap/>
        <w:overflowPunct/>
        <w:topLinePunct w:val="0"/>
        <w:autoSpaceDE/>
        <w:autoSpaceDN/>
        <w:bidi w:val="0"/>
        <w:adjustRightInd/>
        <w:snapToGrid/>
        <w:spacing w:line="560" w:lineRule="exact"/>
        <w:textAlignment w:val="auto"/>
      </w:pPr>
      <w:bookmarkStart w:id="85" w:name="_Toc15396631"/>
      <w:bookmarkStart w:id="86" w:name="_Toc27468"/>
      <w:r>
        <w:rPr>
          <w:rStyle w:val="33"/>
          <w:rFonts w:hint="eastAsia" w:ascii="仿宋" w:hAnsi="仿宋" w:eastAsia="仿宋"/>
          <w:b w:val="0"/>
          <w:bCs w:val="0"/>
        </w:rPr>
        <w:t>十三、</w:t>
      </w:r>
      <w:bookmarkEnd w:id="85"/>
      <w:r>
        <w:rPr>
          <w:rStyle w:val="33"/>
          <w:rFonts w:hint="eastAsia" w:ascii="仿宋" w:hAnsi="仿宋" w:eastAsia="仿宋"/>
          <w:b w:val="0"/>
          <w:bCs w:val="0"/>
        </w:rPr>
        <w:t>财政拨款“三公”经费支出决算表</w:t>
      </w:r>
      <w:bookmarkEnd w:id="86"/>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14:paraId="662FF57F">
      <w:pPr>
        <w:pStyle w:val="9"/>
        <w:widowControl w:val="0"/>
        <w:suppressLineNumbers w:val="0"/>
        <w:pBdr>
          <w:top w:val="none" w:color="auto" w:sz="0" w:space="1"/>
          <w:left w:val="none" w:color="auto" w:sz="0" w:space="4"/>
          <w:bottom w:val="none" w:color="auto" w:sz="0" w:space="1"/>
          <w:right w:val="none" w:color="auto" w:sz="0" w:space="4"/>
          <w:between w:val="none" w:color="auto" w:sz="0" w:space="0"/>
        </w:pBdr>
        <w:bidi w:val="0"/>
        <w:snapToGrid w:val="0"/>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6985BBF">
        <w:pPr>
          <w:pStyle w:val="11"/>
          <w:jc w:val="center"/>
        </w:pPr>
        <w:r>
          <w:fldChar w:fldCharType="begin"/>
        </w:r>
        <w:r>
          <w:instrText xml:space="preserve">PAGE   \* MERGEFORMAT</w:instrText>
        </w:r>
        <w:r>
          <w:fldChar w:fldCharType="separate"/>
        </w:r>
        <w:r>
          <w:rPr>
            <w:lang w:val="zh-CN"/>
          </w:rPr>
          <w:t>15</w:t>
        </w:r>
        <w:r>
          <w:fldChar w:fldCharType="end"/>
        </w:r>
      </w:p>
    </w:sdtContent>
  </w:sdt>
  <w:p w14:paraId="5384AA9F">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19E1">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36287"/>
    <w:multiLevelType w:val="singleLevel"/>
    <w:tmpl w:val="9E836287"/>
    <w:lvl w:ilvl="0" w:tentative="0">
      <w:start w:val="1"/>
      <w:numFmt w:val="decimal"/>
      <w:lvlText w:val="%1."/>
      <w:lvlJc w:val="left"/>
      <w:pPr>
        <w:tabs>
          <w:tab w:val="left" w:pos="312"/>
        </w:tabs>
      </w:pPr>
    </w:lvl>
  </w:abstractNum>
  <w:abstractNum w:abstractNumId="1">
    <w:nsid w:val="A52DB3EC"/>
    <w:multiLevelType w:val="singleLevel"/>
    <w:tmpl w:val="A52DB3EC"/>
    <w:lvl w:ilvl="0" w:tentative="0">
      <w:start w:val="1"/>
      <w:numFmt w:val="chineseCounting"/>
      <w:suff w:val="nothing"/>
      <w:lvlText w:val="%1、"/>
      <w:lvlJc w:val="left"/>
      <w:rPr>
        <w:rFonts w:hint="eastAsia"/>
      </w:rPr>
    </w:lvl>
  </w:abstractNum>
  <w:abstractNum w:abstractNumId="2">
    <w:nsid w:val="B0C6322B"/>
    <w:multiLevelType w:val="singleLevel"/>
    <w:tmpl w:val="B0C6322B"/>
    <w:lvl w:ilvl="0" w:tentative="0">
      <w:start w:val="1"/>
      <w:numFmt w:val="chineseCounting"/>
      <w:suff w:val="nothing"/>
      <w:lvlText w:val="（%1）"/>
      <w:lvlJc w:val="left"/>
      <w:rPr>
        <w:rFonts w:hint="eastAsia"/>
      </w:rPr>
    </w:lvl>
  </w:abstractNum>
  <w:abstractNum w:abstractNumId="3">
    <w:nsid w:val="B2C0A903"/>
    <w:multiLevelType w:val="singleLevel"/>
    <w:tmpl w:val="B2C0A903"/>
    <w:lvl w:ilvl="0" w:tentative="0">
      <w:start w:val="1"/>
      <w:numFmt w:val="decimal"/>
      <w:suff w:val="nothing"/>
      <w:lvlText w:val="%1．"/>
      <w:lvlJc w:val="left"/>
      <w:pPr>
        <w:ind w:left="-210"/>
      </w:pPr>
      <w:rPr>
        <w:rFonts w:hint="default"/>
        <w:b/>
        <w:bCs/>
      </w:rPr>
    </w:lvl>
  </w:abstractNum>
  <w:abstractNum w:abstractNumId="4">
    <w:nsid w:val="B982B22A"/>
    <w:multiLevelType w:val="singleLevel"/>
    <w:tmpl w:val="B982B22A"/>
    <w:lvl w:ilvl="0" w:tentative="0">
      <w:start w:val="6"/>
      <w:numFmt w:val="chineseCounting"/>
      <w:suff w:val="nothing"/>
      <w:lvlText w:val="%1、"/>
      <w:lvlJc w:val="left"/>
      <w:rPr>
        <w:rFonts w:hint="eastAsia"/>
      </w:rPr>
    </w:lvl>
  </w:abstractNum>
  <w:abstractNum w:abstractNumId="5">
    <w:nsid w:val="CF652CEC"/>
    <w:multiLevelType w:val="singleLevel"/>
    <w:tmpl w:val="CF652CEC"/>
    <w:lvl w:ilvl="0" w:tentative="0">
      <w:start w:val="9"/>
      <w:numFmt w:val="chineseCounting"/>
      <w:suff w:val="nothing"/>
      <w:lvlText w:val="%1、"/>
      <w:lvlJc w:val="left"/>
      <w:rPr>
        <w:rFonts w:hint="eastAsia"/>
      </w:rPr>
    </w:lvl>
  </w:abstractNum>
  <w:abstractNum w:abstractNumId="6">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2B50F84E"/>
    <w:multiLevelType w:val="singleLevel"/>
    <w:tmpl w:val="2B50F84E"/>
    <w:lvl w:ilvl="0" w:tentative="0">
      <w:start w:val="2"/>
      <w:numFmt w:val="chineseCounting"/>
      <w:suff w:val="nothing"/>
      <w:lvlText w:val="（%1）"/>
      <w:lvlJc w:val="left"/>
      <w:rPr>
        <w:rFonts w:hint="eastAsia" w:ascii="楷体_GB2312" w:hAnsi="楷体_GB2312" w:eastAsia="楷体_GB2312" w:cs="楷体_GB2312"/>
        <w:sz w:val="32"/>
        <w:szCs w:val="32"/>
      </w:rPr>
    </w:lvl>
  </w:abstractNum>
  <w:abstractNum w:abstractNumId="9">
    <w:nsid w:val="3818A09A"/>
    <w:multiLevelType w:val="singleLevel"/>
    <w:tmpl w:val="3818A09A"/>
    <w:lvl w:ilvl="0" w:tentative="0">
      <w:start w:val="1"/>
      <w:numFmt w:val="chineseCounting"/>
      <w:suff w:val="nothing"/>
      <w:lvlText w:val="%1、"/>
      <w:lvlJc w:val="left"/>
      <w:rPr>
        <w:rFonts w:hint="eastAsia"/>
      </w:rPr>
    </w:lvl>
  </w:abstractNum>
  <w:abstractNum w:abstractNumId="10">
    <w:nsid w:val="69295AB8"/>
    <w:multiLevelType w:val="singleLevel"/>
    <w:tmpl w:val="69295AB8"/>
    <w:lvl w:ilvl="0" w:tentative="0">
      <w:start w:val="2"/>
      <w:numFmt w:val="chineseCounting"/>
      <w:suff w:val="nothing"/>
      <w:lvlText w:val="（%1）"/>
      <w:lvlJc w:val="left"/>
      <w:rPr>
        <w:rFonts w:hint="eastAsia" w:ascii="楷体_GB2312" w:hAnsi="楷体_GB2312" w:eastAsia="楷体_GB2312" w:cs="楷体_GB2312"/>
        <w:sz w:val="32"/>
        <w:szCs w:val="32"/>
      </w:rPr>
    </w:lvl>
  </w:abstractNum>
  <w:abstractNum w:abstractNumId="11">
    <w:nsid w:val="7EE55BF3"/>
    <w:multiLevelType w:val="multilevel"/>
    <w:tmpl w:val="7EE55BF3"/>
    <w:lvl w:ilvl="0" w:tentative="0">
      <w:start w:val="1"/>
      <w:numFmt w:val="chineseCountingThousand"/>
      <w:pStyle w:val="40"/>
      <w:suff w:val="nothing"/>
      <w:lvlText w:val="（%1）"/>
      <w:lvlJc w:val="left"/>
      <w:pPr>
        <w:ind w:left="0"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1"/>
  </w:num>
  <w:num w:numId="2">
    <w:abstractNumId w:val="9"/>
  </w:num>
  <w:num w:numId="3">
    <w:abstractNumId w:val="7"/>
  </w:num>
  <w:num w:numId="4">
    <w:abstractNumId w:val="3"/>
  </w:num>
  <w:num w:numId="5">
    <w:abstractNumId w:val="5"/>
  </w:num>
  <w:num w:numId="6">
    <w:abstractNumId w:val="6"/>
  </w:num>
  <w:num w:numId="7">
    <w:abstractNumId w:val="10"/>
  </w:num>
  <w:num w:numId="8">
    <w:abstractNumId w:val="8"/>
  </w:num>
  <w:num w:numId="9">
    <w:abstractNumId w:val="1"/>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MDY3YjkyNDQ2MzkxNjEyMTFmOThhYzlhMWJlN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800D34"/>
    <w:rsid w:val="03DC2831"/>
    <w:rsid w:val="081B5E94"/>
    <w:rsid w:val="083665D3"/>
    <w:rsid w:val="087C1E74"/>
    <w:rsid w:val="0927396B"/>
    <w:rsid w:val="0A2032A3"/>
    <w:rsid w:val="0B8A37D8"/>
    <w:rsid w:val="0F5FFB2F"/>
    <w:rsid w:val="0FFFCF60"/>
    <w:rsid w:val="10C055FF"/>
    <w:rsid w:val="118107EC"/>
    <w:rsid w:val="11DD6519"/>
    <w:rsid w:val="16BB723D"/>
    <w:rsid w:val="18015F3F"/>
    <w:rsid w:val="1A181DD5"/>
    <w:rsid w:val="1BE8440E"/>
    <w:rsid w:val="1BEA0FE8"/>
    <w:rsid w:val="1D155CEE"/>
    <w:rsid w:val="1DB22A9C"/>
    <w:rsid w:val="1EDA3ED4"/>
    <w:rsid w:val="1EF67CA4"/>
    <w:rsid w:val="1FDBBF84"/>
    <w:rsid w:val="20F57F95"/>
    <w:rsid w:val="21D65D0B"/>
    <w:rsid w:val="22E648E8"/>
    <w:rsid w:val="240371BF"/>
    <w:rsid w:val="243C43AB"/>
    <w:rsid w:val="24E46F1D"/>
    <w:rsid w:val="25711CC6"/>
    <w:rsid w:val="25C741E6"/>
    <w:rsid w:val="26914E82"/>
    <w:rsid w:val="276F80C0"/>
    <w:rsid w:val="27842671"/>
    <w:rsid w:val="29FD04D3"/>
    <w:rsid w:val="2ABE7A3E"/>
    <w:rsid w:val="2AFF09B6"/>
    <w:rsid w:val="2CA234A8"/>
    <w:rsid w:val="2CE81F57"/>
    <w:rsid w:val="2E7A26A0"/>
    <w:rsid w:val="2EEE22A9"/>
    <w:rsid w:val="2EFA178C"/>
    <w:rsid w:val="2EFDF86C"/>
    <w:rsid w:val="2F9D17E1"/>
    <w:rsid w:val="30B46D73"/>
    <w:rsid w:val="319F7F4E"/>
    <w:rsid w:val="33A855B9"/>
    <w:rsid w:val="34711E4F"/>
    <w:rsid w:val="3502780C"/>
    <w:rsid w:val="356A28F1"/>
    <w:rsid w:val="357C035A"/>
    <w:rsid w:val="368E000D"/>
    <w:rsid w:val="383D272C"/>
    <w:rsid w:val="39AE70AB"/>
    <w:rsid w:val="3A4DCE41"/>
    <w:rsid w:val="3BCB56FA"/>
    <w:rsid w:val="3C0C0783"/>
    <w:rsid w:val="3C2D3203"/>
    <w:rsid w:val="3C601127"/>
    <w:rsid w:val="3EE7C2F4"/>
    <w:rsid w:val="3F371B56"/>
    <w:rsid w:val="3F792ED8"/>
    <w:rsid w:val="3F9F3A96"/>
    <w:rsid w:val="3FECA4B2"/>
    <w:rsid w:val="3FF58C48"/>
    <w:rsid w:val="42FF6694"/>
    <w:rsid w:val="45E1035A"/>
    <w:rsid w:val="4781006E"/>
    <w:rsid w:val="4816766C"/>
    <w:rsid w:val="48BF60AB"/>
    <w:rsid w:val="493C27E9"/>
    <w:rsid w:val="496F39ED"/>
    <w:rsid w:val="49FF41D3"/>
    <w:rsid w:val="4BE068DB"/>
    <w:rsid w:val="4BF6002B"/>
    <w:rsid w:val="4BFFC6BE"/>
    <w:rsid w:val="4DB95793"/>
    <w:rsid w:val="4ECE2238"/>
    <w:rsid w:val="512200B2"/>
    <w:rsid w:val="51DB4B86"/>
    <w:rsid w:val="51F64DB0"/>
    <w:rsid w:val="54C55B73"/>
    <w:rsid w:val="552A1F27"/>
    <w:rsid w:val="55333C3E"/>
    <w:rsid w:val="5A0E1D6B"/>
    <w:rsid w:val="5A311C0D"/>
    <w:rsid w:val="5AF60D53"/>
    <w:rsid w:val="5C4515B6"/>
    <w:rsid w:val="5CAD362D"/>
    <w:rsid w:val="5E432F68"/>
    <w:rsid w:val="5E930A90"/>
    <w:rsid w:val="5F5E109E"/>
    <w:rsid w:val="5F67802D"/>
    <w:rsid w:val="5F7DC4F2"/>
    <w:rsid w:val="5FB36814"/>
    <w:rsid w:val="5FBB8E56"/>
    <w:rsid w:val="5FFB5535"/>
    <w:rsid w:val="60557590"/>
    <w:rsid w:val="64CA39A1"/>
    <w:rsid w:val="6509259D"/>
    <w:rsid w:val="655D5954"/>
    <w:rsid w:val="659118B3"/>
    <w:rsid w:val="68880F3A"/>
    <w:rsid w:val="69630ADE"/>
    <w:rsid w:val="69BD5F13"/>
    <w:rsid w:val="69FB0B4B"/>
    <w:rsid w:val="6BFFE1FB"/>
    <w:rsid w:val="6C4A05C8"/>
    <w:rsid w:val="6D3B1A89"/>
    <w:rsid w:val="6DB7D8A3"/>
    <w:rsid w:val="6EC78701"/>
    <w:rsid w:val="6F050F66"/>
    <w:rsid w:val="6F7A5481"/>
    <w:rsid w:val="6FFE07A9"/>
    <w:rsid w:val="71793B16"/>
    <w:rsid w:val="71BF4EC2"/>
    <w:rsid w:val="72734D90"/>
    <w:rsid w:val="73E75B71"/>
    <w:rsid w:val="7412278C"/>
    <w:rsid w:val="751029E3"/>
    <w:rsid w:val="75644ADD"/>
    <w:rsid w:val="75DDCDA9"/>
    <w:rsid w:val="75FF44B1"/>
    <w:rsid w:val="77670518"/>
    <w:rsid w:val="777FA627"/>
    <w:rsid w:val="77DF1B5F"/>
    <w:rsid w:val="77EF2D9D"/>
    <w:rsid w:val="79E7B28D"/>
    <w:rsid w:val="7A8105BA"/>
    <w:rsid w:val="7ACFF0C2"/>
    <w:rsid w:val="7AE4268A"/>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99"/>
    <w:pPr>
      <w:ind w:left="2940"/>
    </w:pPr>
  </w:style>
  <w:style w:type="paragraph" w:styleId="6">
    <w:name w:val="Body Text"/>
    <w:basedOn w:val="1"/>
    <w:link w:val="29"/>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endnote text"/>
    <w:basedOn w:val="1"/>
    <w:unhideWhenUsed/>
    <w:qFormat/>
    <w:uiPriority w:val="99"/>
    <w:pPr>
      <w:snapToGrid w:val="0"/>
      <w:jc w:val="left"/>
    </w:pPr>
  </w:style>
  <w:style w:type="paragraph" w:styleId="10">
    <w:name w:val="Balloon Text"/>
    <w:basedOn w:val="1"/>
    <w:link w:val="35"/>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Body Text First Indent"/>
    <w:basedOn w:val="6"/>
    <w:unhideWhenUsed/>
    <w:qFormat/>
    <w:uiPriority w:val="0"/>
    <w:pPr>
      <w:ind w:firstLine="420" w:firstLineChars="100"/>
    </w:pPr>
    <w:rPr>
      <w:rFonts w:ascii="Times New Roman" w:hAnsi="Times New Roman"/>
      <w:szCs w:val="24"/>
    </w:rPr>
  </w:style>
  <w:style w:type="paragraph" w:styleId="17">
    <w:name w:val="Body Text First Indent 2"/>
    <w:basedOn w:val="7"/>
    <w:unhideWhenUsed/>
    <w:qFormat/>
    <w:uiPriority w:val="99"/>
    <w:pPr>
      <w:ind w:firstLine="420" w:firstLineChars="200"/>
    </w:pPr>
  </w:style>
  <w:style w:type="character" w:styleId="20">
    <w:name w:val="Strong"/>
    <w:basedOn w:val="19"/>
    <w:qFormat/>
    <w:uiPriority w:val="99"/>
    <w:rPr>
      <w:b/>
    </w:rPr>
  </w:style>
  <w:style w:type="character" w:styleId="21">
    <w:name w:val="endnote reference"/>
    <w:basedOn w:val="19"/>
    <w:semiHidden/>
    <w:unhideWhenUsed/>
    <w:qFormat/>
    <w:uiPriority w:val="99"/>
    <w:rPr>
      <w:vertAlign w:val="superscript"/>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9"/>
    <w:semiHidden/>
    <w:qFormat/>
    <w:uiPriority w:val="99"/>
    <w:rPr>
      <w:rFonts w:ascii="Times New Roman" w:hAnsi="Times New Roman"/>
      <w:sz w:val="18"/>
      <w:szCs w:val="18"/>
    </w:rPr>
  </w:style>
  <w:style w:type="character" w:customStyle="1" w:styleId="25">
    <w:name w:val="页眉 字符"/>
    <w:link w:val="12"/>
    <w:semiHidden/>
    <w:qFormat/>
    <w:locked/>
    <w:uiPriority w:val="99"/>
    <w:rPr>
      <w:sz w:val="18"/>
    </w:rPr>
  </w:style>
  <w:style w:type="character" w:customStyle="1" w:styleId="26">
    <w:name w:val="Footer Char"/>
    <w:basedOn w:val="19"/>
    <w:semiHidden/>
    <w:qFormat/>
    <w:uiPriority w:val="99"/>
    <w:rPr>
      <w:rFonts w:ascii="Times New Roman" w:hAnsi="Times New Roman"/>
      <w:sz w:val="18"/>
      <w:szCs w:val="18"/>
    </w:rPr>
  </w:style>
  <w:style w:type="character" w:customStyle="1" w:styleId="27">
    <w:name w:val="页脚 字符"/>
    <w:link w:val="11"/>
    <w:qFormat/>
    <w:locked/>
    <w:uiPriority w:val="99"/>
    <w:rPr>
      <w:sz w:val="18"/>
    </w:rPr>
  </w:style>
  <w:style w:type="character" w:customStyle="1" w:styleId="28">
    <w:name w:val="Body Text Char"/>
    <w:basedOn w:val="19"/>
    <w:semiHidden/>
    <w:qFormat/>
    <w:uiPriority w:val="99"/>
    <w:rPr>
      <w:rFonts w:ascii="Times New Roman" w:hAnsi="Times New Roman"/>
      <w:szCs w:val="24"/>
    </w:rPr>
  </w:style>
  <w:style w:type="character" w:customStyle="1" w:styleId="29">
    <w:name w:val="正文文本 字符"/>
    <w:link w:val="6"/>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字符"/>
    <w:basedOn w:val="19"/>
    <w:link w:val="2"/>
    <w:qFormat/>
    <w:uiPriority w:val="9"/>
    <w:rPr>
      <w:rFonts w:ascii="Times New Roman" w:hAnsi="Times New Roman"/>
      <w:b/>
      <w:bCs/>
      <w:kern w:val="44"/>
      <w:sz w:val="44"/>
      <w:szCs w:val="44"/>
    </w:rPr>
  </w:style>
  <w:style w:type="character" w:customStyle="1" w:styleId="33">
    <w:name w:val="标题 2 字符"/>
    <w:basedOn w:val="19"/>
    <w:link w:val="3"/>
    <w:qFormat/>
    <w:uiPriority w:val="9"/>
    <w:rPr>
      <w:rFonts w:asciiTheme="majorHAnsi" w:hAnsiTheme="majorHAnsi" w:eastAsiaTheme="majorEastAsia" w:cstheme="majorBidi"/>
      <w:b/>
      <w:bCs/>
      <w:kern w:val="2"/>
      <w:sz w:val="32"/>
      <w:szCs w:val="32"/>
    </w:rPr>
  </w:style>
  <w:style w:type="paragraph" w:customStyle="1" w:styleId="3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字符"/>
    <w:basedOn w:val="19"/>
    <w:link w:val="10"/>
    <w:semiHidden/>
    <w:qFormat/>
    <w:uiPriority w:val="99"/>
    <w:rPr>
      <w:rFonts w:ascii="Times New Roman" w:hAnsi="Times New Roman"/>
      <w:kern w:val="2"/>
      <w:sz w:val="18"/>
      <w:szCs w:val="18"/>
    </w:rPr>
  </w:style>
  <w:style w:type="character" w:customStyle="1" w:styleId="36">
    <w:name w:val="标题 3 字符"/>
    <w:basedOn w:val="19"/>
    <w:link w:val="4"/>
    <w:qFormat/>
    <w:uiPriority w:val="9"/>
    <w:rPr>
      <w:rFonts w:ascii="Times New Roman" w:hAnsi="Times New Roman"/>
      <w:b/>
      <w:bCs/>
      <w:kern w:val="2"/>
      <w:sz w:val="32"/>
      <w:szCs w:val="32"/>
    </w:rPr>
  </w:style>
  <w:style w:type="paragraph" w:customStyle="1" w:styleId="37">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41">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824.71</c:v>
                </c:pt>
                <c:pt idx="1">
                  <c:v>1377.69</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e00139d-08cf-4ab0-a3bc-ae45ed91a69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[工作簿1]Sheet1!$A$1:$B$1</c:f>
              <c:strCache>
                <c:ptCount val="2"/>
                <c:pt idx="0">
                  <c:v>一般公共预算财政拨款收入</c:v>
                </c:pt>
                <c:pt idx="1">
                  <c:v>其他收入</c:v>
                </c:pt>
              </c:strCache>
            </c:strRef>
          </c:cat>
          <c:val>
            <c:numRef>
              <c:f>[工作簿1]Sheet1!$A$2:$B$2</c:f>
              <c:numCache>
                <c:formatCode>General</c:formatCode>
                <c:ptCount val="2"/>
                <c:pt idx="0">
                  <c:v>845.152089</c:v>
                </c:pt>
                <c:pt idx="1">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e7b1bad-6ab6-41e0-a68b-de1603b6ba9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[工作簿1]Sheet5!$G$6:$G$7</c:f>
              <c:strCache>
                <c:ptCount val="2"/>
                <c:pt idx="0">
                  <c:v>基本支出</c:v>
                </c:pt>
                <c:pt idx="1">
                  <c:v>项目支出</c:v>
                </c:pt>
              </c:strCache>
            </c:strRef>
          </c:cat>
          <c:val>
            <c:numRef>
              <c:f>[工作簿1]Sheet5!$H$6:$H$7</c:f>
              <c:numCache>
                <c:formatCode>General</c:formatCode>
                <c:ptCount val="2"/>
                <c:pt idx="0">
                  <c:v>423.64</c:v>
                </c:pt>
                <c:pt idx="1">
                  <c:v>953.96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dcc4e23-2973-4314-bdf8-bd834902548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824.63</c:v>
                </c:pt>
                <c:pt idx="1">
                  <c:v>1377.59</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ad35598-9326-48dd-ac96-bd12e378af5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824.63</c:v>
                </c:pt>
                <c:pt idx="1">
                  <c:v>1377.59</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18ccab2-69fb-4d77-91f7-fa7039a5b64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elete val="1"/>
          </c:dLbls>
          <c:cat>
            <c:strRef>
              <c:f>[工作簿1]Sheet2!$E$10:$E$16</c:f>
              <c:strCache>
                <c:ptCount val="7"/>
                <c:pt idx="0">
                  <c:v>社会保障和就业支出</c:v>
                </c:pt>
                <c:pt idx="1">
                  <c:v>卫生健康支出</c:v>
                </c:pt>
                <c:pt idx="2">
                  <c:v>灾害防治及应急管理支出</c:v>
                </c:pt>
                <c:pt idx="4">
                  <c:v>住房保障支出</c:v>
                </c:pt>
                <c:pt idx="6">
                  <c:v>农林水支出</c:v>
                </c:pt>
              </c:strCache>
            </c:strRef>
          </c:cat>
          <c:val>
            <c:numRef>
              <c:f>[工作簿1]Sheet2!$F$10:$F$16</c:f>
              <c:numCache>
                <c:formatCode>General</c:formatCode>
                <c:ptCount val="7"/>
                <c:pt idx="0">
                  <c:v>101.05</c:v>
                </c:pt>
                <c:pt idx="1">
                  <c:v>10.47</c:v>
                </c:pt>
                <c:pt idx="2" c:formatCode="#,##0.00">
                  <c:v>1236.63</c:v>
                </c:pt>
                <c:pt idx="4">
                  <c:v>28</c:v>
                </c:pt>
                <c:pt idx="6">
                  <c:v>1.44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b4407fa-0ce6-41a5-a346-d6900e1ef5f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[工作簿1]Sheet4!$A$1:$A$3</c:f>
              <c:strCache>
                <c:ptCount val="3"/>
                <c:pt idx="0">
                  <c:v>公务接待费支出</c:v>
                </c:pt>
                <c:pt idx="1">
                  <c:v>公务用车购置及运行维护费</c:v>
                </c:pt>
                <c:pt idx="2">
                  <c:v>因公出国（境）费</c:v>
                </c:pt>
              </c:strCache>
            </c:strRef>
          </c:cat>
          <c:val>
            <c:numRef>
              <c:f>[工作簿1]Sheet4!$B$1:$B$3</c:f>
              <c:numCache>
                <c:formatCode>General</c:formatCode>
                <c:ptCount val="3"/>
                <c:pt idx="0">
                  <c:v>1.45</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d41b85a-c37d-4f0c-bbe1-add359e7c57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47</Pages>
  <Words>1819</Words>
  <Characters>1886</Characters>
  <Lines>54</Lines>
  <Paragraphs>15</Paragraphs>
  <TotalTime>16</TotalTime>
  <ScaleCrop>false</ScaleCrop>
  <LinksUpToDate>false</LinksUpToDate>
  <CharactersWithSpaces>1927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李林娟</cp:lastModifiedBy>
  <cp:lastPrinted>2023-08-03T02:35:00Z</cp:lastPrinted>
  <dcterms:modified xsi:type="dcterms:W3CDTF">2025-09-24T08:46:46Z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9FA98343D9DC4BF087AAE3EFA58EB3EC_13</vt:lpwstr>
  </property>
  <property fmtid="{D5CDD505-2E9C-101B-9397-08002B2CF9AE}" pid="4" name="KSOTemplateDocerSaveRecord">
    <vt:lpwstr>eyJoZGlkIjoiNmJjY2EzN2FkNjY5OGZmMzg0ZWY0N2Q2ZjQzMjBlZDUiLCJ1c2VySWQiOiIxNDg0MjEwOTI2In0=</vt:lpwstr>
  </property>
</Properties>
</file>