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rPr>
      </w:pPr>
      <w:bookmarkStart w:id="0" w:name="_Toc15377193"/>
      <w:bookmarkStart w:id="1" w:name="_Toc15306267"/>
      <w:bookmarkStart w:id="2" w:name="_Toc15378441"/>
      <w:bookmarkStart w:id="3" w:name="_Toc15396475"/>
      <w:bookmarkStart w:id="4" w:name="_Toc15396597"/>
      <w:bookmarkStart w:id="5" w:name="_Toc15377425"/>
    </w:p>
    <w:bookmarkEnd w:id="0"/>
    <w:bookmarkEnd w:id="1"/>
    <w:bookmarkEnd w:id="2"/>
    <w:bookmarkEnd w:id="3"/>
    <w:bookmarkEnd w:id="4"/>
    <w:bookmarkEnd w:id="5"/>
    <w:p>
      <w:pPr>
        <w:pStyle w:val="8"/>
        <w:jc w:val="both"/>
        <w:rPr>
          <w:rFonts w:hint="eastAsia" w:ascii="方正小标宋简体" w:hAnsi="宋体" w:eastAsia="方正小标宋简体" w:cs="Times New Roman"/>
          <w:color w:val="auto"/>
          <w:kern w:val="2"/>
          <w:sz w:val="44"/>
          <w:szCs w:val="44"/>
          <w:highlight w:val="none"/>
          <w:lang w:val="en-US" w:eastAsia="zh-CN" w:bidi="ar-SA"/>
        </w:rPr>
      </w:pPr>
    </w:p>
    <w:p>
      <w:pPr>
        <w:pStyle w:val="8"/>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2024年度</w:t>
      </w:r>
      <w:bookmarkStart w:id="6" w:name="_Toc15378442"/>
      <w:bookmarkStart w:id="7" w:name="_Toc15377194"/>
      <w:bookmarkStart w:id="8" w:name="_Toc15396476"/>
      <w:bookmarkStart w:id="9" w:name="_Toc15396598"/>
      <w:bookmarkStart w:id="10" w:name="_Toc15377426"/>
    </w:p>
    <w:p>
      <w:pPr>
        <w:snapToGrid w:val="0"/>
        <w:ind w:firstLine="2200" w:firstLineChars="500"/>
        <w:jc w:val="both"/>
        <w:rPr>
          <w:rFonts w:hint="eastAsia" w:ascii="华文中宋" w:hAnsi="华文中宋" w:eastAsia="华文中宋"/>
          <w:sz w:val="36"/>
          <w:szCs w:val="36"/>
          <w:highlight w:val="none"/>
          <w:lang w:eastAsia="zh-CN"/>
        </w:rPr>
      </w:pPr>
      <w:r>
        <w:rPr>
          <w:rFonts w:hint="eastAsia" w:ascii="方正小标宋简体" w:hAnsi="宋体" w:eastAsia="方正小标宋简体" w:cs="Times New Roman"/>
          <w:color w:val="auto"/>
          <w:kern w:val="2"/>
          <w:sz w:val="44"/>
          <w:szCs w:val="44"/>
          <w:highlight w:val="none"/>
          <w:lang w:val="en-US" w:eastAsia="zh-CN" w:bidi="ar-SA"/>
        </w:rPr>
        <w:t>乐山市</w:t>
      </w:r>
      <w:bookmarkStart w:id="11" w:name="_Toc15306268"/>
      <w:r>
        <w:rPr>
          <w:rFonts w:hint="eastAsia" w:ascii="方正小标宋简体" w:hAnsi="宋体" w:eastAsia="方正小标宋简体" w:cs="Times New Roman"/>
          <w:color w:val="auto"/>
          <w:kern w:val="2"/>
          <w:sz w:val="44"/>
          <w:szCs w:val="44"/>
          <w:highlight w:val="none"/>
          <w:lang w:val="en-US" w:eastAsia="zh-CN" w:bidi="ar-SA"/>
        </w:rPr>
        <w:t>金口河区供销合作社</w:t>
      </w:r>
    </w:p>
    <w:p>
      <w:pPr>
        <w:pStyle w:val="8"/>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部门决算</w:t>
      </w:r>
      <w:bookmarkEnd w:id="6"/>
      <w:bookmarkEnd w:id="7"/>
      <w:bookmarkEnd w:id="8"/>
      <w:bookmarkEnd w:id="9"/>
      <w:bookmarkEnd w:id="10"/>
      <w:bookmarkEnd w:id="11"/>
    </w:p>
    <w:p>
      <w:pPr>
        <w:rPr>
          <w:rFonts w:hint="eastAsia"/>
          <w:lang w:val="en-US" w:eastAsia="zh-CN"/>
        </w:rPr>
      </w:pPr>
    </w:p>
    <w:p>
      <w:pPr>
        <w:widowControl/>
        <w:jc w:val="center"/>
        <w:rPr>
          <w:rFonts w:ascii="Times New Roman" w:hAnsi="Times New Roman" w:eastAsia="方正小标宋简体"/>
          <w:color w:val="auto"/>
          <w:sz w:val="36"/>
          <w:szCs w:val="36"/>
          <w:highlight w:val="none"/>
        </w:rPr>
      </w:pPr>
      <w:r>
        <w:rPr>
          <w:rFonts w:ascii="Times New Roman" w:hAnsi="Times New Roman" w:eastAsia="方正小标宋简体"/>
          <w:color w:val="auto"/>
          <w:sz w:val="36"/>
          <w:szCs w:val="36"/>
          <w:highlight w:val="none"/>
        </w:rPr>
        <w:br w:type="page"/>
      </w:r>
    </w:p>
    <w:p>
      <w:pPr>
        <w:widowControl/>
        <w:jc w:val="center"/>
        <w:rPr>
          <w:rFonts w:ascii="Times New Roman" w:hAnsi="Times New Roman" w:eastAsia="黑体" w:cstheme="minorBidi"/>
          <w:color w:val="auto"/>
          <w:sz w:val="28"/>
          <w:szCs w:val="28"/>
          <w:highlight w:val="none"/>
        </w:rPr>
      </w:pPr>
      <w:r>
        <w:rPr>
          <w:rFonts w:hint="eastAsia" w:ascii="Times New Roman" w:hAnsi="Times New Roman" w:eastAsia="黑体"/>
          <w:color w:val="auto"/>
          <w:sz w:val="48"/>
          <w:szCs w:val="48"/>
          <w:highlight w:val="none"/>
        </w:rPr>
        <w:t>目录</w:t>
      </w:r>
    </w:p>
    <w:p>
      <w:pPr>
        <w:pStyle w:val="14"/>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9</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24</w:t>
      </w:r>
      <w:r>
        <w:rPr>
          <w:rFonts w:hint="eastAsia" w:ascii="Times New Roman" w:hAnsi="Times New Roman" w:eastAsia="仿宋_GB2312" w:cs="仿宋_GB2312"/>
          <w:color w:val="auto"/>
          <w:sz w:val="32"/>
          <w:szCs w:val="32"/>
          <w:highlight w:val="none"/>
        </w:rPr>
        <w:t>日</w:t>
      </w:r>
    </w:p>
    <w:p>
      <w:pPr>
        <w:rPr>
          <w:rFonts w:ascii="Times New Roman" w:hAnsi="Times New Roman"/>
          <w:color w:val="auto"/>
          <w:highlight w:val="none"/>
        </w:rPr>
      </w:pPr>
    </w:p>
    <w:p>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第一部分 部门概况</w:t>
      </w:r>
    </w:p>
    <w:p>
      <w:pPr>
        <w:pStyle w:val="15"/>
        <w:adjustRightInd w:val="0"/>
        <w:snapToGrid w:val="0"/>
        <w:spacing w:line="440" w:lineRule="exact"/>
        <w:jc w:val="left"/>
        <w:rPr>
          <w:rFonts w:hint="eastAsia" w:ascii="仿宋_GB2312" w:hAnsi="仿宋_GB2312" w:eastAsia="仿宋_GB2312" w:cs="仿宋_GB2312"/>
          <w:sz w:val="28"/>
          <w:szCs w:val="28"/>
          <w:lang w:val="en-US" w:eastAsia="zh-CN"/>
        </w:rPr>
      </w:pPr>
      <w:r>
        <w:rPr>
          <w:rFonts w:hint="eastAsia"/>
          <w:color w:val="auto"/>
          <w:sz w:val="24"/>
          <w:highlight w:val="none"/>
        </w:rPr>
        <w:t>一、</w:t>
      </w:r>
      <w:r>
        <w:rPr>
          <w:rFonts w:hint="eastAsia"/>
          <w:color w:val="auto"/>
          <w:sz w:val="24"/>
          <w:highlight w:val="none"/>
          <w:lang w:eastAsia="zh-CN"/>
        </w:rPr>
        <w:t>主要职责</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4</w:t>
      </w:r>
    </w:p>
    <w:p>
      <w:pPr>
        <w:pStyle w:val="15"/>
        <w:adjustRightInd w:val="0"/>
        <w:snapToGrid w:val="0"/>
        <w:spacing w:line="440" w:lineRule="exact"/>
        <w:jc w:val="left"/>
        <w:rPr>
          <w:rFonts w:hint="eastAsia" w:ascii="Times New Roman" w:hAnsi="Times New Roman" w:eastAsia="仿宋_GB2312" w:cs="仿宋_GB2312"/>
          <w:color w:val="auto"/>
          <w:sz w:val="32"/>
          <w:szCs w:val="32"/>
          <w:highlight w:val="none"/>
        </w:rPr>
      </w:pPr>
      <w:r>
        <w:rPr>
          <w:rFonts w:hint="eastAsia"/>
          <w:color w:val="auto"/>
          <w:sz w:val="24"/>
          <w:highlight w:val="none"/>
          <w:lang w:eastAsia="zh-CN"/>
        </w:rPr>
        <w:t>二</w:t>
      </w:r>
      <w:r>
        <w:rPr>
          <w:rFonts w:hint="eastAsia"/>
          <w:color w:val="auto"/>
          <w:sz w:val="24"/>
          <w:highlight w:val="none"/>
        </w:rPr>
        <w:t>、</w:t>
      </w:r>
      <w:r>
        <w:rPr>
          <w:rFonts w:hint="eastAsia"/>
          <w:color w:val="auto"/>
          <w:sz w:val="24"/>
          <w:highlight w:val="none"/>
          <w:lang w:eastAsia="zh-CN"/>
        </w:rPr>
        <w:t>机构设置</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4</w:t>
      </w:r>
    </w:p>
    <w:p>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p>
    <w:p>
      <w:pPr>
        <w:pStyle w:val="15"/>
        <w:adjustRightInd w:val="0"/>
        <w:snapToGrid w:val="0"/>
        <w:spacing w:line="440" w:lineRule="exact"/>
        <w:jc w:val="left"/>
        <w:rPr>
          <w:rFonts w:hint="eastAsia" w:ascii="仿宋" w:hAnsi="仿宋" w:eastAsia="仿宋_GB2312" w:cs="Times New Roman"/>
          <w:color w:val="auto"/>
          <w:sz w:val="24"/>
          <w:highlight w:val="none"/>
          <w:lang w:val="en-US" w:eastAsia="zh-CN"/>
        </w:rPr>
      </w:pPr>
      <w:r>
        <w:rPr>
          <w:rFonts w:hint="eastAsia"/>
          <w:color w:val="auto"/>
          <w:sz w:val="24"/>
          <w:highlight w:val="none"/>
        </w:rPr>
        <w:t>一、收入支出决算总体情况说明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5</w:t>
      </w:r>
    </w:p>
    <w:p>
      <w:pPr>
        <w:pStyle w:val="15"/>
        <w:adjustRightInd w:val="0"/>
        <w:snapToGrid w:val="0"/>
        <w:spacing w:line="440" w:lineRule="exact"/>
        <w:jc w:val="left"/>
        <w:rPr>
          <w:rFonts w:hint="default" w:ascii="仿宋" w:hAnsi="仿宋" w:eastAsia="仿宋_GB2312" w:cs="Times New Roman"/>
          <w:color w:val="auto"/>
          <w:sz w:val="24"/>
          <w:highlight w:val="none"/>
          <w:lang w:val="en-US" w:eastAsia="zh-CN"/>
        </w:rPr>
      </w:pPr>
      <w:r>
        <w:rPr>
          <w:rFonts w:hint="eastAsia"/>
          <w:color w:val="auto"/>
          <w:sz w:val="24"/>
          <w:highlight w:val="none"/>
        </w:rPr>
        <w:t>二、收入决算情况说明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5-6</w:t>
      </w:r>
    </w:p>
    <w:p>
      <w:pPr>
        <w:pStyle w:val="15"/>
        <w:adjustRightInd w:val="0"/>
        <w:snapToGrid w:val="0"/>
        <w:spacing w:line="440" w:lineRule="exact"/>
        <w:jc w:val="left"/>
        <w:rPr>
          <w:rFonts w:hint="default" w:ascii="仿宋" w:hAnsi="仿宋" w:eastAsia="仿宋_GB2312" w:cs="Times New Roman"/>
          <w:color w:val="auto"/>
          <w:sz w:val="24"/>
          <w:highlight w:val="none"/>
          <w:lang w:val="en-US" w:eastAsia="zh-CN"/>
        </w:rPr>
      </w:pPr>
      <w:r>
        <w:rPr>
          <w:rFonts w:hint="eastAsia"/>
          <w:color w:val="auto"/>
          <w:sz w:val="24"/>
          <w:highlight w:val="none"/>
        </w:rPr>
        <w:t>三、支出决算情况说明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6-7</w:t>
      </w:r>
    </w:p>
    <w:p>
      <w:pPr>
        <w:pStyle w:val="15"/>
        <w:adjustRightInd w:val="0"/>
        <w:snapToGrid w:val="0"/>
        <w:spacing w:line="440" w:lineRule="exact"/>
        <w:jc w:val="left"/>
        <w:rPr>
          <w:rFonts w:hint="default" w:ascii="仿宋" w:hAnsi="仿宋" w:eastAsia="仿宋_GB2312" w:cs="Times New Roman"/>
          <w:color w:val="auto"/>
          <w:sz w:val="24"/>
          <w:highlight w:val="none"/>
          <w:lang w:val="en-US" w:eastAsia="zh-CN"/>
        </w:rPr>
      </w:pPr>
      <w:r>
        <w:rPr>
          <w:rFonts w:hint="eastAsia"/>
          <w:color w:val="auto"/>
          <w:sz w:val="24"/>
          <w:highlight w:val="none"/>
        </w:rPr>
        <w:t>四、财政拨款收入支出决算总体情况说明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7-8</w:t>
      </w:r>
    </w:p>
    <w:p>
      <w:pPr>
        <w:pStyle w:val="15"/>
        <w:adjustRightInd w:val="0"/>
        <w:snapToGrid w:val="0"/>
        <w:spacing w:line="440" w:lineRule="exact"/>
        <w:jc w:val="left"/>
        <w:rPr>
          <w:rFonts w:hint="default" w:ascii="仿宋" w:hAnsi="仿宋" w:eastAsia="仿宋_GB2312" w:cs="Times New Roman"/>
          <w:color w:val="auto"/>
          <w:sz w:val="24"/>
          <w:highlight w:val="none"/>
          <w:lang w:val="en-US" w:eastAsia="zh-CN"/>
        </w:rPr>
      </w:pPr>
      <w:r>
        <w:rPr>
          <w:rFonts w:hint="eastAsia"/>
          <w:color w:val="auto"/>
          <w:sz w:val="24"/>
          <w:highlight w:val="none"/>
        </w:rPr>
        <w:t>五、一般公共预算财政拨款支出决算情况说明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8-11</w:t>
      </w:r>
    </w:p>
    <w:p>
      <w:pPr>
        <w:pStyle w:val="15"/>
        <w:adjustRightInd w:val="0"/>
        <w:snapToGrid w:val="0"/>
        <w:spacing w:line="440" w:lineRule="exact"/>
        <w:jc w:val="left"/>
        <w:rPr>
          <w:rFonts w:hint="default" w:ascii="仿宋" w:hAnsi="仿宋" w:eastAsia="仿宋_GB2312" w:cs="Times New Roman"/>
          <w:color w:val="auto"/>
          <w:sz w:val="24"/>
          <w:highlight w:val="none"/>
          <w:lang w:val="en-US" w:eastAsia="zh-CN"/>
        </w:rPr>
      </w:pPr>
      <w:r>
        <w:rPr>
          <w:rFonts w:hint="eastAsia"/>
          <w:color w:val="auto"/>
          <w:sz w:val="24"/>
          <w:highlight w:val="none"/>
        </w:rPr>
        <w:t>六、一般公共预算财政拨款基本支出决算情况说明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11-12</w:t>
      </w:r>
    </w:p>
    <w:p>
      <w:pPr>
        <w:pStyle w:val="15"/>
        <w:adjustRightInd w:val="0"/>
        <w:snapToGrid w:val="0"/>
        <w:spacing w:line="440" w:lineRule="exact"/>
        <w:jc w:val="left"/>
        <w:rPr>
          <w:rFonts w:hint="default" w:ascii="仿宋" w:hAnsi="仿宋" w:eastAsia="仿宋_GB2312" w:cs="Times New Roman"/>
          <w:color w:val="auto"/>
          <w:sz w:val="24"/>
          <w:highlight w:val="none"/>
          <w:lang w:val="en-US" w:eastAsia="zh-CN"/>
        </w:rPr>
      </w:pPr>
      <w:r>
        <w:rPr>
          <w:rFonts w:hint="eastAsia"/>
          <w:color w:val="auto"/>
          <w:sz w:val="24"/>
          <w:highlight w:val="none"/>
        </w:rPr>
        <w:t>七、财政拨款</w:t>
      </w:r>
      <w:r>
        <w:rPr>
          <w:rFonts w:hint="eastAsia"/>
          <w:color w:val="auto"/>
          <w:sz w:val="24"/>
          <w:highlight w:val="none"/>
          <w:lang w:eastAsia="zh-CN"/>
        </w:rPr>
        <w:t>“</w:t>
      </w:r>
      <w:r>
        <w:rPr>
          <w:rFonts w:hint="eastAsia"/>
          <w:color w:val="auto"/>
          <w:sz w:val="24"/>
          <w:highlight w:val="none"/>
        </w:rPr>
        <w:t>三公”经费支出决算情况说明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12-14</w:t>
      </w:r>
    </w:p>
    <w:p>
      <w:pPr>
        <w:pStyle w:val="15"/>
        <w:adjustRightInd w:val="0"/>
        <w:snapToGrid w:val="0"/>
        <w:spacing w:line="440" w:lineRule="exact"/>
        <w:jc w:val="left"/>
        <w:rPr>
          <w:rFonts w:hint="default"/>
          <w:lang w:val="en-US" w:eastAsia="zh-CN"/>
        </w:rPr>
      </w:pPr>
      <w:r>
        <w:rPr>
          <w:rFonts w:hint="eastAsia"/>
          <w:color w:val="auto"/>
          <w:sz w:val="24"/>
          <w:highlight w:val="none"/>
        </w:rPr>
        <w:t>八、政府性基金预算支出决算情况说明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14</w:t>
      </w:r>
    </w:p>
    <w:p>
      <w:pPr>
        <w:pStyle w:val="15"/>
        <w:adjustRightInd w:val="0"/>
        <w:snapToGrid w:val="0"/>
        <w:spacing w:line="440" w:lineRule="exact"/>
        <w:jc w:val="left"/>
        <w:rPr>
          <w:rFonts w:hint="default" w:eastAsia="仿宋_GB2312"/>
          <w:color w:val="auto"/>
          <w:sz w:val="24"/>
          <w:highlight w:val="none"/>
          <w:lang w:val="en-US" w:eastAsia="zh-CN"/>
        </w:rPr>
      </w:pPr>
      <w:r>
        <w:rPr>
          <w:rFonts w:hint="eastAsia"/>
          <w:color w:val="auto"/>
          <w:sz w:val="24"/>
          <w:highlight w:val="none"/>
        </w:rPr>
        <w:t>九、国有资本经营预算支出决算情况说明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14</w:t>
      </w:r>
    </w:p>
    <w:p>
      <w:pPr>
        <w:pStyle w:val="15"/>
        <w:adjustRightInd w:val="0"/>
        <w:snapToGrid w:val="0"/>
        <w:spacing w:line="440" w:lineRule="exact"/>
        <w:jc w:val="left"/>
        <w:rPr>
          <w:rFonts w:hint="default" w:eastAsia="仿宋_GB2312"/>
          <w:color w:val="auto"/>
          <w:sz w:val="24"/>
          <w:highlight w:val="none"/>
          <w:lang w:val="en-US" w:eastAsia="zh-CN"/>
        </w:rPr>
      </w:pPr>
      <w:r>
        <w:rPr>
          <w:rFonts w:hint="eastAsia"/>
          <w:color w:val="auto"/>
          <w:sz w:val="24"/>
          <w:highlight w:val="none"/>
        </w:rPr>
        <w:t>十、其他重要事项的情况说明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14-15</w:t>
      </w:r>
    </w:p>
    <w:p>
      <w:pPr>
        <w:pStyle w:val="14"/>
        <w:adjustRightInd w:val="0"/>
        <w:snapToGrid w:val="0"/>
        <w:spacing w:before="0" w:line="440" w:lineRule="exact"/>
        <w:jc w:val="left"/>
        <w:rPr>
          <w:rFonts w:hint="default" w:eastAsia="仿宋_GB2312" w:cs="Times New Roman"/>
          <w:color w:val="auto"/>
          <w:sz w:val="24"/>
          <w:szCs w:val="24"/>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16-21</w:t>
      </w:r>
    </w:p>
    <w:p>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仿宋_GB2312"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22-31</w:t>
      </w:r>
    </w:p>
    <w:p>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仿宋_GB2312"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32</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p>
    <w:p>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12" w:name="_Toc15377196"/>
      <w:bookmarkStart w:id="13" w:name="_Toc15396599"/>
      <w:r>
        <w:rPr>
          <w:rFonts w:hint="eastAsia" w:ascii="Times New Roman" w:hAnsi="Times New Roman" w:eastAsia="仿宋_GB2312" w:cs="仿宋_GB2312"/>
          <w:b/>
          <w:color w:val="auto"/>
          <w:sz w:val="32"/>
          <w:szCs w:val="32"/>
          <w:highlight w:val="none"/>
        </w:rPr>
        <w:br w:type="page"/>
      </w:r>
    </w:p>
    <w:p>
      <w:pPr>
        <w:pStyle w:val="5"/>
        <w:jc w:val="center"/>
        <w:rPr>
          <w:rFonts w:ascii="Times New Roman" w:hAnsi="Times New Roman" w:eastAsia="黑体"/>
          <w:color w:val="auto"/>
          <w:sz w:val="32"/>
          <w:szCs w:val="32"/>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9"/>
          <w:rFonts w:hint="eastAsia" w:ascii="Times New Roman" w:hAnsi="Times New Roman" w:eastAsia="方正小标宋简体" w:cs="方正小标宋简体"/>
          <w:b w:val="0"/>
          <w:bCs w:val="0"/>
          <w:color w:val="auto"/>
          <w:highlight w:val="none"/>
        </w:rPr>
        <w:t>部门概况</w:t>
      </w:r>
      <w:bookmarkEnd w:id="12"/>
      <w:bookmarkEnd w:id="13"/>
    </w:p>
    <w:p>
      <w:pPr>
        <w:pStyle w:val="6"/>
        <w:rPr>
          <w:rFonts w:hint="eastAsia" w:ascii="Times New Roman" w:hAnsi="Times New Roman" w:eastAsia="黑体"/>
          <w:b w:val="0"/>
          <w:color w:val="auto"/>
          <w:highlight w:val="none"/>
          <w:lang w:eastAsia="zh-CN"/>
        </w:rPr>
      </w:pPr>
      <w:bookmarkStart w:id="14" w:name="_Toc15396600"/>
      <w:bookmarkStart w:id="15" w:name="_Toc15377197"/>
      <w:r>
        <w:rPr>
          <w:rFonts w:hint="eastAsia" w:ascii="Times New Roman" w:hAnsi="Times New Roman" w:eastAsia="黑体"/>
          <w:b w:val="0"/>
          <w:color w:val="auto"/>
          <w:highlight w:val="none"/>
        </w:rPr>
        <w:t>一、</w:t>
      </w:r>
      <w:bookmarkEnd w:id="14"/>
      <w:bookmarkEnd w:id="15"/>
      <w:r>
        <w:rPr>
          <w:rFonts w:hint="eastAsia" w:ascii="Times New Roman" w:hAnsi="Times New Roman" w:eastAsia="黑体"/>
          <w:b w:val="0"/>
          <w:color w:val="auto"/>
          <w:highlight w:val="none"/>
          <w:lang w:eastAsia="zh-CN"/>
        </w:rPr>
        <w:t>部门职责</w:t>
      </w:r>
    </w:p>
    <w:p>
      <w:pPr>
        <w:numPr>
          <w:ilvl w:val="0"/>
          <w:numId w:val="0"/>
        </w:numPr>
        <w:spacing w:line="600" w:lineRule="exact"/>
        <w:ind w:firstLine="640" w:firstLineChars="200"/>
        <w:rPr>
          <w:rStyle w:val="36"/>
          <w:rFonts w:ascii="仿宋" w:hAnsi="仿宋" w:eastAsia="黑体"/>
          <w:b w:val="0"/>
          <w:bCs w:val="0"/>
        </w:rPr>
      </w:pPr>
      <w:bookmarkStart w:id="16" w:name="_Toc15396601"/>
      <w:bookmarkStart w:id="17" w:name="_Toc15377200"/>
      <w:r>
        <w:rPr>
          <w:rFonts w:hint="eastAsia" w:ascii="仿宋" w:hAnsi="仿宋" w:eastAsia="仿宋" w:cs="Times New Roman"/>
          <w:sz w:val="32"/>
          <w:szCs w:val="32"/>
        </w:rPr>
        <w:t>乐山市金口河区供销社属于参照公务员管理的事业单位，担负着全区供销合作社发展战略和规划的研究制定；参与组织发展农产品行业协会、农民专业合作社和农村综合服务社，构建面向专业合作社组织的服务平台；指导社有企业和基层供销社开展农业生产资料经营、农副产品购销、日用消费品经营和再生资源回收利用等现代服务网络建设，参与农业产业化经营和农业综合开发工作；受区政府委托，承担重要农业生产资料和防汛救灾物资等商品的储备；管理、监督本级社有资产，行使社有资产所有者代表的职能，确保资产保值增值等职能</w:t>
      </w:r>
      <w:r>
        <w:rPr>
          <w:rFonts w:hint="eastAsia" w:ascii="仿宋" w:hAnsi="仿宋" w:eastAsia="仿宋" w:cs="Times New Roman"/>
          <w:sz w:val="32"/>
          <w:szCs w:val="32"/>
          <w:lang w:eastAsia="zh-CN"/>
        </w:rPr>
        <w:t>。</w:t>
      </w:r>
    </w:p>
    <w:p>
      <w:pPr>
        <w:pStyle w:val="6"/>
        <w:rPr>
          <w:rStyle w:val="30"/>
          <w:rFonts w:ascii="Times New Roman" w:hAnsi="Times New Roman"/>
          <w:b w:val="0"/>
          <w:bCs w:val="0"/>
          <w:color w:val="auto"/>
          <w:highlight w:val="none"/>
        </w:rPr>
      </w:pPr>
      <w:r>
        <w:rPr>
          <w:rFonts w:hint="eastAsia" w:ascii="Times New Roman" w:hAnsi="Times New Roman" w:eastAsia="黑体"/>
          <w:b w:val="0"/>
          <w:color w:val="auto"/>
          <w:highlight w:val="none"/>
        </w:rPr>
        <w:t>二、机</w:t>
      </w:r>
      <w:r>
        <w:rPr>
          <w:rStyle w:val="30"/>
          <w:rFonts w:hint="eastAsia" w:ascii="Times New Roman" w:hAnsi="Times New Roman" w:eastAsia="黑体"/>
          <w:b w:val="0"/>
          <w:bCs w:val="0"/>
          <w:color w:val="auto"/>
          <w:highlight w:val="none"/>
        </w:rPr>
        <w:t>构设置</w:t>
      </w:r>
      <w:bookmarkEnd w:id="16"/>
      <w:bookmarkEnd w:id="17"/>
    </w:p>
    <w:p>
      <w:pPr>
        <w:ind w:firstLine="800" w:firstLineChars="250"/>
        <w:rPr>
          <w:rFonts w:ascii="仿宋" w:hAnsi="仿宋" w:eastAsia="仿宋"/>
          <w:sz w:val="32"/>
          <w:szCs w:val="32"/>
        </w:rPr>
      </w:pPr>
      <w:r>
        <w:rPr>
          <w:rFonts w:hint="eastAsia" w:ascii="仿宋" w:hAnsi="仿宋" w:eastAsia="仿宋" w:cs="Times New Roman"/>
          <w:sz w:val="32"/>
          <w:szCs w:val="32"/>
        </w:rPr>
        <w:t>乐山市金口河区供销合作联合社</w:t>
      </w:r>
      <w:r>
        <w:rPr>
          <w:rFonts w:hint="eastAsia" w:ascii="仿宋" w:hAnsi="仿宋" w:eastAsia="仿宋"/>
          <w:sz w:val="32"/>
          <w:szCs w:val="32"/>
        </w:rPr>
        <w:t>下属二级预算单位</w:t>
      </w:r>
      <w:r>
        <w:rPr>
          <w:sz w:val="32"/>
          <w:szCs w:val="32"/>
        </w:rPr>
        <w:t>1</w:t>
      </w:r>
      <w:r>
        <w:rPr>
          <w:rFonts w:hint="eastAsia" w:ascii="仿宋" w:hAnsi="仿宋" w:eastAsia="仿宋"/>
          <w:sz w:val="32"/>
          <w:szCs w:val="32"/>
        </w:rPr>
        <w:t>个，其中行政单位</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个，参照公务员法管理的事业单位</w:t>
      </w:r>
      <w:r>
        <w:rPr>
          <w:rFonts w:hint="eastAsia" w:ascii="仿宋" w:hAnsi="仿宋" w:eastAsia="仿宋"/>
          <w:bCs/>
          <w:sz w:val="32"/>
          <w:szCs w:val="32"/>
          <w:lang w:val="en-US" w:eastAsia="zh-CN"/>
        </w:rPr>
        <w:t>1</w:t>
      </w:r>
      <w:r>
        <w:rPr>
          <w:rFonts w:hint="eastAsia" w:ascii="仿宋" w:hAnsi="仿宋" w:eastAsia="仿宋"/>
          <w:sz w:val="32"/>
          <w:szCs w:val="32"/>
        </w:rPr>
        <w:t>个，其他事业单位</w:t>
      </w:r>
      <w:r>
        <w:rPr>
          <w:rFonts w:hint="eastAsia" w:ascii="仿宋" w:hAnsi="仿宋" w:eastAsia="仿宋"/>
          <w:sz w:val="32"/>
          <w:szCs w:val="32"/>
          <w:lang w:val="en-US" w:eastAsia="zh-CN"/>
        </w:rPr>
        <w:t>0</w:t>
      </w:r>
      <w:r>
        <w:rPr>
          <w:rFonts w:hint="eastAsia" w:ascii="仿宋" w:hAnsi="仿宋" w:eastAsia="仿宋"/>
          <w:sz w:val="32"/>
          <w:szCs w:val="32"/>
        </w:rPr>
        <w:t>个。</w:t>
      </w:r>
    </w:p>
    <w:p>
      <w:pPr>
        <w:pStyle w:val="8"/>
        <w:adjustRightInd w:val="0"/>
        <w:snapToGrid w:val="0"/>
        <w:spacing w:before="93" w:line="600" w:lineRule="exact"/>
        <w:ind w:firstLine="672" w:firstLineChars="210"/>
        <w:rPr>
          <w:rFonts w:ascii="仿宋" w:hAnsi="仿宋" w:eastAsia="仿宋"/>
          <w:sz w:val="32"/>
          <w:szCs w:val="32"/>
        </w:rPr>
      </w:pPr>
      <w:r>
        <w:rPr>
          <w:rFonts w:hint="eastAsia" w:ascii="仿宋" w:hAnsi="仿宋" w:eastAsia="仿宋"/>
          <w:sz w:val="32"/>
          <w:szCs w:val="32"/>
        </w:rPr>
        <w:t>纳入</w:t>
      </w:r>
      <w:r>
        <w:rPr>
          <w:rFonts w:hint="eastAsia" w:ascii="仿宋" w:hAnsi="仿宋" w:eastAsia="仿宋" w:cs="Times New Roman"/>
          <w:kern w:val="2"/>
          <w:sz w:val="32"/>
          <w:szCs w:val="32"/>
          <w:lang w:val="en-US" w:eastAsia="zh-CN" w:bidi="ar-SA"/>
        </w:rPr>
        <w:t>乐山市金口河区供销合作联合社</w:t>
      </w:r>
      <w:r>
        <w:rPr>
          <w:rFonts w:hint="eastAsia" w:ascii="仿宋" w:hAnsi="仿宋" w:eastAsia="仿宋"/>
          <w:sz w:val="32"/>
          <w:szCs w:val="32"/>
        </w:rPr>
        <w:t>202</w:t>
      </w:r>
      <w:r>
        <w:rPr>
          <w:rFonts w:hint="eastAsia" w:ascii="仿宋" w:hAnsi="仿宋" w:eastAsia="仿宋"/>
          <w:sz w:val="36"/>
          <w:szCs w:val="36"/>
          <w:lang w:val="en-US" w:eastAsia="zh-CN"/>
        </w:rPr>
        <w:t>4</w:t>
      </w:r>
      <w:r>
        <w:rPr>
          <w:rFonts w:hint="eastAsia" w:ascii="仿宋" w:hAnsi="仿宋" w:eastAsia="仿宋"/>
          <w:sz w:val="32"/>
          <w:szCs w:val="32"/>
        </w:rPr>
        <w:t>年度部门决算编制范围的二级预算单位包括：</w:t>
      </w:r>
    </w:p>
    <w:p>
      <w:pPr>
        <w:pStyle w:val="8"/>
        <w:numPr>
          <w:ilvl w:val="0"/>
          <w:numId w:val="1"/>
        </w:numPr>
        <w:adjustRightInd w:val="0"/>
        <w:snapToGrid w:val="0"/>
        <w:spacing w:before="93" w:line="600" w:lineRule="exact"/>
        <w:outlineLvl w:val="2"/>
        <w:rPr>
          <w:rFonts w:ascii="仿宋" w:hAnsi="仿宋" w:eastAsia="仿宋"/>
          <w:sz w:val="32"/>
          <w:szCs w:val="32"/>
        </w:rPr>
      </w:pPr>
      <w:bookmarkStart w:id="18" w:name="_Toc15306276"/>
      <w:bookmarkStart w:id="19" w:name="_Toc15378449"/>
      <w:bookmarkStart w:id="20" w:name="_Toc15377202"/>
      <w:bookmarkStart w:id="21" w:name="_Toc15377433"/>
      <w:r>
        <w:rPr>
          <w:rFonts w:hint="eastAsia" w:ascii="仿宋" w:hAnsi="仿宋" w:eastAsia="仿宋" w:cs="Times New Roman"/>
          <w:sz w:val="32"/>
          <w:szCs w:val="32"/>
        </w:rPr>
        <w:t>乐山市金口河区供销社</w:t>
      </w:r>
      <w:bookmarkEnd w:id="18"/>
      <w:bookmarkEnd w:id="19"/>
      <w:bookmarkEnd w:id="20"/>
      <w:bookmarkEnd w:id="21"/>
    </w:p>
    <w:p>
      <w:pPr>
        <w:snapToGrid w:val="0"/>
        <w:spacing w:line="520" w:lineRule="exact"/>
        <w:ind w:firstLine="640" w:firstLineChars="200"/>
        <w:rPr>
          <w:rFonts w:hint="eastAsia" w:ascii="仿宋_GB2312" w:hAnsi="仿宋" w:eastAsia="仿宋_GB2312" w:cs="Times New Roman"/>
          <w:color w:val="auto"/>
          <w:sz w:val="32"/>
          <w:szCs w:val="32"/>
          <w:highlight w:val="none"/>
        </w:rPr>
      </w:pPr>
    </w:p>
    <w:p>
      <w:pPr>
        <w:widowControl/>
        <w:ind w:firstLine="440" w:firstLineChars="100"/>
        <w:jc w:val="both"/>
        <w:rPr>
          <w:rFonts w:hint="eastAsia" w:ascii="Times New Roman" w:hAnsi="Times New Roman" w:eastAsia="方正小标宋简体" w:cs="方正小标宋简体"/>
          <w:b w:val="0"/>
          <w:bCs/>
          <w:color w:val="auto"/>
          <w:kern w:val="44"/>
          <w:sz w:val="44"/>
          <w:szCs w:val="44"/>
          <w:highlight w:val="none"/>
          <w:lang w:val="en-US" w:eastAsia="zh-CN" w:bidi="ar-SA"/>
        </w:rPr>
      </w:pPr>
      <w:bookmarkStart w:id="22" w:name="_Toc15377204"/>
      <w:bookmarkStart w:id="23" w:name="_Toc15396602"/>
      <w:r>
        <w:rPr>
          <w:rFonts w:hint="eastAsia" w:ascii="Times New Roman" w:hAnsi="Times New Roman" w:eastAsia="方正小标宋简体" w:cs="方正小标宋简体"/>
          <w:b w:val="0"/>
          <w:bCs/>
          <w:color w:val="auto"/>
          <w:kern w:val="44"/>
          <w:sz w:val="44"/>
          <w:szCs w:val="44"/>
          <w:highlight w:val="none"/>
          <w:lang w:val="en-US" w:eastAsia="zh-CN" w:bidi="ar-SA"/>
        </w:rPr>
        <w:t>第二部分  2024年度部门决算情况说明</w:t>
      </w:r>
      <w:bookmarkEnd w:id="22"/>
      <w:bookmarkEnd w:id="23"/>
    </w:p>
    <w:p>
      <w:pPr>
        <w:pStyle w:val="28"/>
        <w:numPr>
          <w:ilvl w:val="0"/>
          <w:numId w:val="0"/>
        </w:numPr>
        <w:spacing w:line="600" w:lineRule="exact"/>
        <w:ind w:left="640" w:leftChars="0"/>
        <w:outlineLvl w:val="1"/>
        <w:rPr>
          <w:rStyle w:val="30"/>
          <w:rFonts w:ascii="黑体" w:hAnsi="黑体" w:eastAsia="黑体"/>
          <w:b w:val="0"/>
          <w:color w:val="auto"/>
          <w:highlight w:val="none"/>
        </w:rPr>
      </w:pPr>
      <w:bookmarkStart w:id="24" w:name="_Toc15377226"/>
      <w:r>
        <w:rPr>
          <w:rFonts w:hint="eastAsia" w:ascii="黑体" w:hAnsi="黑体" w:eastAsia="黑体"/>
          <w:color w:val="auto"/>
          <w:sz w:val="32"/>
          <w:szCs w:val="32"/>
          <w:highlight w:val="none"/>
          <w:lang w:eastAsia="zh-CN"/>
        </w:rPr>
        <w:t>一、</w:t>
      </w:r>
      <w:r>
        <w:rPr>
          <w:rFonts w:hint="eastAsia" w:ascii="黑体" w:hAnsi="黑体" w:eastAsia="黑体"/>
          <w:color w:val="auto"/>
          <w:sz w:val="32"/>
          <w:szCs w:val="32"/>
          <w:highlight w:val="none"/>
        </w:rPr>
        <w:t>收</w:t>
      </w:r>
      <w:r>
        <w:rPr>
          <w:rStyle w:val="30"/>
          <w:rFonts w:hint="eastAsia" w:ascii="黑体" w:hAnsi="黑体" w:eastAsia="黑体"/>
          <w:b w:val="0"/>
          <w:color w:val="auto"/>
          <w:highlight w:val="none"/>
        </w:rPr>
        <w:t>入支出决算总体情况说明</w:t>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2024</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eastAsia="zh-CN"/>
        </w:rPr>
        <w:t>均为</w:t>
      </w:r>
      <w:r>
        <w:rPr>
          <w:rFonts w:hint="eastAsia" w:ascii="仿宋" w:hAnsi="仿宋" w:eastAsia="仿宋"/>
          <w:color w:val="auto"/>
          <w:sz w:val="32"/>
          <w:szCs w:val="32"/>
          <w:highlight w:val="none"/>
          <w:lang w:val="en-US" w:eastAsia="zh-CN"/>
        </w:rPr>
        <w:t>156.44</w:t>
      </w:r>
      <w:r>
        <w:rPr>
          <w:rFonts w:hint="eastAsia" w:ascii="仿宋" w:hAnsi="仿宋" w:eastAsia="仿宋"/>
          <w:color w:val="auto"/>
          <w:sz w:val="32"/>
          <w:szCs w:val="32"/>
          <w:highlight w:val="none"/>
        </w:rPr>
        <w:t>万元。与</w:t>
      </w: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相比，收、支总计各减少</w:t>
      </w:r>
      <w:r>
        <w:rPr>
          <w:rFonts w:hint="eastAsia" w:ascii="仿宋" w:hAnsi="仿宋" w:eastAsia="仿宋"/>
          <w:color w:val="auto"/>
          <w:sz w:val="32"/>
          <w:szCs w:val="32"/>
          <w:highlight w:val="none"/>
          <w:lang w:val="en-US" w:eastAsia="zh-CN"/>
        </w:rPr>
        <w:t>29.06</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15.7</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项目资金收支减少</w:t>
      </w:r>
      <w:r>
        <w:rPr>
          <w:rFonts w:hint="eastAsia" w:ascii="仿宋" w:hAnsi="仿宋" w:eastAsia="仿宋"/>
          <w:color w:val="auto"/>
          <w:sz w:val="32"/>
          <w:szCs w:val="32"/>
          <w:highlight w:val="none"/>
          <w:lang w:eastAsia="zh-CN"/>
        </w:rPr>
        <w:t>。</w:t>
      </w:r>
    </w:p>
    <w:p>
      <w:pPr>
        <w:spacing w:line="600" w:lineRule="exact"/>
        <w:ind w:firstLine="1280" w:firstLineChars="400"/>
        <w:jc w:val="left"/>
        <w:rPr>
          <w:rFonts w:ascii="仿宋_GB2312" w:eastAsia="仿宋_GB2312"/>
          <w:color w:val="auto"/>
          <w:sz w:val="32"/>
          <w:szCs w:val="32"/>
          <w:highlight w:val="none"/>
        </w:rPr>
      </w:pPr>
      <w:r>
        <w:rPr>
          <w:rFonts w:hint="eastAsia" w:ascii="仿宋_GB2312" w:hAnsi="仿宋" w:eastAsia="仿宋_GB2312"/>
          <w:sz w:val="32"/>
          <w:szCs w:val="32"/>
          <w:highlight w:val="none"/>
          <w:lang w:val="en-US" w:eastAsia="zh-CN"/>
        </w:rPr>
        <w:t>2024年度与2023年度</w:t>
      </w:r>
      <w:r>
        <w:rPr>
          <w:rFonts w:hint="eastAsia" w:ascii="仿宋" w:hAnsi="仿宋" w:eastAsia="仿宋"/>
          <w:color w:val="auto"/>
          <w:sz w:val="32"/>
          <w:szCs w:val="32"/>
          <w:highlight w:val="none"/>
        </w:rPr>
        <w:t>收、支决算总计变动情况图</w:t>
      </w:r>
    </w:p>
    <w:p>
      <w:pPr>
        <w:pStyle w:val="2"/>
        <w:ind w:firstLine="5760" w:firstLineChars="1800"/>
        <w:rPr>
          <w:rFonts w:ascii="仿宋_GB2312" w:eastAsia="仿宋_GB2312"/>
          <w:color w:val="auto"/>
          <w:sz w:val="32"/>
          <w:szCs w:val="32"/>
          <w:highlight w:val="none"/>
        </w:rPr>
      </w:pPr>
      <w:r>
        <w:rPr>
          <w:rFonts w:hint="eastAsia" w:ascii="仿宋_GB2312" w:hAnsi="仿宋" w:eastAsia="仿宋_GB2312"/>
          <w:sz w:val="32"/>
          <w:szCs w:val="32"/>
          <w:highlight w:val="none"/>
          <w:lang w:val="en-US" w:eastAsia="zh-CN"/>
        </w:rPr>
        <w:t>单位：万元</w:t>
      </w:r>
    </w:p>
    <w:p>
      <w:r>
        <w:drawing>
          <wp:inline distT="0" distB="0" distL="114300" distR="114300">
            <wp:extent cx="4572000" cy="2743200"/>
            <wp:effectExtent l="4445" t="4445" r="14605" b="14605"/>
            <wp:docPr id="3" name="图表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Style w:val="2"/>
      </w:pPr>
    </w:p>
    <w:p>
      <w:pPr>
        <w:pStyle w:val="28"/>
        <w:numPr>
          <w:ilvl w:val="0"/>
          <w:numId w:val="0"/>
        </w:numPr>
        <w:spacing w:line="600" w:lineRule="exact"/>
        <w:ind w:left="640" w:leftChars="0"/>
        <w:outlineLvl w:val="1"/>
        <w:rPr>
          <w:rStyle w:val="30"/>
          <w:rFonts w:ascii="黑体" w:hAnsi="黑体" w:eastAsia="黑体"/>
          <w:b w:val="0"/>
          <w:color w:val="auto"/>
          <w:highlight w:val="none"/>
        </w:rPr>
      </w:pPr>
      <w:r>
        <w:rPr>
          <w:rFonts w:hint="eastAsia" w:ascii="黑体" w:hAnsi="黑体" w:eastAsia="黑体"/>
          <w:color w:val="auto"/>
          <w:sz w:val="32"/>
          <w:szCs w:val="32"/>
          <w:highlight w:val="none"/>
          <w:lang w:eastAsia="zh-CN"/>
        </w:rPr>
        <w:t>二、</w:t>
      </w:r>
      <w:r>
        <w:rPr>
          <w:rFonts w:hint="eastAsia" w:ascii="黑体" w:hAnsi="黑体" w:eastAsia="黑体"/>
          <w:color w:val="auto"/>
          <w:sz w:val="32"/>
          <w:szCs w:val="32"/>
          <w:highlight w:val="none"/>
        </w:rPr>
        <w:t>收</w:t>
      </w:r>
      <w:r>
        <w:rPr>
          <w:rStyle w:val="30"/>
          <w:rFonts w:hint="eastAsia" w:ascii="黑体" w:hAnsi="黑体" w:eastAsia="黑体"/>
          <w:b w:val="0"/>
          <w:color w:val="auto"/>
          <w:highlight w:val="none"/>
        </w:rPr>
        <w:t>入决算情况说明</w:t>
      </w:r>
    </w:p>
    <w:p>
      <w:pPr>
        <w:spacing w:line="600" w:lineRule="exact"/>
        <w:ind w:firstLine="640" w:firstLineChars="200"/>
        <w:outlineLvl w:val="1"/>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本年收入合计</w:t>
      </w:r>
      <w:r>
        <w:rPr>
          <w:rFonts w:hint="eastAsia" w:ascii="仿宋" w:hAnsi="仿宋" w:eastAsia="仿宋"/>
          <w:color w:val="auto"/>
          <w:sz w:val="32"/>
          <w:szCs w:val="32"/>
          <w:highlight w:val="none"/>
          <w:lang w:val="en-US" w:eastAsia="zh-CN"/>
        </w:rPr>
        <w:t>156.35</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156.31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99.9</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国有资本经营预算财政拨款收入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；上级补助收入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；附属单位上缴收入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0.04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3" w:firstLineChars="200"/>
        <w:outlineLvl w:val="1"/>
        <w:rPr>
          <w:rFonts w:ascii="仿宋" w:hAnsi="仿宋" w:eastAsia="仿宋"/>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01表</w:t>
      </w:r>
      <w:r>
        <w:rPr>
          <w:rFonts w:hint="eastAsia" w:ascii="仿宋" w:hAnsi="仿宋" w:eastAsia="仿宋"/>
          <w:b/>
          <w:color w:val="auto"/>
          <w:sz w:val="32"/>
          <w:szCs w:val="32"/>
          <w:highlight w:val="none"/>
          <w:lang w:eastAsia="zh-CN"/>
        </w:rPr>
        <w:t>，仅罗列本单位涉及的收入。</w:t>
      </w:r>
      <w:r>
        <w:rPr>
          <w:rFonts w:ascii="仿宋" w:hAnsi="仿宋" w:eastAsia="仿宋"/>
          <w:b/>
          <w:color w:val="auto"/>
          <w:sz w:val="32"/>
          <w:szCs w:val="32"/>
          <w:highlight w:val="none"/>
        </w:rPr>
        <w:t>）</w:t>
      </w:r>
    </w:p>
    <w:p>
      <w:pPr>
        <w:spacing w:line="600" w:lineRule="exact"/>
        <w:ind w:firstLine="1600" w:firstLineChars="50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2024年度</w:t>
      </w:r>
      <w:r>
        <w:rPr>
          <w:rFonts w:hint="eastAsia" w:ascii="仿宋" w:hAnsi="仿宋" w:eastAsia="仿宋"/>
          <w:color w:val="auto"/>
          <w:sz w:val="32"/>
          <w:szCs w:val="32"/>
          <w:highlight w:val="none"/>
        </w:rPr>
        <w:t>收入决算结构图</w:t>
      </w:r>
    </w:p>
    <w:p>
      <w:pPr>
        <w:spacing w:line="600" w:lineRule="exact"/>
        <w:ind w:firstLine="4800" w:firstLineChars="1500"/>
        <w:rPr>
          <w:rFonts w:hint="eastAsia" w:ascii="仿宋" w:hAnsi="仿宋" w:eastAsia="仿宋" w:cs="Times New Roman"/>
          <w:color w:val="auto"/>
          <w:sz w:val="32"/>
          <w:szCs w:val="32"/>
          <w:highlight w:val="none"/>
          <w:lang w:val="en-US" w:eastAsia="zh-CN"/>
        </w:rPr>
      </w:pPr>
      <w:r>
        <w:rPr>
          <w:rFonts w:hint="eastAsia" w:ascii="仿宋" w:hAnsi="仿宋" w:eastAsia="仿宋" w:cs="Times New Roman"/>
          <w:color w:val="auto"/>
          <w:sz w:val="32"/>
          <w:szCs w:val="32"/>
          <w:highlight w:val="none"/>
          <w:lang w:val="en-US" w:eastAsia="zh-CN"/>
        </w:rPr>
        <w:t>单位：万元</w:t>
      </w:r>
    </w:p>
    <w:p>
      <w:pPr>
        <w:pStyle w:val="28"/>
        <w:numPr>
          <w:ilvl w:val="0"/>
          <w:numId w:val="0"/>
        </w:numPr>
        <w:spacing w:line="600" w:lineRule="exact"/>
        <w:ind w:left="640" w:leftChars="0"/>
        <w:outlineLvl w:val="1"/>
        <w:rPr>
          <w:rFonts w:hint="eastAsia" w:ascii="黑体" w:hAnsi="黑体" w:eastAsia="黑体"/>
          <w:color w:val="auto"/>
          <w:sz w:val="32"/>
          <w:szCs w:val="32"/>
          <w:highlight w:val="none"/>
          <w:lang w:eastAsia="zh-CN"/>
        </w:rPr>
      </w:pPr>
      <w:r>
        <w:drawing>
          <wp:anchor distT="0" distB="0" distL="114300" distR="114300" simplePos="0" relativeHeight="251659264" behindDoc="0" locked="0" layoutInCell="1" allowOverlap="1">
            <wp:simplePos x="0" y="0"/>
            <wp:positionH relativeFrom="column">
              <wp:posOffset>-17780</wp:posOffset>
            </wp:positionH>
            <wp:positionV relativeFrom="paragraph">
              <wp:posOffset>156845</wp:posOffset>
            </wp:positionV>
            <wp:extent cx="4572000" cy="2743200"/>
            <wp:effectExtent l="4445" t="4445" r="14605" b="14605"/>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pStyle w:val="28"/>
        <w:numPr>
          <w:ilvl w:val="0"/>
          <w:numId w:val="0"/>
        </w:numPr>
        <w:spacing w:line="600" w:lineRule="exact"/>
        <w:ind w:left="640" w:leftChars="0"/>
        <w:outlineLvl w:val="1"/>
        <w:rPr>
          <w:rFonts w:hint="eastAsia" w:ascii="黑体" w:hAnsi="黑体" w:eastAsia="黑体"/>
          <w:color w:val="auto"/>
          <w:sz w:val="32"/>
          <w:szCs w:val="32"/>
          <w:highlight w:val="none"/>
          <w:lang w:eastAsia="zh-CN"/>
        </w:rPr>
      </w:pPr>
    </w:p>
    <w:p>
      <w:pPr>
        <w:pStyle w:val="28"/>
        <w:numPr>
          <w:ilvl w:val="0"/>
          <w:numId w:val="0"/>
        </w:numPr>
        <w:spacing w:line="600" w:lineRule="exact"/>
        <w:ind w:left="640" w:leftChars="0"/>
        <w:outlineLvl w:val="1"/>
        <w:rPr>
          <w:rFonts w:hint="eastAsia" w:ascii="黑体" w:hAnsi="黑体" w:eastAsia="黑体"/>
          <w:color w:val="auto"/>
          <w:sz w:val="32"/>
          <w:szCs w:val="32"/>
          <w:highlight w:val="none"/>
          <w:lang w:eastAsia="zh-CN"/>
        </w:rPr>
      </w:pPr>
    </w:p>
    <w:p>
      <w:pPr>
        <w:pStyle w:val="28"/>
        <w:numPr>
          <w:ilvl w:val="0"/>
          <w:numId w:val="0"/>
        </w:numPr>
        <w:spacing w:line="600" w:lineRule="exact"/>
        <w:ind w:left="640" w:leftChars="0"/>
        <w:outlineLvl w:val="1"/>
        <w:rPr>
          <w:rFonts w:hint="eastAsia" w:ascii="黑体" w:hAnsi="黑体" w:eastAsia="黑体"/>
          <w:color w:val="auto"/>
          <w:sz w:val="32"/>
          <w:szCs w:val="32"/>
          <w:highlight w:val="none"/>
          <w:lang w:eastAsia="zh-CN"/>
        </w:rPr>
      </w:pPr>
    </w:p>
    <w:p>
      <w:pPr>
        <w:pStyle w:val="28"/>
        <w:numPr>
          <w:ilvl w:val="0"/>
          <w:numId w:val="0"/>
        </w:numPr>
        <w:spacing w:line="600" w:lineRule="exact"/>
        <w:ind w:left="640" w:leftChars="0"/>
        <w:outlineLvl w:val="1"/>
        <w:rPr>
          <w:rFonts w:hint="eastAsia" w:ascii="黑体" w:hAnsi="黑体" w:eastAsia="黑体"/>
          <w:color w:val="auto"/>
          <w:sz w:val="32"/>
          <w:szCs w:val="32"/>
          <w:highlight w:val="none"/>
          <w:lang w:eastAsia="zh-CN"/>
        </w:rPr>
      </w:pPr>
    </w:p>
    <w:p>
      <w:pPr>
        <w:pStyle w:val="28"/>
        <w:numPr>
          <w:ilvl w:val="0"/>
          <w:numId w:val="0"/>
        </w:numPr>
        <w:spacing w:line="600" w:lineRule="exact"/>
        <w:ind w:left="640" w:leftChars="0"/>
        <w:outlineLvl w:val="1"/>
        <w:rPr>
          <w:rFonts w:hint="eastAsia" w:ascii="黑体" w:hAnsi="黑体" w:eastAsia="黑体"/>
          <w:color w:val="auto"/>
          <w:sz w:val="32"/>
          <w:szCs w:val="32"/>
          <w:highlight w:val="none"/>
          <w:lang w:eastAsia="zh-CN"/>
        </w:rPr>
      </w:pPr>
    </w:p>
    <w:p>
      <w:pPr>
        <w:pStyle w:val="28"/>
        <w:numPr>
          <w:ilvl w:val="0"/>
          <w:numId w:val="0"/>
        </w:numPr>
        <w:spacing w:line="600" w:lineRule="exact"/>
        <w:ind w:left="640" w:leftChars="0"/>
        <w:outlineLvl w:val="1"/>
        <w:rPr>
          <w:rFonts w:hint="eastAsia" w:ascii="黑体" w:hAnsi="黑体" w:eastAsia="黑体"/>
          <w:color w:val="auto"/>
          <w:sz w:val="32"/>
          <w:szCs w:val="32"/>
          <w:highlight w:val="none"/>
          <w:lang w:eastAsia="zh-CN"/>
        </w:rPr>
      </w:pPr>
    </w:p>
    <w:p>
      <w:pPr>
        <w:pStyle w:val="28"/>
        <w:numPr>
          <w:ilvl w:val="0"/>
          <w:numId w:val="0"/>
        </w:numPr>
        <w:spacing w:line="600" w:lineRule="exact"/>
        <w:outlineLvl w:val="1"/>
        <w:rPr>
          <w:rFonts w:hint="eastAsia" w:ascii="黑体" w:hAnsi="黑体" w:eastAsia="黑体"/>
          <w:color w:val="auto"/>
          <w:sz w:val="32"/>
          <w:szCs w:val="32"/>
          <w:highlight w:val="none"/>
          <w:lang w:eastAsia="zh-CN"/>
        </w:rPr>
      </w:pPr>
    </w:p>
    <w:p>
      <w:pPr>
        <w:pStyle w:val="28"/>
        <w:numPr>
          <w:ilvl w:val="0"/>
          <w:numId w:val="0"/>
        </w:numPr>
        <w:spacing w:line="600" w:lineRule="exact"/>
        <w:ind w:left="640" w:leftChars="0"/>
        <w:outlineLvl w:val="1"/>
        <w:rPr>
          <w:rStyle w:val="30"/>
          <w:rFonts w:ascii="黑体" w:hAnsi="黑体" w:eastAsia="黑体"/>
          <w:b w:val="0"/>
          <w:color w:val="auto"/>
          <w:highlight w:val="none"/>
        </w:rPr>
      </w:pPr>
      <w:r>
        <w:rPr>
          <w:rFonts w:hint="eastAsia" w:ascii="黑体" w:hAnsi="黑体" w:eastAsia="黑体"/>
          <w:color w:val="auto"/>
          <w:sz w:val="32"/>
          <w:szCs w:val="32"/>
          <w:highlight w:val="none"/>
          <w:lang w:eastAsia="zh-CN"/>
        </w:rPr>
        <w:t>三、</w:t>
      </w:r>
      <w:r>
        <w:rPr>
          <w:rFonts w:hint="eastAsia" w:ascii="黑体" w:hAnsi="黑体" w:eastAsia="黑体"/>
          <w:color w:val="auto"/>
          <w:sz w:val="32"/>
          <w:szCs w:val="32"/>
          <w:highlight w:val="none"/>
        </w:rPr>
        <w:t>支</w:t>
      </w:r>
      <w:r>
        <w:rPr>
          <w:rStyle w:val="30"/>
          <w:rFonts w:hint="eastAsia" w:ascii="黑体" w:hAnsi="黑体" w:eastAsia="黑体"/>
          <w:b w:val="0"/>
          <w:color w:val="auto"/>
          <w:highlight w:val="none"/>
        </w:rPr>
        <w:t>出决算情况说明</w:t>
      </w:r>
    </w:p>
    <w:p>
      <w:pPr>
        <w:spacing w:line="600" w:lineRule="exact"/>
        <w:ind w:firstLine="640" w:firstLineChars="200"/>
        <w:outlineLvl w:val="1"/>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本年支出合计</w:t>
      </w:r>
      <w:r>
        <w:rPr>
          <w:rFonts w:hint="eastAsia" w:ascii="仿宋" w:hAnsi="仿宋" w:eastAsia="仿宋"/>
          <w:color w:val="auto"/>
          <w:sz w:val="32"/>
          <w:szCs w:val="32"/>
          <w:highlight w:val="none"/>
          <w:lang w:val="en-US" w:eastAsia="zh-CN"/>
        </w:rPr>
        <w:t>156.31</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151.29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96.8</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5.02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3.2</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；上缴上级支出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；对附属单位补助支出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3" w:firstLineChars="200"/>
        <w:outlineLvl w:val="1"/>
        <w:rPr>
          <w:rFonts w:ascii="仿宋" w:hAnsi="仿宋" w:eastAsia="仿宋"/>
          <w:color w:val="auto"/>
          <w:sz w:val="32"/>
          <w:szCs w:val="32"/>
          <w:highlight w:val="none"/>
          <w:shd w:val="pct10" w:color="auto" w:fill="FFFFFF"/>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04</w:t>
      </w:r>
      <w:r>
        <w:rPr>
          <w:rFonts w:hint="eastAsia" w:ascii="仿宋" w:hAnsi="仿宋" w:eastAsia="仿宋"/>
          <w:b/>
          <w:color w:val="auto"/>
          <w:sz w:val="32"/>
          <w:szCs w:val="32"/>
          <w:highlight w:val="none"/>
        </w:rPr>
        <w:t>表</w:t>
      </w:r>
      <w:r>
        <w:rPr>
          <w:rFonts w:hint="eastAsia" w:ascii="仿宋" w:hAnsi="仿宋" w:eastAsia="仿宋"/>
          <w:b/>
          <w:color w:val="auto"/>
          <w:sz w:val="32"/>
          <w:szCs w:val="32"/>
          <w:highlight w:val="none"/>
          <w:lang w:eastAsia="zh-CN"/>
        </w:rPr>
        <w:t>，仅罗列本单位涉及的支出。</w:t>
      </w:r>
      <w:r>
        <w:rPr>
          <w:rFonts w:hint="eastAsia" w:ascii="仿宋" w:hAnsi="仿宋" w:eastAsia="仿宋"/>
          <w:b/>
          <w:color w:val="auto"/>
          <w:sz w:val="32"/>
          <w:szCs w:val="32"/>
          <w:highlight w:val="none"/>
        </w:rPr>
        <w:t>）</w:t>
      </w:r>
    </w:p>
    <w:p>
      <w:pPr>
        <w:spacing w:line="600" w:lineRule="exact"/>
        <w:ind w:firstLine="640" w:firstLineChars="200"/>
        <w:jc w:val="center"/>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2024年度</w:t>
      </w:r>
      <w:r>
        <w:rPr>
          <w:rFonts w:hint="eastAsia" w:ascii="仿宋" w:hAnsi="仿宋" w:eastAsia="仿宋"/>
          <w:color w:val="auto"/>
          <w:sz w:val="32"/>
          <w:szCs w:val="32"/>
          <w:highlight w:val="none"/>
        </w:rPr>
        <w:t>支出决算结构图</w:t>
      </w:r>
    </w:p>
    <w:p>
      <w:pPr>
        <w:spacing w:line="600" w:lineRule="exact"/>
        <w:ind w:firstLine="5320" w:firstLineChars="1900"/>
        <w:outlineLvl w:val="1"/>
        <w:rPr>
          <w:rFonts w:hint="eastAsia" w:ascii="仿宋" w:hAnsi="仿宋" w:eastAsia="仿宋" w:cs="Times New Roman"/>
          <w:b w:val="0"/>
          <w:bCs/>
          <w:color w:val="auto"/>
          <w:sz w:val="28"/>
          <w:szCs w:val="28"/>
          <w:highlight w:val="none"/>
          <w:lang w:val="en-US" w:eastAsia="zh-CN"/>
        </w:rPr>
      </w:pPr>
      <w:r>
        <w:rPr>
          <w:rFonts w:hint="eastAsia" w:ascii="仿宋" w:hAnsi="仿宋" w:eastAsia="仿宋" w:cs="Times New Roman"/>
          <w:b w:val="0"/>
          <w:bCs/>
          <w:color w:val="auto"/>
          <w:sz w:val="28"/>
          <w:szCs w:val="28"/>
          <w:highlight w:val="none"/>
          <w:lang w:val="en-US" w:eastAsia="zh-CN"/>
        </w:rPr>
        <w:t>单位：万元</w:t>
      </w:r>
    </w:p>
    <w:p>
      <w:pPr>
        <w:spacing w:line="600" w:lineRule="exact"/>
        <w:outlineLvl w:val="1"/>
        <w:rPr>
          <w:rStyle w:val="30"/>
          <w:rFonts w:ascii="黑体" w:hAnsi="黑体" w:eastAsia="黑体"/>
          <w:b w:val="0"/>
          <w:color w:val="auto"/>
          <w:highlight w:val="none"/>
        </w:rPr>
      </w:pPr>
      <w:r>
        <w:drawing>
          <wp:anchor distT="0" distB="0" distL="114300" distR="114300" simplePos="0" relativeHeight="251660288" behindDoc="0" locked="0" layoutInCell="1" allowOverlap="1">
            <wp:simplePos x="0" y="0"/>
            <wp:positionH relativeFrom="column">
              <wp:posOffset>61595</wp:posOffset>
            </wp:positionH>
            <wp:positionV relativeFrom="paragraph">
              <wp:posOffset>-100330</wp:posOffset>
            </wp:positionV>
            <wp:extent cx="4572000" cy="2743200"/>
            <wp:effectExtent l="4445" t="4445" r="14605" b="14605"/>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hint="eastAsia"/>
          <w:lang w:val="en-US" w:eastAsia="zh-CN"/>
        </w:rPr>
        <w:t xml:space="preserve">   </w:t>
      </w:r>
      <w:r>
        <w:rPr>
          <w:rFonts w:hint="eastAsia" w:ascii="黑体" w:hAnsi="黑体" w:eastAsia="黑体"/>
          <w:color w:val="auto"/>
          <w:sz w:val="32"/>
          <w:szCs w:val="32"/>
          <w:highlight w:val="none"/>
        </w:rPr>
        <w:t>四、财</w:t>
      </w:r>
      <w:r>
        <w:rPr>
          <w:rStyle w:val="30"/>
          <w:rFonts w:hint="eastAsia" w:ascii="黑体" w:hAnsi="黑体" w:eastAsia="黑体"/>
          <w:b w:val="0"/>
          <w:color w:val="auto"/>
          <w:highlight w:val="none"/>
        </w:rPr>
        <w:t>政拨款收入支出决算总体情况说明</w:t>
      </w:r>
    </w:p>
    <w:p>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财政拨款收、支总计</w:t>
      </w:r>
      <w:r>
        <w:rPr>
          <w:rFonts w:hint="eastAsia" w:ascii="仿宋" w:hAnsi="仿宋" w:eastAsia="仿宋"/>
          <w:color w:val="auto"/>
          <w:sz w:val="32"/>
          <w:szCs w:val="32"/>
          <w:highlight w:val="none"/>
          <w:lang w:eastAsia="zh-CN"/>
        </w:rPr>
        <w:t>均为</w:t>
      </w:r>
      <w:r>
        <w:rPr>
          <w:rFonts w:hint="eastAsia" w:ascii="仿宋" w:hAnsi="仿宋" w:eastAsia="仿宋"/>
          <w:color w:val="auto"/>
          <w:sz w:val="32"/>
          <w:szCs w:val="32"/>
          <w:highlight w:val="none"/>
          <w:lang w:val="en-US" w:eastAsia="zh-CN"/>
        </w:rPr>
        <w:t>156.40</w:t>
      </w:r>
      <w:r>
        <w:rPr>
          <w:rFonts w:hint="eastAsia" w:ascii="仿宋" w:hAnsi="仿宋" w:eastAsia="仿宋"/>
          <w:color w:val="auto"/>
          <w:sz w:val="32"/>
          <w:szCs w:val="32"/>
          <w:highlight w:val="none"/>
        </w:rPr>
        <w:t>万元。与</w:t>
      </w: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相比，财政拨款收、支总计各减少</w:t>
      </w:r>
      <w:r>
        <w:rPr>
          <w:rFonts w:hint="eastAsia" w:ascii="仿宋" w:hAnsi="仿宋" w:eastAsia="仿宋"/>
          <w:color w:val="auto"/>
          <w:sz w:val="32"/>
          <w:szCs w:val="32"/>
          <w:highlight w:val="none"/>
          <w:lang w:val="en-US" w:eastAsia="zh-CN"/>
        </w:rPr>
        <w:t>29.08</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15.6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项目收支减少</w:t>
      </w:r>
      <w:r>
        <w:rPr>
          <w:rFonts w:hint="eastAsia" w:ascii="仿宋" w:hAnsi="仿宋" w:eastAsia="仿宋" w:cs="Times New Roman"/>
          <w:b/>
          <w:color w:val="auto"/>
          <w:sz w:val="32"/>
          <w:szCs w:val="32"/>
          <w:highlight w:val="none"/>
          <w:lang w:val="en-US" w:eastAsia="zh-CN"/>
        </w:rPr>
        <w:t>。</w:t>
      </w:r>
    </w:p>
    <w:p>
      <w:pPr>
        <w:spacing w:line="600" w:lineRule="exact"/>
        <w:ind w:firstLine="640"/>
        <w:rPr>
          <w:rFonts w:ascii="仿宋" w:hAnsi="仿宋" w:eastAsia="仿宋"/>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01-1</w:t>
      </w:r>
      <w:r>
        <w:rPr>
          <w:rFonts w:hint="eastAsia" w:ascii="仿宋" w:hAnsi="仿宋" w:eastAsia="仿宋"/>
          <w:b/>
          <w:color w:val="auto"/>
          <w:sz w:val="32"/>
          <w:szCs w:val="32"/>
          <w:highlight w:val="none"/>
        </w:rPr>
        <w:t>表</w:t>
      </w:r>
      <w:r>
        <w:rPr>
          <w:rFonts w:ascii="仿宋" w:hAnsi="仿宋" w:eastAsia="仿宋"/>
          <w:b/>
          <w:color w:val="auto"/>
          <w:sz w:val="32"/>
          <w:szCs w:val="32"/>
          <w:highlight w:val="none"/>
        </w:rPr>
        <w:t>）</w:t>
      </w: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2024年度与2023年度</w:t>
      </w:r>
      <w:r>
        <w:rPr>
          <w:rFonts w:hint="eastAsia" w:ascii="仿宋" w:hAnsi="仿宋" w:eastAsia="仿宋"/>
          <w:color w:val="auto"/>
          <w:sz w:val="32"/>
          <w:szCs w:val="32"/>
          <w:highlight w:val="none"/>
        </w:rPr>
        <w:t>财政拨款收、支决算总计变动情况</w:t>
      </w:r>
    </w:p>
    <w:p>
      <w:pPr>
        <w:spacing w:line="600" w:lineRule="exact"/>
        <w:ind w:firstLine="5760" w:firstLineChars="18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单位：万元</w:t>
      </w:r>
    </w:p>
    <w:p>
      <w:pPr>
        <w:pStyle w:val="3"/>
        <w:ind w:left="0" w:leftChars="0" w:firstLine="840" w:firstLineChars="400"/>
        <w:jc w:val="both"/>
        <w:rPr>
          <w:rStyle w:val="30"/>
          <w:rFonts w:ascii="黑体" w:hAnsi="黑体" w:eastAsia="黑体"/>
          <w:b w:val="0"/>
          <w:color w:val="auto"/>
          <w:highlight w:val="none"/>
        </w:rPr>
      </w:pPr>
      <w:r>
        <w:drawing>
          <wp:anchor distT="0" distB="0" distL="114300" distR="114300" simplePos="0" relativeHeight="251661312" behindDoc="0" locked="0" layoutInCell="1" allowOverlap="1">
            <wp:simplePos x="0" y="0"/>
            <wp:positionH relativeFrom="column">
              <wp:posOffset>347345</wp:posOffset>
            </wp:positionH>
            <wp:positionV relativeFrom="paragraph">
              <wp:posOffset>188595</wp:posOffset>
            </wp:positionV>
            <wp:extent cx="4572000" cy="2743200"/>
            <wp:effectExtent l="4445" t="4445" r="14605" b="14605"/>
            <wp:wrapTopAndBottom/>
            <wp:docPr id="5" name="图表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0"/>
          <w:rFonts w:hint="eastAsia" w:ascii="黑体" w:hAnsi="黑体" w:eastAsia="黑体"/>
          <w:b w:val="0"/>
          <w:color w:val="auto"/>
          <w:highlight w:val="none"/>
        </w:rPr>
        <w:t>般公共预算财政拨款支出决算情况说明</w:t>
      </w:r>
    </w:p>
    <w:p>
      <w:pPr>
        <w:spacing w:line="600" w:lineRule="exact"/>
        <w:ind w:firstLine="643"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（一）一般公共预算财政拨款支出决算总体情况</w:t>
      </w:r>
    </w:p>
    <w:p>
      <w:pPr>
        <w:spacing w:line="600" w:lineRule="exact"/>
        <w:ind w:firstLine="640" w:firstLineChars="200"/>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eastAsia="zh-CN"/>
        </w:rPr>
        <w:t>2024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一般公共预算财政拨款支出</w:t>
      </w:r>
      <w:r>
        <w:rPr>
          <w:rFonts w:hint="eastAsia" w:ascii="仿宋" w:hAnsi="仿宋" w:eastAsia="仿宋"/>
          <w:color w:val="auto"/>
          <w:sz w:val="32"/>
          <w:szCs w:val="32"/>
          <w:highlight w:val="none"/>
          <w:lang w:val="en-US" w:eastAsia="zh-CN"/>
        </w:rPr>
        <w:t>156.31</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减少</w:t>
      </w:r>
      <w:r>
        <w:rPr>
          <w:rFonts w:hint="eastAsia" w:ascii="仿宋" w:hAnsi="仿宋" w:eastAsia="仿宋"/>
          <w:color w:val="auto"/>
          <w:sz w:val="32"/>
          <w:szCs w:val="32"/>
          <w:highlight w:val="none"/>
          <w:lang w:val="en-US" w:eastAsia="zh-CN"/>
        </w:rPr>
        <w:t>29.08</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15.7</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项目支出减少。</w:t>
      </w:r>
    </w:p>
    <w:p>
      <w:pPr>
        <w:spacing w:line="600" w:lineRule="exact"/>
        <w:ind w:firstLine="640" w:firstLineChars="200"/>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2024年度与2023年度</w:t>
      </w:r>
      <w:r>
        <w:rPr>
          <w:rFonts w:hint="eastAsia" w:ascii="仿宋" w:hAnsi="仿宋" w:eastAsia="仿宋"/>
          <w:color w:val="auto"/>
          <w:sz w:val="32"/>
          <w:szCs w:val="32"/>
          <w:highlight w:val="none"/>
        </w:rPr>
        <w:t>一般公共预算财政拨款支出决算</w:t>
      </w:r>
    </w:p>
    <w:p>
      <w:pPr>
        <w:spacing w:line="600" w:lineRule="exact"/>
        <w:ind w:firstLine="640" w:firstLineChars="200"/>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变动情况</w:t>
      </w:r>
    </w:p>
    <w:p>
      <w:pPr>
        <w:spacing w:line="600" w:lineRule="exact"/>
        <w:ind w:firstLine="560" w:firstLineChars="200"/>
        <w:jc w:val="right"/>
        <w:rPr>
          <w:rFonts w:ascii="仿宋" w:hAnsi="仿宋" w:eastAsia="仿宋"/>
          <w:color w:val="auto"/>
          <w:sz w:val="32"/>
          <w:szCs w:val="32"/>
          <w:highlight w:val="none"/>
        </w:rPr>
      </w:pPr>
      <w:r>
        <w:rPr>
          <w:rFonts w:hint="eastAsia" w:ascii="仿宋" w:hAnsi="仿宋" w:eastAsia="仿宋" w:cs="Times New Roman"/>
          <w:b w:val="0"/>
          <w:bCs/>
          <w:color w:val="auto"/>
          <w:sz w:val="28"/>
          <w:szCs w:val="28"/>
          <w:highlight w:val="none"/>
          <w:lang w:val="en-US" w:eastAsia="zh-CN"/>
        </w:rPr>
        <w:t>单位：万元</w:t>
      </w:r>
    </w:p>
    <w:p>
      <w:pPr>
        <w:spacing w:line="600" w:lineRule="exact"/>
        <w:ind w:firstLine="643" w:firstLineChars="200"/>
        <w:outlineLvl w:val="2"/>
        <w:rPr>
          <w:rFonts w:hint="eastAsia" w:ascii="仿宋" w:hAnsi="仿宋" w:eastAsia="仿宋"/>
          <w:b/>
          <w:color w:val="auto"/>
          <w:sz w:val="32"/>
          <w:szCs w:val="32"/>
          <w:highlight w:val="none"/>
        </w:rPr>
      </w:pPr>
    </w:p>
    <w:p>
      <w:pPr>
        <w:pStyle w:val="2"/>
        <w:rPr>
          <w:rFonts w:hint="eastAsia" w:ascii="仿宋" w:hAnsi="仿宋" w:eastAsia="仿宋"/>
          <w:b/>
          <w:color w:val="auto"/>
          <w:sz w:val="32"/>
          <w:szCs w:val="32"/>
          <w:highlight w:val="none"/>
        </w:rPr>
      </w:pPr>
      <w:r>
        <w:drawing>
          <wp:inline distT="0" distB="0" distL="114300" distR="114300">
            <wp:extent cx="4572000" cy="2743200"/>
            <wp:effectExtent l="4445" t="4445" r="14605" b="14605"/>
            <wp:docPr id="7" name="图表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spacing w:line="600" w:lineRule="exact"/>
        <w:ind w:firstLine="643"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（二）一般公共预算财政拨款支出决算结构情况</w:t>
      </w:r>
    </w:p>
    <w:p>
      <w:pPr>
        <w:spacing w:line="600" w:lineRule="exact"/>
        <w:ind w:firstLine="640"/>
        <w:rPr>
          <w:rFonts w:hint="eastAsia" w:ascii="仿宋" w:hAnsi="仿宋" w:eastAsia="仿宋"/>
          <w:b/>
          <w:color w:val="auto"/>
          <w:sz w:val="32"/>
          <w:szCs w:val="32"/>
          <w:highlight w:val="none"/>
        </w:rPr>
      </w:pPr>
      <w:r>
        <w:rPr>
          <w:rFonts w:hint="eastAsia" w:ascii="仿宋" w:hAnsi="仿宋" w:eastAsia="仿宋"/>
          <w:color w:val="auto"/>
          <w:sz w:val="32"/>
          <w:szCs w:val="32"/>
          <w:highlight w:val="none"/>
          <w:lang w:eastAsia="zh-CN"/>
        </w:rPr>
        <w:t>2024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一般公共预算财政拨款支出</w:t>
      </w:r>
      <w:r>
        <w:rPr>
          <w:rFonts w:hint="eastAsia" w:ascii="仿宋" w:hAnsi="仿宋" w:eastAsia="仿宋"/>
          <w:color w:val="auto"/>
          <w:sz w:val="32"/>
          <w:szCs w:val="32"/>
          <w:highlight w:val="none"/>
          <w:lang w:val="en-US" w:eastAsia="zh-CN"/>
        </w:rPr>
        <w:t>156.31</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22.87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14.6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5.98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 xml:space="preserve">3.8 </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s="Times New Roman"/>
          <w:b/>
          <w:color w:val="auto"/>
          <w:sz w:val="32"/>
          <w:szCs w:val="32"/>
          <w:highlight w:val="none"/>
          <w:lang w:eastAsia="zh-CN"/>
        </w:rPr>
        <w:t>商业服务业等支出</w:t>
      </w:r>
      <w:r>
        <w:rPr>
          <w:rFonts w:hint="eastAsia" w:ascii="仿宋" w:hAnsi="仿宋" w:eastAsia="仿宋"/>
          <w:color w:val="auto"/>
          <w:sz w:val="32"/>
          <w:szCs w:val="32"/>
          <w:highlight w:val="none"/>
          <w:lang w:val="en-US" w:eastAsia="zh-CN"/>
        </w:rPr>
        <w:t>116.09万元，</w:t>
      </w:r>
      <w:r>
        <w:rPr>
          <w:rFonts w:hint="eastAsia" w:ascii="仿宋" w:hAnsi="仿宋" w:eastAsia="仿宋"/>
          <w:color w:val="auto"/>
          <w:sz w:val="32"/>
          <w:szCs w:val="32"/>
          <w:highlight w:val="none"/>
        </w:rPr>
        <w:t>占</w:t>
      </w:r>
      <w:r>
        <w:rPr>
          <w:rFonts w:hint="eastAsia" w:ascii="仿宋" w:hAnsi="仿宋" w:eastAsia="仿宋"/>
          <w:color w:val="auto"/>
          <w:sz w:val="32"/>
          <w:szCs w:val="32"/>
          <w:highlight w:val="none"/>
          <w:lang w:val="en-US" w:eastAsia="zh-CN"/>
        </w:rPr>
        <w:t>74.3</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lang w:val="en-US" w:eastAsia="zh-CN"/>
        </w:rPr>
        <w:t>11.38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ind w:firstLine="640"/>
        <w:rPr>
          <w:rFonts w:ascii="仿宋" w:hAnsi="仿宋" w:eastAsia="仿宋"/>
          <w:color w:val="auto"/>
          <w:sz w:val="32"/>
          <w:szCs w:val="32"/>
          <w:highlight w:val="none"/>
        </w:rPr>
      </w:pP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eastAsia="zh-CN"/>
        </w:rPr>
        <w:t>注：数据来源于财决</w:t>
      </w:r>
      <w:r>
        <w:rPr>
          <w:rFonts w:hint="eastAsia" w:ascii="仿宋" w:hAnsi="仿宋" w:eastAsia="仿宋"/>
          <w:b/>
          <w:color w:val="auto"/>
          <w:sz w:val="32"/>
          <w:szCs w:val="32"/>
          <w:highlight w:val="none"/>
          <w:lang w:val="en-US" w:eastAsia="zh-CN"/>
        </w:rPr>
        <w:t>01-1表，仅</w:t>
      </w:r>
      <w:r>
        <w:rPr>
          <w:rFonts w:hint="eastAsia" w:ascii="仿宋" w:hAnsi="仿宋" w:eastAsia="仿宋"/>
          <w:b/>
          <w:color w:val="auto"/>
          <w:sz w:val="32"/>
          <w:szCs w:val="32"/>
          <w:highlight w:val="none"/>
        </w:rPr>
        <w:t>罗列</w:t>
      </w:r>
      <w:r>
        <w:rPr>
          <w:rFonts w:hint="eastAsia" w:ascii="仿宋" w:hAnsi="仿宋" w:eastAsia="仿宋"/>
          <w:b/>
          <w:color w:val="auto"/>
          <w:sz w:val="32"/>
          <w:szCs w:val="32"/>
          <w:highlight w:val="none"/>
          <w:lang w:eastAsia="zh-CN"/>
        </w:rPr>
        <w:t>本单位涉及的</w:t>
      </w:r>
      <w:r>
        <w:rPr>
          <w:rFonts w:hint="eastAsia" w:ascii="仿宋" w:hAnsi="仿宋" w:eastAsia="仿宋"/>
          <w:b/>
          <w:color w:val="auto"/>
          <w:sz w:val="32"/>
          <w:szCs w:val="32"/>
          <w:highlight w:val="none"/>
        </w:rPr>
        <w:t>全部功能分类科目，至类级。）</w:t>
      </w:r>
    </w:p>
    <w:p>
      <w:pPr>
        <w:spacing w:line="240" w:lineRule="auto"/>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2024年度</w:t>
      </w:r>
      <w:r>
        <w:rPr>
          <w:rFonts w:hint="eastAsia" w:ascii="仿宋" w:hAnsi="仿宋" w:eastAsia="仿宋"/>
          <w:color w:val="auto"/>
          <w:sz w:val="32"/>
          <w:szCs w:val="32"/>
          <w:highlight w:val="none"/>
        </w:rPr>
        <w:t>一般公共预算财政拨款支出决算结构</w:t>
      </w:r>
    </w:p>
    <w:p>
      <w:pPr>
        <w:pStyle w:val="2"/>
        <w:ind w:firstLine="5120" w:firstLineChars="1600"/>
        <w:rPr>
          <w:rFonts w:hint="eastAsia" w:eastAsia="仿宋"/>
          <w:lang w:val="en-US" w:eastAsia="zh-CN"/>
        </w:rPr>
      </w:pPr>
      <w:r>
        <w:rPr>
          <w:rFonts w:hint="eastAsia" w:ascii="仿宋" w:hAnsi="仿宋" w:eastAsia="仿宋"/>
          <w:color w:val="auto"/>
          <w:sz w:val="32"/>
          <w:szCs w:val="32"/>
          <w:highlight w:val="none"/>
          <w:lang w:eastAsia="zh-CN"/>
        </w:rPr>
        <w:t>单位：万元</w:t>
      </w:r>
    </w:p>
    <w:p>
      <w:pPr>
        <w:spacing w:line="600" w:lineRule="exact"/>
        <w:ind w:firstLine="420" w:firstLineChars="200"/>
        <w:rPr>
          <w:rFonts w:ascii="仿宋" w:hAnsi="仿宋" w:eastAsia="仿宋"/>
          <w:b/>
          <w:color w:val="auto"/>
          <w:sz w:val="32"/>
          <w:szCs w:val="32"/>
          <w:highlight w:val="none"/>
        </w:rPr>
      </w:pPr>
      <w:r>
        <w:drawing>
          <wp:anchor distT="0" distB="0" distL="114300" distR="114300" simplePos="0" relativeHeight="251662336" behindDoc="0" locked="0" layoutInCell="1" allowOverlap="1">
            <wp:simplePos x="0" y="0"/>
            <wp:positionH relativeFrom="column">
              <wp:posOffset>-5080</wp:posOffset>
            </wp:positionH>
            <wp:positionV relativeFrom="paragraph">
              <wp:posOffset>277495</wp:posOffset>
            </wp:positionV>
            <wp:extent cx="4572000" cy="2743200"/>
            <wp:effectExtent l="4445" t="4445" r="14605" b="14605"/>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Pr>
          <w:rFonts w:hint="eastAsia" w:ascii="仿宋" w:hAnsi="仿宋" w:eastAsia="仿宋"/>
          <w:b/>
          <w:color w:val="auto"/>
          <w:sz w:val="32"/>
          <w:szCs w:val="32"/>
          <w:highlight w:val="none"/>
        </w:rPr>
        <w:t>（三）一般公共预算财政拨款支出决算具体情况</w:t>
      </w:r>
    </w:p>
    <w:p>
      <w:pPr>
        <w:spacing w:line="600" w:lineRule="exact"/>
        <w:ind w:firstLine="643" w:firstLineChars="200"/>
        <w:outlineLvl w:val="2"/>
        <w:rPr>
          <w:rStyle w:val="18"/>
          <w:rFonts w:hint="default" w:ascii="仿宋" w:hAnsi="仿宋" w:eastAsia="仿宋"/>
          <w:bCs/>
          <w:color w:val="auto"/>
          <w:sz w:val="28"/>
          <w:szCs w:val="28"/>
          <w:highlight w:val="yellow"/>
          <w:lang w:val="en-US" w:eastAsia="zh-CN"/>
        </w:rPr>
      </w:pPr>
      <w:bookmarkStart w:id="25" w:name="_Toc15377213"/>
      <w:bookmarkStart w:id="26" w:name="_Toc15378460"/>
      <w:bookmarkStart w:id="27" w:name="_Toc15377444"/>
      <w:r>
        <w:rPr>
          <w:rFonts w:hint="eastAsia" w:ascii="仿宋" w:hAnsi="仿宋" w:eastAsia="仿宋"/>
          <w:b/>
          <w:color w:val="auto"/>
          <w:sz w:val="32"/>
          <w:szCs w:val="32"/>
          <w:highlight w:val="none"/>
          <w:lang w:eastAsia="zh-CN"/>
        </w:rPr>
        <w:t>2024</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度一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156.31万元</w:t>
      </w:r>
      <w:r>
        <w:rPr>
          <w:rFonts w:hint="eastAsia" w:ascii="仿宋" w:hAnsi="仿宋" w:eastAsia="仿宋"/>
          <w:color w:val="auto"/>
          <w:sz w:val="32"/>
          <w:szCs w:val="32"/>
          <w:highlight w:val="none"/>
        </w:rPr>
        <w:t>，</w:t>
      </w:r>
      <w:r>
        <w:rPr>
          <w:rStyle w:val="18"/>
          <w:rFonts w:hint="eastAsia" w:ascii="仿宋" w:hAnsi="仿宋" w:eastAsia="仿宋"/>
          <w:bCs/>
          <w:color w:val="auto"/>
          <w:sz w:val="32"/>
          <w:szCs w:val="32"/>
          <w:highlight w:val="none"/>
        </w:rPr>
        <w:t>完成预算</w:t>
      </w:r>
      <w:r>
        <w:rPr>
          <w:rStyle w:val="18"/>
          <w:rFonts w:hint="eastAsia" w:ascii="仿宋" w:hAnsi="仿宋" w:eastAsia="仿宋"/>
          <w:bCs/>
          <w:color w:val="auto"/>
          <w:sz w:val="32"/>
          <w:szCs w:val="32"/>
          <w:highlight w:val="none"/>
          <w:lang w:val="en-US" w:eastAsia="zh-CN"/>
        </w:rPr>
        <w:t>156.31万元</w:t>
      </w:r>
      <w:r>
        <w:rPr>
          <w:rStyle w:val="18"/>
          <w:rFonts w:hint="eastAsia" w:ascii="仿宋" w:hAnsi="仿宋" w:eastAsia="仿宋"/>
          <w:bCs/>
          <w:color w:val="auto"/>
          <w:sz w:val="32"/>
          <w:szCs w:val="32"/>
          <w:highlight w:val="none"/>
          <w:lang w:eastAsia="zh-CN"/>
        </w:rPr>
        <w:t>的</w:t>
      </w:r>
      <w:r>
        <w:rPr>
          <w:rStyle w:val="18"/>
          <w:rFonts w:hint="eastAsia" w:ascii="仿宋" w:hAnsi="仿宋" w:eastAsia="仿宋"/>
          <w:bCs/>
          <w:color w:val="auto"/>
          <w:sz w:val="32"/>
          <w:szCs w:val="32"/>
          <w:highlight w:val="none"/>
          <w:lang w:val="en-US" w:eastAsia="zh-CN"/>
        </w:rPr>
        <w:t>100</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w:t>
      </w:r>
      <w:bookmarkEnd w:id="25"/>
      <w:bookmarkEnd w:id="26"/>
      <w:bookmarkEnd w:id="27"/>
      <w:bookmarkStart w:id="29" w:name="_GoBack"/>
      <w:bookmarkEnd w:id="29"/>
    </w:p>
    <w:p>
      <w:pPr>
        <w:pStyle w:val="2"/>
        <w:rPr>
          <w:rFonts w:hint="default"/>
          <w:lang w:val="en-US" w:eastAsia="zh-CN"/>
        </w:rPr>
      </w:pPr>
      <w:r>
        <w:rPr>
          <w:rStyle w:val="18"/>
          <w:rFonts w:hint="eastAsia" w:ascii="仿宋" w:hAnsi="仿宋" w:eastAsia="仿宋"/>
          <w:bCs/>
          <w:color w:val="auto"/>
          <w:sz w:val="32"/>
          <w:szCs w:val="32"/>
          <w:highlight w:val="none"/>
        </w:rPr>
        <w:t>其中：</w:t>
      </w:r>
    </w:p>
    <w:p>
      <w:pPr>
        <w:numPr>
          <w:ilvl w:val="0"/>
          <w:numId w:val="0"/>
        </w:numPr>
        <w:pBdr>
          <w:top w:val="single" w:color="FFFFFF" w:sz="4" w:space="4"/>
          <w:left w:val="single" w:color="FFFFFF" w:sz="4" w:space="31"/>
          <w:bottom w:val="single" w:color="FFFFFF" w:sz="4" w:space="31"/>
          <w:right w:val="single" w:color="FFFFFF" w:sz="4" w:space="31"/>
        </w:pBdr>
        <w:spacing w:line="560" w:lineRule="exact"/>
        <w:ind w:firstLine="643" w:firstLineChars="200"/>
        <w:rPr>
          <w:rStyle w:val="18"/>
          <w:rFonts w:hint="eastAsia" w:ascii="仿宋" w:hAnsi="仿宋" w:eastAsia="仿宋"/>
          <w:b w:val="0"/>
          <w:bCs/>
          <w:color w:val="000000"/>
          <w:sz w:val="32"/>
          <w:szCs w:val="32"/>
        </w:rPr>
      </w:pPr>
      <w:r>
        <w:rPr>
          <w:rStyle w:val="18"/>
          <w:rFonts w:ascii="仿宋" w:hAnsi="仿宋" w:eastAsia="仿宋"/>
          <w:bCs/>
          <w:color w:val="000000"/>
          <w:sz w:val="32"/>
          <w:szCs w:val="32"/>
        </w:rPr>
        <w:t>1.</w:t>
      </w:r>
      <w:r>
        <w:rPr>
          <w:rFonts w:hint="eastAsia" w:ascii="仿宋_GB2312" w:eastAsia="仿宋_GB2312"/>
          <w:b/>
          <w:bCs/>
          <w:color w:val="000000"/>
          <w:sz w:val="32"/>
          <w:szCs w:val="32"/>
          <w:highlight w:val="none"/>
        </w:rPr>
        <w:t>社会保障和就业</w:t>
      </w:r>
      <w:r>
        <w:rPr>
          <w:rFonts w:hint="eastAsia" w:ascii="仿宋_GB2312" w:eastAsia="仿宋_GB2312"/>
          <w:b/>
          <w:bCs/>
          <w:color w:val="000000"/>
          <w:sz w:val="32"/>
          <w:szCs w:val="32"/>
          <w:highlight w:val="none"/>
          <w:lang w:eastAsia="zh-CN"/>
        </w:rPr>
        <w:t>支出（类）</w:t>
      </w:r>
      <w:r>
        <w:rPr>
          <w:rStyle w:val="18"/>
          <w:rFonts w:hint="eastAsia" w:ascii="仿宋" w:hAnsi="仿宋" w:eastAsia="仿宋"/>
          <w:b/>
          <w:bCs/>
          <w:color w:val="000000"/>
          <w:sz w:val="32"/>
          <w:szCs w:val="32"/>
          <w:highlight w:val="none"/>
          <w:lang w:val="en-US" w:eastAsia="zh-CN"/>
        </w:rPr>
        <w:t>行政事业单位养老支出（款）</w:t>
      </w:r>
      <w:r>
        <w:rPr>
          <w:rStyle w:val="18"/>
          <w:rFonts w:hint="eastAsia" w:ascii="仿宋" w:hAnsi="仿宋" w:eastAsia="仿宋"/>
          <w:b/>
          <w:bCs/>
          <w:color w:val="000000"/>
          <w:sz w:val="32"/>
          <w:szCs w:val="32"/>
          <w:lang w:val="en-US" w:eastAsia="zh-CN"/>
        </w:rPr>
        <w:t>机关事业单位基本养老保险缴费</w:t>
      </w:r>
      <w:r>
        <w:rPr>
          <w:rStyle w:val="18"/>
          <w:rFonts w:hint="eastAsia" w:ascii="仿宋" w:hAnsi="仿宋" w:eastAsia="仿宋"/>
          <w:b/>
          <w:bCs/>
          <w:color w:val="000000"/>
          <w:sz w:val="32"/>
          <w:szCs w:val="32"/>
          <w:lang w:eastAsia="zh-CN"/>
        </w:rPr>
        <w:t>支出</w:t>
      </w:r>
      <w:r>
        <w:rPr>
          <w:rStyle w:val="18"/>
          <w:rFonts w:hint="eastAsia" w:ascii="仿宋" w:hAnsi="仿宋" w:eastAsia="仿宋"/>
          <w:b/>
          <w:bCs/>
          <w:color w:val="000000"/>
          <w:sz w:val="32"/>
          <w:szCs w:val="32"/>
          <w:highlight w:val="none"/>
          <w:lang w:val="en-US" w:eastAsia="zh-CN"/>
        </w:rPr>
        <w:t>（项）</w:t>
      </w:r>
      <w:r>
        <w:rPr>
          <w:rStyle w:val="18"/>
          <w:rFonts w:ascii="仿宋" w:hAnsi="仿宋" w:eastAsia="仿宋"/>
          <w:bCs/>
          <w:color w:val="000000"/>
          <w:sz w:val="32"/>
          <w:szCs w:val="32"/>
        </w:rPr>
        <w:t>:</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14.15</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pPr>
        <w:numPr>
          <w:ilvl w:val="0"/>
          <w:numId w:val="0"/>
        </w:numPr>
        <w:pBdr>
          <w:top w:val="single" w:color="FFFFFF" w:sz="4" w:space="4"/>
          <w:left w:val="single" w:color="FFFFFF" w:sz="4" w:space="31"/>
          <w:bottom w:val="single" w:color="FFFFFF" w:sz="4" w:space="31"/>
          <w:right w:val="single" w:color="FFFFFF" w:sz="4" w:space="31"/>
        </w:pBdr>
        <w:spacing w:line="560" w:lineRule="exact"/>
        <w:ind w:firstLine="643" w:firstLineChars="200"/>
        <w:rPr>
          <w:rStyle w:val="18"/>
          <w:rFonts w:hint="eastAsia" w:ascii="仿宋" w:hAnsi="仿宋" w:eastAsia="仿宋"/>
          <w:b w:val="0"/>
          <w:bCs/>
          <w:color w:val="000000"/>
          <w:sz w:val="32"/>
          <w:szCs w:val="32"/>
        </w:rPr>
      </w:pPr>
      <w:r>
        <w:rPr>
          <w:rStyle w:val="18"/>
          <w:rFonts w:ascii="仿宋" w:hAnsi="仿宋" w:eastAsia="仿宋"/>
          <w:bCs/>
          <w:color w:val="000000"/>
          <w:sz w:val="32"/>
          <w:szCs w:val="32"/>
        </w:rPr>
        <w:t>2.</w:t>
      </w:r>
      <w:r>
        <w:rPr>
          <w:rFonts w:hint="eastAsia" w:ascii="仿宋_GB2312" w:eastAsia="仿宋_GB2312"/>
          <w:b/>
          <w:bCs/>
          <w:color w:val="000000"/>
          <w:sz w:val="32"/>
          <w:szCs w:val="32"/>
          <w:highlight w:val="none"/>
        </w:rPr>
        <w:t>社会保障和就业</w:t>
      </w:r>
      <w:r>
        <w:rPr>
          <w:rFonts w:hint="eastAsia" w:ascii="仿宋_GB2312" w:eastAsia="仿宋_GB2312"/>
          <w:b/>
          <w:bCs/>
          <w:color w:val="000000"/>
          <w:sz w:val="32"/>
          <w:szCs w:val="32"/>
          <w:highlight w:val="none"/>
          <w:lang w:eastAsia="zh-CN"/>
        </w:rPr>
        <w:t>支出（类）</w:t>
      </w:r>
      <w:r>
        <w:rPr>
          <w:rStyle w:val="18"/>
          <w:rFonts w:hint="eastAsia" w:ascii="仿宋" w:hAnsi="仿宋" w:eastAsia="仿宋"/>
          <w:b/>
          <w:bCs/>
          <w:color w:val="000000"/>
          <w:sz w:val="32"/>
          <w:szCs w:val="32"/>
          <w:highlight w:val="none"/>
          <w:lang w:val="en-US" w:eastAsia="zh-CN"/>
        </w:rPr>
        <w:t>行政事业单位养老支出（款）</w:t>
      </w:r>
      <w:r>
        <w:rPr>
          <w:rStyle w:val="18"/>
          <w:rFonts w:hint="eastAsia" w:ascii="仿宋" w:hAnsi="仿宋" w:eastAsia="仿宋"/>
          <w:b/>
          <w:bCs/>
          <w:color w:val="000000"/>
          <w:sz w:val="32"/>
          <w:szCs w:val="32"/>
          <w:lang w:val="en-US" w:eastAsia="zh-CN"/>
        </w:rPr>
        <w:t>机关事业单位职业年金缴费支出（项）</w:t>
      </w:r>
      <w:r>
        <w:rPr>
          <w:rStyle w:val="18"/>
          <w:rFonts w:ascii="仿宋" w:hAnsi="仿宋" w:eastAsia="仿宋"/>
          <w:bCs/>
          <w:color w:val="000000"/>
          <w:sz w:val="32"/>
          <w:szCs w:val="32"/>
        </w:rPr>
        <w:t>:</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6.56</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pPr>
        <w:numPr>
          <w:ilvl w:val="0"/>
          <w:numId w:val="0"/>
        </w:numPr>
        <w:pBdr>
          <w:top w:val="single" w:color="FFFFFF" w:sz="4" w:space="4"/>
          <w:left w:val="single" w:color="FFFFFF" w:sz="4" w:space="31"/>
          <w:bottom w:val="single" w:color="FFFFFF" w:sz="4" w:space="31"/>
          <w:right w:val="single" w:color="FFFFFF" w:sz="4" w:space="31"/>
        </w:pBdr>
        <w:spacing w:line="560" w:lineRule="exact"/>
        <w:ind w:firstLine="643" w:firstLineChars="200"/>
        <w:rPr>
          <w:rStyle w:val="18"/>
          <w:rFonts w:hint="eastAsia" w:ascii="仿宋" w:hAnsi="仿宋" w:eastAsia="仿宋"/>
          <w:b w:val="0"/>
          <w:bCs/>
          <w:color w:val="000000"/>
          <w:sz w:val="32"/>
          <w:szCs w:val="32"/>
          <w:lang w:eastAsia="zh-CN"/>
        </w:rPr>
      </w:pPr>
      <w:r>
        <w:rPr>
          <w:rStyle w:val="18"/>
          <w:rFonts w:ascii="仿宋" w:hAnsi="仿宋" w:eastAsia="仿宋"/>
          <w:bCs/>
          <w:color w:val="000000"/>
          <w:sz w:val="32"/>
          <w:szCs w:val="32"/>
        </w:rPr>
        <w:t>3.</w:t>
      </w:r>
      <w:r>
        <w:rPr>
          <w:rFonts w:hint="eastAsia" w:ascii="仿宋_GB2312" w:eastAsia="仿宋_GB2312"/>
          <w:b/>
          <w:bCs/>
          <w:color w:val="000000"/>
          <w:sz w:val="32"/>
          <w:szCs w:val="32"/>
          <w:highlight w:val="none"/>
        </w:rPr>
        <w:t>社会保障和就业</w:t>
      </w:r>
      <w:r>
        <w:rPr>
          <w:rFonts w:hint="eastAsia" w:ascii="仿宋_GB2312" w:eastAsia="仿宋_GB2312"/>
          <w:b/>
          <w:bCs/>
          <w:color w:val="000000"/>
          <w:sz w:val="32"/>
          <w:szCs w:val="32"/>
          <w:highlight w:val="none"/>
          <w:lang w:eastAsia="zh-CN"/>
        </w:rPr>
        <w:t>支出（类）</w:t>
      </w:r>
      <w:r>
        <w:rPr>
          <w:rStyle w:val="18"/>
          <w:rFonts w:hint="eastAsia" w:ascii="仿宋" w:hAnsi="仿宋" w:eastAsia="仿宋"/>
          <w:b/>
          <w:bCs/>
          <w:color w:val="000000"/>
          <w:sz w:val="32"/>
          <w:szCs w:val="32"/>
          <w:highlight w:val="none"/>
          <w:lang w:val="en-US" w:eastAsia="zh-CN"/>
        </w:rPr>
        <w:t>行政事业单位养老支出（款）</w:t>
      </w:r>
      <w:r>
        <w:rPr>
          <w:rStyle w:val="18"/>
          <w:rFonts w:hint="eastAsia" w:ascii="仿宋" w:hAnsi="仿宋" w:eastAsia="仿宋"/>
          <w:b/>
          <w:bCs/>
          <w:color w:val="000000"/>
          <w:sz w:val="32"/>
          <w:szCs w:val="32"/>
          <w:lang w:val="en-US" w:eastAsia="zh-CN"/>
        </w:rPr>
        <w:t>其他行政事业单位离退休支出（项）</w:t>
      </w:r>
      <w:r>
        <w:rPr>
          <w:rStyle w:val="18"/>
          <w:rFonts w:ascii="仿宋" w:hAnsi="仿宋" w:eastAsia="仿宋"/>
          <w:bCs/>
          <w:color w:val="000000"/>
          <w:sz w:val="32"/>
          <w:szCs w:val="32"/>
        </w:rPr>
        <w:t>:</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0.8</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lang w:eastAsia="zh-CN"/>
        </w:rPr>
        <w:t>。</w:t>
      </w:r>
    </w:p>
    <w:p>
      <w:pPr>
        <w:numPr>
          <w:ilvl w:val="0"/>
          <w:numId w:val="0"/>
        </w:numPr>
        <w:pBdr>
          <w:top w:val="single" w:color="FFFFFF" w:sz="4" w:space="4"/>
          <w:left w:val="single" w:color="FFFFFF" w:sz="4" w:space="31"/>
          <w:bottom w:val="single" w:color="FFFFFF" w:sz="4" w:space="31"/>
          <w:right w:val="single" w:color="FFFFFF" w:sz="4" w:space="31"/>
        </w:pBdr>
        <w:spacing w:line="560" w:lineRule="exact"/>
        <w:ind w:firstLine="643" w:firstLineChars="200"/>
        <w:rPr>
          <w:rStyle w:val="18"/>
          <w:rFonts w:hint="eastAsia" w:ascii="仿宋" w:hAnsi="仿宋" w:eastAsia="仿宋"/>
          <w:b w:val="0"/>
          <w:bCs/>
          <w:sz w:val="32"/>
          <w:szCs w:val="32"/>
        </w:rPr>
      </w:pPr>
      <w:r>
        <w:rPr>
          <w:rStyle w:val="18"/>
          <w:rFonts w:hint="eastAsia" w:ascii="仿宋" w:hAnsi="仿宋" w:eastAsia="仿宋" w:cs="Times New Roman"/>
          <w:bCs/>
          <w:color w:val="000000"/>
          <w:sz w:val="32"/>
          <w:szCs w:val="32"/>
          <w:lang w:val="en-US" w:eastAsia="zh-CN"/>
        </w:rPr>
        <w:t>4.</w:t>
      </w:r>
      <w:r>
        <w:rPr>
          <w:rFonts w:hint="eastAsia" w:ascii="仿宋_GB2312" w:eastAsia="仿宋_GB2312"/>
          <w:b/>
          <w:bCs/>
          <w:color w:val="000000"/>
          <w:sz w:val="32"/>
          <w:szCs w:val="32"/>
          <w:highlight w:val="none"/>
        </w:rPr>
        <w:t>社会保障和就业</w:t>
      </w:r>
      <w:r>
        <w:rPr>
          <w:rFonts w:hint="eastAsia" w:ascii="仿宋_GB2312" w:eastAsia="仿宋_GB2312"/>
          <w:b/>
          <w:bCs/>
          <w:color w:val="000000"/>
          <w:sz w:val="32"/>
          <w:szCs w:val="32"/>
          <w:highlight w:val="none"/>
          <w:lang w:eastAsia="zh-CN"/>
        </w:rPr>
        <w:t>支出（类）</w:t>
      </w:r>
      <w:r>
        <w:rPr>
          <w:rStyle w:val="18"/>
          <w:rFonts w:hint="eastAsia" w:ascii="仿宋" w:hAnsi="仿宋" w:eastAsia="仿宋"/>
          <w:b/>
          <w:bCs/>
          <w:color w:val="000000"/>
          <w:sz w:val="32"/>
          <w:szCs w:val="32"/>
          <w:highlight w:val="none"/>
          <w:lang w:val="en-US" w:eastAsia="zh-CN"/>
        </w:rPr>
        <w:t>残疾人事业（款）</w:t>
      </w:r>
      <w:r>
        <w:rPr>
          <w:rStyle w:val="18"/>
          <w:rFonts w:hint="eastAsia" w:ascii="仿宋" w:hAnsi="仿宋" w:eastAsia="仿宋"/>
          <w:b/>
          <w:bCs/>
          <w:color w:val="000000"/>
          <w:sz w:val="32"/>
          <w:szCs w:val="32"/>
          <w:lang w:val="en-US" w:eastAsia="zh-CN"/>
        </w:rPr>
        <w:t>残疾人就业</w:t>
      </w:r>
      <w:r>
        <w:rPr>
          <w:rStyle w:val="18"/>
          <w:rFonts w:hint="eastAsia" w:ascii="仿宋" w:hAnsi="仿宋" w:eastAsia="仿宋"/>
          <w:b/>
          <w:bCs/>
          <w:color w:val="000000"/>
          <w:sz w:val="32"/>
          <w:szCs w:val="32"/>
          <w:lang w:eastAsia="zh-CN"/>
        </w:rPr>
        <w:t>（</w:t>
      </w:r>
      <w:r>
        <w:rPr>
          <w:rStyle w:val="18"/>
          <w:rFonts w:hint="eastAsia" w:ascii="仿宋" w:hAnsi="仿宋" w:eastAsia="仿宋"/>
          <w:b/>
          <w:bCs/>
          <w:color w:val="000000"/>
          <w:sz w:val="32"/>
          <w:szCs w:val="32"/>
          <w:lang w:val="en-US" w:eastAsia="zh-CN"/>
        </w:rPr>
        <w:t>项）</w:t>
      </w:r>
      <w:r>
        <w:rPr>
          <w:rStyle w:val="18"/>
          <w:rFonts w:hint="eastAsia" w:ascii="仿宋" w:hAnsi="仿宋" w:eastAsia="仿宋" w:cs="Times New Roman"/>
          <w:bCs/>
          <w:color w:val="000000"/>
          <w:sz w:val="32"/>
          <w:szCs w:val="32"/>
          <w:lang w:val="en-US" w:eastAsia="zh-CN"/>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sz w:val="32"/>
          <w:szCs w:val="32"/>
          <w:lang w:val="en-US" w:eastAsia="zh-CN"/>
        </w:rPr>
        <w:t>1.18</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highlight w:val="none"/>
          <w:lang w:val="en-US" w:eastAsia="zh-CN"/>
        </w:rPr>
        <w:t>100</w:t>
      </w:r>
      <w:r>
        <w:rPr>
          <w:rStyle w:val="18"/>
          <w:rFonts w:ascii="仿宋" w:hAnsi="仿宋" w:eastAsia="仿宋"/>
          <w:b w:val="0"/>
          <w:bCs/>
          <w:sz w:val="32"/>
          <w:szCs w:val="32"/>
          <w:highlight w:val="none"/>
        </w:rPr>
        <w:t>%</w:t>
      </w:r>
      <w:r>
        <w:rPr>
          <w:rStyle w:val="18"/>
          <w:rFonts w:hint="eastAsia" w:ascii="仿宋" w:hAnsi="仿宋" w:eastAsia="仿宋"/>
          <w:b w:val="0"/>
          <w:bCs/>
          <w:sz w:val="32"/>
          <w:szCs w:val="32"/>
        </w:rPr>
        <w:t>。</w:t>
      </w:r>
    </w:p>
    <w:p>
      <w:pPr>
        <w:numPr>
          <w:ilvl w:val="0"/>
          <w:numId w:val="0"/>
        </w:numPr>
        <w:pBdr>
          <w:top w:val="single" w:color="FFFFFF" w:sz="4" w:space="4"/>
          <w:left w:val="single" w:color="FFFFFF" w:sz="4" w:space="31"/>
          <w:bottom w:val="single" w:color="FFFFFF" w:sz="4" w:space="31"/>
          <w:right w:val="single" w:color="FFFFFF" w:sz="4" w:space="31"/>
        </w:pBdr>
        <w:spacing w:line="560" w:lineRule="exact"/>
        <w:ind w:firstLine="643" w:firstLineChars="200"/>
        <w:rPr>
          <w:rStyle w:val="18"/>
          <w:rFonts w:hint="eastAsia" w:ascii="仿宋" w:hAnsi="仿宋" w:eastAsia="仿宋"/>
          <w:b w:val="0"/>
          <w:bCs/>
          <w:color w:val="000000"/>
          <w:sz w:val="32"/>
          <w:szCs w:val="32"/>
        </w:rPr>
      </w:pPr>
      <w:r>
        <w:rPr>
          <w:rStyle w:val="18"/>
          <w:rFonts w:hint="eastAsia" w:ascii="仿宋" w:hAnsi="仿宋" w:eastAsia="仿宋"/>
          <w:bCs/>
          <w:color w:val="000000"/>
          <w:sz w:val="32"/>
          <w:szCs w:val="32"/>
          <w:lang w:val="en-US" w:eastAsia="zh-CN"/>
        </w:rPr>
        <w:t>5</w:t>
      </w:r>
      <w:r>
        <w:rPr>
          <w:rStyle w:val="18"/>
          <w:rFonts w:ascii="仿宋" w:hAnsi="仿宋" w:eastAsia="仿宋"/>
          <w:bCs/>
          <w:color w:val="000000"/>
          <w:sz w:val="32"/>
          <w:szCs w:val="32"/>
        </w:rPr>
        <w:t>.</w:t>
      </w:r>
      <w:r>
        <w:rPr>
          <w:rFonts w:hint="eastAsia" w:ascii="仿宋_GB2312" w:eastAsia="仿宋_GB2312"/>
          <w:b/>
          <w:bCs/>
          <w:color w:val="000000"/>
          <w:sz w:val="32"/>
          <w:szCs w:val="32"/>
          <w:highlight w:val="none"/>
        </w:rPr>
        <w:t>社会保障和就业</w:t>
      </w:r>
      <w:r>
        <w:rPr>
          <w:rFonts w:hint="eastAsia" w:ascii="仿宋_GB2312" w:eastAsia="仿宋_GB2312"/>
          <w:b/>
          <w:bCs/>
          <w:color w:val="000000"/>
          <w:sz w:val="32"/>
          <w:szCs w:val="32"/>
          <w:highlight w:val="none"/>
          <w:lang w:eastAsia="zh-CN"/>
        </w:rPr>
        <w:t>支出（类）</w:t>
      </w:r>
      <w:r>
        <w:rPr>
          <w:rFonts w:hint="eastAsia" w:ascii="仿宋_GB2312" w:hAnsi="Calibri" w:eastAsia="仿宋_GB2312" w:cs="仿宋"/>
          <w:b/>
          <w:bCs/>
          <w:color w:val="auto"/>
          <w:kern w:val="0"/>
          <w:sz w:val="32"/>
          <w:szCs w:val="32"/>
          <w:highlight w:val="none"/>
          <w:lang w:val="en-US" w:eastAsia="zh-CN" w:bidi="ar-SA"/>
        </w:rPr>
        <w:t>其他社会保障和就业支出</w:t>
      </w:r>
      <w:r>
        <w:rPr>
          <w:rStyle w:val="18"/>
          <w:rFonts w:hint="eastAsia" w:ascii="仿宋" w:hAnsi="仿宋" w:eastAsia="仿宋"/>
          <w:b/>
          <w:bCs/>
          <w:color w:val="000000"/>
          <w:sz w:val="32"/>
          <w:szCs w:val="32"/>
          <w:highlight w:val="none"/>
          <w:lang w:val="en-US" w:eastAsia="zh-CN"/>
        </w:rPr>
        <w:t>（款）</w:t>
      </w:r>
      <w:r>
        <w:rPr>
          <w:rFonts w:hint="eastAsia" w:ascii="仿宋_GB2312" w:hAnsi="Calibri" w:eastAsia="仿宋_GB2312" w:cs="仿宋"/>
          <w:b/>
          <w:bCs/>
          <w:color w:val="auto"/>
          <w:kern w:val="0"/>
          <w:sz w:val="32"/>
          <w:szCs w:val="32"/>
          <w:highlight w:val="none"/>
          <w:lang w:val="en-US" w:eastAsia="zh-CN" w:bidi="ar-SA"/>
        </w:rPr>
        <w:t>其他社会保障和就业支出</w:t>
      </w:r>
      <w:r>
        <w:rPr>
          <w:rStyle w:val="18"/>
          <w:rFonts w:hint="eastAsia" w:ascii="仿宋" w:hAnsi="仿宋" w:eastAsia="仿宋"/>
          <w:b/>
          <w:bCs/>
          <w:color w:val="000000"/>
          <w:sz w:val="32"/>
          <w:szCs w:val="32"/>
          <w:lang w:eastAsia="zh-CN"/>
        </w:rPr>
        <w:t>（</w:t>
      </w:r>
      <w:r>
        <w:rPr>
          <w:rStyle w:val="18"/>
          <w:rFonts w:hint="eastAsia" w:ascii="仿宋" w:hAnsi="仿宋" w:eastAsia="仿宋"/>
          <w:b/>
          <w:bCs/>
          <w:color w:val="000000"/>
          <w:sz w:val="32"/>
          <w:szCs w:val="32"/>
          <w:lang w:val="en-US" w:eastAsia="zh-CN"/>
        </w:rPr>
        <w:t>项）</w:t>
      </w:r>
      <w:r>
        <w:rPr>
          <w:rStyle w:val="18"/>
          <w:rFonts w:ascii="仿宋" w:hAnsi="仿宋" w:eastAsia="仿宋"/>
          <w:bCs/>
          <w:color w:val="000000"/>
          <w:sz w:val="32"/>
          <w:szCs w:val="32"/>
        </w:rPr>
        <w:t>:</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0.18</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pPr>
        <w:numPr>
          <w:ilvl w:val="0"/>
          <w:numId w:val="0"/>
        </w:numPr>
        <w:pBdr>
          <w:top w:val="single" w:color="FFFFFF" w:sz="4" w:space="4"/>
          <w:left w:val="single" w:color="FFFFFF" w:sz="4" w:space="31"/>
          <w:bottom w:val="single" w:color="FFFFFF" w:sz="4" w:space="31"/>
          <w:right w:val="single" w:color="FFFFFF" w:sz="4" w:space="31"/>
        </w:pBdr>
        <w:spacing w:line="560" w:lineRule="exact"/>
        <w:ind w:firstLine="643" w:firstLineChars="200"/>
        <w:rPr>
          <w:rStyle w:val="18"/>
          <w:rFonts w:hint="eastAsia" w:ascii="仿宋" w:hAnsi="仿宋" w:eastAsia="仿宋"/>
          <w:b w:val="0"/>
          <w:bCs/>
          <w:color w:val="000000"/>
          <w:sz w:val="32"/>
          <w:szCs w:val="32"/>
        </w:rPr>
      </w:pPr>
      <w:r>
        <w:rPr>
          <w:rStyle w:val="18"/>
          <w:rFonts w:hint="eastAsia" w:ascii="仿宋" w:hAnsi="仿宋" w:eastAsia="仿宋"/>
          <w:bCs/>
          <w:color w:val="000000"/>
          <w:sz w:val="32"/>
          <w:szCs w:val="32"/>
          <w:lang w:val="en-US" w:eastAsia="zh-CN"/>
        </w:rPr>
        <w:t>6</w:t>
      </w:r>
      <w:r>
        <w:rPr>
          <w:rStyle w:val="18"/>
          <w:rFonts w:ascii="仿宋" w:hAnsi="仿宋" w:eastAsia="仿宋"/>
          <w:bCs/>
          <w:color w:val="000000"/>
          <w:sz w:val="32"/>
          <w:szCs w:val="32"/>
        </w:rPr>
        <w:t>.</w:t>
      </w:r>
      <w:r>
        <w:rPr>
          <w:rFonts w:hint="eastAsia" w:ascii="仿宋_GB2312" w:hAnsi="Calibri" w:eastAsia="仿宋_GB2312" w:cs="仿宋"/>
          <w:b/>
          <w:bCs/>
          <w:color w:val="auto"/>
          <w:kern w:val="0"/>
          <w:sz w:val="32"/>
          <w:szCs w:val="32"/>
          <w:highlight w:val="none"/>
          <w:lang w:val="en-US" w:eastAsia="zh-CN" w:bidi="ar-SA"/>
        </w:rPr>
        <w:t>卫生健康支出</w:t>
      </w:r>
      <w:r>
        <w:rPr>
          <w:rFonts w:hint="eastAsia" w:ascii="仿宋_GB2312" w:eastAsia="仿宋_GB2312"/>
          <w:b/>
          <w:bCs/>
          <w:color w:val="000000"/>
          <w:sz w:val="32"/>
          <w:szCs w:val="32"/>
          <w:highlight w:val="none"/>
          <w:lang w:eastAsia="zh-CN"/>
        </w:rPr>
        <w:t>（类）</w:t>
      </w:r>
      <w:r>
        <w:rPr>
          <w:rStyle w:val="18"/>
          <w:rFonts w:hint="eastAsia" w:ascii="仿宋" w:hAnsi="仿宋" w:eastAsia="仿宋"/>
          <w:b/>
          <w:bCs/>
          <w:color w:val="000000"/>
          <w:sz w:val="32"/>
          <w:szCs w:val="32"/>
          <w:lang w:val="en-US" w:eastAsia="zh-CN"/>
        </w:rPr>
        <w:t>行政事业单位医疗</w:t>
      </w:r>
      <w:r>
        <w:rPr>
          <w:rStyle w:val="18"/>
          <w:rFonts w:hint="eastAsia" w:ascii="仿宋" w:hAnsi="仿宋" w:eastAsia="仿宋"/>
          <w:b/>
          <w:bCs/>
          <w:color w:val="000000"/>
          <w:sz w:val="32"/>
          <w:szCs w:val="32"/>
          <w:highlight w:val="none"/>
          <w:lang w:val="en-US" w:eastAsia="zh-CN"/>
        </w:rPr>
        <w:t>（款）</w:t>
      </w:r>
      <w:r>
        <w:rPr>
          <w:rStyle w:val="18"/>
          <w:rFonts w:hint="eastAsia" w:ascii="仿宋" w:hAnsi="仿宋" w:eastAsia="仿宋"/>
          <w:b/>
          <w:bCs/>
          <w:color w:val="000000"/>
          <w:sz w:val="32"/>
          <w:szCs w:val="32"/>
          <w:lang w:val="en-US" w:eastAsia="zh-CN"/>
        </w:rPr>
        <w:t>行政单位医疗</w:t>
      </w:r>
      <w:r>
        <w:rPr>
          <w:rStyle w:val="18"/>
          <w:rFonts w:hint="eastAsia" w:ascii="仿宋" w:hAnsi="仿宋" w:eastAsia="仿宋"/>
          <w:b/>
          <w:bCs/>
          <w:color w:val="000000"/>
          <w:sz w:val="32"/>
          <w:szCs w:val="32"/>
          <w:lang w:eastAsia="zh-CN"/>
        </w:rPr>
        <w:t>（</w:t>
      </w:r>
      <w:r>
        <w:rPr>
          <w:rStyle w:val="18"/>
          <w:rFonts w:hint="eastAsia" w:ascii="仿宋" w:hAnsi="仿宋" w:eastAsia="仿宋"/>
          <w:b/>
          <w:bCs/>
          <w:color w:val="000000"/>
          <w:sz w:val="32"/>
          <w:szCs w:val="32"/>
          <w:lang w:val="en-US" w:eastAsia="zh-CN"/>
        </w:rPr>
        <w:t>项）:</w:t>
      </w:r>
      <w:r>
        <w:rPr>
          <w:rStyle w:val="18"/>
          <w:rFonts w:hint="eastAsia" w:ascii="仿宋" w:hAnsi="仿宋" w:eastAsia="仿宋"/>
          <w:b w:val="0"/>
          <w:bCs w:val="0"/>
          <w:color w:val="000000"/>
          <w:sz w:val="32"/>
          <w:szCs w:val="32"/>
          <w:lang w:val="en-US" w:eastAsia="zh-CN"/>
        </w:rPr>
        <w:t xml:space="preserve"> </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5.5</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pPr>
        <w:numPr>
          <w:ilvl w:val="0"/>
          <w:numId w:val="0"/>
        </w:numPr>
        <w:pBdr>
          <w:top w:val="single" w:color="FFFFFF" w:sz="4" w:space="4"/>
          <w:left w:val="single" w:color="FFFFFF" w:sz="4" w:space="31"/>
          <w:bottom w:val="single" w:color="FFFFFF" w:sz="4" w:space="31"/>
          <w:right w:val="single" w:color="FFFFFF" w:sz="4" w:space="31"/>
        </w:pBdr>
        <w:spacing w:line="560" w:lineRule="exact"/>
        <w:ind w:firstLine="643" w:firstLineChars="200"/>
        <w:rPr>
          <w:rStyle w:val="18"/>
          <w:rFonts w:hint="eastAsia" w:ascii="仿宋" w:hAnsi="仿宋" w:eastAsia="仿宋"/>
          <w:b w:val="0"/>
          <w:bCs/>
          <w:color w:val="000000"/>
          <w:sz w:val="32"/>
          <w:szCs w:val="32"/>
        </w:rPr>
      </w:pPr>
      <w:r>
        <w:rPr>
          <w:rStyle w:val="18"/>
          <w:rFonts w:hint="eastAsia" w:ascii="仿宋" w:hAnsi="仿宋" w:eastAsia="仿宋"/>
          <w:bCs/>
          <w:color w:val="000000"/>
          <w:sz w:val="32"/>
          <w:szCs w:val="32"/>
          <w:lang w:val="en-US" w:eastAsia="zh-CN"/>
        </w:rPr>
        <w:t>7</w:t>
      </w:r>
      <w:r>
        <w:rPr>
          <w:rStyle w:val="18"/>
          <w:rFonts w:ascii="仿宋" w:hAnsi="仿宋" w:eastAsia="仿宋"/>
          <w:bCs/>
          <w:color w:val="000000"/>
          <w:sz w:val="32"/>
          <w:szCs w:val="32"/>
        </w:rPr>
        <w:t>.</w:t>
      </w:r>
      <w:r>
        <w:rPr>
          <w:rFonts w:hint="eastAsia" w:ascii="仿宋_GB2312" w:hAnsi="Calibri" w:eastAsia="仿宋_GB2312" w:cs="仿宋"/>
          <w:b/>
          <w:bCs/>
          <w:color w:val="auto"/>
          <w:kern w:val="0"/>
          <w:sz w:val="32"/>
          <w:szCs w:val="32"/>
          <w:highlight w:val="none"/>
          <w:lang w:val="en-US" w:eastAsia="zh-CN" w:bidi="ar-SA"/>
        </w:rPr>
        <w:t>卫生健康支出</w:t>
      </w:r>
      <w:r>
        <w:rPr>
          <w:rFonts w:hint="eastAsia" w:ascii="仿宋_GB2312" w:eastAsia="仿宋_GB2312"/>
          <w:b/>
          <w:bCs/>
          <w:color w:val="000000"/>
          <w:sz w:val="32"/>
          <w:szCs w:val="32"/>
          <w:highlight w:val="none"/>
          <w:lang w:eastAsia="zh-CN"/>
        </w:rPr>
        <w:t>（类）</w:t>
      </w:r>
      <w:r>
        <w:rPr>
          <w:rStyle w:val="18"/>
          <w:rFonts w:hint="eastAsia" w:ascii="仿宋" w:hAnsi="仿宋" w:eastAsia="仿宋"/>
          <w:b/>
          <w:bCs/>
          <w:color w:val="000000"/>
          <w:sz w:val="32"/>
          <w:szCs w:val="32"/>
          <w:lang w:val="en-US" w:eastAsia="zh-CN"/>
        </w:rPr>
        <w:t>行政事业单位医疗</w:t>
      </w:r>
      <w:r>
        <w:rPr>
          <w:rStyle w:val="18"/>
          <w:rFonts w:hint="eastAsia" w:ascii="仿宋" w:hAnsi="仿宋" w:eastAsia="仿宋"/>
          <w:b/>
          <w:bCs/>
          <w:color w:val="000000"/>
          <w:sz w:val="32"/>
          <w:szCs w:val="32"/>
          <w:highlight w:val="none"/>
          <w:lang w:val="en-US" w:eastAsia="zh-CN"/>
        </w:rPr>
        <w:t>（款）</w:t>
      </w:r>
      <w:r>
        <w:rPr>
          <w:rStyle w:val="18"/>
          <w:rFonts w:hint="eastAsia" w:ascii="仿宋" w:hAnsi="仿宋" w:eastAsia="仿宋"/>
          <w:b/>
          <w:bCs/>
          <w:color w:val="000000"/>
          <w:sz w:val="32"/>
          <w:szCs w:val="32"/>
          <w:lang w:val="en-US" w:eastAsia="zh-CN"/>
        </w:rPr>
        <w:t>公务员医疗补助（项）</w:t>
      </w:r>
      <w:r>
        <w:rPr>
          <w:rStyle w:val="18"/>
          <w:rFonts w:ascii="仿宋" w:hAnsi="仿宋" w:eastAsia="仿宋"/>
          <w:bCs/>
          <w:color w:val="000000"/>
          <w:sz w:val="32"/>
          <w:szCs w:val="32"/>
        </w:rPr>
        <w:t>:</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0.48</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pPr>
        <w:numPr>
          <w:ilvl w:val="0"/>
          <w:numId w:val="0"/>
        </w:numPr>
        <w:pBdr>
          <w:top w:val="single" w:color="FFFFFF" w:sz="4" w:space="4"/>
          <w:left w:val="single" w:color="FFFFFF" w:sz="4" w:space="31"/>
          <w:bottom w:val="single" w:color="FFFFFF" w:sz="4" w:space="31"/>
          <w:right w:val="single" w:color="FFFFFF" w:sz="4" w:space="31"/>
        </w:pBdr>
        <w:spacing w:line="560" w:lineRule="exact"/>
        <w:ind w:firstLine="640" w:firstLineChars="200"/>
        <w:rPr>
          <w:rStyle w:val="18"/>
          <w:rFonts w:hint="eastAsia" w:ascii="仿宋" w:hAnsi="仿宋" w:eastAsia="仿宋"/>
          <w:b w:val="0"/>
          <w:bCs/>
          <w:color w:val="000000"/>
          <w:sz w:val="32"/>
          <w:szCs w:val="32"/>
        </w:rPr>
      </w:pPr>
      <w:r>
        <w:rPr>
          <w:rStyle w:val="18"/>
          <w:rFonts w:hint="eastAsia" w:ascii="仿宋" w:hAnsi="仿宋" w:eastAsia="仿宋"/>
          <w:b w:val="0"/>
          <w:bCs/>
          <w:color w:val="000000"/>
          <w:sz w:val="32"/>
          <w:szCs w:val="32"/>
          <w:lang w:val="en-US" w:eastAsia="zh-CN"/>
        </w:rPr>
        <w:t>8.</w:t>
      </w:r>
      <w:r>
        <w:rPr>
          <w:rStyle w:val="18"/>
          <w:rFonts w:hint="eastAsia" w:ascii="仿宋" w:hAnsi="仿宋" w:eastAsia="仿宋"/>
          <w:b/>
          <w:bCs w:val="0"/>
          <w:color w:val="000000"/>
          <w:sz w:val="32"/>
          <w:szCs w:val="32"/>
          <w:highlight w:val="none"/>
          <w:lang w:val="en-US" w:eastAsia="zh-CN"/>
        </w:rPr>
        <w:t>商业服务业等支出</w:t>
      </w:r>
      <w:r>
        <w:rPr>
          <w:rFonts w:hint="eastAsia" w:ascii="仿宋_GB2312" w:eastAsia="仿宋_GB2312"/>
          <w:b/>
          <w:bCs w:val="0"/>
          <w:color w:val="000000"/>
          <w:sz w:val="32"/>
          <w:szCs w:val="32"/>
          <w:highlight w:val="none"/>
          <w:lang w:eastAsia="zh-CN"/>
        </w:rPr>
        <w:t>（类）</w:t>
      </w:r>
      <w:r>
        <w:rPr>
          <w:rStyle w:val="18"/>
          <w:rFonts w:hint="eastAsia" w:ascii="仿宋" w:hAnsi="仿宋" w:eastAsia="仿宋"/>
          <w:b/>
          <w:bCs w:val="0"/>
          <w:color w:val="000000"/>
          <w:sz w:val="32"/>
          <w:szCs w:val="32"/>
          <w:lang w:val="en-US" w:eastAsia="zh-CN"/>
        </w:rPr>
        <w:t>商业流通事务</w:t>
      </w:r>
      <w:r>
        <w:rPr>
          <w:rStyle w:val="18"/>
          <w:rFonts w:hint="eastAsia" w:ascii="仿宋" w:hAnsi="仿宋" w:eastAsia="仿宋"/>
          <w:b/>
          <w:bCs w:val="0"/>
          <w:color w:val="000000"/>
          <w:sz w:val="32"/>
          <w:szCs w:val="32"/>
          <w:highlight w:val="none"/>
          <w:lang w:val="en-US" w:eastAsia="zh-CN"/>
        </w:rPr>
        <w:t>（款）</w:t>
      </w:r>
      <w:r>
        <w:rPr>
          <w:rStyle w:val="18"/>
          <w:rFonts w:hint="eastAsia" w:ascii="仿宋" w:hAnsi="仿宋" w:eastAsia="仿宋"/>
          <w:b/>
          <w:bCs w:val="0"/>
          <w:color w:val="000000"/>
          <w:sz w:val="32"/>
          <w:szCs w:val="32"/>
          <w:lang w:val="en-US" w:eastAsia="zh-CN"/>
        </w:rPr>
        <w:t>行政运行（项）</w:t>
      </w:r>
      <w:r>
        <w:rPr>
          <w:rStyle w:val="18"/>
          <w:rFonts w:hint="eastAsia" w:ascii="仿宋" w:hAnsi="仿宋" w:eastAsia="仿宋"/>
          <w:b w:val="0"/>
          <w:bCs/>
          <w:color w:val="000000"/>
          <w:sz w:val="32"/>
          <w:szCs w:val="32"/>
          <w:lang w:val="en-US" w:eastAsia="zh-CN"/>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111.07</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pPr>
        <w:numPr>
          <w:ilvl w:val="0"/>
          <w:numId w:val="0"/>
        </w:numPr>
        <w:pBdr>
          <w:top w:val="single" w:color="FFFFFF" w:sz="4" w:space="4"/>
          <w:left w:val="single" w:color="FFFFFF" w:sz="4" w:space="31"/>
          <w:bottom w:val="single" w:color="FFFFFF" w:sz="4" w:space="31"/>
          <w:right w:val="single" w:color="FFFFFF" w:sz="4" w:space="31"/>
        </w:pBdr>
        <w:spacing w:line="560" w:lineRule="exact"/>
        <w:ind w:firstLine="640" w:firstLineChars="200"/>
        <w:rPr>
          <w:rStyle w:val="18"/>
          <w:rFonts w:hint="eastAsia" w:ascii="仿宋" w:hAnsi="仿宋" w:eastAsia="仿宋"/>
          <w:b w:val="0"/>
          <w:bCs/>
          <w:color w:val="000000"/>
          <w:sz w:val="32"/>
          <w:szCs w:val="32"/>
        </w:rPr>
      </w:pPr>
      <w:r>
        <w:rPr>
          <w:rStyle w:val="18"/>
          <w:rFonts w:hint="eastAsia" w:ascii="仿宋" w:hAnsi="仿宋" w:eastAsia="仿宋"/>
          <w:b w:val="0"/>
          <w:bCs/>
          <w:color w:val="auto"/>
          <w:sz w:val="32"/>
          <w:szCs w:val="32"/>
          <w:lang w:val="en-US" w:eastAsia="zh-CN"/>
        </w:rPr>
        <w:t>9.</w:t>
      </w:r>
      <w:r>
        <w:rPr>
          <w:rStyle w:val="18"/>
          <w:rFonts w:hint="eastAsia" w:ascii="仿宋" w:hAnsi="仿宋" w:eastAsia="仿宋"/>
          <w:b/>
          <w:bCs w:val="0"/>
          <w:color w:val="000000"/>
          <w:sz w:val="32"/>
          <w:szCs w:val="32"/>
          <w:highlight w:val="none"/>
          <w:lang w:val="en-US" w:eastAsia="zh-CN"/>
        </w:rPr>
        <w:t>商业服务业等支出</w:t>
      </w:r>
      <w:r>
        <w:rPr>
          <w:rFonts w:hint="eastAsia" w:ascii="仿宋_GB2312" w:eastAsia="仿宋_GB2312"/>
          <w:b/>
          <w:bCs w:val="0"/>
          <w:color w:val="000000"/>
          <w:sz w:val="32"/>
          <w:szCs w:val="32"/>
          <w:highlight w:val="none"/>
          <w:lang w:eastAsia="zh-CN"/>
        </w:rPr>
        <w:t>（类）</w:t>
      </w:r>
      <w:r>
        <w:rPr>
          <w:rStyle w:val="18"/>
          <w:rFonts w:hint="eastAsia" w:ascii="仿宋" w:hAnsi="仿宋" w:eastAsia="仿宋"/>
          <w:b/>
          <w:bCs w:val="0"/>
          <w:color w:val="000000"/>
          <w:sz w:val="32"/>
          <w:szCs w:val="32"/>
          <w:lang w:val="en-US" w:eastAsia="zh-CN"/>
        </w:rPr>
        <w:t>商业流通事务</w:t>
      </w:r>
      <w:r>
        <w:rPr>
          <w:rStyle w:val="18"/>
          <w:rFonts w:hint="eastAsia" w:ascii="仿宋" w:hAnsi="仿宋" w:eastAsia="仿宋"/>
          <w:b/>
          <w:bCs w:val="0"/>
          <w:color w:val="000000"/>
          <w:sz w:val="32"/>
          <w:szCs w:val="32"/>
          <w:highlight w:val="none"/>
          <w:lang w:val="en-US" w:eastAsia="zh-CN"/>
        </w:rPr>
        <w:t>（款）</w:t>
      </w:r>
      <w:r>
        <w:rPr>
          <w:rStyle w:val="18"/>
          <w:rFonts w:hint="eastAsia" w:ascii="仿宋" w:hAnsi="仿宋" w:eastAsia="仿宋"/>
          <w:b/>
          <w:bCs w:val="0"/>
          <w:color w:val="000000"/>
          <w:sz w:val="32"/>
          <w:szCs w:val="32"/>
          <w:lang w:val="en-US" w:eastAsia="zh-CN"/>
        </w:rPr>
        <w:t>其他商业流通事务支出（项）</w:t>
      </w:r>
      <w:r>
        <w:rPr>
          <w:rStyle w:val="18"/>
          <w:rFonts w:hint="eastAsia" w:ascii="仿宋" w:hAnsi="仿宋" w:eastAsia="仿宋"/>
          <w:b w:val="0"/>
          <w:bCs/>
          <w:color w:val="000000"/>
          <w:sz w:val="32"/>
          <w:szCs w:val="32"/>
          <w:lang w:val="en-US" w:eastAsia="zh-CN"/>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5.02</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pPr>
        <w:numPr>
          <w:ilvl w:val="0"/>
          <w:numId w:val="0"/>
        </w:numPr>
        <w:pBdr>
          <w:top w:val="single" w:color="FFFFFF" w:sz="4" w:space="4"/>
          <w:left w:val="single" w:color="FFFFFF" w:sz="4" w:space="31"/>
          <w:bottom w:val="single" w:color="FFFFFF" w:sz="4" w:space="31"/>
          <w:right w:val="single" w:color="FFFFFF" w:sz="4" w:space="31"/>
        </w:pBdr>
        <w:spacing w:line="560" w:lineRule="exact"/>
        <w:ind w:firstLine="640" w:firstLineChars="200"/>
        <w:rPr>
          <w:rStyle w:val="18"/>
          <w:rFonts w:hint="eastAsia" w:ascii="仿宋" w:hAnsi="仿宋" w:eastAsia="仿宋"/>
          <w:b w:val="0"/>
          <w:bCs/>
          <w:color w:val="000000"/>
          <w:sz w:val="32"/>
          <w:szCs w:val="32"/>
        </w:rPr>
      </w:pPr>
      <w:r>
        <w:rPr>
          <w:rStyle w:val="18"/>
          <w:rFonts w:hint="eastAsia" w:ascii="仿宋" w:hAnsi="仿宋" w:eastAsia="仿宋"/>
          <w:b w:val="0"/>
          <w:bCs/>
          <w:color w:val="000000"/>
          <w:sz w:val="32"/>
          <w:szCs w:val="32"/>
          <w:lang w:val="en-US" w:eastAsia="zh-CN"/>
        </w:rPr>
        <w:t>10、</w:t>
      </w:r>
      <w:r>
        <w:rPr>
          <w:rStyle w:val="18"/>
          <w:rFonts w:hint="eastAsia" w:ascii="仿宋" w:hAnsi="仿宋" w:eastAsia="仿宋"/>
          <w:b/>
          <w:bCs w:val="0"/>
          <w:color w:val="000000"/>
          <w:sz w:val="32"/>
          <w:szCs w:val="32"/>
          <w:lang w:val="en-US" w:eastAsia="zh-CN"/>
        </w:rPr>
        <w:t>住房保障支出</w:t>
      </w:r>
      <w:r>
        <w:rPr>
          <w:rFonts w:hint="eastAsia" w:ascii="仿宋_GB2312" w:eastAsia="仿宋_GB2312"/>
          <w:b/>
          <w:bCs w:val="0"/>
          <w:color w:val="000000"/>
          <w:sz w:val="32"/>
          <w:szCs w:val="32"/>
          <w:highlight w:val="none"/>
          <w:lang w:eastAsia="zh-CN"/>
        </w:rPr>
        <w:t>（类）</w:t>
      </w:r>
      <w:r>
        <w:rPr>
          <w:rStyle w:val="18"/>
          <w:rFonts w:hint="eastAsia" w:ascii="仿宋" w:hAnsi="仿宋" w:eastAsia="仿宋"/>
          <w:b/>
          <w:bCs w:val="0"/>
          <w:color w:val="000000"/>
          <w:sz w:val="32"/>
          <w:szCs w:val="32"/>
          <w:lang w:val="en-US" w:eastAsia="zh-CN"/>
        </w:rPr>
        <w:t>住房改革支出</w:t>
      </w:r>
      <w:r>
        <w:rPr>
          <w:rStyle w:val="18"/>
          <w:rFonts w:hint="eastAsia" w:ascii="仿宋" w:hAnsi="仿宋" w:eastAsia="仿宋"/>
          <w:b/>
          <w:bCs w:val="0"/>
          <w:color w:val="000000"/>
          <w:sz w:val="32"/>
          <w:szCs w:val="32"/>
          <w:highlight w:val="none"/>
          <w:lang w:val="en-US" w:eastAsia="zh-CN"/>
        </w:rPr>
        <w:t>（款）</w:t>
      </w:r>
      <w:r>
        <w:rPr>
          <w:rStyle w:val="18"/>
          <w:rFonts w:hint="eastAsia" w:ascii="仿宋" w:hAnsi="仿宋" w:eastAsia="仿宋"/>
          <w:b/>
          <w:bCs w:val="0"/>
          <w:color w:val="000000"/>
          <w:sz w:val="32"/>
          <w:szCs w:val="32"/>
          <w:lang w:val="en-US" w:eastAsia="zh-CN"/>
        </w:rPr>
        <w:t>住房公积金（项）：</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11.38</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pPr>
        <w:numPr>
          <w:ilvl w:val="0"/>
          <w:numId w:val="0"/>
        </w:numPr>
        <w:pBdr>
          <w:top w:val="single" w:color="FFFFFF" w:sz="4" w:space="4"/>
          <w:left w:val="single" w:color="FFFFFF" w:sz="4" w:space="31"/>
          <w:bottom w:val="single" w:color="FFFFFF" w:sz="4" w:space="31"/>
          <w:right w:val="single" w:color="FFFFFF" w:sz="4" w:space="31"/>
        </w:pBdr>
        <w:spacing w:line="560" w:lineRule="exact"/>
        <w:ind w:firstLine="643" w:firstLineChars="200"/>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w:t>
      </w:r>
      <w:r>
        <w:rPr>
          <w:rFonts w:hint="eastAsia" w:ascii="仿宋" w:hAnsi="仿宋" w:eastAsia="仿宋"/>
          <w:b/>
          <w:color w:val="auto"/>
          <w:sz w:val="32"/>
          <w:szCs w:val="32"/>
          <w:highlight w:val="none"/>
        </w:rPr>
        <w:t>1-1表</w:t>
      </w:r>
      <w:r>
        <w:rPr>
          <w:rFonts w:hint="eastAsia" w:ascii="仿宋" w:hAnsi="仿宋" w:eastAsia="仿宋"/>
          <w:b/>
          <w:color w:val="auto"/>
          <w:sz w:val="32"/>
          <w:szCs w:val="32"/>
          <w:highlight w:val="none"/>
          <w:lang w:eastAsia="zh-CN"/>
        </w:rPr>
        <w:t>和财决</w:t>
      </w:r>
      <w:r>
        <w:rPr>
          <w:rFonts w:hint="eastAsia" w:ascii="仿宋" w:hAnsi="仿宋" w:eastAsia="仿宋"/>
          <w:b/>
          <w:color w:val="auto"/>
          <w:sz w:val="32"/>
          <w:szCs w:val="32"/>
          <w:highlight w:val="none"/>
          <w:lang w:val="en-US" w:eastAsia="zh-CN"/>
        </w:rPr>
        <w:t>08表</w:t>
      </w: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eastAsia="zh-CN"/>
        </w:rPr>
        <w:t>仅</w:t>
      </w:r>
      <w:r>
        <w:rPr>
          <w:rFonts w:hint="eastAsia" w:ascii="仿宋" w:hAnsi="仿宋" w:eastAsia="仿宋"/>
          <w:b/>
          <w:color w:val="auto"/>
          <w:sz w:val="32"/>
          <w:szCs w:val="32"/>
          <w:highlight w:val="none"/>
        </w:rPr>
        <w:t>罗列</w:t>
      </w:r>
      <w:r>
        <w:rPr>
          <w:rFonts w:hint="eastAsia" w:ascii="仿宋" w:hAnsi="仿宋" w:eastAsia="仿宋"/>
          <w:b/>
          <w:color w:val="auto"/>
          <w:sz w:val="32"/>
          <w:szCs w:val="32"/>
          <w:highlight w:val="none"/>
          <w:lang w:eastAsia="zh-CN"/>
        </w:rPr>
        <w:t>本单位涉及的</w:t>
      </w:r>
      <w:r>
        <w:rPr>
          <w:rFonts w:hint="eastAsia" w:ascii="仿宋" w:hAnsi="仿宋" w:eastAsia="仿宋"/>
          <w:b/>
          <w:color w:val="auto"/>
          <w:sz w:val="32"/>
          <w:szCs w:val="32"/>
          <w:highlight w:val="none"/>
        </w:rPr>
        <w:t>全部功能分类科目</w:t>
      </w:r>
      <w:r>
        <w:rPr>
          <w:rFonts w:hint="eastAsia" w:ascii="仿宋" w:hAnsi="仿宋" w:eastAsia="仿宋"/>
          <w:b/>
          <w:color w:val="auto"/>
          <w:sz w:val="32"/>
          <w:szCs w:val="32"/>
          <w:highlight w:val="none"/>
          <w:lang w:eastAsia="zh-CN"/>
        </w:rPr>
        <w:t>，</w:t>
      </w:r>
      <w:r>
        <w:rPr>
          <w:rFonts w:hint="eastAsia" w:ascii="仿宋" w:hAnsi="仿宋" w:eastAsia="仿宋"/>
          <w:b/>
          <w:color w:val="auto"/>
          <w:sz w:val="32"/>
          <w:szCs w:val="32"/>
          <w:highlight w:val="none"/>
        </w:rPr>
        <w:t>至项级。上述“预算”口径为</w:t>
      </w:r>
      <w:r>
        <w:rPr>
          <w:rFonts w:hint="eastAsia" w:ascii="仿宋" w:hAnsi="仿宋" w:eastAsia="仿宋"/>
          <w:b/>
          <w:color w:val="auto"/>
          <w:sz w:val="32"/>
          <w:szCs w:val="32"/>
          <w:highlight w:val="none"/>
          <w:lang w:eastAsia="zh-CN"/>
        </w:rPr>
        <w:t>全年预算</w:t>
      </w:r>
      <w:r>
        <w:rPr>
          <w:rFonts w:hint="eastAsia" w:ascii="仿宋" w:hAnsi="仿宋" w:eastAsia="仿宋"/>
          <w:b/>
          <w:color w:val="auto"/>
          <w:sz w:val="32"/>
          <w:szCs w:val="32"/>
          <w:highlight w:val="none"/>
        </w:rPr>
        <w:t>数。增减变动原因为决算数</w:t>
      </w:r>
      <w:r>
        <w:rPr>
          <w:rFonts w:ascii="仿宋" w:hAnsi="仿宋" w:eastAsia="仿宋"/>
          <w:b/>
          <w:color w:val="auto"/>
          <w:sz w:val="32"/>
          <w:szCs w:val="32"/>
          <w:highlight w:val="none"/>
        </w:rPr>
        <w:t>&lt;</w:t>
      </w:r>
      <w:r>
        <w:rPr>
          <w:rFonts w:hint="eastAsia" w:ascii="仿宋" w:hAnsi="仿宋" w:eastAsia="仿宋"/>
          <w:b/>
          <w:color w:val="auto"/>
          <w:sz w:val="32"/>
          <w:szCs w:val="32"/>
          <w:highlight w:val="none"/>
        </w:rPr>
        <w:t>项级</w:t>
      </w:r>
      <w:r>
        <w:rPr>
          <w:rFonts w:ascii="仿宋" w:hAnsi="仿宋" w:eastAsia="仿宋"/>
          <w:b/>
          <w:color w:val="auto"/>
          <w:sz w:val="32"/>
          <w:szCs w:val="32"/>
          <w:highlight w:val="none"/>
        </w:rPr>
        <w:t>&gt;</w:t>
      </w:r>
      <w:r>
        <w:rPr>
          <w:rFonts w:hint="eastAsia" w:ascii="仿宋" w:hAnsi="仿宋" w:eastAsia="仿宋"/>
          <w:b/>
          <w:color w:val="auto"/>
          <w:sz w:val="32"/>
          <w:szCs w:val="32"/>
          <w:highlight w:val="none"/>
        </w:rPr>
        <w:t>和</w:t>
      </w:r>
      <w:r>
        <w:rPr>
          <w:rFonts w:hint="eastAsia" w:ascii="仿宋" w:hAnsi="仿宋" w:eastAsia="仿宋"/>
          <w:b/>
          <w:color w:val="auto"/>
          <w:sz w:val="32"/>
          <w:szCs w:val="32"/>
          <w:highlight w:val="none"/>
          <w:lang w:eastAsia="zh-CN"/>
        </w:rPr>
        <w:t>全年预算</w:t>
      </w:r>
      <w:r>
        <w:rPr>
          <w:rFonts w:hint="eastAsia" w:ascii="仿宋" w:hAnsi="仿宋" w:eastAsia="仿宋"/>
          <w:b/>
          <w:color w:val="auto"/>
          <w:sz w:val="32"/>
          <w:szCs w:val="32"/>
          <w:highlight w:val="none"/>
        </w:rPr>
        <w:t>数</w:t>
      </w:r>
      <w:r>
        <w:rPr>
          <w:rFonts w:ascii="仿宋" w:hAnsi="仿宋" w:eastAsia="仿宋"/>
          <w:b/>
          <w:color w:val="auto"/>
          <w:sz w:val="32"/>
          <w:szCs w:val="32"/>
          <w:highlight w:val="none"/>
        </w:rPr>
        <w:t>&lt;</w:t>
      </w:r>
      <w:r>
        <w:rPr>
          <w:rFonts w:hint="eastAsia" w:ascii="仿宋" w:hAnsi="仿宋" w:eastAsia="仿宋"/>
          <w:b/>
          <w:color w:val="auto"/>
          <w:sz w:val="32"/>
          <w:szCs w:val="32"/>
          <w:highlight w:val="none"/>
        </w:rPr>
        <w:t>项级</w:t>
      </w:r>
      <w:r>
        <w:rPr>
          <w:rFonts w:ascii="仿宋" w:hAnsi="仿宋" w:eastAsia="仿宋"/>
          <w:b/>
          <w:color w:val="auto"/>
          <w:sz w:val="32"/>
          <w:szCs w:val="32"/>
          <w:highlight w:val="none"/>
        </w:rPr>
        <w:t>&gt;</w:t>
      </w:r>
      <w:r>
        <w:rPr>
          <w:rFonts w:hint="eastAsia" w:ascii="仿宋" w:hAnsi="仿宋" w:eastAsia="仿宋"/>
          <w:b/>
          <w:color w:val="auto"/>
          <w:sz w:val="32"/>
          <w:szCs w:val="32"/>
          <w:highlight w:val="none"/>
        </w:rPr>
        <w:t>比较，与预算数持平可以不写原因。）</w:t>
      </w:r>
    </w:p>
    <w:p>
      <w:pPr>
        <w:numPr>
          <w:ilvl w:val="0"/>
          <w:numId w:val="2"/>
        </w:numPr>
        <w:pBdr>
          <w:top w:val="single" w:color="FFFFFF" w:sz="4" w:space="4"/>
          <w:left w:val="single" w:color="FFFFFF" w:sz="4" w:space="31"/>
          <w:bottom w:val="single" w:color="FFFFFF" w:sz="4" w:space="31"/>
          <w:right w:val="single" w:color="FFFFFF" w:sz="4" w:space="31"/>
        </w:pBdr>
        <w:spacing w:line="560" w:lineRule="exact"/>
        <w:ind w:firstLine="643" w:firstLineChars="200"/>
        <w:rPr>
          <w:rFonts w:hint="eastAsia" w:ascii="仿宋" w:hAnsi="仿宋" w:eastAsia="仿宋"/>
          <w:color w:val="auto"/>
          <w:sz w:val="32"/>
          <w:szCs w:val="32"/>
          <w:highlight w:val="none"/>
        </w:rPr>
      </w:pPr>
      <w:r>
        <w:rPr>
          <w:rFonts w:hint="eastAsia" w:ascii="黑体" w:hAnsi="黑体" w:eastAsia="黑体"/>
          <w:b/>
          <w:color w:val="auto"/>
          <w:sz w:val="32"/>
          <w:szCs w:val="32"/>
          <w:highlight w:val="none"/>
        </w:rPr>
        <w:t>一</w:t>
      </w:r>
      <w:r>
        <w:rPr>
          <w:rStyle w:val="30"/>
          <w:rFonts w:hint="eastAsia" w:ascii="黑体" w:hAnsi="黑体" w:eastAsia="黑体"/>
          <w:b w:val="0"/>
          <w:color w:val="auto"/>
          <w:highlight w:val="none"/>
        </w:rPr>
        <w:t>般公共预算财政拨款基本支出决算情况说明</w:t>
      </w:r>
      <w:r>
        <w:rPr>
          <w:rStyle w:val="30"/>
          <w:rFonts w:ascii="黑体" w:hAnsi="黑体" w:eastAsia="黑体"/>
          <w:b w:val="0"/>
          <w:color w:val="auto"/>
          <w:highlight w:val="none"/>
        </w:rPr>
        <w:tab/>
      </w:r>
      <w:r>
        <w:rPr>
          <w:rFonts w:hint="eastAsia" w:ascii="仿宋" w:hAnsi="仿宋" w:eastAsia="仿宋"/>
          <w:color w:val="auto"/>
          <w:sz w:val="32"/>
          <w:szCs w:val="32"/>
          <w:highlight w:val="none"/>
          <w:lang w:eastAsia="zh-CN"/>
        </w:rPr>
        <w:t>2024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一般公共预算财政拨款基本支出</w:t>
      </w:r>
      <w:r>
        <w:rPr>
          <w:rFonts w:hint="eastAsia" w:ascii="仿宋" w:hAnsi="仿宋" w:eastAsia="仿宋"/>
          <w:color w:val="auto"/>
          <w:sz w:val="32"/>
          <w:szCs w:val="32"/>
          <w:highlight w:val="none"/>
          <w:lang w:val="en-US" w:eastAsia="zh-CN"/>
        </w:rPr>
        <w:t>151.29</w:t>
      </w:r>
      <w:r>
        <w:rPr>
          <w:rFonts w:hint="eastAsia" w:ascii="仿宋" w:hAnsi="仿宋" w:eastAsia="仿宋"/>
          <w:color w:val="auto"/>
          <w:sz w:val="32"/>
          <w:szCs w:val="32"/>
          <w:highlight w:val="none"/>
        </w:rPr>
        <w:t>万元，其中：</w:t>
      </w:r>
    </w:p>
    <w:p>
      <w:pPr>
        <w:numPr>
          <w:ilvl w:val="0"/>
          <w:numId w:val="0"/>
        </w:numPr>
        <w:pBdr>
          <w:top w:val="single" w:color="FFFFFF" w:sz="4" w:space="4"/>
          <w:left w:val="single" w:color="FFFFFF" w:sz="4" w:space="31"/>
          <w:bottom w:val="single" w:color="FFFFFF" w:sz="4" w:space="31"/>
          <w:right w:val="single" w:color="FFFFFF" w:sz="4" w:space="31"/>
        </w:pBdr>
        <w:spacing w:line="560" w:lineRule="exact"/>
        <w:ind w:firstLine="640" w:firstLineChars="200"/>
        <w:rPr>
          <w:rFonts w:hint="eastAsia" w:ascii="仿宋" w:hAnsi="仿宋" w:eastAsia="仿宋"/>
          <w:b/>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138.06</w:t>
      </w:r>
      <w:r>
        <w:rPr>
          <w:rFonts w:hint="eastAsia" w:ascii="仿宋" w:hAnsi="仿宋" w:eastAsia="仿宋"/>
          <w:color w:val="auto"/>
          <w:sz w:val="32"/>
          <w:szCs w:val="32"/>
          <w:highlight w:val="none"/>
        </w:rPr>
        <w:t>万元，主要包括：</w:t>
      </w:r>
      <w:r>
        <w:rPr>
          <w:rFonts w:hint="eastAsia" w:ascii="仿宋" w:hAnsi="仿宋" w:eastAsia="仿宋"/>
          <w:sz w:val="32"/>
          <w:szCs w:val="32"/>
        </w:rPr>
        <w:t>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13.23</w:t>
      </w:r>
      <w:r>
        <w:rPr>
          <w:rFonts w:hint="eastAsia" w:ascii="仿宋" w:hAnsi="仿宋" w:eastAsia="仿宋"/>
          <w:color w:val="auto"/>
          <w:sz w:val="32"/>
          <w:szCs w:val="32"/>
          <w:highlight w:val="none"/>
        </w:rPr>
        <w:t>万元，主要包括：</w:t>
      </w:r>
      <w:r>
        <w:rPr>
          <w:rFonts w:hint="eastAsia" w:ascii="仿宋" w:hAnsi="仿宋" w:eastAsia="仿宋"/>
          <w:sz w:val="32"/>
          <w:szCs w:val="32"/>
        </w:rPr>
        <w:t>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w:t>
      </w:r>
      <w:r>
        <w:rPr>
          <w:rFonts w:hint="eastAsia" w:ascii="仿宋" w:hAnsi="仿宋" w:eastAsia="仿宋"/>
          <w:sz w:val="32"/>
          <w:szCs w:val="32"/>
          <w:lang w:eastAsia="zh-CN"/>
        </w:rPr>
        <w:t>。</w:t>
      </w:r>
      <w:r>
        <w:rPr>
          <w:rFonts w:hint="eastAsia" w:ascii="仿宋" w:hAnsi="仿宋" w:eastAsia="仿宋"/>
          <w:b/>
          <w:color w:val="auto"/>
          <w:sz w:val="32"/>
          <w:szCs w:val="32"/>
          <w:highlight w:val="none"/>
        </w:rPr>
        <w:t>（注：数据来源于财决</w:t>
      </w:r>
      <w:r>
        <w:rPr>
          <w:rFonts w:ascii="仿宋" w:hAnsi="仿宋" w:eastAsia="仿宋"/>
          <w:b/>
          <w:color w:val="auto"/>
          <w:sz w:val="32"/>
          <w:szCs w:val="32"/>
          <w:highlight w:val="none"/>
        </w:rPr>
        <w:t>0</w:t>
      </w:r>
      <w:r>
        <w:rPr>
          <w:rFonts w:hint="eastAsia" w:ascii="仿宋" w:hAnsi="仿宋" w:eastAsia="仿宋"/>
          <w:b/>
          <w:color w:val="auto"/>
          <w:sz w:val="32"/>
          <w:szCs w:val="32"/>
          <w:highlight w:val="none"/>
        </w:rPr>
        <w:t>7表</w:t>
      </w:r>
      <w:r>
        <w:rPr>
          <w:rFonts w:hint="eastAsia" w:ascii="仿宋" w:hAnsi="仿宋" w:eastAsia="仿宋"/>
          <w:b/>
          <w:color w:val="auto"/>
          <w:sz w:val="32"/>
          <w:szCs w:val="32"/>
          <w:highlight w:val="none"/>
          <w:lang w:eastAsia="zh-CN"/>
        </w:rPr>
        <w:t>和财决</w:t>
      </w:r>
      <w:r>
        <w:rPr>
          <w:rFonts w:hint="eastAsia" w:ascii="仿宋" w:hAnsi="仿宋" w:eastAsia="仿宋"/>
          <w:b/>
          <w:color w:val="auto"/>
          <w:sz w:val="32"/>
          <w:szCs w:val="32"/>
          <w:highlight w:val="none"/>
          <w:lang w:val="en-US" w:eastAsia="zh-CN"/>
        </w:rPr>
        <w:t>08-1表</w:t>
      </w:r>
      <w:r>
        <w:rPr>
          <w:rFonts w:hint="eastAsia" w:ascii="仿宋" w:hAnsi="仿宋" w:eastAsia="仿宋"/>
          <w:b/>
          <w:color w:val="auto"/>
          <w:sz w:val="32"/>
          <w:szCs w:val="32"/>
          <w:highlight w:val="none"/>
        </w:rPr>
        <w:t>，</w:t>
      </w:r>
      <w:r>
        <w:rPr>
          <w:rFonts w:hint="eastAsia" w:ascii="仿宋" w:hAnsi="仿宋" w:eastAsia="仿宋"/>
          <w:b/>
          <w:color w:val="auto"/>
          <w:sz w:val="32"/>
          <w:szCs w:val="32"/>
          <w:highlight w:val="none"/>
          <w:lang w:eastAsia="zh-CN"/>
        </w:rPr>
        <w:t>仅罗列</w:t>
      </w:r>
      <w:r>
        <w:rPr>
          <w:rFonts w:hint="eastAsia" w:ascii="仿宋" w:hAnsi="仿宋" w:eastAsia="仿宋"/>
          <w:b/>
          <w:color w:val="auto"/>
          <w:sz w:val="32"/>
          <w:szCs w:val="32"/>
          <w:highlight w:val="none"/>
        </w:rPr>
        <w:t>本</w:t>
      </w:r>
      <w:r>
        <w:rPr>
          <w:rFonts w:hint="eastAsia" w:ascii="仿宋" w:hAnsi="仿宋" w:eastAsia="仿宋"/>
          <w:b/>
          <w:color w:val="auto"/>
          <w:sz w:val="32"/>
          <w:szCs w:val="32"/>
          <w:highlight w:val="none"/>
          <w:lang w:eastAsia="zh-CN"/>
        </w:rPr>
        <w:t>单位</w:t>
      </w:r>
      <w:r>
        <w:rPr>
          <w:rFonts w:hint="eastAsia" w:ascii="仿宋" w:hAnsi="仿宋" w:eastAsia="仿宋"/>
          <w:b/>
          <w:color w:val="auto"/>
          <w:sz w:val="32"/>
          <w:szCs w:val="32"/>
          <w:highlight w:val="none"/>
        </w:rPr>
        <w:t>实际支出</w:t>
      </w:r>
      <w:r>
        <w:rPr>
          <w:rFonts w:hint="eastAsia" w:ascii="仿宋" w:hAnsi="仿宋" w:eastAsia="仿宋"/>
          <w:b/>
          <w:color w:val="auto"/>
          <w:sz w:val="32"/>
          <w:szCs w:val="32"/>
          <w:highlight w:val="none"/>
          <w:lang w:eastAsia="zh-CN"/>
        </w:rPr>
        <w:t>涉及的</w:t>
      </w:r>
      <w:r>
        <w:rPr>
          <w:rFonts w:hint="eastAsia" w:ascii="仿宋" w:hAnsi="仿宋" w:eastAsia="仿宋"/>
          <w:b/>
          <w:color w:val="auto"/>
          <w:sz w:val="32"/>
          <w:szCs w:val="32"/>
          <w:highlight w:val="none"/>
        </w:rPr>
        <w:t>经济分类科目。）</w:t>
      </w:r>
    </w:p>
    <w:p>
      <w:pPr>
        <w:numPr>
          <w:ilvl w:val="0"/>
          <w:numId w:val="2"/>
        </w:numPr>
        <w:pBdr>
          <w:top w:val="single" w:color="FFFFFF" w:sz="4" w:space="4"/>
          <w:left w:val="single" w:color="FFFFFF" w:sz="4" w:space="31"/>
          <w:bottom w:val="single" w:color="FFFFFF" w:sz="4" w:space="31"/>
          <w:right w:val="single" w:color="FFFFFF" w:sz="4" w:space="31"/>
        </w:pBdr>
        <w:spacing w:line="560" w:lineRule="exact"/>
        <w:ind w:left="0" w:leftChars="0" w:firstLine="640" w:firstLineChars="200"/>
        <w:rPr>
          <w:rStyle w:val="30"/>
          <w:rFonts w:hint="eastAsia" w:ascii="黑体" w:hAnsi="黑体" w:eastAsia="黑体"/>
          <w:b w:val="0"/>
          <w:color w:val="auto"/>
          <w:highlight w:val="none"/>
        </w:rPr>
      </w:pPr>
      <w:r>
        <w:rPr>
          <w:rStyle w:val="30"/>
          <w:rFonts w:hint="eastAsia" w:ascii="黑体" w:hAnsi="黑体" w:eastAsia="黑体"/>
          <w:b w:val="0"/>
          <w:color w:val="auto"/>
          <w:highlight w:val="none"/>
        </w:rPr>
        <w:t>财政拨款</w:t>
      </w:r>
      <w:r>
        <w:rPr>
          <w:rStyle w:val="30"/>
          <w:rFonts w:hint="eastAsia" w:ascii="黑体" w:hAnsi="黑体" w:eastAsia="黑体"/>
          <w:color w:val="auto"/>
          <w:highlight w:val="none"/>
        </w:rPr>
        <w:t>“</w:t>
      </w:r>
      <w:r>
        <w:rPr>
          <w:rStyle w:val="30"/>
          <w:rFonts w:hint="eastAsia" w:ascii="黑体" w:hAnsi="黑体" w:eastAsia="黑体"/>
          <w:b w:val="0"/>
          <w:color w:val="auto"/>
          <w:highlight w:val="none"/>
        </w:rPr>
        <w:t>三公”经费支出决算情况说明</w:t>
      </w:r>
    </w:p>
    <w:p>
      <w:pPr>
        <w:numPr>
          <w:ilvl w:val="0"/>
          <w:numId w:val="3"/>
        </w:numPr>
        <w:pBdr>
          <w:top w:val="single" w:color="FFFFFF" w:sz="4" w:space="4"/>
          <w:left w:val="single" w:color="FFFFFF" w:sz="4" w:space="31"/>
          <w:bottom w:val="single" w:color="FFFFFF" w:sz="4" w:space="31"/>
          <w:right w:val="single" w:color="FFFFFF" w:sz="4" w:space="31"/>
        </w:pBdr>
        <w:spacing w:line="560" w:lineRule="exact"/>
        <w:ind w:firstLine="643" w:firstLineChars="200"/>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“三公”经费财政拨款支出决算总体情况说明</w:t>
      </w:r>
    </w:p>
    <w:p>
      <w:pPr>
        <w:numPr>
          <w:ilvl w:val="0"/>
          <w:numId w:val="0"/>
        </w:numPr>
        <w:pBdr>
          <w:top w:val="single" w:color="FFFFFF" w:sz="4" w:space="4"/>
          <w:left w:val="single" w:color="FFFFFF" w:sz="4" w:space="31"/>
          <w:bottom w:val="single" w:color="FFFFFF" w:sz="4" w:space="31"/>
          <w:right w:val="single" w:color="FFFFFF" w:sz="4" w:space="31"/>
        </w:pBdr>
        <w:spacing w:line="560" w:lineRule="exact"/>
        <w:ind w:firstLine="640" w:firstLineChars="200"/>
        <w:rPr>
          <w:rFonts w:hint="eastAsia" w:ascii="仿宋_GB2312" w:hAnsi="仿宋" w:eastAsia="仿宋_GB2312"/>
          <w:sz w:val="32"/>
          <w:szCs w:val="32"/>
        </w:rPr>
      </w:pPr>
      <w:r>
        <w:rPr>
          <w:rFonts w:hint="eastAsia" w:ascii="仿宋" w:hAnsi="仿宋" w:eastAsia="仿宋"/>
          <w:color w:val="auto"/>
          <w:sz w:val="32"/>
          <w:szCs w:val="32"/>
          <w:highlight w:val="none"/>
          <w:lang w:eastAsia="zh-CN"/>
        </w:rPr>
        <w:t>2024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“三公”经费财政拨款支出决算为</w:t>
      </w:r>
      <w:r>
        <w:rPr>
          <w:rFonts w:hint="eastAsia" w:ascii="仿宋" w:hAnsi="仿宋" w:eastAsia="仿宋"/>
          <w:color w:val="auto"/>
          <w:sz w:val="32"/>
          <w:szCs w:val="32"/>
          <w:highlight w:val="none"/>
          <w:lang w:val="en-US" w:eastAsia="zh-CN"/>
        </w:rPr>
        <w:t>0.41</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较上年度增加</w:t>
      </w:r>
      <w:r>
        <w:rPr>
          <w:rFonts w:hint="eastAsia" w:ascii="仿宋" w:hAnsi="仿宋" w:eastAsia="仿宋"/>
          <w:color w:val="auto"/>
          <w:sz w:val="32"/>
          <w:szCs w:val="32"/>
          <w:highlight w:val="none"/>
          <w:lang w:val="en-US" w:eastAsia="zh-CN"/>
        </w:rPr>
        <w:t>0.02万元，增长5.1%。</w:t>
      </w:r>
      <w:r>
        <w:rPr>
          <w:rFonts w:hint="eastAsia" w:ascii="仿宋_GB2312" w:hAnsi="仿宋" w:eastAsia="仿宋_GB2312"/>
          <w:sz w:val="32"/>
          <w:szCs w:val="32"/>
        </w:rPr>
        <w:t>主要原因</w:t>
      </w:r>
      <w:r>
        <w:rPr>
          <w:rFonts w:hint="eastAsia" w:ascii="仿宋_GB2312" w:hAnsi="仿宋" w:eastAsia="仿宋_GB2312" w:cs="仿宋"/>
          <w:color w:val="000000"/>
          <w:sz w:val="32"/>
          <w:szCs w:val="32"/>
        </w:rPr>
        <w:t>公务接待人次</w:t>
      </w:r>
      <w:r>
        <w:rPr>
          <w:rFonts w:hint="eastAsia" w:ascii="仿宋_GB2312" w:hAnsi="仿宋" w:eastAsia="仿宋_GB2312" w:cs="仿宋"/>
          <w:color w:val="000000"/>
          <w:sz w:val="32"/>
          <w:szCs w:val="32"/>
          <w:lang w:val="en-US" w:eastAsia="zh-CN"/>
        </w:rPr>
        <w:t>增加</w:t>
      </w:r>
      <w:r>
        <w:rPr>
          <w:rFonts w:hint="eastAsia" w:ascii="仿宋_GB2312" w:hAnsi="仿宋" w:eastAsia="仿宋_GB2312"/>
          <w:sz w:val="32"/>
          <w:szCs w:val="32"/>
        </w:rPr>
        <w:t>。</w:t>
      </w:r>
    </w:p>
    <w:p>
      <w:pPr>
        <w:numPr>
          <w:ilvl w:val="0"/>
          <w:numId w:val="0"/>
        </w:numPr>
        <w:pBdr>
          <w:top w:val="single" w:color="FFFFFF" w:sz="4" w:space="4"/>
          <w:left w:val="single" w:color="FFFFFF" w:sz="4" w:space="31"/>
          <w:bottom w:val="single" w:color="FFFFFF" w:sz="4" w:space="31"/>
          <w:right w:val="single" w:color="FFFFFF" w:sz="4" w:space="31"/>
        </w:pBdr>
        <w:spacing w:line="560" w:lineRule="exact"/>
        <w:ind w:firstLine="643" w:firstLineChars="200"/>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（注：上述“预算”口径为</w:t>
      </w:r>
      <w:r>
        <w:rPr>
          <w:rFonts w:hint="eastAsia" w:ascii="仿宋" w:hAnsi="仿宋" w:eastAsia="仿宋"/>
          <w:b/>
          <w:color w:val="auto"/>
          <w:sz w:val="32"/>
          <w:szCs w:val="32"/>
          <w:highlight w:val="none"/>
          <w:lang w:eastAsia="zh-CN"/>
        </w:rPr>
        <w:t>全年预算</w:t>
      </w:r>
      <w:r>
        <w:rPr>
          <w:rFonts w:hint="eastAsia" w:ascii="仿宋" w:hAnsi="仿宋" w:eastAsia="仿宋"/>
          <w:b/>
          <w:color w:val="auto"/>
          <w:sz w:val="32"/>
          <w:szCs w:val="32"/>
          <w:highlight w:val="none"/>
        </w:rPr>
        <w:t>数，包括</w:t>
      </w:r>
      <w:r>
        <w:rPr>
          <w:rFonts w:hint="eastAsia" w:ascii="仿宋" w:hAnsi="仿宋" w:eastAsia="仿宋"/>
          <w:b/>
          <w:color w:val="auto"/>
          <w:sz w:val="32"/>
          <w:szCs w:val="32"/>
          <w:highlight w:val="none"/>
          <w:lang w:eastAsia="zh-CN"/>
        </w:rPr>
        <w:t>一般公共预算和</w:t>
      </w:r>
      <w:r>
        <w:rPr>
          <w:rFonts w:hint="eastAsia" w:ascii="仿宋" w:hAnsi="仿宋" w:eastAsia="仿宋"/>
          <w:b/>
          <w:color w:val="auto"/>
          <w:sz w:val="32"/>
          <w:szCs w:val="32"/>
          <w:highlight w:val="none"/>
        </w:rPr>
        <w:t>政府性基金</w:t>
      </w:r>
      <w:r>
        <w:rPr>
          <w:rFonts w:hint="eastAsia" w:ascii="仿宋" w:hAnsi="仿宋" w:eastAsia="仿宋"/>
          <w:b/>
          <w:color w:val="auto"/>
          <w:sz w:val="32"/>
          <w:szCs w:val="32"/>
          <w:highlight w:val="none"/>
          <w:lang w:eastAsia="zh-CN"/>
        </w:rPr>
        <w:t>预算财政拨款</w:t>
      </w:r>
      <w:r>
        <w:rPr>
          <w:rFonts w:hint="eastAsia" w:ascii="仿宋" w:hAnsi="仿宋" w:eastAsia="仿宋"/>
          <w:b/>
          <w:color w:val="auto"/>
          <w:sz w:val="32"/>
          <w:szCs w:val="32"/>
          <w:highlight w:val="none"/>
        </w:rPr>
        <w:t>支出决算情况。）</w:t>
      </w:r>
    </w:p>
    <w:p>
      <w:pPr>
        <w:numPr>
          <w:ilvl w:val="0"/>
          <w:numId w:val="3"/>
        </w:numPr>
        <w:pBdr>
          <w:top w:val="single" w:color="FFFFFF" w:sz="4" w:space="4"/>
          <w:left w:val="single" w:color="FFFFFF" w:sz="4" w:space="31"/>
          <w:bottom w:val="single" w:color="FFFFFF" w:sz="4" w:space="31"/>
          <w:right w:val="single" w:color="FFFFFF" w:sz="4" w:space="31"/>
        </w:pBdr>
        <w:spacing w:line="560" w:lineRule="exact"/>
        <w:ind w:left="0" w:leftChars="0" w:firstLine="643" w:firstLineChars="200"/>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“三公”经费财政拨款支出决算具体情况说明</w:t>
      </w:r>
    </w:p>
    <w:p>
      <w:pPr>
        <w:numPr>
          <w:ilvl w:val="0"/>
          <w:numId w:val="0"/>
        </w:numPr>
        <w:pBdr>
          <w:top w:val="single" w:color="FFFFFF" w:sz="4" w:space="4"/>
          <w:left w:val="single" w:color="FFFFFF" w:sz="4" w:space="31"/>
          <w:bottom w:val="single" w:color="FFFFFF" w:sz="4" w:space="31"/>
          <w:right w:val="single" w:color="FFFFFF" w:sz="4" w:space="31"/>
        </w:pBdr>
        <w:spacing w:line="56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t>2024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0.41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numPr>
          <w:ilvl w:val="0"/>
          <w:numId w:val="0"/>
        </w:numPr>
        <w:pBdr>
          <w:top w:val="single" w:color="FFFFFF" w:sz="4" w:space="4"/>
          <w:left w:val="single" w:color="FFFFFF" w:sz="4" w:space="31"/>
          <w:bottom w:val="single" w:color="FFFFFF" w:sz="4" w:space="31"/>
          <w:right w:val="single" w:color="FFFFFF" w:sz="4" w:space="31"/>
        </w:pBdr>
        <w:spacing w:line="56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2024年度</w:t>
      </w:r>
      <w:r>
        <w:rPr>
          <w:rFonts w:hint="eastAsia" w:ascii="仿宋" w:hAnsi="仿宋" w:eastAsia="仿宋"/>
          <w:color w:val="auto"/>
          <w:sz w:val="32"/>
          <w:szCs w:val="32"/>
          <w:highlight w:val="none"/>
        </w:rPr>
        <w:t>“三公”经费财政拨款支出结构</w:t>
      </w:r>
    </w:p>
    <w:p>
      <w:pPr>
        <w:pStyle w:val="2"/>
        <w:ind w:firstLine="5760" w:firstLineChars="1800"/>
        <w:rPr>
          <w:rFonts w:hint="eastAsia" w:eastAsia="仿宋"/>
          <w:lang w:eastAsia="zh-CN"/>
        </w:rPr>
      </w:pPr>
      <w:r>
        <w:rPr>
          <w:rFonts w:hint="eastAsia" w:ascii="仿宋" w:hAnsi="仿宋" w:eastAsia="仿宋"/>
          <w:color w:val="auto"/>
          <w:sz w:val="32"/>
          <w:szCs w:val="32"/>
          <w:highlight w:val="none"/>
          <w:lang w:eastAsia="zh-CN"/>
        </w:rPr>
        <w:t>单位：万元</w:t>
      </w:r>
    </w:p>
    <w:p>
      <w:pPr>
        <w:spacing w:line="600" w:lineRule="exact"/>
        <w:ind w:firstLine="640"/>
        <w:rPr>
          <w:rFonts w:ascii="仿宋_GB2312" w:eastAsia="仿宋_GB2312"/>
          <w:b/>
          <w:color w:val="auto"/>
          <w:sz w:val="32"/>
          <w:szCs w:val="32"/>
          <w:highlight w:val="none"/>
        </w:rPr>
      </w:pPr>
      <w:r>
        <w:drawing>
          <wp:anchor distT="0" distB="0" distL="114300" distR="114300" simplePos="0" relativeHeight="251663360" behindDoc="0" locked="0" layoutInCell="1" allowOverlap="1">
            <wp:simplePos x="0" y="0"/>
            <wp:positionH relativeFrom="column">
              <wp:posOffset>306070</wp:posOffset>
            </wp:positionH>
            <wp:positionV relativeFrom="paragraph">
              <wp:posOffset>-300355</wp:posOffset>
            </wp:positionV>
            <wp:extent cx="4572000" cy="2743200"/>
            <wp:effectExtent l="4445" t="4445" r="14605" b="14605"/>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人。因公出国（境）支出决算比</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lang w:val="en-US" w:eastAsia="zh-CN"/>
        </w:rPr>
        <w:t>持平</w:t>
      </w:r>
      <w:r>
        <w:rPr>
          <w:rFonts w:hint="eastAsia" w:ascii="仿宋_GB2312" w:eastAsia="仿宋_GB2312"/>
          <w:color w:val="auto"/>
          <w:sz w:val="32"/>
          <w:szCs w:val="32"/>
          <w:highlight w:val="none"/>
        </w:rPr>
        <w:t>。</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lang w:val="en-US" w:eastAsia="zh-CN"/>
        </w:rPr>
        <w:t>持平</w:t>
      </w:r>
      <w:r>
        <w:rPr>
          <w:rFonts w:hint="eastAsia" w:ascii="仿宋_GB2312" w:eastAsia="仿宋_GB2312"/>
          <w:color w:val="auto"/>
          <w:sz w:val="32"/>
          <w:szCs w:val="32"/>
          <w:highlight w:val="none"/>
        </w:rPr>
        <w:t>。</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hint="eastAsia" w:ascii="仿宋_GB2312" w:eastAsia="仿宋_GB2312"/>
          <w:color w:val="auto"/>
          <w:sz w:val="32"/>
          <w:szCs w:val="32"/>
          <w:highlight w:val="none"/>
          <w:lang w:eastAsia="zh-CN"/>
        </w:rPr>
        <w:t>2024</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31日</w:t>
      </w:r>
      <w:r>
        <w:rPr>
          <w:rFonts w:hint="eastAsia" w:ascii="仿宋_GB2312" w:eastAsia="仿宋_GB2312"/>
          <w:color w:val="auto"/>
          <w:sz w:val="32"/>
          <w:szCs w:val="32"/>
          <w:highlight w:val="none"/>
        </w:rPr>
        <w:t>，单位共有公务用车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pPr>
        <w:spacing w:line="600" w:lineRule="exact"/>
        <w:ind w:firstLine="640"/>
        <w:rPr>
          <w:rFonts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0.41</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增加</w:t>
      </w:r>
      <w:r>
        <w:rPr>
          <w:rFonts w:hint="eastAsia" w:ascii="仿宋_GB2312" w:eastAsia="仿宋_GB2312"/>
          <w:color w:val="auto"/>
          <w:sz w:val="32"/>
          <w:szCs w:val="32"/>
          <w:highlight w:val="none"/>
          <w:lang w:val="en-US" w:eastAsia="zh-CN"/>
        </w:rPr>
        <w:t>0.02</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5.1</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hAnsi="仿宋" w:eastAsia="仿宋_GB2312" w:cs="仿宋"/>
          <w:color w:val="000000"/>
          <w:sz w:val="32"/>
          <w:szCs w:val="32"/>
        </w:rPr>
        <w:t>公务接待人次</w:t>
      </w:r>
      <w:r>
        <w:rPr>
          <w:rFonts w:hint="eastAsia" w:ascii="仿宋_GB2312" w:hAnsi="仿宋" w:eastAsia="仿宋_GB2312" w:cs="仿宋"/>
          <w:color w:val="000000"/>
          <w:sz w:val="32"/>
          <w:szCs w:val="32"/>
          <w:lang w:val="en-US" w:eastAsia="zh-CN"/>
        </w:rPr>
        <w:t>增加</w:t>
      </w:r>
      <w:r>
        <w:rPr>
          <w:rFonts w:hint="eastAsia" w:ascii="仿宋_GB2312" w:eastAsia="仿宋_GB2312"/>
          <w:color w:val="auto"/>
          <w:sz w:val="32"/>
          <w:szCs w:val="32"/>
          <w:highlight w:val="none"/>
        </w:rPr>
        <w:t>。其中：</w:t>
      </w:r>
    </w:p>
    <w:p>
      <w:pPr>
        <w:numPr>
          <w:ilvl w:val="0"/>
          <w:numId w:val="0"/>
        </w:numPr>
        <w:pBdr>
          <w:top w:val="single" w:color="FFFFFF" w:sz="4" w:space="4"/>
          <w:left w:val="single" w:color="FFFFFF" w:sz="4" w:space="31"/>
          <w:bottom w:val="single" w:color="FFFFFF" w:sz="4" w:space="31"/>
          <w:right w:val="single" w:color="FFFFFF" w:sz="4" w:space="31"/>
        </w:pBdr>
        <w:spacing w:line="560" w:lineRule="exact"/>
        <w:ind w:firstLine="643" w:firstLineChars="200"/>
        <w:rPr>
          <w:rFonts w:hint="eastAsia"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0.41</w:t>
      </w:r>
      <w:r>
        <w:rPr>
          <w:rFonts w:hint="eastAsia" w:ascii="仿宋_GB2312" w:eastAsia="仿宋_GB2312"/>
          <w:color w:val="auto"/>
          <w:sz w:val="32"/>
          <w:szCs w:val="32"/>
          <w:highlight w:val="none"/>
        </w:rPr>
        <w:t>万元，</w:t>
      </w:r>
      <w:r>
        <w:rPr>
          <w:rFonts w:hint="eastAsia" w:ascii="仿宋_GB2312" w:eastAsia="仿宋_GB2312"/>
          <w:color w:val="000000"/>
          <w:sz w:val="32"/>
          <w:szCs w:val="32"/>
        </w:rPr>
        <w:t>主要用于开展业务活动开支的用餐费等</w:t>
      </w:r>
      <w:r>
        <w:rPr>
          <w:rFonts w:hint="eastAsia" w:ascii="仿宋_GB2312" w:eastAsia="仿宋_GB2312"/>
          <w:color w:val="auto"/>
          <w:sz w:val="32"/>
          <w:szCs w:val="32"/>
          <w:highlight w:val="none"/>
        </w:rPr>
        <w:t>。国内公务接待</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43</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0.41</w:t>
      </w:r>
      <w:r>
        <w:rPr>
          <w:rFonts w:hint="eastAsia" w:ascii="仿宋_GB2312" w:eastAsia="仿宋_GB2312"/>
          <w:color w:val="auto"/>
          <w:sz w:val="32"/>
          <w:szCs w:val="32"/>
          <w:highlight w:val="none"/>
        </w:rPr>
        <w:t>万元。</w:t>
      </w:r>
    </w:p>
    <w:p>
      <w:pPr>
        <w:numPr>
          <w:ilvl w:val="0"/>
          <w:numId w:val="0"/>
        </w:numPr>
        <w:pBdr>
          <w:top w:val="single" w:color="FFFFFF" w:sz="4" w:space="4"/>
          <w:left w:val="single" w:color="FFFFFF" w:sz="4" w:space="31"/>
          <w:bottom w:val="single" w:color="FFFFFF" w:sz="4" w:space="31"/>
          <w:right w:val="single" w:color="FFFFFF" w:sz="4" w:space="31"/>
        </w:pBdr>
        <w:spacing w:line="560" w:lineRule="exact"/>
        <w:ind w:firstLine="643" w:firstLineChars="200"/>
        <w:rPr>
          <w:rFonts w:hint="eastAsia"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0"/>
        </w:numPr>
        <w:pBdr>
          <w:top w:val="single" w:color="FFFFFF" w:sz="4" w:space="4"/>
          <w:left w:val="single" w:color="FFFFFF" w:sz="4" w:space="31"/>
          <w:bottom w:val="single" w:color="FFFFFF" w:sz="4" w:space="31"/>
          <w:right w:val="single" w:color="FFFFFF" w:sz="4" w:space="31"/>
        </w:pBdr>
        <w:spacing w:line="560" w:lineRule="exact"/>
        <w:ind w:firstLine="640" w:firstLineChars="200"/>
        <w:rPr>
          <w:rStyle w:val="30"/>
          <w:rFonts w:hint="eastAsia" w:ascii="黑体" w:hAnsi="黑体" w:eastAsia="黑体"/>
          <w:b w:val="0"/>
          <w:color w:val="auto"/>
          <w:highlight w:val="none"/>
        </w:rPr>
      </w:pPr>
      <w:r>
        <w:rPr>
          <w:rStyle w:val="30"/>
          <w:rFonts w:hint="eastAsia" w:ascii="黑体" w:hAnsi="黑体" w:eastAsia="黑体"/>
          <w:b w:val="0"/>
          <w:color w:val="auto"/>
          <w:highlight w:val="none"/>
          <w:lang w:val="en-US" w:eastAsia="zh-CN"/>
        </w:rPr>
        <w:t>八、</w:t>
      </w:r>
      <w:r>
        <w:rPr>
          <w:rStyle w:val="30"/>
          <w:rFonts w:hint="eastAsia" w:ascii="黑体" w:hAnsi="黑体" w:eastAsia="黑体"/>
          <w:b w:val="0"/>
          <w:color w:val="auto"/>
          <w:highlight w:val="none"/>
        </w:rPr>
        <w:t>政府性基金预算支出决算情况说明</w:t>
      </w:r>
    </w:p>
    <w:p>
      <w:pPr>
        <w:numPr>
          <w:ilvl w:val="0"/>
          <w:numId w:val="0"/>
        </w:numPr>
        <w:pBdr>
          <w:top w:val="single" w:color="FFFFFF" w:sz="4" w:space="4"/>
          <w:left w:val="single" w:color="FFFFFF" w:sz="4" w:space="31"/>
          <w:bottom w:val="single" w:color="FFFFFF" w:sz="4" w:space="31"/>
          <w:right w:val="single" w:color="FFFFFF" w:sz="4" w:space="31"/>
        </w:pBdr>
        <w:spacing w:line="560" w:lineRule="exact"/>
        <w:ind w:firstLine="640" w:firstLineChars="200"/>
        <w:rPr>
          <w:rStyle w:val="30"/>
          <w:rFonts w:ascii="黑体" w:hAnsi="黑体" w:eastAsia="黑体"/>
          <w:b w:val="0"/>
          <w:color w:val="auto"/>
          <w:highlight w:val="none"/>
        </w:rPr>
      </w:pPr>
      <w:r>
        <w:rPr>
          <w:rFonts w:hint="eastAsia" w:ascii="仿宋_GB2312" w:eastAsia="仿宋_GB2312"/>
          <w:color w:val="auto"/>
          <w:sz w:val="32"/>
          <w:szCs w:val="32"/>
          <w:highlight w:val="none"/>
          <w:lang w:eastAsia="zh-CN"/>
        </w:rPr>
        <w:t>2024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0"/>
        </w:numPr>
        <w:pBdr>
          <w:top w:val="single" w:color="FFFFFF" w:sz="4" w:space="4"/>
          <w:left w:val="single" w:color="FFFFFF" w:sz="4" w:space="31"/>
          <w:bottom w:val="single" w:color="FFFFFF" w:sz="4" w:space="31"/>
          <w:right w:val="single" w:color="FFFFFF" w:sz="4" w:space="31"/>
        </w:pBdr>
        <w:spacing w:line="560" w:lineRule="exact"/>
        <w:ind w:firstLine="640" w:firstLineChars="200"/>
        <w:rPr>
          <w:rStyle w:val="30"/>
          <w:rFonts w:hint="eastAsia" w:ascii="黑体" w:hAnsi="黑体" w:eastAsia="黑体"/>
          <w:b w:val="0"/>
          <w:color w:val="auto"/>
          <w:highlight w:val="none"/>
        </w:rPr>
      </w:pPr>
      <w:r>
        <w:rPr>
          <w:rStyle w:val="30"/>
          <w:rFonts w:hint="eastAsia" w:ascii="黑体" w:hAnsi="黑体" w:eastAsia="黑体"/>
          <w:b w:val="0"/>
          <w:color w:val="auto"/>
          <w:highlight w:val="none"/>
          <w:lang w:val="en-US" w:eastAsia="zh-CN"/>
        </w:rPr>
        <w:t>九、</w:t>
      </w:r>
      <w:r>
        <w:rPr>
          <w:rStyle w:val="30"/>
          <w:rFonts w:hint="eastAsia" w:ascii="黑体" w:hAnsi="黑体" w:eastAsia="黑体"/>
          <w:b w:val="0"/>
          <w:color w:val="auto"/>
          <w:highlight w:val="none"/>
        </w:rPr>
        <w:t>国有资本经营预算支出决算情况说明</w:t>
      </w:r>
    </w:p>
    <w:p>
      <w:pPr>
        <w:numPr>
          <w:ilvl w:val="0"/>
          <w:numId w:val="0"/>
        </w:numPr>
        <w:pBdr>
          <w:top w:val="single" w:color="FFFFFF" w:sz="4" w:space="4"/>
          <w:left w:val="single" w:color="FFFFFF" w:sz="4" w:space="31"/>
          <w:bottom w:val="single" w:color="FFFFFF" w:sz="4" w:space="31"/>
          <w:right w:val="single" w:color="FFFFFF" w:sz="4" w:space="31"/>
        </w:pBdr>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2024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0"/>
        </w:numPr>
        <w:pBdr>
          <w:top w:val="single" w:color="FFFFFF" w:sz="4" w:space="4"/>
          <w:left w:val="single" w:color="FFFFFF" w:sz="4" w:space="31"/>
          <w:bottom w:val="single" w:color="FFFFFF" w:sz="4" w:space="31"/>
          <w:right w:val="single" w:color="FFFFFF" w:sz="4" w:space="31"/>
        </w:pBdr>
        <w:spacing w:line="560" w:lineRule="exact"/>
        <w:ind w:firstLine="640" w:firstLineChars="200"/>
        <w:rPr>
          <w:rStyle w:val="30"/>
          <w:rFonts w:hint="eastAsia" w:ascii="黑体" w:hAnsi="黑体" w:eastAsia="黑体"/>
          <w:b w:val="0"/>
          <w:color w:val="auto"/>
          <w:highlight w:val="none"/>
        </w:rPr>
      </w:pPr>
      <w:r>
        <w:rPr>
          <w:rStyle w:val="30"/>
          <w:rFonts w:hint="eastAsia" w:ascii="黑体" w:hAnsi="黑体" w:eastAsia="黑体"/>
          <w:b w:val="0"/>
          <w:color w:val="auto"/>
          <w:highlight w:val="none"/>
          <w:lang w:eastAsia="zh-CN"/>
        </w:rPr>
        <w:t>十、</w:t>
      </w:r>
      <w:r>
        <w:rPr>
          <w:rStyle w:val="30"/>
          <w:rFonts w:hint="eastAsia" w:ascii="黑体" w:hAnsi="黑体" w:eastAsia="黑体"/>
          <w:b w:val="0"/>
          <w:color w:val="auto"/>
          <w:highlight w:val="none"/>
        </w:rPr>
        <w:t>其他重要事项的情况说明</w:t>
      </w:r>
    </w:p>
    <w:p>
      <w:pPr>
        <w:numPr>
          <w:ilvl w:val="0"/>
          <w:numId w:val="4"/>
        </w:numPr>
        <w:pBdr>
          <w:top w:val="single" w:color="FFFFFF" w:sz="4" w:space="4"/>
          <w:left w:val="single" w:color="FFFFFF" w:sz="4" w:space="31"/>
          <w:bottom w:val="single" w:color="FFFFFF" w:sz="4" w:space="31"/>
          <w:right w:val="single" w:color="FFFFFF" w:sz="4" w:space="31"/>
        </w:pBdr>
        <w:spacing w:line="560" w:lineRule="exact"/>
        <w:ind w:firstLine="643" w:firstLineChars="200"/>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机关运行经费支出情况</w:t>
      </w:r>
    </w:p>
    <w:p>
      <w:pPr>
        <w:numPr>
          <w:ilvl w:val="0"/>
          <w:numId w:val="0"/>
        </w:numPr>
        <w:pBdr>
          <w:top w:val="single" w:color="FFFFFF" w:sz="4" w:space="4"/>
          <w:left w:val="single" w:color="FFFFFF" w:sz="4" w:space="31"/>
          <w:bottom w:val="single" w:color="FFFFFF" w:sz="4" w:space="31"/>
          <w:right w:val="single" w:color="FFFFFF" w:sz="4" w:space="31"/>
        </w:pBdr>
        <w:spacing w:line="560" w:lineRule="exact"/>
        <w:ind w:firstLine="640" w:firstLineChars="200"/>
        <w:rPr>
          <w:rFonts w:hint="eastAsia" w:ascii="仿宋_GB2312" w:eastAsia="仿宋_GB2312"/>
          <w:sz w:val="32"/>
          <w:szCs w:val="32"/>
        </w:rPr>
      </w:pPr>
      <w:r>
        <w:rPr>
          <w:rFonts w:hint="eastAsia" w:ascii="仿宋_GB2312" w:eastAsia="仿宋_GB2312"/>
          <w:color w:val="auto"/>
          <w:sz w:val="32"/>
          <w:szCs w:val="32"/>
          <w:highlight w:val="none"/>
          <w:lang w:eastAsia="zh-CN"/>
        </w:rPr>
        <w:t>2024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w:t>
      </w:r>
      <w:r>
        <w:rPr>
          <w:rFonts w:hint="eastAsia" w:ascii="仿宋_GB2312" w:hAnsi="Times New Roman" w:eastAsia="仿宋_GB2312" w:cs="Times New Roman"/>
          <w:sz w:val="32"/>
          <w:szCs w:val="32"/>
        </w:rPr>
        <w:t>乐山市金口河区供销合作联合社</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13.23</w:t>
      </w:r>
      <w:r>
        <w:rPr>
          <w:rFonts w:hint="eastAsia" w:ascii="仿宋_GB2312" w:eastAsia="仿宋_GB2312"/>
          <w:color w:val="auto"/>
          <w:sz w:val="32"/>
          <w:szCs w:val="32"/>
          <w:highlight w:val="none"/>
        </w:rPr>
        <w:t>万元，比</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lang w:val="en-US" w:eastAsia="zh-CN"/>
        </w:rPr>
        <w:t>增加0.61</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4.8</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调增</w:t>
      </w:r>
      <w:r>
        <w:rPr>
          <w:rFonts w:hint="eastAsia" w:ascii="仿宋_GB2312" w:eastAsia="仿宋_GB2312"/>
          <w:sz w:val="32"/>
          <w:szCs w:val="32"/>
          <w:lang w:val="en-US" w:eastAsia="zh-CN"/>
        </w:rPr>
        <w:t>公务员车补规范为公用经费支出</w:t>
      </w:r>
      <w:r>
        <w:rPr>
          <w:rFonts w:hint="eastAsia" w:ascii="仿宋_GB2312" w:eastAsia="仿宋_GB2312"/>
          <w:sz w:val="32"/>
          <w:szCs w:val="32"/>
        </w:rPr>
        <w:t>。</w:t>
      </w:r>
    </w:p>
    <w:p>
      <w:pPr>
        <w:numPr>
          <w:ilvl w:val="0"/>
          <w:numId w:val="0"/>
        </w:numPr>
        <w:pBdr>
          <w:top w:val="single" w:color="FFFFFF" w:sz="4" w:space="4"/>
          <w:left w:val="single" w:color="FFFFFF" w:sz="4" w:space="31"/>
          <w:bottom w:val="single" w:color="FFFFFF" w:sz="4" w:space="31"/>
          <w:right w:val="single" w:color="FFFFFF" w:sz="4" w:space="31"/>
        </w:pBdr>
        <w:spacing w:line="560" w:lineRule="exact"/>
        <w:ind w:firstLine="643" w:firstLineChars="200"/>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w:t>
      </w:r>
    </w:p>
    <w:p>
      <w:pPr>
        <w:numPr>
          <w:ilvl w:val="0"/>
          <w:numId w:val="4"/>
        </w:numPr>
        <w:pBdr>
          <w:top w:val="single" w:color="FFFFFF" w:sz="4" w:space="4"/>
          <w:left w:val="single" w:color="FFFFFF" w:sz="4" w:space="31"/>
          <w:bottom w:val="single" w:color="FFFFFF" w:sz="4" w:space="31"/>
          <w:right w:val="single" w:color="FFFFFF" w:sz="4" w:space="31"/>
        </w:pBdr>
        <w:spacing w:line="560" w:lineRule="exact"/>
        <w:ind w:left="0" w:leftChars="0" w:firstLine="643" w:firstLineChars="200"/>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政府采购支出情况</w:t>
      </w:r>
    </w:p>
    <w:p>
      <w:pPr>
        <w:numPr>
          <w:ilvl w:val="0"/>
          <w:numId w:val="0"/>
        </w:numPr>
        <w:pBdr>
          <w:top w:val="single" w:color="FFFFFF" w:sz="4" w:space="4"/>
          <w:left w:val="single" w:color="FFFFFF" w:sz="4" w:space="31"/>
          <w:bottom w:val="single" w:color="FFFFFF" w:sz="4" w:space="31"/>
          <w:right w:val="single" w:color="FFFFFF" w:sz="4" w:space="31"/>
        </w:pBdr>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2024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w:t>
      </w:r>
      <w:r>
        <w:rPr>
          <w:rFonts w:hint="eastAsia" w:ascii="仿宋_GB2312" w:hAnsi="Times New Roman" w:eastAsia="仿宋_GB2312" w:cs="Times New Roman"/>
          <w:sz w:val="32"/>
          <w:szCs w:val="32"/>
        </w:rPr>
        <w:t>乐山市金口河区供销合作联合社</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numPr>
          <w:ilvl w:val="0"/>
          <w:numId w:val="0"/>
        </w:numPr>
        <w:pBdr>
          <w:top w:val="single" w:color="FFFFFF" w:sz="4" w:space="4"/>
          <w:left w:val="single" w:color="FFFFFF" w:sz="4" w:space="31"/>
          <w:bottom w:val="single" w:color="FFFFFF" w:sz="4" w:space="31"/>
          <w:right w:val="single" w:color="FFFFFF" w:sz="4" w:space="31"/>
        </w:pBdr>
        <w:spacing w:line="560" w:lineRule="exact"/>
        <w:ind w:firstLine="643" w:firstLineChars="200"/>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（注：数据来源于财决附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w:t>
      </w:r>
    </w:p>
    <w:p>
      <w:pPr>
        <w:numPr>
          <w:ilvl w:val="0"/>
          <w:numId w:val="4"/>
        </w:numPr>
        <w:pBdr>
          <w:top w:val="single" w:color="FFFFFF" w:sz="4" w:space="4"/>
          <w:left w:val="single" w:color="FFFFFF" w:sz="4" w:space="31"/>
          <w:bottom w:val="single" w:color="FFFFFF" w:sz="4" w:space="31"/>
          <w:right w:val="single" w:color="FFFFFF" w:sz="4" w:space="31"/>
        </w:pBdr>
        <w:spacing w:line="560" w:lineRule="exact"/>
        <w:ind w:left="0" w:leftChars="0" w:firstLine="643" w:firstLineChars="200"/>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国有资产占有使用情况</w:t>
      </w:r>
    </w:p>
    <w:p>
      <w:pPr>
        <w:numPr>
          <w:ilvl w:val="0"/>
          <w:numId w:val="0"/>
        </w:numPr>
        <w:pBdr>
          <w:top w:val="single" w:color="FFFFFF" w:sz="4" w:space="4"/>
          <w:left w:val="single" w:color="FFFFFF" w:sz="4" w:space="31"/>
          <w:bottom w:val="single" w:color="FFFFFF" w:sz="4" w:space="31"/>
          <w:right w:val="single" w:color="FFFFFF" w:sz="4" w:space="31"/>
        </w:pBdr>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hint="eastAsia" w:ascii="仿宋_GB2312" w:eastAsia="仿宋_GB2312"/>
          <w:color w:val="auto"/>
          <w:sz w:val="32"/>
          <w:szCs w:val="32"/>
          <w:highlight w:val="none"/>
          <w:lang w:eastAsia="zh-CN"/>
        </w:rPr>
        <w:t>2024</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hAnsi="Times New Roman" w:eastAsia="仿宋_GB2312" w:cs="Times New Roman"/>
          <w:sz w:val="32"/>
          <w:szCs w:val="32"/>
        </w:rPr>
        <w:t>乐山市金口河区供销合作联合社</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eastAsia="zh-CN"/>
        </w:rPr>
        <w:t>（不含车辆）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numPr>
          <w:ilvl w:val="0"/>
          <w:numId w:val="0"/>
        </w:numPr>
        <w:pBdr>
          <w:top w:val="single" w:color="FFFFFF" w:sz="4" w:space="4"/>
          <w:left w:val="single" w:color="FFFFFF" w:sz="4" w:space="31"/>
          <w:bottom w:val="single" w:color="FFFFFF" w:sz="4" w:space="31"/>
          <w:right w:val="single" w:color="FFFFFF" w:sz="4" w:space="31"/>
        </w:pBdr>
        <w:spacing w:line="560" w:lineRule="exact"/>
        <w:ind w:firstLine="643" w:firstLineChars="200"/>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（注：数据来源</w:t>
      </w:r>
      <w:r>
        <w:rPr>
          <w:rFonts w:hint="eastAsia" w:ascii="仿宋" w:hAnsi="仿宋" w:eastAsia="仿宋"/>
          <w:b/>
          <w:color w:val="auto"/>
          <w:sz w:val="32"/>
          <w:szCs w:val="32"/>
          <w:highlight w:val="none"/>
          <w:lang w:eastAsia="zh-CN"/>
        </w:rPr>
        <w:t>于</w:t>
      </w:r>
      <w:r>
        <w:rPr>
          <w:rFonts w:hint="eastAsia" w:ascii="仿宋" w:hAnsi="仿宋" w:eastAsia="仿宋"/>
          <w:b/>
          <w:color w:val="auto"/>
          <w:sz w:val="32"/>
          <w:szCs w:val="32"/>
          <w:highlight w:val="none"/>
        </w:rPr>
        <w:t>财决附</w:t>
      </w:r>
      <w:r>
        <w:rPr>
          <w:rFonts w:ascii="仿宋" w:hAnsi="仿宋" w:eastAsia="仿宋"/>
          <w:b/>
          <w:color w:val="auto"/>
          <w:sz w:val="32"/>
          <w:szCs w:val="32"/>
          <w:highlight w:val="none"/>
        </w:rPr>
        <w:t>03</w:t>
      </w:r>
      <w:r>
        <w:rPr>
          <w:rFonts w:hint="eastAsia" w:ascii="仿宋" w:hAnsi="仿宋" w:eastAsia="仿宋"/>
          <w:b/>
          <w:color w:val="auto"/>
          <w:sz w:val="32"/>
          <w:szCs w:val="32"/>
          <w:highlight w:val="none"/>
        </w:rPr>
        <w:t>表，按</w:t>
      </w:r>
      <w:r>
        <w:rPr>
          <w:rFonts w:hint="eastAsia" w:ascii="仿宋" w:hAnsi="仿宋" w:eastAsia="仿宋"/>
          <w:b/>
          <w:color w:val="auto"/>
          <w:sz w:val="32"/>
          <w:szCs w:val="32"/>
          <w:highlight w:val="none"/>
          <w:lang w:eastAsia="zh-CN"/>
        </w:rPr>
        <w:t>单位</w:t>
      </w:r>
      <w:r>
        <w:rPr>
          <w:rFonts w:hint="eastAsia" w:ascii="仿宋" w:hAnsi="仿宋" w:eastAsia="仿宋"/>
          <w:b/>
          <w:color w:val="auto"/>
          <w:sz w:val="32"/>
          <w:szCs w:val="32"/>
          <w:highlight w:val="none"/>
        </w:rPr>
        <w:t>决算报表填报数据罗列车辆情况。）</w:t>
      </w:r>
    </w:p>
    <w:p>
      <w:pPr>
        <w:numPr>
          <w:ilvl w:val="0"/>
          <w:numId w:val="0"/>
        </w:numPr>
        <w:pBdr>
          <w:top w:val="single" w:color="FFFFFF" w:sz="4" w:space="4"/>
          <w:left w:val="single" w:color="FFFFFF" w:sz="4" w:space="31"/>
          <w:bottom w:val="single" w:color="FFFFFF" w:sz="4" w:space="31"/>
          <w:right w:val="single" w:color="FFFFFF" w:sz="4" w:space="31"/>
        </w:pBdr>
        <w:spacing w:line="560" w:lineRule="exact"/>
        <w:ind w:firstLine="643" w:firstLineChars="200"/>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pPr>
        <w:numPr>
          <w:ilvl w:val="0"/>
          <w:numId w:val="0"/>
        </w:numPr>
        <w:pBdr>
          <w:top w:val="single" w:color="FFFFFF" w:sz="4" w:space="4"/>
          <w:left w:val="single" w:color="FFFFFF" w:sz="4" w:space="31"/>
          <w:bottom w:val="single" w:color="FFFFFF" w:sz="4" w:space="31"/>
          <w:right w:val="single" w:color="FFFFFF" w:sz="4" w:space="31"/>
        </w:pBd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年度预算编制阶段，组织对</w:t>
      </w:r>
      <w:r>
        <w:rPr>
          <w:rFonts w:hint="eastAsia" w:ascii="仿宋_GB2312" w:hAnsi="仿宋_GB2312" w:eastAsia="仿宋_GB2312" w:cs="仿宋_GB2312"/>
          <w:color w:val="auto"/>
          <w:sz w:val="32"/>
          <w:szCs w:val="32"/>
          <w:highlight w:val="none"/>
          <w:lang w:eastAsia="zh-CN"/>
        </w:rPr>
        <w:t>退休人员生活补贴</w:t>
      </w:r>
      <w:r>
        <w:rPr>
          <w:rFonts w:hint="eastAsia" w:ascii="仿宋_GB2312" w:hAnsi="仿宋_GB2312" w:eastAsia="仿宋_GB2312" w:cs="仿宋_GB2312"/>
          <w:color w:val="auto"/>
          <w:sz w:val="32"/>
          <w:szCs w:val="32"/>
          <w:highlight w:val="none"/>
          <w:lang w:val="en-US" w:eastAsia="zh-CN"/>
        </w:rPr>
        <w:t>等3</w:t>
      </w:r>
      <w:r>
        <w:rPr>
          <w:rFonts w:hint="eastAsia" w:ascii="仿宋_GB2312" w:hAnsi="仿宋_GB2312" w:eastAsia="仿宋_GB2312" w:cs="仿宋_GB2312"/>
          <w:color w:val="auto"/>
          <w:sz w:val="32"/>
          <w:szCs w:val="32"/>
          <w:highlight w:val="none"/>
        </w:rPr>
        <w:t>个项目开展了预算事前绩效评估，对</w:t>
      </w:r>
      <w:r>
        <w:rPr>
          <w:rFonts w:hint="eastAsia" w:ascii="仿宋_GB2312" w:hAnsi="仿宋_GB2312" w:eastAsia="仿宋_GB2312" w:cs="仿宋_GB2312"/>
          <w:color w:val="auto"/>
          <w:sz w:val="32"/>
          <w:szCs w:val="32"/>
          <w:highlight w:val="none"/>
          <w:lang w:eastAsia="zh-CN"/>
        </w:rPr>
        <w:t>退休人员生活补贴</w:t>
      </w:r>
      <w:r>
        <w:rPr>
          <w:rFonts w:hint="eastAsia" w:ascii="仿宋_GB2312" w:hAnsi="仿宋_GB2312" w:eastAsia="仿宋_GB2312" w:cs="仿宋_GB2312"/>
          <w:color w:val="auto"/>
          <w:sz w:val="32"/>
          <w:szCs w:val="32"/>
          <w:highlight w:val="none"/>
          <w:lang w:val="en-US" w:eastAsia="zh-CN"/>
        </w:rPr>
        <w:t>等3</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eastAsia="zh-CN"/>
        </w:rPr>
        <w:t>退休人员生活补贴</w:t>
      </w:r>
      <w:r>
        <w:rPr>
          <w:rFonts w:hint="eastAsia" w:ascii="仿宋_GB2312" w:hAnsi="仿宋_GB2312" w:eastAsia="仿宋_GB2312" w:cs="仿宋_GB2312"/>
          <w:color w:val="auto"/>
          <w:sz w:val="32"/>
          <w:szCs w:val="32"/>
          <w:highlight w:val="none"/>
          <w:lang w:val="en-US" w:eastAsia="zh-CN"/>
        </w:rPr>
        <w:t>等3</w:t>
      </w:r>
      <w:r>
        <w:rPr>
          <w:rFonts w:hint="eastAsia" w:ascii="仿宋_GB2312" w:hAnsi="仿宋_GB2312" w:eastAsia="仿宋_GB2312" w:cs="仿宋_GB2312"/>
          <w:color w:val="auto"/>
          <w:sz w:val="32"/>
          <w:szCs w:val="32"/>
          <w:highlight w:val="none"/>
        </w:rPr>
        <w:t>个项目开展绩效监控。</w:t>
      </w:r>
    </w:p>
    <w:p>
      <w:pPr>
        <w:numPr>
          <w:ilvl w:val="0"/>
          <w:numId w:val="0"/>
        </w:numPr>
        <w:pBdr>
          <w:top w:val="single" w:color="FFFFFF" w:sz="4" w:space="4"/>
          <w:left w:val="single" w:color="FFFFFF" w:sz="4" w:space="31"/>
          <w:bottom w:val="single" w:color="FFFFFF" w:sz="4" w:space="31"/>
          <w:right w:val="single" w:color="FFFFFF" w:sz="4" w:space="31"/>
        </w:pBdr>
        <w:spacing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highlight w:val="none"/>
        </w:rPr>
        <w:t>本部门按要求对20</w:t>
      </w:r>
      <w:r>
        <w:rPr>
          <w:rFonts w:hint="eastAsia" w:ascii="仿宋_GB2312" w:hAnsi="仿宋_GB2312" w:eastAsia="仿宋_GB2312" w:cs="仿宋_GB2312"/>
          <w:sz w:val="32"/>
          <w:szCs w:val="32"/>
          <w:highlight w:val="none"/>
          <w:lang w:val="en-US" w:eastAsia="zh-CN"/>
        </w:rPr>
        <w:t>24</w:t>
      </w:r>
      <w:r>
        <w:rPr>
          <w:rFonts w:hint="eastAsia" w:ascii="仿宋_GB2312" w:hAnsi="仿宋_GB2312" w:eastAsia="仿宋_GB2312" w:cs="仿宋_GB2312"/>
          <w:sz w:val="32"/>
          <w:szCs w:val="32"/>
          <w:highlight w:val="none"/>
        </w:rPr>
        <w:t>年部门整体支出开展绩效自评，从评价情况来看</w:t>
      </w:r>
      <w:r>
        <w:rPr>
          <w:rFonts w:hint="default" w:ascii="仿宋_GB2312" w:hAnsi="仿宋_GB2312" w:eastAsia="仿宋_GB2312" w:cs="仿宋_GB2312"/>
          <w:sz w:val="32"/>
          <w:szCs w:val="32"/>
          <w:highlight w:val="none"/>
        </w:rPr>
        <w:t>，绩效目标全面完成，取得了一定的经济和社会效益，单位财务制度健全，管理规范，得到有效执行。本部门还自</w:t>
      </w:r>
      <w:r>
        <w:rPr>
          <w:rFonts w:hint="eastAsia" w:ascii="仿宋_GB2312" w:hAnsi="仿宋_GB2312" w:eastAsia="仿宋_GB2312" w:cs="仿宋_GB2312"/>
          <w:sz w:val="32"/>
          <w:szCs w:val="32"/>
          <w:highlight w:val="none"/>
          <w:lang w:val="en-US" w:eastAsia="zh-CN"/>
        </w:rPr>
        <w:t>对</w:t>
      </w:r>
      <w:r>
        <w:rPr>
          <w:rFonts w:hint="eastAsia" w:ascii="仿宋_GB2312" w:hAnsi="仿宋_GB2312" w:eastAsia="仿宋_GB2312" w:cs="仿宋_GB2312"/>
          <w:color w:val="auto"/>
          <w:sz w:val="32"/>
          <w:szCs w:val="32"/>
          <w:highlight w:val="none"/>
          <w:lang w:eastAsia="zh-CN"/>
        </w:rPr>
        <w:t>退休人员生活补贴</w:t>
      </w:r>
      <w:r>
        <w:rPr>
          <w:rFonts w:hint="eastAsia" w:ascii="仿宋_GB2312" w:hAnsi="仿宋_GB2312" w:eastAsia="仿宋_GB2312" w:cs="仿宋_GB2312"/>
          <w:color w:val="auto"/>
          <w:sz w:val="32"/>
          <w:szCs w:val="32"/>
          <w:highlight w:val="none"/>
          <w:lang w:val="en-US" w:eastAsia="zh-CN"/>
        </w:rPr>
        <w:t>等3</w:t>
      </w:r>
      <w:r>
        <w:rPr>
          <w:rFonts w:hint="default" w:ascii="仿宋_GB2312" w:hAnsi="仿宋_GB2312" w:eastAsia="仿宋_GB2312" w:cs="仿宋_GB2312"/>
          <w:sz w:val="32"/>
          <w:szCs w:val="32"/>
          <w:highlight w:val="none"/>
        </w:rPr>
        <w:t>个项目绩效评价，从评价情况来看，项目实施严格按照实施方案执行，完成情况良好，取得较好的经济效益和社会效益。</w:t>
      </w:r>
      <w:r>
        <w:rPr>
          <w:rFonts w:hint="eastAsia" w:ascii="仿宋_GB2312" w:eastAsia="仿宋_GB2312"/>
          <w:sz w:val="32"/>
          <w:szCs w:val="32"/>
        </w:rPr>
        <w:t>绩效自评表详见第四部分附件。</w:t>
      </w:r>
    </w:p>
    <w:p>
      <w:pPr>
        <w:spacing w:line="600" w:lineRule="exact"/>
        <w:ind w:firstLine="640" w:firstLineChars="200"/>
        <w:rPr>
          <w:rFonts w:hint="eastAsia" w:ascii="仿宋_GB2312" w:hAnsi="Times New Roman" w:eastAsia="仿宋_GB2312" w:cs="Times New Roman"/>
          <w:color w:val="auto"/>
          <w:sz w:val="32"/>
          <w:szCs w:val="32"/>
          <w:highlight w:val="none"/>
          <w:lang w:val="en-US" w:eastAsia="zh-CN"/>
        </w:rPr>
      </w:pPr>
    </w:p>
    <w:p>
      <w:pPr>
        <w:spacing w:line="600" w:lineRule="exact"/>
        <w:ind w:firstLine="640" w:firstLineChars="200"/>
        <w:rPr>
          <w:rFonts w:hint="eastAsia" w:ascii="仿宋_GB2312" w:hAnsi="Times New Roman" w:eastAsia="仿宋_GB2312" w:cs="Times New Roman"/>
          <w:color w:val="auto"/>
          <w:sz w:val="32"/>
          <w:szCs w:val="32"/>
          <w:highlight w:val="none"/>
          <w:lang w:eastAsia="zh-CN"/>
        </w:rPr>
      </w:pPr>
      <w:r>
        <w:rPr>
          <w:rFonts w:hint="eastAsia" w:ascii="仿宋_GB2312" w:hAnsi="Times New Roman" w:eastAsia="仿宋_GB2312" w:cs="Times New Roman"/>
          <w:color w:val="auto"/>
          <w:sz w:val="32"/>
          <w:szCs w:val="32"/>
          <w:highlight w:val="none"/>
          <w:lang w:eastAsia="zh-CN"/>
        </w:rPr>
        <w:br w:type="page"/>
      </w:r>
    </w:p>
    <w:p>
      <w:pPr>
        <w:numPr>
          <w:ilvl w:val="0"/>
          <w:numId w:val="0"/>
        </w:numPr>
        <w:spacing w:line="600" w:lineRule="exact"/>
        <w:jc w:val="center"/>
        <w:outlineLvl w:val="0"/>
        <w:rPr>
          <w:rStyle w:val="29"/>
          <w:rFonts w:ascii="黑体" w:hAnsi="黑体" w:eastAsia="黑体"/>
          <w:b w:val="0"/>
          <w:color w:val="auto"/>
          <w:highlight w:val="none"/>
        </w:rPr>
      </w:pPr>
      <w:r>
        <w:rPr>
          <w:rFonts w:hint="eastAsia" w:ascii="黑体" w:hAnsi="黑体" w:eastAsia="黑体"/>
          <w:color w:val="auto"/>
          <w:sz w:val="44"/>
          <w:szCs w:val="44"/>
          <w:highlight w:val="none"/>
          <w:lang w:eastAsia="zh-CN"/>
        </w:rPr>
        <w:t>第三部分</w:t>
      </w:r>
      <w:r>
        <w:rPr>
          <w:rFonts w:hint="eastAsia" w:ascii="黑体" w:hAnsi="黑体" w:eastAsia="黑体"/>
          <w:color w:val="auto"/>
          <w:sz w:val="44"/>
          <w:szCs w:val="44"/>
          <w:highlight w:val="none"/>
          <w:lang w:val="en-US" w:eastAsia="zh-CN"/>
        </w:rPr>
        <w:t xml:space="preserve">  </w:t>
      </w:r>
      <w:r>
        <w:rPr>
          <w:rFonts w:hint="eastAsia" w:ascii="黑体" w:hAnsi="黑体" w:eastAsia="黑体"/>
          <w:color w:val="auto"/>
          <w:sz w:val="44"/>
          <w:szCs w:val="44"/>
          <w:highlight w:val="none"/>
        </w:rPr>
        <w:t>名</w:t>
      </w:r>
      <w:r>
        <w:rPr>
          <w:rStyle w:val="29"/>
          <w:rFonts w:hint="eastAsia" w:ascii="黑体" w:hAnsi="黑体" w:eastAsia="黑体"/>
          <w:b w:val="0"/>
          <w:color w:val="auto"/>
          <w:highlight w:val="none"/>
        </w:rPr>
        <w:t>词解释</w:t>
      </w: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pStyle w:val="27"/>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r>
        <w:rPr>
          <w:rFonts w:ascii="仿宋_GB2312" w:eastAsia="仿宋_GB2312"/>
          <w:color w:val="auto"/>
          <w:sz w:val="32"/>
          <w:szCs w:val="32"/>
        </w:rPr>
        <w:t xml:space="preserve"> </w:t>
      </w: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hAnsi="华文中宋" w:eastAsia="仿宋_GB2312"/>
          <w:sz w:val="32"/>
          <w:szCs w:val="32"/>
        </w:rPr>
        <w:t>使用非财政拨款结余（含专用结余）</w:t>
      </w:r>
      <w:r>
        <w:rPr>
          <w:rFonts w:hint="eastAsia" w:ascii="仿宋_GB2312" w:eastAsia="仿宋_GB2312"/>
          <w:color w:val="auto"/>
          <w:sz w:val="32"/>
          <w:szCs w:val="32"/>
        </w:rPr>
        <w:t>：指事业单位使用以前年度积累的非财政拨款结余弥补当年收支差额的金额。</w:t>
      </w:r>
      <w:r>
        <w:rPr>
          <w:rFonts w:ascii="仿宋_GB2312" w:eastAsia="仿宋_GB2312"/>
          <w:color w:val="auto"/>
          <w:sz w:val="32"/>
          <w:szCs w:val="32"/>
        </w:rPr>
        <w:t xml:space="preserve"> </w:t>
      </w: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pageBreakBefore w:val="0"/>
        <w:kinsoku/>
        <w:wordWrap/>
        <w:overflowPunct/>
        <w:topLinePunct w:val="0"/>
        <w:bidi w:val="0"/>
        <w:spacing w:line="560" w:lineRule="exact"/>
        <w:ind w:firstLine="640" w:firstLineChars="200"/>
        <w:rPr>
          <w:rFonts w:hint="eastAsia" w:ascii="仿宋_GB2312" w:eastAsia="仿宋_GB2312"/>
          <w:color w:val="000000"/>
          <w:sz w:val="32"/>
          <w:szCs w:val="32"/>
          <w:highlight w:val="none"/>
          <w:lang w:eastAsia="zh-CN"/>
        </w:rPr>
      </w:pPr>
      <w:r>
        <w:rPr>
          <w:rFonts w:hint="eastAsia" w:ascii="仿宋_GB2312" w:hAnsi="Calibri" w:eastAsia="仿宋_GB2312" w:cs="仿宋"/>
          <w:color w:val="auto"/>
          <w:kern w:val="0"/>
          <w:sz w:val="32"/>
          <w:szCs w:val="32"/>
          <w:highlight w:val="none"/>
          <w:lang w:val="en-US" w:eastAsia="zh-CN" w:bidi="ar-SA"/>
        </w:rPr>
        <w:t>9</w:t>
      </w:r>
      <w:r>
        <w:rPr>
          <w:rStyle w:val="18"/>
          <w:rFonts w:ascii="仿宋" w:hAnsi="仿宋" w:eastAsia="仿宋"/>
          <w:b w:val="0"/>
          <w:bCs w:val="0"/>
          <w:color w:val="000000"/>
          <w:sz w:val="32"/>
          <w:szCs w:val="32"/>
        </w:rPr>
        <w:t>.</w:t>
      </w:r>
      <w:r>
        <w:rPr>
          <w:rFonts w:hint="eastAsia" w:ascii="仿宋_GB2312" w:eastAsia="仿宋_GB2312"/>
          <w:color w:val="000000"/>
          <w:sz w:val="32"/>
          <w:szCs w:val="32"/>
          <w:highlight w:val="none"/>
        </w:rPr>
        <w:t>社会保障和就业</w:t>
      </w:r>
      <w:r>
        <w:rPr>
          <w:rFonts w:hint="eastAsia" w:ascii="仿宋_GB2312" w:eastAsia="仿宋_GB2312"/>
          <w:color w:val="000000"/>
          <w:sz w:val="32"/>
          <w:szCs w:val="32"/>
          <w:highlight w:val="none"/>
          <w:lang w:eastAsia="zh-CN"/>
        </w:rPr>
        <w:t>支出</w:t>
      </w:r>
    </w:p>
    <w:p>
      <w:pPr>
        <w:pageBreakBefore w:val="0"/>
        <w:kinsoku/>
        <w:wordWrap/>
        <w:overflowPunct/>
        <w:topLinePunct w:val="0"/>
        <w:bidi w:val="0"/>
        <w:spacing w:line="560" w:lineRule="exact"/>
        <w:ind w:firstLine="640" w:firstLineChars="200"/>
        <w:rPr>
          <w:rFonts w:ascii="仿宋" w:hAnsi="仿宋" w:eastAsia="仿宋"/>
          <w:b/>
          <w:color w:val="000000"/>
          <w:sz w:val="32"/>
          <w:szCs w:val="32"/>
        </w:rPr>
      </w:pPr>
      <w:r>
        <w:rPr>
          <w:rFonts w:hint="eastAsia" w:ascii="仿宋_GB2312" w:eastAsia="仿宋_GB2312"/>
          <w:color w:val="000000"/>
          <w:sz w:val="32"/>
          <w:szCs w:val="32"/>
          <w:highlight w:val="none"/>
        </w:rPr>
        <w:t>社会保障和就业</w:t>
      </w:r>
      <w:r>
        <w:rPr>
          <w:rFonts w:hint="eastAsia" w:ascii="仿宋_GB2312" w:eastAsia="仿宋_GB2312"/>
          <w:color w:val="000000"/>
          <w:sz w:val="32"/>
          <w:szCs w:val="32"/>
          <w:highlight w:val="none"/>
          <w:lang w:eastAsia="zh-CN"/>
        </w:rPr>
        <w:t>支出（类）</w:t>
      </w:r>
      <w:r>
        <w:rPr>
          <w:rStyle w:val="18"/>
          <w:rFonts w:hint="eastAsia" w:ascii="仿宋" w:hAnsi="仿宋" w:eastAsia="仿宋"/>
          <w:b w:val="0"/>
          <w:bCs w:val="0"/>
          <w:color w:val="000000"/>
          <w:sz w:val="32"/>
          <w:szCs w:val="32"/>
          <w:highlight w:val="none"/>
          <w:lang w:val="en-US" w:eastAsia="zh-CN"/>
        </w:rPr>
        <w:t>行政事业单位养老支出（款）</w:t>
      </w:r>
      <w:r>
        <w:rPr>
          <w:rStyle w:val="18"/>
          <w:rFonts w:hint="eastAsia" w:ascii="仿宋" w:hAnsi="仿宋" w:eastAsia="仿宋"/>
          <w:b w:val="0"/>
          <w:bCs w:val="0"/>
          <w:color w:val="000000"/>
          <w:sz w:val="32"/>
          <w:szCs w:val="32"/>
          <w:lang w:val="en-US" w:eastAsia="zh-CN"/>
        </w:rPr>
        <w:t>机关事业单位基本养老保险缴费</w:t>
      </w:r>
      <w:r>
        <w:rPr>
          <w:rStyle w:val="18"/>
          <w:rFonts w:hint="eastAsia" w:ascii="仿宋" w:hAnsi="仿宋" w:eastAsia="仿宋"/>
          <w:b w:val="0"/>
          <w:bCs w:val="0"/>
          <w:color w:val="000000"/>
          <w:sz w:val="32"/>
          <w:szCs w:val="32"/>
          <w:lang w:eastAsia="zh-CN"/>
        </w:rPr>
        <w:t>支出</w:t>
      </w:r>
      <w:r>
        <w:rPr>
          <w:rStyle w:val="18"/>
          <w:rFonts w:hint="eastAsia" w:ascii="仿宋" w:hAnsi="仿宋" w:eastAsia="仿宋"/>
          <w:b w:val="0"/>
          <w:bCs w:val="0"/>
          <w:color w:val="000000"/>
          <w:sz w:val="32"/>
          <w:szCs w:val="32"/>
          <w:highlight w:val="none"/>
          <w:lang w:val="en-US" w:eastAsia="zh-CN"/>
        </w:rPr>
        <w:t>（项）</w:t>
      </w:r>
      <w:r>
        <w:rPr>
          <w:rStyle w:val="18"/>
          <w:rFonts w:ascii="仿宋" w:hAnsi="仿宋" w:eastAsia="仿宋"/>
          <w:bCs/>
          <w:color w:val="000000"/>
          <w:sz w:val="32"/>
          <w:szCs w:val="32"/>
        </w:rPr>
        <w:t>:</w:t>
      </w:r>
      <w:r>
        <w:rPr>
          <w:rStyle w:val="18"/>
          <w:rFonts w:hint="eastAsia" w:ascii="仿宋" w:hAnsi="仿宋" w:eastAsia="仿宋"/>
          <w:b w:val="0"/>
          <w:bCs w:val="0"/>
          <w:color w:val="000000"/>
          <w:sz w:val="32"/>
          <w:szCs w:val="32"/>
          <w:lang w:val="en-US" w:eastAsia="zh-CN"/>
        </w:rPr>
        <w:t xml:space="preserve"> </w:t>
      </w:r>
      <w:r>
        <w:rPr>
          <w:rStyle w:val="18"/>
          <w:rFonts w:hint="eastAsia" w:ascii="仿宋" w:hAnsi="仿宋" w:eastAsia="仿宋"/>
          <w:b w:val="0"/>
          <w:bCs/>
          <w:color w:val="000000"/>
          <w:sz w:val="32"/>
          <w:szCs w:val="32"/>
          <w:lang w:eastAsia="zh-CN"/>
        </w:rPr>
        <w:t>反映机关事业单位实施养老保险制度由单位缴纳的基本养老保险支出</w:t>
      </w:r>
      <w:r>
        <w:rPr>
          <w:rStyle w:val="18"/>
          <w:rFonts w:hint="eastAsia" w:ascii="仿宋" w:hAnsi="仿宋" w:eastAsia="仿宋"/>
          <w:b w:val="0"/>
          <w:bCs/>
          <w:color w:val="000000"/>
          <w:sz w:val="32"/>
          <w:szCs w:val="32"/>
        </w:rPr>
        <w:t>。</w:t>
      </w:r>
    </w:p>
    <w:p>
      <w:pPr>
        <w:pageBreakBefore w:val="0"/>
        <w:kinsoku/>
        <w:wordWrap/>
        <w:overflowPunct/>
        <w:topLinePunct w:val="0"/>
        <w:bidi w:val="0"/>
        <w:spacing w:line="560" w:lineRule="exact"/>
        <w:ind w:firstLine="640" w:firstLineChars="200"/>
        <w:rPr>
          <w:rStyle w:val="18"/>
          <w:rFonts w:hint="eastAsia" w:ascii="仿宋" w:hAnsi="仿宋" w:eastAsia="仿宋"/>
          <w:b w:val="0"/>
          <w:bCs w:val="0"/>
          <w:color w:val="000000"/>
          <w:sz w:val="32"/>
          <w:szCs w:val="32"/>
          <w:lang w:val="en-US" w:eastAsia="zh-CN"/>
        </w:rPr>
      </w:pPr>
      <w:r>
        <w:rPr>
          <w:rFonts w:hint="eastAsia" w:ascii="仿宋_GB2312" w:eastAsia="仿宋_GB2312"/>
          <w:color w:val="000000"/>
          <w:sz w:val="32"/>
          <w:szCs w:val="32"/>
          <w:highlight w:val="none"/>
        </w:rPr>
        <w:t>社会保障和就业</w:t>
      </w:r>
      <w:r>
        <w:rPr>
          <w:rFonts w:hint="eastAsia" w:ascii="仿宋_GB2312" w:eastAsia="仿宋_GB2312"/>
          <w:color w:val="000000"/>
          <w:sz w:val="32"/>
          <w:szCs w:val="32"/>
          <w:highlight w:val="none"/>
          <w:lang w:eastAsia="zh-CN"/>
        </w:rPr>
        <w:t>支出（类）</w:t>
      </w:r>
      <w:r>
        <w:rPr>
          <w:rStyle w:val="18"/>
          <w:rFonts w:hint="eastAsia" w:ascii="仿宋" w:hAnsi="仿宋" w:eastAsia="仿宋"/>
          <w:b w:val="0"/>
          <w:bCs w:val="0"/>
          <w:color w:val="000000"/>
          <w:sz w:val="32"/>
          <w:szCs w:val="32"/>
          <w:highlight w:val="none"/>
          <w:lang w:val="en-US" w:eastAsia="zh-CN"/>
        </w:rPr>
        <w:t>行政事业单位养老支出（款）</w:t>
      </w:r>
      <w:r>
        <w:rPr>
          <w:rStyle w:val="18"/>
          <w:rFonts w:hint="eastAsia" w:ascii="仿宋" w:hAnsi="仿宋" w:eastAsia="仿宋"/>
          <w:b w:val="0"/>
          <w:bCs w:val="0"/>
          <w:color w:val="000000"/>
          <w:sz w:val="32"/>
          <w:szCs w:val="32"/>
          <w:lang w:val="en-US" w:eastAsia="zh-CN"/>
        </w:rPr>
        <w:t>机关事业单位职业年金缴费支出（项）: 反映机关事业单位实施养老保险制度由单位实际缴纳的职业年金支出。</w:t>
      </w:r>
    </w:p>
    <w:p>
      <w:pPr>
        <w:pageBreakBefore w:val="0"/>
        <w:kinsoku/>
        <w:wordWrap/>
        <w:overflowPunct/>
        <w:topLinePunct w:val="0"/>
        <w:bidi w:val="0"/>
        <w:spacing w:line="560" w:lineRule="exact"/>
        <w:ind w:firstLine="640" w:firstLineChars="200"/>
        <w:rPr>
          <w:rStyle w:val="18"/>
          <w:rFonts w:hint="eastAsia" w:ascii="仿宋" w:hAnsi="仿宋" w:eastAsia="仿宋"/>
          <w:b w:val="0"/>
          <w:bCs/>
          <w:color w:val="000000"/>
          <w:sz w:val="32"/>
          <w:szCs w:val="32"/>
          <w:lang w:eastAsia="zh-CN"/>
        </w:rPr>
      </w:pPr>
      <w:r>
        <w:rPr>
          <w:rFonts w:hint="eastAsia" w:ascii="仿宋_GB2312" w:eastAsia="仿宋_GB2312"/>
          <w:color w:val="000000"/>
          <w:sz w:val="32"/>
          <w:szCs w:val="32"/>
          <w:highlight w:val="none"/>
        </w:rPr>
        <w:t>社会保障和就业</w:t>
      </w:r>
      <w:r>
        <w:rPr>
          <w:rFonts w:hint="eastAsia" w:ascii="仿宋_GB2312" w:eastAsia="仿宋_GB2312"/>
          <w:color w:val="000000"/>
          <w:sz w:val="32"/>
          <w:szCs w:val="32"/>
          <w:highlight w:val="none"/>
          <w:lang w:eastAsia="zh-CN"/>
        </w:rPr>
        <w:t>支出（类）</w:t>
      </w:r>
      <w:r>
        <w:rPr>
          <w:rStyle w:val="18"/>
          <w:rFonts w:hint="eastAsia" w:ascii="仿宋" w:hAnsi="仿宋" w:eastAsia="仿宋"/>
          <w:b w:val="0"/>
          <w:bCs w:val="0"/>
          <w:color w:val="000000"/>
          <w:sz w:val="32"/>
          <w:szCs w:val="32"/>
          <w:highlight w:val="none"/>
          <w:lang w:val="en-US" w:eastAsia="zh-CN"/>
        </w:rPr>
        <w:t>行政事业单位养老支出（款）</w:t>
      </w:r>
      <w:r>
        <w:rPr>
          <w:rStyle w:val="18"/>
          <w:rFonts w:hint="eastAsia" w:ascii="仿宋" w:hAnsi="仿宋" w:eastAsia="仿宋"/>
          <w:b w:val="0"/>
          <w:bCs w:val="0"/>
          <w:color w:val="000000"/>
          <w:sz w:val="32"/>
          <w:szCs w:val="32"/>
          <w:lang w:val="en-US" w:eastAsia="zh-CN"/>
        </w:rPr>
        <w:t xml:space="preserve">其他行政事业单位离退休支出（项）: 反映除上述项目以外其他用于行政事业单位养老方面的支出。   </w:t>
      </w:r>
    </w:p>
    <w:p>
      <w:pPr>
        <w:pageBreakBefore w:val="0"/>
        <w:kinsoku/>
        <w:wordWrap/>
        <w:overflowPunct/>
        <w:topLinePunct w:val="0"/>
        <w:bidi w:val="0"/>
        <w:spacing w:line="560" w:lineRule="exact"/>
        <w:ind w:firstLine="640" w:firstLineChars="200"/>
        <w:rPr>
          <w:rStyle w:val="18"/>
          <w:rFonts w:hint="eastAsia" w:ascii="仿宋" w:hAnsi="仿宋" w:eastAsia="仿宋"/>
          <w:b w:val="0"/>
          <w:bCs/>
          <w:color w:val="000000"/>
          <w:sz w:val="32"/>
          <w:szCs w:val="32"/>
          <w:lang w:eastAsia="zh-CN"/>
        </w:rPr>
      </w:pPr>
      <w:r>
        <w:rPr>
          <w:rFonts w:hint="eastAsia" w:ascii="仿宋_GB2312" w:eastAsia="仿宋_GB2312"/>
          <w:color w:val="000000"/>
          <w:sz w:val="32"/>
          <w:szCs w:val="32"/>
          <w:highlight w:val="none"/>
        </w:rPr>
        <w:t>社会保障和就业</w:t>
      </w:r>
      <w:r>
        <w:rPr>
          <w:rFonts w:hint="eastAsia" w:ascii="仿宋_GB2312" w:eastAsia="仿宋_GB2312"/>
          <w:color w:val="000000"/>
          <w:sz w:val="32"/>
          <w:szCs w:val="32"/>
          <w:highlight w:val="none"/>
          <w:lang w:eastAsia="zh-CN"/>
        </w:rPr>
        <w:t>支出（类）</w:t>
      </w:r>
      <w:r>
        <w:rPr>
          <w:rStyle w:val="18"/>
          <w:rFonts w:hint="eastAsia" w:ascii="仿宋" w:hAnsi="仿宋" w:eastAsia="仿宋"/>
          <w:b w:val="0"/>
          <w:bCs w:val="0"/>
          <w:color w:val="000000"/>
          <w:sz w:val="32"/>
          <w:szCs w:val="32"/>
          <w:highlight w:val="none"/>
          <w:lang w:val="en-US" w:eastAsia="zh-CN"/>
        </w:rPr>
        <w:t>残疾人事业（款）</w:t>
      </w:r>
      <w:r>
        <w:rPr>
          <w:rStyle w:val="18"/>
          <w:rFonts w:hint="eastAsia" w:ascii="仿宋" w:hAnsi="仿宋" w:eastAsia="仿宋"/>
          <w:b w:val="0"/>
          <w:bCs/>
          <w:color w:val="000000"/>
          <w:sz w:val="32"/>
          <w:szCs w:val="32"/>
          <w:lang w:val="en-US" w:eastAsia="zh-CN"/>
        </w:rPr>
        <w:t>残疾人就业和扶贫</w:t>
      </w:r>
      <w:r>
        <w:rPr>
          <w:rStyle w:val="18"/>
          <w:rFonts w:hint="eastAsia" w:ascii="仿宋" w:hAnsi="仿宋" w:eastAsia="仿宋"/>
          <w:b w:val="0"/>
          <w:bCs w:val="0"/>
          <w:color w:val="000000"/>
          <w:sz w:val="32"/>
          <w:szCs w:val="32"/>
          <w:lang w:eastAsia="zh-CN"/>
        </w:rPr>
        <w:t>（</w:t>
      </w:r>
      <w:r>
        <w:rPr>
          <w:rStyle w:val="18"/>
          <w:rFonts w:hint="eastAsia" w:ascii="仿宋" w:hAnsi="仿宋" w:eastAsia="仿宋"/>
          <w:b w:val="0"/>
          <w:bCs w:val="0"/>
          <w:color w:val="000000"/>
          <w:sz w:val="32"/>
          <w:szCs w:val="32"/>
          <w:lang w:val="en-US" w:eastAsia="zh-CN"/>
        </w:rPr>
        <w:t>项）</w:t>
      </w:r>
      <w:r>
        <w:rPr>
          <w:rStyle w:val="18"/>
          <w:rFonts w:hint="eastAsia" w:ascii="仿宋" w:hAnsi="仿宋" w:eastAsia="仿宋"/>
          <w:b w:val="0"/>
          <w:bCs/>
          <w:color w:val="000000"/>
          <w:sz w:val="32"/>
          <w:szCs w:val="32"/>
          <w:lang w:val="en-US" w:eastAsia="zh-CN"/>
        </w:rPr>
        <w:t>：</w:t>
      </w:r>
      <w:r>
        <w:rPr>
          <w:rStyle w:val="18"/>
          <w:rFonts w:hint="eastAsia" w:ascii="仿宋" w:hAnsi="仿宋" w:eastAsia="仿宋"/>
          <w:b w:val="0"/>
          <w:bCs/>
          <w:color w:val="000000"/>
          <w:sz w:val="32"/>
          <w:szCs w:val="32"/>
          <w:lang w:eastAsia="zh-CN"/>
        </w:rPr>
        <w:t>反映残疾人联合会用于</w:t>
      </w:r>
      <w:r>
        <w:rPr>
          <w:rStyle w:val="18"/>
          <w:rFonts w:hint="eastAsia" w:ascii="仿宋" w:hAnsi="仿宋" w:eastAsia="仿宋"/>
          <w:b w:val="0"/>
          <w:bCs/>
          <w:color w:val="000000"/>
          <w:sz w:val="32"/>
          <w:szCs w:val="32"/>
          <w:lang w:val="en-US" w:eastAsia="zh-CN"/>
        </w:rPr>
        <w:t>残疾人就业和扶贫</w:t>
      </w:r>
      <w:r>
        <w:rPr>
          <w:rStyle w:val="18"/>
          <w:rFonts w:hint="eastAsia" w:ascii="仿宋" w:hAnsi="仿宋" w:eastAsia="仿宋"/>
          <w:b w:val="0"/>
          <w:bCs/>
          <w:color w:val="000000"/>
          <w:sz w:val="32"/>
          <w:szCs w:val="32"/>
          <w:lang w:eastAsia="zh-CN"/>
        </w:rPr>
        <w:t>方面的支出。</w:t>
      </w:r>
    </w:p>
    <w:p>
      <w:pPr>
        <w:spacing w:line="600" w:lineRule="exact"/>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eastAsia="仿宋_GB2312"/>
          <w:color w:val="000000"/>
          <w:sz w:val="32"/>
          <w:szCs w:val="32"/>
          <w:highlight w:val="none"/>
        </w:rPr>
        <w:t>社会保障和就业</w:t>
      </w:r>
      <w:r>
        <w:rPr>
          <w:rFonts w:hint="eastAsia" w:ascii="仿宋_GB2312" w:eastAsia="仿宋_GB2312"/>
          <w:color w:val="000000"/>
          <w:sz w:val="32"/>
          <w:szCs w:val="32"/>
          <w:highlight w:val="none"/>
          <w:lang w:eastAsia="zh-CN"/>
        </w:rPr>
        <w:t>支出（类）</w:t>
      </w:r>
      <w:r>
        <w:rPr>
          <w:rFonts w:hint="eastAsia" w:ascii="仿宋_GB2312" w:hAnsi="Calibri" w:eastAsia="仿宋_GB2312" w:cs="仿宋"/>
          <w:color w:val="auto"/>
          <w:kern w:val="0"/>
          <w:sz w:val="32"/>
          <w:szCs w:val="32"/>
          <w:highlight w:val="none"/>
          <w:lang w:val="en-US" w:eastAsia="zh-CN" w:bidi="ar-SA"/>
        </w:rPr>
        <w:t>其他社会保障和就业支出</w:t>
      </w:r>
      <w:r>
        <w:rPr>
          <w:rStyle w:val="18"/>
          <w:rFonts w:hint="eastAsia" w:ascii="仿宋" w:hAnsi="仿宋" w:eastAsia="仿宋"/>
          <w:b w:val="0"/>
          <w:bCs w:val="0"/>
          <w:color w:val="000000"/>
          <w:sz w:val="32"/>
          <w:szCs w:val="32"/>
          <w:highlight w:val="none"/>
          <w:lang w:val="en-US" w:eastAsia="zh-CN"/>
        </w:rPr>
        <w:t>（款）</w:t>
      </w:r>
      <w:r>
        <w:rPr>
          <w:rFonts w:hint="eastAsia" w:ascii="仿宋_GB2312" w:hAnsi="Calibri" w:eastAsia="仿宋_GB2312" w:cs="仿宋"/>
          <w:color w:val="auto"/>
          <w:kern w:val="0"/>
          <w:sz w:val="32"/>
          <w:szCs w:val="32"/>
          <w:highlight w:val="none"/>
          <w:lang w:val="en-US" w:eastAsia="zh-CN" w:bidi="ar-SA"/>
        </w:rPr>
        <w:t>其他社会保障和就业支出</w:t>
      </w:r>
      <w:r>
        <w:rPr>
          <w:rStyle w:val="18"/>
          <w:rFonts w:hint="eastAsia" w:ascii="仿宋" w:hAnsi="仿宋" w:eastAsia="仿宋"/>
          <w:b w:val="0"/>
          <w:bCs w:val="0"/>
          <w:color w:val="000000"/>
          <w:sz w:val="32"/>
          <w:szCs w:val="32"/>
          <w:lang w:eastAsia="zh-CN"/>
        </w:rPr>
        <w:t>（</w:t>
      </w:r>
      <w:r>
        <w:rPr>
          <w:rStyle w:val="18"/>
          <w:rFonts w:hint="eastAsia" w:ascii="仿宋" w:hAnsi="仿宋" w:eastAsia="仿宋"/>
          <w:b w:val="0"/>
          <w:bCs w:val="0"/>
          <w:color w:val="000000"/>
          <w:sz w:val="32"/>
          <w:szCs w:val="32"/>
          <w:lang w:val="en-US" w:eastAsia="zh-CN"/>
        </w:rPr>
        <w:t>项）</w:t>
      </w:r>
      <w:r>
        <w:rPr>
          <w:rFonts w:hint="eastAsia" w:ascii="仿宋_GB2312" w:hAnsi="Calibri" w:eastAsia="仿宋_GB2312" w:cs="仿宋"/>
          <w:color w:val="auto"/>
          <w:kern w:val="0"/>
          <w:sz w:val="32"/>
          <w:szCs w:val="32"/>
          <w:highlight w:val="none"/>
          <w:lang w:val="en-US" w:eastAsia="zh-CN" w:bidi="ar-SA"/>
        </w:rPr>
        <w:t>：反映上述项目以外其他用于社会保障和就业方面的支出。</w:t>
      </w:r>
    </w:p>
    <w:p>
      <w:pPr>
        <w:pageBreakBefore w:val="0"/>
        <w:kinsoku/>
        <w:wordWrap/>
        <w:overflowPunct/>
        <w:topLinePunct w:val="0"/>
        <w:bidi w:val="0"/>
        <w:spacing w:line="560" w:lineRule="exact"/>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10、卫生健康支出</w:t>
      </w:r>
    </w:p>
    <w:p>
      <w:pPr>
        <w:pageBreakBefore w:val="0"/>
        <w:kinsoku/>
        <w:wordWrap/>
        <w:overflowPunct/>
        <w:topLinePunct w:val="0"/>
        <w:bidi w:val="0"/>
        <w:spacing w:line="560" w:lineRule="exact"/>
        <w:ind w:firstLine="640" w:firstLineChars="200"/>
        <w:rPr>
          <w:rStyle w:val="18"/>
          <w:rFonts w:hint="eastAsia" w:ascii="仿宋" w:hAnsi="仿宋" w:eastAsia="仿宋"/>
          <w:b w:val="0"/>
          <w:bCs w:val="0"/>
          <w:color w:val="000000"/>
          <w:sz w:val="32"/>
          <w:szCs w:val="32"/>
          <w:lang w:val="en-US" w:eastAsia="zh-CN"/>
        </w:rPr>
      </w:pPr>
      <w:r>
        <w:rPr>
          <w:rFonts w:hint="eastAsia" w:ascii="仿宋_GB2312" w:hAnsi="Calibri" w:eastAsia="仿宋_GB2312" w:cs="仿宋"/>
          <w:color w:val="auto"/>
          <w:kern w:val="0"/>
          <w:sz w:val="32"/>
          <w:szCs w:val="32"/>
          <w:highlight w:val="none"/>
          <w:lang w:val="en-US" w:eastAsia="zh-CN" w:bidi="ar-SA"/>
        </w:rPr>
        <w:t>卫生健康支出</w:t>
      </w:r>
      <w:r>
        <w:rPr>
          <w:rFonts w:hint="eastAsia" w:ascii="仿宋_GB2312" w:eastAsia="仿宋_GB2312"/>
          <w:color w:val="000000"/>
          <w:sz w:val="32"/>
          <w:szCs w:val="32"/>
          <w:highlight w:val="none"/>
          <w:lang w:eastAsia="zh-CN"/>
        </w:rPr>
        <w:t>（类）</w:t>
      </w:r>
      <w:r>
        <w:rPr>
          <w:rStyle w:val="18"/>
          <w:rFonts w:hint="eastAsia" w:ascii="仿宋" w:hAnsi="仿宋" w:eastAsia="仿宋"/>
          <w:b w:val="0"/>
          <w:bCs w:val="0"/>
          <w:color w:val="000000"/>
          <w:sz w:val="32"/>
          <w:szCs w:val="32"/>
          <w:lang w:val="en-US" w:eastAsia="zh-CN"/>
        </w:rPr>
        <w:t>行政事业单位医疗</w:t>
      </w:r>
      <w:r>
        <w:rPr>
          <w:rStyle w:val="18"/>
          <w:rFonts w:hint="eastAsia" w:ascii="仿宋" w:hAnsi="仿宋" w:eastAsia="仿宋"/>
          <w:b w:val="0"/>
          <w:bCs w:val="0"/>
          <w:color w:val="000000"/>
          <w:sz w:val="32"/>
          <w:szCs w:val="32"/>
          <w:highlight w:val="none"/>
          <w:lang w:val="en-US" w:eastAsia="zh-CN"/>
        </w:rPr>
        <w:t>（款）</w:t>
      </w:r>
      <w:r>
        <w:rPr>
          <w:rStyle w:val="18"/>
          <w:rFonts w:hint="eastAsia" w:ascii="仿宋" w:hAnsi="仿宋" w:eastAsia="仿宋"/>
          <w:b w:val="0"/>
          <w:bCs w:val="0"/>
          <w:color w:val="000000"/>
          <w:sz w:val="32"/>
          <w:szCs w:val="32"/>
          <w:lang w:val="en-US" w:eastAsia="zh-CN"/>
        </w:rPr>
        <w:t>行政单位医疗</w:t>
      </w:r>
      <w:r>
        <w:rPr>
          <w:rStyle w:val="18"/>
          <w:rFonts w:hint="eastAsia" w:ascii="仿宋" w:hAnsi="仿宋" w:eastAsia="仿宋"/>
          <w:b w:val="0"/>
          <w:bCs w:val="0"/>
          <w:color w:val="000000"/>
          <w:sz w:val="32"/>
          <w:szCs w:val="32"/>
          <w:lang w:eastAsia="zh-CN"/>
        </w:rPr>
        <w:t>（</w:t>
      </w:r>
      <w:r>
        <w:rPr>
          <w:rStyle w:val="18"/>
          <w:rFonts w:hint="eastAsia" w:ascii="仿宋" w:hAnsi="仿宋" w:eastAsia="仿宋"/>
          <w:b w:val="0"/>
          <w:bCs w:val="0"/>
          <w:color w:val="000000"/>
          <w:sz w:val="32"/>
          <w:szCs w:val="32"/>
          <w:lang w:val="en-US" w:eastAsia="zh-CN"/>
        </w:rPr>
        <w:t>项）: 反映财政部门安排的行政单位（包括实行公务员管理的事业单位，下同）基本医疗保险缴纳经费。</w:t>
      </w:r>
    </w:p>
    <w:p>
      <w:pPr>
        <w:pageBreakBefore w:val="0"/>
        <w:kinsoku/>
        <w:wordWrap/>
        <w:overflowPunct/>
        <w:topLinePunct w:val="0"/>
        <w:bidi w:val="0"/>
        <w:spacing w:line="560" w:lineRule="exact"/>
        <w:ind w:firstLine="640" w:firstLineChars="200"/>
        <w:rPr>
          <w:rStyle w:val="18"/>
          <w:rFonts w:hint="eastAsia" w:ascii="仿宋" w:hAnsi="仿宋" w:eastAsia="仿宋"/>
          <w:b w:val="0"/>
          <w:bCs w:val="0"/>
          <w:color w:val="000000"/>
          <w:sz w:val="32"/>
          <w:szCs w:val="32"/>
          <w:lang w:val="en-US" w:eastAsia="zh-CN"/>
        </w:rPr>
      </w:pPr>
      <w:r>
        <w:rPr>
          <w:rFonts w:hint="eastAsia" w:ascii="仿宋_GB2312" w:hAnsi="Calibri" w:eastAsia="仿宋_GB2312" w:cs="仿宋"/>
          <w:color w:val="auto"/>
          <w:kern w:val="0"/>
          <w:sz w:val="32"/>
          <w:szCs w:val="32"/>
          <w:highlight w:val="none"/>
          <w:lang w:val="en-US" w:eastAsia="zh-CN" w:bidi="ar-SA"/>
        </w:rPr>
        <w:t>卫生健康支出</w:t>
      </w:r>
      <w:r>
        <w:rPr>
          <w:rFonts w:hint="eastAsia" w:ascii="仿宋_GB2312" w:eastAsia="仿宋_GB2312"/>
          <w:color w:val="000000"/>
          <w:sz w:val="32"/>
          <w:szCs w:val="32"/>
          <w:highlight w:val="none"/>
          <w:lang w:eastAsia="zh-CN"/>
        </w:rPr>
        <w:t>（类）</w:t>
      </w:r>
      <w:r>
        <w:rPr>
          <w:rStyle w:val="18"/>
          <w:rFonts w:hint="eastAsia" w:ascii="仿宋" w:hAnsi="仿宋" w:eastAsia="仿宋"/>
          <w:b w:val="0"/>
          <w:bCs w:val="0"/>
          <w:color w:val="000000"/>
          <w:sz w:val="32"/>
          <w:szCs w:val="32"/>
          <w:lang w:val="en-US" w:eastAsia="zh-CN"/>
        </w:rPr>
        <w:t>行政事业单位医疗</w:t>
      </w:r>
      <w:r>
        <w:rPr>
          <w:rStyle w:val="18"/>
          <w:rFonts w:hint="eastAsia" w:ascii="仿宋" w:hAnsi="仿宋" w:eastAsia="仿宋"/>
          <w:b w:val="0"/>
          <w:bCs w:val="0"/>
          <w:color w:val="000000"/>
          <w:sz w:val="32"/>
          <w:szCs w:val="32"/>
          <w:highlight w:val="none"/>
          <w:lang w:val="en-US" w:eastAsia="zh-CN"/>
        </w:rPr>
        <w:t>（款）</w:t>
      </w:r>
      <w:r>
        <w:rPr>
          <w:rStyle w:val="18"/>
          <w:rFonts w:hint="eastAsia" w:ascii="仿宋" w:hAnsi="仿宋" w:eastAsia="仿宋"/>
          <w:b w:val="0"/>
          <w:bCs w:val="0"/>
          <w:color w:val="000000"/>
          <w:sz w:val="32"/>
          <w:szCs w:val="32"/>
          <w:lang w:val="en-US" w:eastAsia="zh-CN"/>
        </w:rPr>
        <w:t>公务员医疗补助（项）：反映财政部门安排的公务员医疗补助经费。</w:t>
      </w:r>
    </w:p>
    <w:p>
      <w:pPr>
        <w:numPr>
          <w:ilvl w:val="0"/>
          <w:numId w:val="5"/>
        </w:numPr>
        <w:spacing w:line="600" w:lineRule="exact"/>
        <w:ind w:firstLine="640"/>
        <w:rPr>
          <w:rFonts w:hint="eastAsia" w:ascii="仿宋_GB2312" w:eastAsia="仿宋_GB2312"/>
          <w:sz w:val="32"/>
          <w:szCs w:val="32"/>
        </w:rPr>
      </w:pPr>
      <w:r>
        <w:rPr>
          <w:rFonts w:hint="eastAsia" w:ascii="仿宋_GB2312" w:eastAsia="仿宋_GB2312"/>
          <w:sz w:val="32"/>
          <w:szCs w:val="32"/>
          <w:lang w:eastAsia="zh-CN"/>
        </w:rPr>
        <w:t>农林水支出</w:t>
      </w:r>
    </w:p>
    <w:p>
      <w:pPr>
        <w:numPr>
          <w:ilvl w:val="0"/>
          <w:numId w:val="0"/>
        </w:num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农林水支出</w:t>
      </w:r>
      <w:r>
        <w:rPr>
          <w:rFonts w:hint="eastAsia" w:ascii="仿宋_GB2312" w:eastAsia="仿宋_GB2312"/>
          <w:color w:val="000000"/>
          <w:sz w:val="32"/>
          <w:szCs w:val="32"/>
          <w:highlight w:val="none"/>
          <w:lang w:eastAsia="zh-CN"/>
        </w:rPr>
        <w:t>（类）</w:t>
      </w:r>
      <w:r>
        <w:rPr>
          <w:rFonts w:hint="eastAsia" w:ascii="仿宋_GB2312" w:eastAsia="仿宋_GB2312"/>
          <w:sz w:val="32"/>
          <w:szCs w:val="32"/>
          <w:lang w:eastAsia="zh-CN"/>
        </w:rPr>
        <w:t>巩固脱贫攻坚成果衔接乡村振兴</w:t>
      </w:r>
      <w:r>
        <w:rPr>
          <w:rStyle w:val="18"/>
          <w:rFonts w:hint="eastAsia" w:ascii="仿宋" w:hAnsi="仿宋" w:eastAsia="仿宋"/>
          <w:b w:val="0"/>
          <w:bCs w:val="0"/>
          <w:color w:val="000000"/>
          <w:sz w:val="32"/>
          <w:szCs w:val="32"/>
          <w:highlight w:val="none"/>
          <w:lang w:val="en-US" w:eastAsia="zh-CN"/>
        </w:rPr>
        <w:t>（款）</w:t>
      </w:r>
      <w:r>
        <w:rPr>
          <w:rFonts w:hint="eastAsia" w:ascii="仿宋_GB2312" w:eastAsia="仿宋_GB2312"/>
          <w:sz w:val="32"/>
          <w:szCs w:val="32"/>
          <w:lang w:eastAsia="zh-CN"/>
        </w:rPr>
        <w:t>其他巩固脱贫攻坚成果衔接乡村振兴支出</w:t>
      </w:r>
      <w:r>
        <w:rPr>
          <w:rStyle w:val="18"/>
          <w:rFonts w:hint="eastAsia" w:ascii="仿宋" w:hAnsi="仿宋" w:eastAsia="仿宋"/>
          <w:b w:val="0"/>
          <w:bCs w:val="0"/>
          <w:color w:val="000000"/>
          <w:sz w:val="32"/>
          <w:szCs w:val="32"/>
          <w:lang w:val="en-US" w:eastAsia="zh-CN"/>
        </w:rPr>
        <w:t>（项）</w:t>
      </w:r>
      <w:r>
        <w:rPr>
          <w:rFonts w:hint="eastAsia" w:ascii="仿宋_GB2312" w:eastAsia="仿宋_GB2312"/>
          <w:sz w:val="32"/>
          <w:szCs w:val="32"/>
        </w:rPr>
        <w:t>：指</w:t>
      </w:r>
      <w:r>
        <w:rPr>
          <w:rFonts w:hint="eastAsia" w:ascii="仿宋_GB2312" w:eastAsia="仿宋_GB2312"/>
          <w:sz w:val="32"/>
          <w:szCs w:val="32"/>
          <w:lang w:eastAsia="zh-CN"/>
        </w:rPr>
        <w:t>除上述项目以外其他用于巩固脱贫攻坚成果同乡村振兴有效衔接方面的</w:t>
      </w:r>
      <w:r>
        <w:rPr>
          <w:rFonts w:hint="eastAsia" w:ascii="仿宋_GB2312" w:eastAsia="仿宋_GB2312"/>
          <w:sz w:val="32"/>
          <w:szCs w:val="32"/>
        </w:rPr>
        <w:t>支出。</w:t>
      </w:r>
      <w:r>
        <w:rPr>
          <w:rFonts w:ascii="仿宋_GB2312" w:eastAsia="仿宋_GB2312"/>
          <w:sz w:val="32"/>
          <w:szCs w:val="32"/>
        </w:rPr>
        <w:t> </w:t>
      </w:r>
    </w:p>
    <w:p>
      <w:pPr>
        <w:pageBreakBefore w:val="0"/>
        <w:numPr>
          <w:ilvl w:val="0"/>
          <w:numId w:val="0"/>
        </w:numPr>
        <w:kinsoku/>
        <w:wordWrap/>
        <w:overflowPunct/>
        <w:topLinePunct w:val="0"/>
        <w:bidi w:val="0"/>
        <w:spacing w:line="560" w:lineRule="exact"/>
        <w:ind w:firstLine="640" w:firstLineChars="200"/>
        <w:rPr>
          <w:rStyle w:val="18"/>
          <w:rFonts w:hint="eastAsia" w:ascii="仿宋" w:hAnsi="仿宋" w:eastAsia="仿宋"/>
          <w:b w:val="0"/>
          <w:bCs/>
          <w:color w:val="000000"/>
          <w:sz w:val="32"/>
          <w:szCs w:val="32"/>
          <w:highlight w:val="none"/>
          <w:lang w:val="en-US" w:eastAsia="zh-CN"/>
        </w:rPr>
      </w:pPr>
      <w:r>
        <w:rPr>
          <w:rStyle w:val="18"/>
          <w:rFonts w:hint="eastAsia" w:ascii="仿宋" w:hAnsi="仿宋" w:eastAsia="仿宋"/>
          <w:b w:val="0"/>
          <w:bCs/>
          <w:color w:val="000000"/>
          <w:sz w:val="32"/>
          <w:szCs w:val="32"/>
          <w:highlight w:val="none"/>
          <w:lang w:val="en-US" w:eastAsia="zh-CN"/>
        </w:rPr>
        <w:t>12、商业服务业等支出</w:t>
      </w:r>
    </w:p>
    <w:p>
      <w:pPr>
        <w:pageBreakBefore w:val="0"/>
        <w:kinsoku/>
        <w:wordWrap/>
        <w:overflowPunct/>
        <w:topLinePunct w:val="0"/>
        <w:bidi w:val="0"/>
        <w:spacing w:line="560" w:lineRule="exact"/>
        <w:ind w:firstLine="640" w:firstLineChars="200"/>
        <w:rPr>
          <w:rStyle w:val="18"/>
          <w:rFonts w:hint="eastAsia" w:ascii="仿宋" w:hAnsi="仿宋" w:eastAsia="仿宋"/>
          <w:b w:val="0"/>
          <w:bCs w:val="0"/>
          <w:color w:val="000000"/>
          <w:sz w:val="32"/>
          <w:szCs w:val="32"/>
          <w:highlight w:val="none"/>
          <w:lang w:val="en-US" w:eastAsia="zh-CN"/>
        </w:rPr>
      </w:pPr>
      <w:r>
        <w:rPr>
          <w:rStyle w:val="18"/>
          <w:rFonts w:hint="eastAsia" w:ascii="仿宋" w:hAnsi="仿宋" w:eastAsia="仿宋"/>
          <w:b w:val="0"/>
          <w:bCs/>
          <w:color w:val="000000"/>
          <w:sz w:val="32"/>
          <w:szCs w:val="32"/>
          <w:highlight w:val="none"/>
          <w:lang w:val="en-US" w:eastAsia="zh-CN"/>
        </w:rPr>
        <w:t>商业服务业等支出</w:t>
      </w:r>
      <w:r>
        <w:rPr>
          <w:rFonts w:hint="eastAsia" w:ascii="仿宋_GB2312" w:eastAsia="仿宋_GB2312"/>
          <w:color w:val="000000"/>
          <w:sz w:val="32"/>
          <w:szCs w:val="32"/>
          <w:highlight w:val="none"/>
          <w:lang w:eastAsia="zh-CN"/>
        </w:rPr>
        <w:t>（类）</w:t>
      </w:r>
      <w:r>
        <w:rPr>
          <w:rStyle w:val="18"/>
          <w:rFonts w:hint="eastAsia" w:ascii="仿宋" w:hAnsi="仿宋" w:eastAsia="仿宋"/>
          <w:b w:val="0"/>
          <w:bCs w:val="0"/>
          <w:color w:val="000000"/>
          <w:sz w:val="32"/>
          <w:szCs w:val="32"/>
          <w:lang w:val="en-US" w:eastAsia="zh-CN"/>
        </w:rPr>
        <w:t>商业流通事务</w:t>
      </w:r>
      <w:r>
        <w:rPr>
          <w:rStyle w:val="18"/>
          <w:rFonts w:hint="eastAsia" w:ascii="仿宋" w:hAnsi="仿宋" w:eastAsia="仿宋"/>
          <w:b w:val="0"/>
          <w:bCs w:val="0"/>
          <w:color w:val="000000"/>
          <w:sz w:val="32"/>
          <w:szCs w:val="32"/>
          <w:highlight w:val="none"/>
          <w:lang w:val="en-US" w:eastAsia="zh-CN"/>
        </w:rPr>
        <w:t>（款）行政运行</w:t>
      </w:r>
      <w:r>
        <w:rPr>
          <w:rStyle w:val="18"/>
          <w:rFonts w:hint="eastAsia" w:ascii="仿宋" w:hAnsi="仿宋" w:eastAsia="仿宋"/>
          <w:b w:val="0"/>
          <w:bCs w:val="0"/>
          <w:color w:val="000000"/>
          <w:sz w:val="32"/>
          <w:szCs w:val="32"/>
          <w:lang w:val="en-US" w:eastAsia="zh-CN"/>
        </w:rPr>
        <w:t>（项）</w:t>
      </w:r>
      <w:r>
        <w:rPr>
          <w:rStyle w:val="18"/>
          <w:rFonts w:hint="eastAsia" w:ascii="仿宋" w:hAnsi="仿宋" w:eastAsia="仿宋"/>
          <w:b w:val="0"/>
          <w:bCs w:val="0"/>
          <w:color w:val="000000"/>
          <w:sz w:val="32"/>
          <w:szCs w:val="32"/>
          <w:highlight w:val="none"/>
          <w:lang w:val="en-US" w:eastAsia="zh-CN"/>
        </w:rPr>
        <w:t>：反映行政单位（包括实行公务员管理的事业单位）的基本支出。</w:t>
      </w:r>
    </w:p>
    <w:p>
      <w:pPr>
        <w:pageBreakBefore w:val="0"/>
        <w:kinsoku/>
        <w:wordWrap/>
        <w:overflowPunct/>
        <w:topLinePunct w:val="0"/>
        <w:bidi w:val="0"/>
        <w:spacing w:line="560" w:lineRule="exact"/>
        <w:ind w:firstLine="640" w:firstLineChars="200"/>
        <w:rPr>
          <w:rStyle w:val="18"/>
          <w:rFonts w:hint="eastAsia" w:ascii="仿宋" w:hAnsi="仿宋" w:eastAsia="仿宋"/>
          <w:b w:val="0"/>
          <w:bCs/>
          <w:color w:val="000000"/>
          <w:sz w:val="32"/>
          <w:szCs w:val="32"/>
          <w:lang w:eastAsia="zh-CN"/>
        </w:rPr>
      </w:pPr>
      <w:r>
        <w:rPr>
          <w:rStyle w:val="18"/>
          <w:rFonts w:hint="eastAsia" w:ascii="仿宋" w:hAnsi="仿宋" w:eastAsia="仿宋"/>
          <w:b w:val="0"/>
          <w:bCs/>
          <w:color w:val="000000"/>
          <w:sz w:val="32"/>
          <w:szCs w:val="32"/>
          <w:highlight w:val="none"/>
          <w:lang w:val="en-US" w:eastAsia="zh-CN"/>
        </w:rPr>
        <w:t>商业服务业等支出</w:t>
      </w:r>
      <w:r>
        <w:rPr>
          <w:rFonts w:hint="eastAsia" w:ascii="仿宋_GB2312" w:eastAsia="仿宋_GB2312"/>
          <w:color w:val="000000"/>
          <w:sz w:val="32"/>
          <w:szCs w:val="32"/>
          <w:highlight w:val="none"/>
          <w:lang w:eastAsia="zh-CN"/>
        </w:rPr>
        <w:t>（类）</w:t>
      </w:r>
      <w:r>
        <w:rPr>
          <w:rStyle w:val="18"/>
          <w:rFonts w:hint="eastAsia" w:ascii="仿宋" w:hAnsi="仿宋" w:eastAsia="仿宋"/>
          <w:b w:val="0"/>
          <w:bCs w:val="0"/>
          <w:color w:val="000000"/>
          <w:sz w:val="32"/>
          <w:szCs w:val="32"/>
          <w:lang w:val="en-US" w:eastAsia="zh-CN"/>
        </w:rPr>
        <w:t>商业流通事务</w:t>
      </w:r>
      <w:r>
        <w:rPr>
          <w:rStyle w:val="18"/>
          <w:rFonts w:hint="eastAsia" w:ascii="仿宋" w:hAnsi="仿宋" w:eastAsia="仿宋"/>
          <w:b w:val="0"/>
          <w:bCs w:val="0"/>
          <w:color w:val="000000"/>
          <w:sz w:val="32"/>
          <w:szCs w:val="32"/>
          <w:highlight w:val="none"/>
          <w:lang w:val="en-US" w:eastAsia="zh-CN"/>
        </w:rPr>
        <w:t>（款）</w:t>
      </w:r>
      <w:r>
        <w:rPr>
          <w:rStyle w:val="18"/>
          <w:rFonts w:hint="eastAsia" w:ascii="仿宋" w:hAnsi="仿宋" w:eastAsia="仿宋"/>
          <w:b w:val="0"/>
          <w:bCs/>
          <w:color w:val="000000"/>
          <w:sz w:val="32"/>
          <w:szCs w:val="32"/>
          <w:lang w:val="en-US" w:eastAsia="zh-CN"/>
        </w:rPr>
        <w:t>其他商业流通事务支出</w:t>
      </w:r>
      <w:r>
        <w:rPr>
          <w:rStyle w:val="18"/>
          <w:rFonts w:hint="eastAsia" w:ascii="仿宋" w:hAnsi="仿宋" w:eastAsia="仿宋"/>
          <w:b w:val="0"/>
          <w:bCs w:val="0"/>
          <w:color w:val="000000"/>
          <w:sz w:val="32"/>
          <w:szCs w:val="32"/>
          <w:lang w:val="en-US" w:eastAsia="zh-CN"/>
        </w:rPr>
        <w:t>（项）</w:t>
      </w:r>
      <w:r>
        <w:rPr>
          <w:rStyle w:val="18"/>
          <w:rFonts w:hint="eastAsia" w:ascii="仿宋" w:hAnsi="仿宋" w:eastAsia="仿宋"/>
          <w:b w:val="0"/>
          <w:bCs/>
          <w:color w:val="000000"/>
          <w:sz w:val="32"/>
          <w:szCs w:val="32"/>
          <w:lang w:val="en-US" w:eastAsia="zh-CN"/>
        </w:rPr>
        <w:t>：</w:t>
      </w:r>
      <w:r>
        <w:rPr>
          <w:rStyle w:val="18"/>
          <w:rFonts w:hint="eastAsia" w:ascii="仿宋" w:hAnsi="仿宋" w:eastAsia="仿宋"/>
          <w:b w:val="0"/>
          <w:bCs/>
          <w:color w:val="000000"/>
          <w:sz w:val="32"/>
          <w:szCs w:val="32"/>
          <w:lang w:eastAsia="zh-CN"/>
        </w:rPr>
        <w:t>反映上述项目以外其他用于</w:t>
      </w:r>
      <w:r>
        <w:rPr>
          <w:rStyle w:val="18"/>
          <w:rFonts w:hint="eastAsia" w:ascii="仿宋" w:hAnsi="仿宋" w:eastAsia="仿宋"/>
          <w:b w:val="0"/>
          <w:bCs/>
          <w:color w:val="000000"/>
          <w:sz w:val="32"/>
          <w:szCs w:val="32"/>
          <w:lang w:val="en-US" w:eastAsia="zh-CN"/>
        </w:rPr>
        <w:t>商业服务方面的支出。</w:t>
      </w:r>
    </w:p>
    <w:p>
      <w:pPr>
        <w:pageBreakBefore w:val="0"/>
        <w:numPr>
          <w:ilvl w:val="0"/>
          <w:numId w:val="0"/>
        </w:numPr>
        <w:kinsoku/>
        <w:wordWrap/>
        <w:overflowPunct/>
        <w:topLinePunct w:val="0"/>
        <w:bidi w:val="0"/>
        <w:spacing w:line="560" w:lineRule="exact"/>
        <w:ind w:leftChars="200" w:firstLine="320" w:firstLineChars="100"/>
        <w:rPr>
          <w:rStyle w:val="18"/>
          <w:rFonts w:hint="eastAsia" w:ascii="仿宋" w:hAnsi="仿宋" w:eastAsia="仿宋"/>
          <w:b w:val="0"/>
          <w:bCs/>
          <w:color w:val="000000"/>
          <w:sz w:val="32"/>
          <w:szCs w:val="32"/>
          <w:lang w:val="en-US" w:eastAsia="zh-CN"/>
        </w:rPr>
      </w:pPr>
      <w:r>
        <w:rPr>
          <w:rStyle w:val="18"/>
          <w:rFonts w:hint="eastAsia" w:ascii="仿宋" w:hAnsi="仿宋" w:eastAsia="仿宋"/>
          <w:b w:val="0"/>
          <w:bCs/>
          <w:color w:val="000000"/>
          <w:sz w:val="32"/>
          <w:szCs w:val="32"/>
          <w:lang w:val="en-US" w:eastAsia="zh-CN"/>
        </w:rPr>
        <w:t>13、住房保障支出</w:t>
      </w:r>
    </w:p>
    <w:p>
      <w:pPr>
        <w:pageBreakBefore w:val="0"/>
        <w:numPr>
          <w:ilvl w:val="0"/>
          <w:numId w:val="0"/>
        </w:numPr>
        <w:kinsoku/>
        <w:wordWrap/>
        <w:overflowPunct/>
        <w:topLinePunct w:val="0"/>
        <w:bidi w:val="0"/>
        <w:spacing w:line="560" w:lineRule="exact"/>
        <w:ind w:firstLine="640" w:firstLineChars="200"/>
        <w:rPr>
          <w:rFonts w:hint="eastAsia" w:ascii="仿宋" w:hAnsi="仿宋" w:eastAsia="仿宋"/>
          <w:color w:val="000000"/>
          <w:sz w:val="32"/>
          <w:szCs w:val="32"/>
          <w:lang w:eastAsia="zh-CN"/>
        </w:rPr>
      </w:pPr>
      <w:r>
        <w:rPr>
          <w:rStyle w:val="18"/>
          <w:rFonts w:hint="eastAsia" w:ascii="仿宋" w:hAnsi="仿宋" w:eastAsia="仿宋"/>
          <w:b w:val="0"/>
          <w:bCs/>
          <w:color w:val="000000"/>
          <w:sz w:val="32"/>
          <w:szCs w:val="32"/>
          <w:lang w:val="en-US" w:eastAsia="zh-CN"/>
        </w:rPr>
        <w:t>住房保障支出</w:t>
      </w:r>
      <w:r>
        <w:rPr>
          <w:rFonts w:hint="eastAsia" w:ascii="仿宋_GB2312" w:eastAsia="仿宋_GB2312"/>
          <w:color w:val="000000"/>
          <w:sz w:val="32"/>
          <w:szCs w:val="32"/>
          <w:highlight w:val="none"/>
          <w:lang w:eastAsia="zh-CN"/>
        </w:rPr>
        <w:t>（类）</w:t>
      </w:r>
      <w:r>
        <w:rPr>
          <w:rStyle w:val="18"/>
          <w:rFonts w:hint="eastAsia" w:ascii="仿宋" w:hAnsi="仿宋" w:eastAsia="仿宋"/>
          <w:b w:val="0"/>
          <w:bCs w:val="0"/>
          <w:color w:val="000000"/>
          <w:sz w:val="32"/>
          <w:szCs w:val="32"/>
          <w:lang w:val="en-US" w:eastAsia="zh-CN"/>
        </w:rPr>
        <w:t>住房改革支出</w:t>
      </w:r>
      <w:r>
        <w:rPr>
          <w:rStyle w:val="18"/>
          <w:rFonts w:hint="eastAsia" w:ascii="仿宋" w:hAnsi="仿宋" w:eastAsia="仿宋"/>
          <w:b w:val="0"/>
          <w:bCs w:val="0"/>
          <w:color w:val="000000"/>
          <w:sz w:val="32"/>
          <w:szCs w:val="32"/>
          <w:highlight w:val="none"/>
          <w:lang w:val="en-US" w:eastAsia="zh-CN"/>
        </w:rPr>
        <w:t>（款）</w:t>
      </w:r>
      <w:r>
        <w:rPr>
          <w:rStyle w:val="18"/>
          <w:rFonts w:hint="eastAsia" w:ascii="仿宋" w:hAnsi="仿宋" w:eastAsia="仿宋"/>
          <w:b w:val="0"/>
          <w:bCs/>
          <w:color w:val="000000"/>
          <w:sz w:val="32"/>
          <w:szCs w:val="32"/>
          <w:lang w:val="en-US" w:eastAsia="zh-CN"/>
        </w:rPr>
        <w:t>住房公积金</w:t>
      </w:r>
      <w:r>
        <w:rPr>
          <w:rStyle w:val="18"/>
          <w:rFonts w:hint="eastAsia" w:ascii="仿宋" w:hAnsi="仿宋" w:eastAsia="仿宋"/>
          <w:b w:val="0"/>
          <w:bCs w:val="0"/>
          <w:color w:val="000000"/>
          <w:sz w:val="32"/>
          <w:szCs w:val="32"/>
          <w:lang w:val="en-US" w:eastAsia="zh-CN"/>
        </w:rPr>
        <w:t>（项）</w:t>
      </w:r>
      <w:r>
        <w:rPr>
          <w:rStyle w:val="18"/>
          <w:rFonts w:hint="eastAsia" w:ascii="仿宋" w:hAnsi="仿宋" w:eastAsia="仿宋"/>
          <w:b w:val="0"/>
          <w:bCs/>
          <w:color w:val="000000"/>
          <w:sz w:val="32"/>
          <w:szCs w:val="32"/>
          <w:lang w:val="en-US" w:eastAsia="zh-CN"/>
        </w:rPr>
        <w:t>：</w:t>
      </w:r>
      <w:r>
        <w:rPr>
          <w:rStyle w:val="18"/>
          <w:rFonts w:hint="eastAsia" w:ascii="仿宋" w:hAnsi="仿宋" w:eastAsia="仿宋"/>
          <w:b w:val="0"/>
          <w:bCs/>
          <w:color w:val="000000"/>
          <w:sz w:val="32"/>
          <w:szCs w:val="32"/>
          <w:lang w:eastAsia="zh-CN"/>
        </w:rPr>
        <w:t>反映行政事业单位按人力资源和社会保障部、财政部规定的基本工资和津贴补贴以及规定比例为职工缴纳的住房公积金。</w:t>
      </w:r>
    </w:p>
    <w:p>
      <w:pPr>
        <w:ind w:firstLine="640" w:firstLineChars="200"/>
        <w:rPr>
          <w:rFonts w:ascii="仿宋_GB2312" w:eastAsia="仿宋_GB2312"/>
          <w:sz w:val="32"/>
          <w:szCs w:val="32"/>
        </w:rPr>
      </w:pPr>
      <w:r>
        <w:rPr>
          <w:rFonts w:hint="eastAsia" w:ascii="仿宋_GB2312" w:eastAsia="仿宋_GB2312"/>
          <w:sz w:val="32"/>
          <w:szCs w:val="32"/>
          <w:lang w:val="en-US" w:eastAsia="zh-CN"/>
        </w:rPr>
        <w:t>14</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numPr>
          <w:ilvl w:val="0"/>
          <w:numId w:val="0"/>
        </w:numPr>
        <w:spacing w:line="600" w:lineRule="exact"/>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人员经费：</w:t>
      </w:r>
    </w:p>
    <w:p>
      <w:pPr>
        <w:numPr>
          <w:ilvl w:val="0"/>
          <w:numId w:val="0"/>
        </w:numPr>
        <w:spacing w:line="600" w:lineRule="exact"/>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rPr>
        <w:t>基本工资</w:t>
      </w:r>
      <w:r>
        <w:rPr>
          <w:rFonts w:hint="eastAsia" w:ascii="仿宋" w:hAnsi="仿宋" w:eastAsia="仿宋"/>
          <w:color w:val="auto"/>
          <w:sz w:val="32"/>
          <w:szCs w:val="32"/>
          <w:lang w:eastAsia="zh-CN"/>
        </w:rPr>
        <w:t>：反映按规定发放的基本工资。</w:t>
      </w:r>
    </w:p>
    <w:p>
      <w:pPr>
        <w:numPr>
          <w:ilvl w:val="0"/>
          <w:numId w:val="0"/>
        </w:numPr>
        <w:spacing w:line="600" w:lineRule="exact"/>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rPr>
        <w:t>津贴补贴</w:t>
      </w:r>
      <w:r>
        <w:rPr>
          <w:rFonts w:hint="eastAsia" w:ascii="仿宋" w:hAnsi="仿宋" w:eastAsia="仿宋"/>
          <w:color w:val="auto"/>
          <w:sz w:val="32"/>
          <w:szCs w:val="32"/>
          <w:lang w:eastAsia="zh-CN"/>
        </w:rPr>
        <w:t>：反映按规定发放的津贴、补贴。</w:t>
      </w:r>
    </w:p>
    <w:p>
      <w:pPr>
        <w:numPr>
          <w:ilvl w:val="0"/>
          <w:numId w:val="0"/>
        </w:numPr>
        <w:spacing w:line="600" w:lineRule="exact"/>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rPr>
        <w:t>奖金</w:t>
      </w:r>
      <w:r>
        <w:rPr>
          <w:rFonts w:hint="eastAsia" w:ascii="仿宋" w:hAnsi="仿宋" w:eastAsia="仿宋"/>
          <w:color w:val="auto"/>
          <w:sz w:val="32"/>
          <w:szCs w:val="32"/>
          <w:lang w:eastAsia="zh-CN"/>
        </w:rPr>
        <w:t>：反映按规定发放的奖金，包括机关工作人员年终一次性奖金等。</w:t>
      </w:r>
    </w:p>
    <w:p>
      <w:pPr>
        <w:numPr>
          <w:ilvl w:val="0"/>
          <w:numId w:val="0"/>
        </w:numPr>
        <w:spacing w:line="600" w:lineRule="exact"/>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rPr>
        <w:t>伙食补助费</w:t>
      </w:r>
      <w:r>
        <w:rPr>
          <w:rFonts w:hint="eastAsia" w:ascii="仿宋" w:hAnsi="仿宋" w:eastAsia="仿宋"/>
          <w:color w:val="auto"/>
          <w:sz w:val="32"/>
          <w:szCs w:val="32"/>
          <w:lang w:eastAsia="zh-CN"/>
        </w:rPr>
        <w:t>：反映单位发给职工的伙食补助费。</w:t>
      </w:r>
    </w:p>
    <w:p>
      <w:pPr>
        <w:numPr>
          <w:ilvl w:val="0"/>
          <w:numId w:val="0"/>
        </w:numPr>
        <w:spacing w:line="600" w:lineRule="exact"/>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rPr>
        <w:t>机关事业单位基本养老保险缴费</w:t>
      </w:r>
      <w:r>
        <w:rPr>
          <w:rFonts w:hint="eastAsia" w:ascii="仿宋" w:hAnsi="仿宋" w:eastAsia="仿宋"/>
          <w:color w:val="auto"/>
          <w:sz w:val="32"/>
          <w:szCs w:val="32"/>
          <w:lang w:eastAsia="zh-CN"/>
        </w:rPr>
        <w:t>：反映单位为职工缴纳的基本养老保险费。由单位代扣的工作人员基本养老保险缴费，不在此科目反映。</w:t>
      </w:r>
    </w:p>
    <w:p>
      <w:pPr>
        <w:numPr>
          <w:ilvl w:val="0"/>
          <w:numId w:val="0"/>
        </w:numPr>
        <w:spacing w:line="600" w:lineRule="exact"/>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rPr>
        <w:t>职业年金缴费</w:t>
      </w:r>
      <w:r>
        <w:rPr>
          <w:rFonts w:hint="eastAsia" w:ascii="仿宋" w:hAnsi="仿宋" w:eastAsia="仿宋"/>
          <w:color w:val="auto"/>
          <w:sz w:val="32"/>
          <w:szCs w:val="32"/>
          <w:lang w:eastAsia="zh-CN"/>
        </w:rPr>
        <w:t>：反映单位为职工缴纳的职业年金（含职业年金补记支出）。由单位代扣的工作人员职业年金，不在此科目反映。</w:t>
      </w:r>
    </w:p>
    <w:p>
      <w:pPr>
        <w:numPr>
          <w:ilvl w:val="0"/>
          <w:numId w:val="0"/>
        </w:numPr>
        <w:spacing w:line="60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职工基本医疗缴费：</w:t>
      </w:r>
      <w:r>
        <w:rPr>
          <w:rFonts w:hint="eastAsia" w:ascii="仿宋" w:hAnsi="仿宋" w:eastAsia="仿宋"/>
          <w:color w:val="auto"/>
          <w:sz w:val="32"/>
          <w:szCs w:val="32"/>
          <w:lang w:eastAsia="zh-CN"/>
        </w:rPr>
        <w:t>反映单位为职工缴纳的</w:t>
      </w:r>
      <w:r>
        <w:rPr>
          <w:rFonts w:hint="eastAsia" w:ascii="仿宋" w:hAnsi="仿宋" w:eastAsia="仿宋"/>
          <w:color w:val="auto"/>
          <w:sz w:val="32"/>
          <w:szCs w:val="32"/>
          <w:lang w:val="en-US" w:eastAsia="zh-CN"/>
        </w:rPr>
        <w:t>基本医疗保险费。</w:t>
      </w:r>
    </w:p>
    <w:p>
      <w:pPr>
        <w:numPr>
          <w:ilvl w:val="0"/>
          <w:numId w:val="0"/>
        </w:numPr>
        <w:spacing w:line="60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公务员医疗补助缴费：</w:t>
      </w:r>
      <w:r>
        <w:rPr>
          <w:rFonts w:hint="eastAsia" w:ascii="仿宋" w:hAnsi="仿宋" w:eastAsia="仿宋"/>
          <w:color w:val="auto"/>
          <w:sz w:val="32"/>
          <w:szCs w:val="32"/>
          <w:lang w:eastAsia="zh-CN"/>
        </w:rPr>
        <w:t>反映按规定可享受公务员医疗补助单位为职工缴纳的</w:t>
      </w:r>
      <w:r>
        <w:rPr>
          <w:rFonts w:hint="eastAsia" w:ascii="仿宋" w:hAnsi="仿宋" w:eastAsia="仿宋"/>
          <w:color w:val="auto"/>
          <w:sz w:val="32"/>
          <w:szCs w:val="32"/>
          <w:lang w:val="en-US" w:eastAsia="zh-CN"/>
        </w:rPr>
        <w:t>公务员医疗补助。</w:t>
      </w:r>
    </w:p>
    <w:p>
      <w:pPr>
        <w:numPr>
          <w:ilvl w:val="0"/>
          <w:numId w:val="0"/>
        </w:numPr>
        <w:spacing w:line="600" w:lineRule="exact"/>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rPr>
        <w:t>其他社会保障缴费</w:t>
      </w:r>
      <w:r>
        <w:rPr>
          <w:rFonts w:hint="eastAsia" w:ascii="仿宋" w:hAnsi="仿宋" w:eastAsia="仿宋"/>
          <w:color w:val="auto"/>
          <w:sz w:val="32"/>
          <w:szCs w:val="32"/>
          <w:lang w:eastAsia="zh-CN"/>
        </w:rPr>
        <w:t>：反映单位为职工缴纳的失业、工伤、生育等社会保险费。</w:t>
      </w:r>
    </w:p>
    <w:p>
      <w:pPr>
        <w:numPr>
          <w:ilvl w:val="0"/>
          <w:numId w:val="0"/>
        </w:numPr>
        <w:spacing w:line="600" w:lineRule="exact"/>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rPr>
        <w:t>住房公积金</w:t>
      </w:r>
      <w:r>
        <w:rPr>
          <w:rFonts w:hint="eastAsia" w:ascii="仿宋" w:hAnsi="仿宋" w:eastAsia="仿宋"/>
          <w:color w:val="auto"/>
          <w:sz w:val="32"/>
          <w:szCs w:val="32"/>
          <w:lang w:eastAsia="zh-CN"/>
        </w:rPr>
        <w:t>：反映单位为职工缴纳的</w:t>
      </w:r>
      <w:r>
        <w:rPr>
          <w:rFonts w:hint="eastAsia" w:ascii="仿宋" w:hAnsi="仿宋" w:eastAsia="仿宋"/>
          <w:color w:val="auto"/>
          <w:sz w:val="32"/>
          <w:szCs w:val="32"/>
        </w:rPr>
        <w:t>住房公积金</w:t>
      </w:r>
      <w:r>
        <w:rPr>
          <w:rFonts w:hint="eastAsia" w:ascii="仿宋" w:hAnsi="仿宋" w:eastAsia="仿宋"/>
          <w:color w:val="auto"/>
          <w:sz w:val="32"/>
          <w:szCs w:val="32"/>
          <w:lang w:eastAsia="zh-CN"/>
        </w:rPr>
        <w:t>。</w:t>
      </w:r>
    </w:p>
    <w:p>
      <w:pPr>
        <w:numPr>
          <w:ilvl w:val="0"/>
          <w:numId w:val="0"/>
        </w:numPr>
        <w:spacing w:line="600" w:lineRule="exact"/>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rPr>
        <w:t>生活补助</w:t>
      </w:r>
      <w:r>
        <w:rPr>
          <w:rFonts w:hint="eastAsia" w:ascii="仿宋" w:hAnsi="仿宋" w:eastAsia="仿宋"/>
          <w:color w:val="auto"/>
          <w:sz w:val="32"/>
          <w:szCs w:val="32"/>
          <w:lang w:eastAsia="zh-CN"/>
        </w:rPr>
        <w:t>：反映按规定开支的优抚对象定期定量生活补助费、退役军人生活补助费、机关事业的为职工遗属生活补助、长期赡养人员补助费等。</w:t>
      </w:r>
    </w:p>
    <w:p>
      <w:pPr>
        <w:numPr>
          <w:ilvl w:val="0"/>
          <w:numId w:val="0"/>
        </w:numPr>
        <w:spacing w:line="600" w:lineRule="exact"/>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rPr>
        <w:t>奖励金</w:t>
      </w:r>
      <w:r>
        <w:rPr>
          <w:rFonts w:hint="eastAsia" w:ascii="仿宋" w:hAnsi="仿宋" w:eastAsia="仿宋"/>
          <w:color w:val="auto"/>
          <w:sz w:val="32"/>
          <w:szCs w:val="32"/>
          <w:lang w:eastAsia="zh-CN"/>
        </w:rPr>
        <w:t>：反映对个体私营经济的奖励、计划生育目标责任奖励、独生子女父母奖励等。</w:t>
      </w:r>
      <w:r>
        <w:rPr>
          <w:rFonts w:ascii="仿宋" w:hAnsi="仿宋" w:eastAsia="仿宋"/>
          <w:color w:val="auto"/>
          <w:sz w:val="32"/>
          <w:szCs w:val="32"/>
        </w:rPr>
        <w:br w:type="textWrapping"/>
      </w:r>
      <w:r>
        <w:rPr>
          <w:rFonts w:hint="eastAsia" w:ascii="仿宋" w:hAnsi="仿宋" w:eastAsia="仿宋"/>
          <w:color w:val="auto"/>
          <w:sz w:val="32"/>
          <w:szCs w:val="32"/>
        </w:rPr>
        <w:t>　　日常公用经费</w:t>
      </w:r>
      <w:r>
        <w:rPr>
          <w:rFonts w:hint="eastAsia" w:ascii="仿宋" w:hAnsi="仿宋" w:eastAsia="仿宋"/>
          <w:color w:val="auto"/>
          <w:sz w:val="32"/>
          <w:szCs w:val="32"/>
          <w:lang w:eastAsia="zh-CN"/>
        </w:rPr>
        <w:t>：</w:t>
      </w:r>
    </w:p>
    <w:p>
      <w:pPr>
        <w:spacing w:line="600" w:lineRule="exact"/>
        <w:ind w:firstLine="645"/>
        <w:rPr>
          <w:rFonts w:hint="eastAsia" w:ascii="仿宋" w:hAnsi="仿宋" w:eastAsia="仿宋"/>
          <w:color w:val="auto"/>
          <w:sz w:val="32"/>
          <w:szCs w:val="32"/>
          <w:lang w:eastAsia="zh-CN"/>
        </w:rPr>
      </w:pPr>
      <w:r>
        <w:rPr>
          <w:rFonts w:hint="eastAsia" w:ascii="仿宋" w:hAnsi="仿宋" w:eastAsia="仿宋"/>
          <w:color w:val="auto"/>
          <w:sz w:val="32"/>
          <w:szCs w:val="32"/>
        </w:rPr>
        <w:t>办公费</w:t>
      </w:r>
      <w:r>
        <w:rPr>
          <w:rFonts w:hint="eastAsia" w:ascii="仿宋" w:hAnsi="仿宋" w:eastAsia="仿宋"/>
          <w:color w:val="auto"/>
          <w:sz w:val="32"/>
          <w:szCs w:val="32"/>
          <w:lang w:eastAsia="zh-CN"/>
        </w:rPr>
        <w:t>：反映单位购买日常办公用品、书报杂志等支出。</w:t>
      </w:r>
    </w:p>
    <w:p>
      <w:pPr>
        <w:spacing w:line="600" w:lineRule="exact"/>
        <w:ind w:firstLine="645"/>
        <w:rPr>
          <w:rFonts w:hint="eastAsia" w:ascii="仿宋" w:hAnsi="仿宋" w:eastAsia="仿宋"/>
          <w:color w:val="auto"/>
          <w:sz w:val="32"/>
          <w:szCs w:val="32"/>
          <w:lang w:eastAsia="zh-CN"/>
        </w:rPr>
      </w:pPr>
      <w:r>
        <w:rPr>
          <w:rFonts w:hint="eastAsia" w:ascii="仿宋" w:hAnsi="仿宋" w:eastAsia="仿宋"/>
          <w:color w:val="auto"/>
          <w:sz w:val="32"/>
          <w:szCs w:val="32"/>
          <w:lang w:eastAsia="zh-CN"/>
        </w:rPr>
        <w:t>水</w:t>
      </w:r>
      <w:r>
        <w:rPr>
          <w:rFonts w:hint="eastAsia" w:ascii="仿宋" w:hAnsi="仿宋" w:eastAsia="仿宋"/>
          <w:color w:val="auto"/>
          <w:sz w:val="32"/>
          <w:szCs w:val="32"/>
        </w:rPr>
        <w:t>费</w:t>
      </w:r>
      <w:r>
        <w:rPr>
          <w:rFonts w:hint="eastAsia" w:ascii="仿宋" w:hAnsi="仿宋" w:eastAsia="仿宋"/>
          <w:color w:val="auto"/>
          <w:sz w:val="32"/>
          <w:szCs w:val="32"/>
          <w:lang w:eastAsia="zh-CN"/>
        </w:rPr>
        <w:t>：反映单位的水费、污水处理费等支出。</w:t>
      </w:r>
    </w:p>
    <w:p>
      <w:pPr>
        <w:spacing w:line="600" w:lineRule="exact"/>
        <w:ind w:firstLine="645"/>
        <w:rPr>
          <w:rFonts w:hint="eastAsia" w:ascii="仿宋" w:hAnsi="仿宋" w:eastAsia="仿宋"/>
          <w:color w:val="auto"/>
          <w:sz w:val="32"/>
          <w:szCs w:val="32"/>
          <w:lang w:eastAsia="zh-CN"/>
        </w:rPr>
      </w:pPr>
      <w:r>
        <w:rPr>
          <w:rFonts w:hint="eastAsia" w:ascii="仿宋" w:hAnsi="仿宋" w:eastAsia="仿宋"/>
          <w:color w:val="auto"/>
          <w:sz w:val="32"/>
          <w:szCs w:val="32"/>
        </w:rPr>
        <w:t>电费</w:t>
      </w:r>
      <w:r>
        <w:rPr>
          <w:rFonts w:hint="eastAsia" w:ascii="仿宋" w:hAnsi="仿宋" w:eastAsia="仿宋"/>
          <w:color w:val="auto"/>
          <w:sz w:val="32"/>
          <w:szCs w:val="32"/>
          <w:lang w:eastAsia="zh-CN"/>
        </w:rPr>
        <w:t>：反映单位的电费支出。</w:t>
      </w:r>
    </w:p>
    <w:p>
      <w:pPr>
        <w:spacing w:line="600" w:lineRule="exact"/>
        <w:ind w:firstLine="645"/>
        <w:rPr>
          <w:rFonts w:hint="eastAsia" w:ascii="仿宋" w:hAnsi="仿宋" w:eastAsia="仿宋"/>
          <w:color w:val="auto"/>
          <w:sz w:val="32"/>
          <w:szCs w:val="32"/>
          <w:lang w:eastAsia="zh-CN"/>
        </w:rPr>
      </w:pPr>
      <w:r>
        <w:rPr>
          <w:rFonts w:hint="eastAsia" w:ascii="仿宋" w:hAnsi="仿宋" w:eastAsia="仿宋"/>
          <w:color w:val="auto"/>
          <w:sz w:val="32"/>
          <w:szCs w:val="32"/>
        </w:rPr>
        <w:t>邮电费</w:t>
      </w:r>
      <w:r>
        <w:rPr>
          <w:rFonts w:hint="eastAsia" w:ascii="仿宋" w:hAnsi="仿宋" w:eastAsia="仿宋"/>
          <w:color w:val="auto"/>
          <w:sz w:val="32"/>
          <w:szCs w:val="32"/>
          <w:lang w:eastAsia="zh-CN"/>
        </w:rPr>
        <w:t>：反映单位开支的电话费及网络通讯费等。</w:t>
      </w:r>
    </w:p>
    <w:p>
      <w:pPr>
        <w:spacing w:line="600" w:lineRule="exact"/>
        <w:ind w:firstLine="645"/>
        <w:rPr>
          <w:rFonts w:hint="default" w:ascii="仿宋" w:hAnsi="仿宋" w:eastAsia="仿宋"/>
          <w:color w:val="auto"/>
          <w:sz w:val="32"/>
          <w:szCs w:val="32"/>
          <w:lang w:val="en-US" w:eastAsia="zh-CN"/>
        </w:rPr>
      </w:pPr>
      <w:r>
        <w:rPr>
          <w:rFonts w:hint="eastAsia" w:ascii="仿宋" w:hAnsi="仿宋" w:eastAsia="仿宋"/>
          <w:color w:val="auto"/>
          <w:sz w:val="32"/>
          <w:szCs w:val="32"/>
          <w:lang w:val="en-US" w:eastAsia="zh-CN"/>
        </w:rPr>
        <w:t>物业管理费：反映单位开支的办公用房以及未实行职工住宅物业服务改革的在职职工和离退休人员宿舍等的物业管理费，包括综合治理、绿化、卫生等方面的支出。</w:t>
      </w:r>
    </w:p>
    <w:p>
      <w:pPr>
        <w:spacing w:line="600" w:lineRule="exact"/>
        <w:ind w:firstLine="645"/>
        <w:rPr>
          <w:rFonts w:hint="eastAsia" w:ascii="仿宋" w:hAnsi="仿宋" w:eastAsia="仿宋"/>
          <w:color w:val="auto"/>
          <w:sz w:val="32"/>
          <w:szCs w:val="32"/>
          <w:lang w:eastAsia="zh-CN"/>
        </w:rPr>
      </w:pPr>
      <w:r>
        <w:rPr>
          <w:rFonts w:hint="eastAsia" w:ascii="仿宋" w:hAnsi="仿宋" w:eastAsia="仿宋"/>
          <w:color w:val="auto"/>
          <w:sz w:val="32"/>
          <w:szCs w:val="32"/>
        </w:rPr>
        <w:t>差旅费</w:t>
      </w:r>
      <w:r>
        <w:rPr>
          <w:rFonts w:hint="eastAsia" w:ascii="仿宋" w:hAnsi="仿宋" w:eastAsia="仿宋"/>
          <w:color w:val="auto"/>
          <w:sz w:val="32"/>
          <w:szCs w:val="32"/>
          <w:lang w:eastAsia="zh-CN"/>
        </w:rPr>
        <w:t>：反映单位工作人员国（境）内出差发生的城市间交通费、住宿费、伙食补助费和市内交通费。</w:t>
      </w:r>
    </w:p>
    <w:p>
      <w:pPr>
        <w:spacing w:line="600" w:lineRule="exact"/>
        <w:ind w:firstLine="645"/>
        <w:rPr>
          <w:rFonts w:hint="eastAsia" w:ascii="仿宋" w:hAnsi="仿宋" w:eastAsia="仿宋"/>
          <w:color w:val="auto"/>
          <w:sz w:val="32"/>
          <w:szCs w:val="32"/>
          <w:lang w:eastAsia="zh-CN"/>
        </w:rPr>
      </w:pPr>
      <w:r>
        <w:rPr>
          <w:rFonts w:hint="eastAsia" w:ascii="仿宋" w:hAnsi="仿宋" w:eastAsia="仿宋"/>
          <w:color w:val="auto"/>
          <w:sz w:val="32"/>
          <w:szCs w:val="32"/>
        </w:rPr>
        <w:t>公务接待费</w:t>
      </w:r>
      <w:r>
        <w:rPr>
          <w:rFonts w:hint="eastAsia" w:ascii="仿宋" w:hAnsi="仿宋" w:eastAsia="仿宋"/>
          <w:color w:val="auto"/>
          <w:sz w:val="32"/>
          <w:szCs w:val="32"/>
          <w:lang w:eastAsia="zh-CN"/>
        </w:rPr>
        <w:t>：</w:t>
      </w:r>
      <w:r>
        <w:rPr>
          <w:rFonts w:hint="eastAsia" w:ascii="仿宋_GB2312" w:eastAsia="仿宋_GB2312"/>
          <w:color w:val="auto"/>
          <w:sz w:val="32"/>
          <w:szCs w:val="32"/>
        </w:rPr>
        <w:t>反映单位按规定开支的各类公务接待支出。</w:t>
      </w:r>
    </w:p>
    <w:p>
      <w:pPr>
        <w:spacing w:line="600" w:lineRule="exact"/>
        <w:ind w:firstLine="645"/>
        <w:rPr>
          <w:rFonts w:hint="eastAsia" w:ascii="仿宋" w:hAnsi="仿宋" w:eastAsia="仿宋"/>
          <w:color w:val="auto"/>
          <w:sz w:val="32"/>
          <w:szCs w:val="32"/>
          <w:lang w:eastAsia="zh-CN"/>
        </w:rPr>
      </w:pPr>
      <w:r>
        <w:rPr>
          <w:rFonts w:hint="eastAsia" w:ascii="仿宋" w:hAnsi="仿宋" w:eastAsia="仿宋"/>
          <w:color w:val="auto"/>
          <w:sz w:val="32"/>
          <w:szCs w:val="32"/>
        </w:rPr>
        <w:t>劳务费</w:t>
      </w:r>
      <w:r>
        <w:rPr>
          <w:rFonts w:hint="eastAsia" w:ascii="仿宋" w:hAnsi="仿宋" w:eastAsia="仿宋"/>
          <w:color w:val="auto"/>
          <w:sz w:val="32"/>
          <w:szCs w:val="32"/>
          <w:lang w:eastAsia="zh-CN"/>
        </w:rPr>
        <w:t>：反映支付给外单位和个人的劳务费用。</w:t>
      </w:r>
    </w:p>
    <w:p>
      <w:pPr>
        <w:spacing w:line="600" w:lineRule="exact"/>
        <w:ind w:firstLine="645"/>
        <w:rPr>
          <w:rFonts w:hint="eastAsia" w:ascii="仿宋" w:hAnsi="仿宋" w:eastAsia="仿宋"/>
          <w:color w:val="auto"/>
          <w:sz w:val="32"/>
          <w:szCs w:val="32"/>
          <w:lang w:eastAsia="zh-CN"/>
        </w:rPr>
      </w:pPr>
      <w:r>
        <w:rPr>
          <w:rFonts w:hint="eastAsia" w:ascii="仿宋" w:hAnsi="仿宋" w:eastAsia="仿宋"/>
          <w:color w:val="auto"/>
          <w:sz w:val="32"/>
          <w:szCs w:val="32"/>
        </w:rPr>
        <w:t>委托业务费</w:t>
      </w:r>
      <w:r>
        <w:rPr>
          <w:rFonts w:hint="eastAsia" w:ascii="仿宋" w:hAnsi="仿宋" w:eastAsia="仿宋"/>
          <w:color w:val="auto"/>
          <w:sz w:val="32"/>
          <w:szCs w:val="32"/>
          <w:lang w:eastAsia="zh-CN"/>
        </w:rPr>
        <w:t>：反映因委托外单位办理业务而支付的</w:t>
      </w:r>
      <w:r>
        <w:rPr>
          <w:rFonts w:hint="eastAsia" w:ascii="仿宋" w:hAnsi="仿宋" w:eastAsia="仿宋"/>
          <w:color w:val="auto"/>
          <w:sz w:val="32"/>
          <w:szCs w:val="32"/>
        </w:rPr>
        <w:t>委托业务费</w:t>
      </w:r>
      <w:r>
        <w:rPr>
          <w:rFonts w:hint="eastAsia" w:ascii="仿宋" w:hAnsi="仿宋" w:eastAsia="仿宋"/>
          <w:color w:val="auto"/>
          <w:sz w:val="32"/>
          <w:szCs w:val="32"/>
          <w:lang w:eastAsia="zh-CN"/>
        </w:rPr>
        <w:t>。</w:t>
      </w:r>
    </w:p>
    <w:p>
      <w:pPr>
        <w:spacing w:line="600" w:lineRule="exact"/>
        <w:ind w:firstLine="645"/>
        <w:rPr>
          <w:rFonts w:hint="eastAsia" w:ascii="仿宋" w:hAnsi="仿宋" w:eastAsia="仿宋_GB2312"/>
          <w:color w:val="auto"/>
          <w:sz w:val="32"/>
          <w:szCs w:val="32"/>
          <w:lang w:val="en-US" w:eastAsia="zh-CN"/>
        </w:rPr>
      </w:pPr>
      <w:r>
        <w:rPr>
          <w:rFonts w:hint="eastAsia" w:ascii="仿宋" w:hAnsi="仿宋" w:eastAsia="仿宋"/>
          <w:color w:val="auto"/>
          <w:sz w:val="32"/>
          <w:szCs w:val="32"/>
          <w:lang w:val="en-US" w:eastAsia="zh-CN"/>
        </w:rPr>
        <w:t>工会经费：</w:t>
      </w:r>
      <w:r>
        <w:rPr>
          <w:rFonts w:hint="eastAsia" w:ascii="仿宋_GB2312" w:eastAsia="仿宋_GB2312"/>
          <w:color w:val="auto"/>
          <w:sz w:val="32"/>
          <w:szCs w:val="32"/>
        </w:rPr>
        <w:t>反映单位按规定</w:t>
      </w:r>
      <w:r>
        <w:rPr>
          <w:rFonts w:hint="eastAsia" w:ascii="仿宋_GB2312" w:eastAsia="仿宋_GB2312"/>
          <w:color w:val="auto"/>
          <w:sz w:val="32"/>
          <w:szCs w:val="32"/>
          <w:lang w:eastAsia="zh-CN"/>
        </w:rPr>
        <w:t>提取或安排的工会经费。</w:t>
      </w:r>
    </w:p>
    <w:p>
      <w:pPr>
        <w:spacing w:line="600" w:lineRule="exact"/>
        <w:ind w:firstLine="645"/>
        <w:rPr>
          <w:rFonts w:hint="eastAsia" w:ascii="仿宋" w:hAnsi="仿宋" w:eastAsia="仿宋"/>
          <w:color w:val="auto"/>
          <w:sz w:val="32"/>
          <w:szCs w:val="32"/>
          <w:lang w:eastAsia="zh-CN"/>
        </w:rPr>
      </w:pPr>
      <w:r>
        <w:rPr>
          <w:rFonts w:hint="eastAsia" w:ascii="仿宋" w:hAnsi="仿宋" w:eastAsia="仿宋"/>
          <w:color w:val="auto"/>
          <w:sz w:val="32"/>
          <w:szCs w:val="32"/>
        </w:rPr>
        <w:t>福利费</w:t>
      </w:r>
      <w:r>
        <w:rPr>
          <w:rFonts w:hint="eastAsia" w:ascii="仿宋" w:hAnsi="仿宋" w:eastAsia="仿宋"/>
          <w:color w:val="auto"/>
          <w:sz w:val="32"/>
          <w:szCs w:val="32"/>
          <w:lang w:eastAsia="zh-CN"/>
        </w:rPr>
        <w:t>：反映单位按规定提取的职工福利费。</w:t>
      </w:r>
    </w:p>
    <w:p>
      <w:pPr>
        <w:spacing w:line="600" w:lineRule="exact"/>
        <w:ind w:firstLine="645"/>
        <w:rPr>
          <w:rFonts w:hint="eastAsia" w:ascii="仿宋" w:hAnsi="仿宋" w:eastAsia="仿宋"/>
          <w:color w:val="auto"/>
          <w:sz w:val="32"/>
          <w:szCs w:val="32"/>
          <w:lang w:eastAsia="zh-CN"/>
        </w:rPr>
      </w:pPr>
      <w:r>
        <w:rPr>
          <w:rFonts w:hint="eastAsia" w:ascii="仿宋" w:hAnsi="仿宋" w:eastAsia="仿宋"/>
          <w:color w:val="auto"/>
          <w:sz w:val="32"/>
          <w:szCs w:val="32"/>
        </w:rPr>
        <w:t>其他交通费</w:t>
      </w:r>
      <w:r>
        <w:rPr>
          <w:rFonts w:hint="eastAsia" w:ascii="仿宋" w:hAnsi="仿宋" w:eastAsia="仿宋"/>
          <w:color w:val="auto"/>
          <w:sz w:val="32"/>
          <w:szCs w:val="32"/>
          <w:lang w:eastAsia="zh-CN"/>
        </w:rPr>
        <w:t>：反映单位除公务用车运行维护费以外的其他交通费。</w:t>
      </w:r>
    </w:p>
    <w:p>
      <w:pPr>
        <w:spacing w:line="600" w:lineRule="exact"/>
        <w:ind w:firstLine="645"/>
        <w:rPr>
          <w:rFonts w:ascii="仿宋_GB2312" w:eastAsia="仿宋_GB2312"/>
          <w:sz w:val="32"/>
          <w:szCs w:val="32"/>
        </w:rPr>
      </w:pPr>
      <w:r>
        <w:rPr>
          <w:rFonts w:hint="eastAsia" w:ascii="仿宋" w:hAnsi="仿宋" w:eastAsia="仿宋"/>
          <w:color w:val="auto"/>
          <w:sz w:val="32"/>
          <w:szCs w:val="32"/>
          <w:lang w:val="en-US" w:eastAsia="zh-CN"/>
        </w:rPr>
        <w:t>其</w:t>
      </w:r>
      <w:r>
        <w:rPr>
          <w:rFonts w:hint="eastAsia" w:ascii="仿宋" w:hAnsi="仿宋" w:eastAsia="仿宋"/>
          <w:color w:val="000000"/>
          <w:sz w:val="32"/>
          <w:szCs w:val="32"/>
          <w:lang w:val="en-US" w:eastAsia="zh-CN"/>
        </w:rPr>
        <w:t>他商品和服务支出：反映上述科目未包括的日常公用支出。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15</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lang w:val="en-US" w:eastAsia="zh-CN"/>
        </w:rPr>
        <w:t>16</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17</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18</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3" w:firstLineChars="200"/>
        <w:rPr>
          <w:rFonts w:ascii="宋体"/>
          <w:b/>
          <w:sz w:val="44"/>
          <w:szCs w:val="44"/>
        </w:rPr>
        <w:sectPr>
          <w:footerReference r:id="rId5" w:type="first"/>
          <w:headerReference r:id="rId3" w:type="default"/>
          <w:footerReference r:id="rId4" w:type="default"/>
          <w:pgSz w:w="11906" w:h="16838"/>
          <w:pgMar w:top="1440" w:right="1800" w:bottom="1440" w:left="1800" w:header="851" w:footer="992" w:gutter="0"/>
          <w:pgNumType w:fmt="decimal"/>
          <w:cols w:space="720" w:num="1"/>
          <w:titlePg/>
          <w:docGrid w:type="lines" w:linePitch="312" w:charSpace="0"/>
        </w:sectPr>
      </w:pPr>
      <w:r>
        <w:rPr>
          <w:rFonts w:hint="eastAsia" w:ascii="仿宋" w:hAnsi="仿宋" w:eastAsia="仿宋"/>
          <w:b/>
          <w:sz w:val="32"/>
          <w:szCs w:val="32"/>
        </w:rPr>
        <w:t>（名词解释部分请根据各单位实际列支情况罗列，并根据本单位职责职能增减名词解释内容。）</w:t>
      </w:r>
    </w:p>
    <w:p>
      <w:pPr>
        <w:spacing w:line="600" w:lineRule="exact"/>
        <w:jc w:val="center"/>
        <w:rPr>
          <w:rStyle w:val="29"/>
          <w:rFonts w:hint="eastAsia" w:ascii="Times New Roman" w:hAnsi="Times New Roman" w:eastAsia="黑体"/>
          <w:b w:val="0"/>
          <w:color w:val="auto"/>
          <w:highlight w:val="none"/>
          <w:lang w:eastAsia="zh-CN"/>
        </w:rPr>
      </w:pPr>
      <w:bookmarkStart w:id="28"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28"/>
    </w:p>
    <w:p>
      <w:pPr>
        <w:keepNext w:val="0"/>
        <w:keepLines w:val="0"/>
        <w:pageBreakBefore w:val="0"/>
        <w:widowControl/>
        <w:kinsoku/>
        <w:wordWrap/>
        <w:overflowPunct/>
        <w:topLinePunct w:val="0"/>
        <w:autoSpaceDE/>
        <w:autoSpaceDN/>
        <w:bidi w:val="0"/>
        <w:spacing w:line="578" w:lineRule="exact"/>
        <w:contextualSpacing/>
        <w:jc w:val="both"/>
        <w:textAlignment w:val="auto"/>
        <w:outlineLvl w:val="9"/>
        <w:rPr>
          <w:rFonts w:hint="default" w:ascii="Times New Roman" w:hAnsi="Times New Roman" w:eastAsia="方正小标宋简体" w:cs="Times New Roman"/>
          <w:b w:val="0"/>
          <w:bCs/>
          <w:sz w:val="44"/>
          <w:szCs w:val="44"/>
          <w:highlight w:val="none"/>
          <w:shd w:val="clear" w:color="auto" w:fill="FFFFFF"/>
        </w:rPr>
      </w:pP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pPr>
        <w:widowControl/>
        <w:adjustRightInd w:val="0"/>
        <w:snapToGrid w:val="0"/>
        <w:spacing w:line="580" w:lineRule="exact"/>
        <w:ind w:firstLine="643" w:firstLineChars="200"/>
        <w:contextualSpacing/>
        <w:jc w:val="left"/>
        <w:rPr>
          <w:rFonts w:hint="eastAsia" w:ascii="仿宋_GB2312" w:hAnsi="Calibri" w:eastAsia="仿宋_GB2312" w:cs="仿宋"/>
          <w:color w:val="auto"/>
          <w:kern w:val="0"/>
          <w:sz w:val="32"/>
          <w:szCs w:val="32"/>
          <w:lang w:val="zh-CN" w:eastAsia="zh-CN" w:bidi="ar-SA"/>
        </w:rPr>
      </w:pPr>
      <w:r>
        <w:rPr>
          <w:rFonts w:hint="eastAsia" w:ascii="仿宋_GB2312" w:hAnsi="Calibri" w:eastAsia="仿宋_GB2312" w:cs="仿宋"/>
          <w:b/>
          <w:bCs/>
          <w:color w:val="auto"/>
          <w:kern w:val="0"/>
          <w:sz w:val="32"/>
          <w:szCs w:val="32"/>
          <w:lang w:val="zh-CN" w:eastAsia="zh-CN" w:bidi="ar-SA"/>
        </w:rPr>
        <w:t>（一）机构组成：</w:t>
      </w:r>
      <w:r>
        <w:rPr>
          <w:rFonts w:hint="eastAsia" w:ascii="仿宋_GB2312" w:hAnsi="Calibri" w:eastAsia="仿宋_GB2312" w:cs="仿宋"/>
          <w:color w:val="auto"/>
          <w:kern w:val="0"/>
          <w:sz w:val="32"/>
          <w:szCs w:val="32"/>
          <w:lang w:val="en-US" w:eastAsia="zh-CN" w:bidi="ar-SA"/>
        </w:rPr>
        <w:t>金口河区供销合作社联合社属参照公务员法管理的事业单位，无二级机构</w:t>
      </w:r>
      <w:r>
        <w:rPr>
          <w:rFonts w:hint="eastAsia" w:ascii="仿宋_GB2312" w:hAnsi="Calibri" w:eastAsia="仿宋_GB2312" w:cs="仿宋"/>
          <w:color w:val="auto"/>
          <w:kern w:val="0"/>
          <w:sz w:val="32"/>
          <w:szCs w:val="32"/>
          <w:lang w:val="zh-CN" w:eastAsia="zh-CN" w:bidi="ar-SA"/>
        </w:rPr>
        <w:t>。</w:t>
      </w:r>
    </w:p>
    <w:p>
      <w:pPr>
        <w:widowControl/>
        <w:adjustRightInd w:val="0"/>
        <w:snapToGrid w:val="0"/>
        <w:spacing w:line="580" w:lineRule="exact"/>
        <w:ind w:firstLine="643" w:firstLineChars="200"/>
        <w:contextualSpacing/>
        <w:jc w:val="left"/>
        <w:rPr>
          <w:rFonts w:hint="eastAsia" w:ascii="仿宋_GB2312" w:hAnsi="Calibri" w:eastAsia="仿宋_GB2312" w:cs="仿宋"/>
          <w:color w:val="auto"/>
          <w:kern w:val="0"/>
          <w:sz w:val="32"/>
          <w:szCs w:val="32"/>
          <w:lang w:val="zh-CN" w:eastAsia="zh-CN" w:bidi="ar-SA"/>
        </w:rPr>
      </w:pPr>
      <w:r>
        <w:rPr>
          <w:rFonts w:hint="eastAsia" w:ascii="仿宋_GB2312" w:hAnsi="Calibri" w:eastAsia="仿宋_GB2312" w:cs="仿宋"/>
          <w:b/>
          <w:bCs/>
          <w:color w:val="auto"/>
          <w:kern w:val="0"/>
          <w:sz w:val="32"/>
          <w:szCs w:val="32"/>
          <w:lang w:val="zh-CN" w:eastAsia="zh-CN" w:bidi="ar-SA"/>
        </w:rPr>
        <w:t>（二）机构职能和人员概况</w:t>
      </w:r>
      <w:r>
        <w:rPr>
          <w:rFonts w:hint="eastAsia" w:ascii="仿宋_GB2312" w:hAnsi="Calibri" w:eastAsia="仿宋_GB2312" w:cs="仿宋"/>
          <w:color w:val="auto"/>
          <w:kern w:val="0"/>
          <w:sz w:val="32"/>
          <w:szCs w:val="32"/>
          <w:lang w:val="zh-CN" w:eastAsia="zh-CN" w:bidi="ar-SA"/>
        </w:rPr>
        <w:t>：研究制定并组织实施全区供销合作社发展战略和规划，抓好区供销合作社系统的改革与发展；参与组织发展农产品行业协会、农民专业合作社和农村综合服务社，构建面向专业合作社组织的服务平台；指导社有企业和基层供销社开展农业生产资料经营、农副产品购销、日用消费品经营和再生资源回收利用等现代服务网络建设，参与农业产业化经营和农业综合开发等工作；受区政府及有关部门委托，承担重要农业生产资料和防汛救灾物资等商品的储备；管理、监督本级社有资产，行使社有资产所有者代表的职能，确保资产保值增值；指导供销合作社的组织制度建设，协调成员社之间的关系，促进合作社的联合与合作，维护供销社及其社员的合法权益；组织开展对社员和职工的教育培训，为基层社提供服务；对有关行业、业务范围内的协会等社会团体履行业务主管和行业主管单位的职能。截止</w:t>
      </w:r>
      <w:r>
        <w:rPr>
          <w:rFonts w:hint="eastAsia" w:ascii="仿宋_GB2312" w:hAnsi="Calibri" w:eastAsia="仿宋_GB2312" w:cs="仿宋"/>
          <w:color w:val="auto"/>
          <w:kern w:val="0"/>
          <w:sz w:val="32"/>
          <w:szCs w:val="32"/>
          <w:lang w:val="en-US" w:eastAsia="zh-CN" w:bidi="ar-SA"/>
        </w:rPr>
        <w:t>2024年年末在职人数7人。其中行政人数6人，政府雇员1人</w:t>
      </w:r>
      <w:r>
        <w:rPr>
          <w:rFonts w:hint="eastAsia" w:ascii="仿宋_GB2312" w:hAnsi="Calibri" w:eastAsia="仿宋_GB2312" w:cs="仿宋"/>
          <w:color w:val="auto"/>
          <w:kern w:val="0"/>
          <w:sz w:val="32"/>
          <w:szCs w:val="32"/>
          <w:lang w:val="zh-CN" w:eastAsia="zh-CN" w:bidi="ar-SA"/>
        </w:rPr>
        <w:t>。</w:t>
      </w:r>
    </w:p>
    <w:p>
      <w:pPr>
        <w:widowControl/>
        <w:adjustRightInd w:val="0"/>
        <w:snapToGrid w:val="0"/>
        <w:spacing w:line="580" w:lineRule="exact"/>
        <w:ind w:firstLine="643" w:firstLineChars="200"/>
        <w:contextualSpacing/>
        <w:jc w:val="left"/>
        <w:rPr>
          <w:rFonts w:hint="eastAsia" w:ascii="仿宋_GB2312" w:hAnsi="Calibri" w:eastAsia="仿宋_GB2312" w:cs="仿宋"/>
          <w:color w:val="auto"/>
          <w:kern w:val="0"/>
          <w:sz w:val="32"/>
          <w:szCs w:val="32"/>
          <w:lang w:val="zh-CN" w:eastAsia="zh-CN" w:bidi="ar-SA"/>
        </w:rPr>
      </w:pPr>
      <w:r>
        <w:rPr>
          <w:rFonts w:hint="eastAsia" w:ascii="仿宋_GB2312" w:hAnsi="Calibri" w:eastAsia="仿宋_GB2312" w:cs="仿宋"/>
          <w:b/>
          <w:bCs/>
          <w:color w:val="auto"/>
          <w:kern w:val="0"/>
          <w:sz w:val="32"/>
          <w:szCs w:val="32"/>
          <w:lang w:val="zh-CN" w:eastAsia="zh-CN" w:bidi="ar-SA"/>
        </w:rPr>
        <w:t>（三）年度主要工作任务：</w:t>
      </w:r>
      <w:r>
        <w:rPr>
          <w:rFonts w:hint="eastAsia" w:ascii="仿宋_GB2312" w:hAnsi="Calibri" w:eastAsia="仿宋_GB2312" w:cs="仿宋"/>
          <w:color w:val="auto"/>
          <w:kern w:val="0"/>
          <w:sz w:val="32"/>
          <w:szCs w:val="32"/>
          <w:lang w:val="en-US" w:eastAsia="zh-CN" w:bidi="ar-SA"/>
        </w:rPr>
        <w:t>深化党的领导，狠</w:t>
      </w:r>
      <w:r>
        <w:rPr>
          <w:rFonts w:hint="eastAsia" w:ascii="仿宋_GB2312" w:hAnsi="Calibri" w:eastAsia="仿宋_GB2312" w:cs="仿宋"/>
          <w:color w:val="auto"/>
          <w:kern w:val="0"/>
          <w:sz w:val="32"/>
          <w:szCs w:val="32"/>
          <w:lang w:val="zh-CN" w:eastAsia="zh-CN" w:bidi="ar-SA"/>
        </w:rPr>
        <w:t>抓队伍建设；</w:t>
      </w:r>
      <w:r>
        <w:rPr>
          <w:rFonts w:hint="eastAsia" w:ascii="仿宋_GB2312" w:hAnsi="Calibri" w:eastAsia="仿宋_GB2312" w:cs="仿宋"/>
          <w:color w:val="auto"/>
          <w:kern w:val="0"/>
          <w:sz w:val="32"/>
          <w:szCs w:val="32"/>
          <w:lang w:val="en-US" w:eastAsia="zh-CN" w:bidi="ar-SA"/>
        </w:rPr>
        <w:t>加强组织建设，高标推进“后半篇”文章改革；强化管理服务，全力保障农资市场稳定；夯实职能建设，全力提升社会化服务水平；拓展合作模式，全面丰富供销服务载体；亲情走访帮扶，全面提升帮扶工作成效</w:t>
      </w:r>
      <w:r>
        <w:rPr>
          <w:rFonts w:hint="eastAsia" w:ascii="仿宋_GB2312" w:hAnsi="Calibri" w:eastAsia="仿宋_GB2312" w:cs="仿宋"/>
          <w:color w:val="auto"/>
          <w:kern w:val="0"/>
          <w:sz w:val="32"/>
          <w:szCs w:val="32"/>
          <w:lang w:val="zh-CN" w:eastAsia="zh-CN" w:bidi="ar-SA"/>
        </w:rPr>
        <w:t>。</w:t>
      </w:r>
    </w:p>
    <w:p>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 w:val="32"/>
          <w:szCs w:val="32"/>
          <w:shd w:val="clear" w:color="auto" w:fill="FFFFFF"/>
          <w:lang w:val="zh-CN" w:eastAsia="zh-CN"/>
        </w:rPr>
      </w:pPr>
      <w:r>
        <w:rPr>
          <w:rFonts w:hint="eastAsia" w:ascii="仿宋_GB2312" w:hAnsi="Calibri" w:eastAsia="仿宋_GB2312" w:cs="仿宋"/>
          <w:color w:val="auto"/>
          <w:kern w:val="0"/>
          <w:sz w:val="32"/>
          <w:szCs w:val="32"/>
          <w:lang w:val="zh-CN" w:eastAsia="zh-CN" w:bidi="ar-SA"/>
        </w:rPr>
        <w:t>（四）部门整体支出绩效目标。</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pPr>
        <w:pStyle w:val="28"/>
        <w:spacing w:line="600" w:lineRule="exact"/>
        <w:ind w:firstLine="710" w:firstLineChars="221"/>
        <w:rPr>
          <w:rFonts w:hint="eastAsia" w:ascii="仿宋_GB2312" w:hAnsi="Calibri" w:eastAsia="仿宋_GB2312" w:cs="仿宋"/>
          <w:color w:val="auto"/>
          <w:sz w:val="32"/>
          <w:szCs w:val="32"/>
          <w:lang w:val="zh-CN" w:eastAsia="zh-CN" w:bidi="ar-SA"/>
        </w:rPr>
      </w:pPr>
      <w:r>
        <w:rPr>
          <w:rFonts w:hint="default" w:ascii="仿宋_GB2312" w:hAnsi="Calibri" w:eastAsia="仿宋_GB2312" w:cs="仿宋"/>
          <w:b/>
          <w:bCs/>
          <w:color w:val="auto"/>
          <w:sz w:val="32"/>
          <w:szCs w:val="32"/>
          <w:lang w:val="zh-CN" w:eastAsia="zh-CN" w:bidi="ar-SA"/>
        </w:rPr>
        <w:t>（一）</w:t>
      </w:r>
      <w:r>
        <w:rPr>
          <w:rFonts w:hint="eastAsia" w:ascii="仿宋_GB2312" w:hAnsi="Calibri" w:eastAsia="仿宋_GB2312" w:cs="仿宋"/>
          <w:b/>
          <w:bCs/>
          <w:color w:val="auto"/>
          <w:sz w:val="32"/>
          <w:szCs w:val="32"/>
          <w:lang w:val="zh-CN" w:eastAsia="zh-CN" w:bidi="ar-SA"/>
        </w:rPr>
        <w:t>收入情况</w:t>
      </w:r>
      <w:r>
        <w:rPr>
          <w:rFonts w:hint="default" w:ascii="仿宋_GB2312" w:hAnsi="Calibri" w:eastAsia="仿宋_GB2312" w:cs="仿宋"/>
          <w:color w:val="auto"/>
          <w:sz w:val="32"/>
          <w:szCs w:val="32"/>
          <w:lang w:val="zh-CN" w:eastAsia="zh-CN" w:bidi="ar-SA"/>
        </w:rPr>
        <w:t>。</w:t>
      </w:r>
      <w:r>
        <w:rPr>
          <w:rFonts w:hint="eastAsia" w:ascii="仿宋_GB2312" w:hAnsi="Calibri" w:eastAsia="仿宋_GB2312" w:cs="仿宋"/>
          <w:color w:val="auto"/>
          <w:sz w:val="32"/>
          <w:szCs w:val="32"/>
          <w:lang w:val="zh-CN" w:eastAsia="zh-CN" w:bidi="ar-SA"/>
        </w:rPr>
        <w:t>区供销社202</w:t>
      </w:r>
      <w:r>
        <w:rPr>
          <w:rFonts w:hint="eastAsia" w:ascii="仿宋_GB2312" w:hAnsi="Calibri" w:eastAsia="仿宋_GB2312" w:cs="仿宋"/>
          <w:color w:val="auto"/>
          <w:sz w:val="32"/>
          <w:szCs w:val="32"/>
          <w:lang w:val="en-US" w:eastAsia="zh-CN" w:bidi="ar-SA"/>
        </w:rPr>
        <w:t>4</w:t>
      </w:r>
      <w:r>
        <w:rPr>
          <w:rFonts w:hint="eastAsia" w:ascii="仿宋_GB2312" w:hAnsi="Calibri" w:eastAsia="仿宋_GB2312" w:cs="仿宋"/>
          <w:color w:val="auto"/>
          <w:sz w:val="32"/>
          <w:szCs w:val="32"/>
          <w:lang w:val="zh-CN" w:eastAsia="zh-CN" w:bidi="ar-SA"/>
        </w:rPr>
        <w:t>全年决算总收入为</w:t>
      </w:r>
      <w:r>
        <w:rPr>
          <w:rFonts w:hint="eastAsia" w:ascii="仿宋_GB2312" w:hAnsi="Calibri" w:eastAsia="仿宋_GB2312" w:cs="仿宋"/>
          <w:color w:val="auto"/>
          <w:sz w:val="32"/>
          <w:szCs w:val="32"/>
          <w:lang w:val="en-US" w:eastAsia="zh-CN" w:bidi="ar-SA"/>
        </w:rPr>
        <w:t>156.44</w:t>
      </w:r>
      <w:r>
        <w:rPr>
          <w:rFonts w:hint="eastAsia" w:ascii="仿宋_GB2312" w:hAnsi="Calibri" w:eastAsia="仿宋_GB2312" w:cs="仿宋"/>
          <w:color w:val="auto"/>
          <w:sz w:val="32"/>
          <w:szCs w:val="32"/>
          <w:lang w:val="zh-CN" w:eastAsia="zh-CN" w:bidi="ar-SA"/>
        </w:rPr>
        <w:t>万元，一般公共预算财政拨款收入</w:t>
      </w:r>
      <w:r>
        <w:rPr>
          <w:rFonts w:hint="eastAsia" w:ascii="仿宋_GB2312" w:hAnsi="Calibri" w:eastAsia="仿宋_GB2312" w:cs="仿宋"/>
          <w:color w:val="auto"/>
          <w:sz w:val="32"/>
          <w:szCs w:val="32"/>
          <w:lang w:val="en-US" w:eastAsia="zh-CN" w:bidi="ar-SA"/>
        </w:rPr>
        <w:t>156.31万</w:t>
      </w:r>
      <w:r>
        <w:rPr>
          <w:rFonts w:hint="eastAsia" w:ascii="仿宋_GB2312" w:hAnsi="Calibri" w:eastAsia="仿宋_GB2312" w:cs="仿宋"/>
          <w:color w:val="auto"/>
          <w:sz w:val="32"/>
          <w:szCs w:val="32"/>
          <w:lang w:val="zh-CN" w:eastAsia="zh-CN" w:bidi="ar-SA"/>
        </w:rPr>
        <w:t>元，占</w:t>
      </w:r>
      <w:r>
        <w:rPr>
          <w:rFonts w:hint="eastAsia" w:ascii="仿宋_GB2312" w:hAnsi="Calibri" w:eastAsia="仿宋_GB2312" w:cs="仿宋"/>
          <w:color w:val="auto"/>
          <w:sz w:val="32"/>
          <w:szCs w:val="32"/>
          <w:lang w:val="en-US" w:eastAsia="zh-CN" w:bidi="ar-SA"/>
        </w:rPr>
        <w:t>99.9</w:t>
      </w:r>
      <w:r>
        <w:rPr>
          <w:rFonts w:hint="eastAsia" w:ascii="仿宋_GB2312" w:hAnsi="Calibri" w:eastAsia="仿宋_GB2312" w:cs="仿宋"/>
          <w:color w:val="auto"/>
          <w:sz w:val="32"/>
          <w:szCs w:val="32"/>
          <w:lang w:val="zh-CN" w:eastAsia="zh-CN" w:bidi="ar-SA"/>
        </w:rPr>
        <w:t>%。</w:t>
      </w:r>
    </w:p>
    <w:p>
      <w:pPr>
        <w:pStyle w:val="28"/>
        <w:spacing w:line="600" w:lineRule="exact"/>
        <w:ind w:firstLine="710" w:firstLineChars="221"/>
        <w:rPr>
          <w:rFonts w:hint="eastAsia" w:ascii="仿宋_GB2312" w:hAnsi="Calibri" w:eastAsia="仿宋_GB2312" w:cs="仿宋"/>
          <w:color w:val="auto"/>
          <w:sz w:val="32"/>
          <w:szCs w:val="32"/>
          <w:lang w:val="zh-CN" w:eastAsia="zh-CN" w:bidi="ar-SA"/>
        </w:rPr>
      </w:pPr>
      <w:r>
        <w:rPr>
          <w:rFonts w:hint="default" w:ascii="仿宋_GB2312" w:hAnsi="Calibri" w:eastAsia="仿宋_GB2312" w:cs="仿宋"/>
          <w:b/>
          <w:bCs/>
          <w:color w:val="auto"/>
          <w:sz w:val="32"/>
          <w:szCs w:val="32"/>
          <w:lang w:val="zh-CN" w:eastAsia="zh-CN" w:bidi="ar-SA"/>
        </w:rPr>
        <w:t>（</w:t>
      </w:r>
      <w:r>
        <w:rPr>
          <w:rFonts w:hint="eastAsia" w:ascii="仿宋_GB2312" w:hAnsi="Calibri" w:eastAsia="仿宋_GB2312" w:cs="仿宋"/>
          <w:b/>
          <w:bCs/>
          <w:color w:val="auto"/>
          <w:sz w:val="32"/>
          <w:szCs w:val="32"/>
          <w:lang w:val="zh-CN" w:eastAsia="zh-CN" w:bidi="ar-SA"/>
        </w:rPr>
        <w:t>二</w:t>
      </w:r>
      <w:r>
        <w:rPr>
          <w:rFonts w:hint="default" w:ascii="仿宋_GB2312" w:hAnsi="Calibri" w:eastAsia="仿宋_GB2312" w:cs="仿宋"/>
          <w:b/>
          <w:bCs/>
          <w:color w:val="auto"/>
          <w:sz w:val="32"/>
          <w:szCs w:val="32"/>
          <w:lang w:val="zh-CN" w:eastAsia="zh-CN" w:bidi="ar-SA"/>
        </w:rPr>
        <w:t>）</w:t>
      </w:r>
      <w:r>
        <w:rPr>
          <w:rFonts w:hint="eastAsia" w:ascii="仿宋_GB2312" w:hAnsi="Calibri" w:eastAsia="仿宋_GB2312" w:cs="仿宋"/>
          <w:b/>
          <w:bCs/>
          <w:color w:val="auto"/>
          <w:sz w:val="32"/>
          <w:szCs w:val="32"/>
          <w:lang w:val="zh-CN" w:eastAsia="zh-CN" w:bidi="ar-SA"/>
        </w:rPr>
        <w:t>支出情况</w:t>
      </w:r>
      <w:r>
        <w:rPr>
          <w:rFonts w:hint="default" w:ascii="仿宋_GB2312" w:hAnsi="Calibri" w:eastAsia="仿宋_GB2312" w:cs="仿宋"/>
          <w:b/>
          <w:bCs/>
          <w:color w:val="auto"/>
          <w:sz w:val="32"/>
          <w:szCs w:val="32"/>
          <w:lang w:val="zh-CN" w:eastAsia="zh-CN" w:bidi="ar-SA"/>
        </w:rPr>
        <w:t>。</w:t>
      </w:r>
      <w:r>
        <w:rPr>
          <w:rFonts w:hint="eastAsia" w:ascii="仿宋_GB2312" w:hAnsi="Calibri" w:eastAsia="仿宋_GB2312" w:cs="仿宋"/>
          <w:color w:val="auto"/>
          <w:sz w:val="32"/>
          <w:szCs w:val="32"/>
          <w:lang w:val="zh-CN" w:eastAsia="zh-CN" w:bidi="ar-SA"/>
        </w:rPr>
        <w:t>区供销社202</w:t>
      </w:r>
      <w:r>
        <w:rPr>
          <w:rFonts w:hint="eastAsia" w:ascii="仿宋_GB2312" w:hAnsi="Calibri" w:eastAsia="仿宋_GB2312" w:cs="仿宋"/>
          <w:color w:val="auto"/>
          <w:sz w:val="32"/>
          <w:szCs w:val="32"/>
          <w:lang w:val="en-US" w:eastAsia="zh-CN" w:bidi="ar-SA"/>
        </w:rPr>
        <w:t>4</w:t>
      </w:r>
      <w:r>
        <w:rPr>
          <w:rFonts w:hint="eastAsia" w:ascii="仿宋_GB2312" w:hAnsi="Calibri" w:eastAsia="仿宋_GB2312" w:cs="仿宋"/>
          <w:color w:val="auto"/>
          <w:sz w:val="32"/>
          <w:szCs w:val="32"/>
          <w:lang w:val="zh-CN" w:eastAsia="zh-CN" w:bidi="ar-SA"/>
        </w:rPr>
        <w:t>全年决算总支出</w:t>
      </w:r>
      <w:r>
        <w:rPr>
          <w:rFonts w:hint="eastAsia" w:ascii="仿宋_GB2312" w:hAnsi="Calibri" w:eastAsia="仿宋_GB2312" w:cs="仿宋"/>
          <w:color w:val="auto"/>
          <w:sz w:val="32"/>
          <w:szCs w:val="32"/>
          <w:lang w:val="en-US" w:eastAsia="zh-CN" w:bidi="ar-SA"/>
        </w:rPr>
        <w:t>156.31</w:t>
      </w:r>
      <w:r>
        <w:rPr>
          <w:rFonts w:hint="eastAsia" w:ascii="仿宋_GB2312" w:hAnsi="Calibri" w:eastAsia="仿宋_GB2312" w:cs="仿宋"/>
          <w:color w:val="auto"/>
          <w:sz w:val="32"/>
          <w:szCs w:val="32"/>
          <w:lang w:val="zh-CN" w:eastAsia="zh-CN" w:bidi="ar-SA"/>
        </w:rPr>
        <w:t>万元元，其中：基本支出</w:t>
      </w:r>
      <w:r>
        <w:rPr>
          <w:rFonts w:hint="eastAsia" w:ascii="仿宋_GB2312" w:hAnsi="Calibri" w:eastAsia="仿宋_GB2312" w:cs="仿宋"/>
          <w:color w:val="auto"/>
          <w:sz w:val="32"/>
          <w:szCs w:val="32"/>
          <w:lang w:val="en-US" w:eastAsia="zh-CN" w:bidi="ar-SA"/>
        </w:rPr>
        <w:t>151.29</w:t>
      </w:r>
      <w:r>
        <w:rPr>
          <w:rFonts w:hint="eastAsia" w:ascii="仿宋_GB2312" w:hAnsi="Calibri" w:eastAsia="仿宋_GB2312" w:cs="仿宋"/>
          <w:color w:val="auto"/>
          <w:sz w:val="32"/>
          <w:szCs w:val="32"/>
          <w:lang w:val="zh-CN" w:eastAsia="zh-CN" w:bidi="ar-SA"/>
        </w:rPr>
        <w:t>万元，占</w:t>
      </w:r>
      <w:r>
        <w:rPr>
          <w:rFonts w:hint="eastAsia" w:ascii="仿宋_GB2312" w:hAnsi="Calibri" w:eastAsia="仿宋_GB2312" w:cs="仿宋"/>
          <w:color w:val="auto"/>
          <w:sz w:val="32"/>
          <w:szCs w:val="32"/>
          <w:lang w:val="en-US" w:eastAsia="zh-CN" w:bidi="ar-SA"/>
        </w:rPr>
        <w:t>98.6</w:t>
      </w:r>
      <w:r>
        <w:rPr>
          <w:rFonts w:hint="eastAsia" w:ascii="仿宋_GB2312" w:hAnsi="Calibri" w:eastAsia="仿宋_GB2312" w:cs="仿宋"/>
          <w:color w:val="auto"/>
          <w:sz w:val="32"/>
          <w:szCs w:val="32"/>
          <w:lang w:val="zh-CN" w:eastAsia="zh-CN" w:bidi="ar-SA"/>
        </w:rPr>
        <w:t>%；项目支出</w:t>
      </w:r>
      <w:r>
        <w:rPr>
          <w:rFonts w:hint="eastAsia" w:ascii="仿宋_GB2312" w:hAnsi="Calibri" w:eastAsia="仿宋_GB2312" w:cs="仿宋"/>
          <w:color w:val="auto"/>
          <w:sz w:val="32"/>
          <w:szCs w:val="32"/>
          <w:lang w:val="en-US" w:eastAsia="zh-CN" w:bidi="ar-SA"/>
        </w:rPr>
        <w:t>5.02</w:t>
      </w:r>
      <w:r>
        <w:rPr>
          <w:rFonts w:hint="eastAsia" w:ascii="仿宋_GB2312" w:hAnsi="Calibri" w:eastAsia="仿宋_GB2312" w:cs="仿宋"/>
          <w:color w:val="auto"/>
          <w:sz w:val="32"/>
          <w:szCs w:val="32"/>
          <w:lang w:val="zh-CN" w:eastAsia="zh-CN" w:bidi="ar-SA"/>
        </w:rPr>
        <w:t>万元，占</w:t>
      </w:r>
      <w:r>
        <w:rPr>
          <w:rFonts w:hint="eastAsia" w:ascii="仿宋_GB2312" w:hAnsi="Calibri" w:eastAsia="仿宋_GB2312" w:cs="仿宋"/>
          <w:color w:val="auto"/>
          <w:sz w:val="32"/>
          <w:szCs w:val="32"/>
          <w:lang w:val="en-US" w:eastAsia="zh-CN" w:bidi="ar-SA"/>
        </w:rPr>
        <w:t>3.2</w:t>
      </w:r>
      <w:r>
        <w:rPr>
          <w:rFonts w:hint="eastAsia" w:ascii="仿宋_GB2312" w:hAnsi="Calibri" w:eastAsia="仿宋_GB2312" w:cs="仿宋"/>
          <w:color w:val="auto"/>
          <w:sz w:val="32"/>
          <w:szCs w:val="32"/>
          <w:lang w:val="zh-CN" w:eastAsia="zh-CN" w:bidi="ar-SA"/>
        </w:rPr>
        <w:t>%。</w:t>
      </w:r>
    </w:p>
    <w:p>
      <w:pPr>
        <w:pStyle w:val="28"/>
        <w:spacing w:line="600" w:lineRule="exact"/>
        <w:ind w:firstLine="710" w:firstLineChars="221"/>
        <w:rPr>
          <w:rFonts w:hint="default" w:ascii="仿宋_GB2312" w:hAnsi="Calibri" w:eastAsia="仿宋_GB2312" w:cs="仿宋"/>
          <w:color w:val="auto"/>
          <w:sz w:val="32"/>
          <w:szCs w:val="32"/>
          <w:lang w:val="zh-CN" w:eastAsia="zh-CN" w:bidi="ar-SA"/>
        </w:rPr>
      </w:pPr>
      <w:r>
        <w:rPr>
          <w:rFonts w:hint="default" w:ascii="仿宋_GB2312" w:hAnsi="Calibri" w:eastAsia="仿宋_GB2312" w:cs="仿宋"/>
          <w:b/>
          <w:bCs/>
          <w:color w:val="auto"/>
          <w:sz w:val="32"/>
          <w:szCs w:val="32"/>
          <w:lang w:val="zh-CN" w:eastAsia="zh-CN" w:bidi="ar-SA"/>
        </w:rPr>
        <w:t>（</w:t>
      </w:r>
      <w:r>
        <w:rPr>
          <w:rFonts w:hint="eastAsia" w:ascii="仿宋_GB2312" w:hAnsi="Calibri" w:eastAsia="仿宋_GB2312" w:cs="仿宋"/>
          <w:b/>
          <w:bCs/>
          <w:color w:val="auto"/>
          <w:sz w:val="32"/>
          <w:szCs w:val="32"/>
          <w:lang w:val="zh-CN" w:eastAsia="zh-CN" w:bidi="ar-SA"/>
        </w:rPr>
        <w:t>三</w:t>
      </w:r>
      <w:r>
        <w:rPr>
          <w:rFonts w:hint="default" w:ascii="仿宋_GB2312" w:hAnsi="Calibri" w:eastAsia="仿宋_GB2312" w:cs="仿宋"/>
          <w:b/>
          <w:bCs/>
          <w:color w:val="auto"/>
          <w:sz w:val="32"/>
          <w:szCs w:val="32"/>
          <w:lang w:val="zh-CN" w:eastAsia="zh-CN" w:bidi="ar-SA"/>
        </w:rPr>
        <w:t>）结余分配和结转结余情况</w:t>
      </w:r>
      <w:r>
        <w:rPr>
          <w:rFonts w:hint="eastAsia" w:ascii="仿宋_GB2312" w:hAnsi="Calibri" w:eastAsia="仿宋_GB2312" w:cs="仿宋"/>
          <w:b/>
          <w:bCs/>
          <w:color w:val="auto"/>
          <w:sz w:val="32"/>
          <w:szCs w:val="32"/>
          <w:lang w:val="zh-CN" w:eastAsia="zh-CN" w:bidi="ar-SA"/>
        </w:rPr>
        <w:t>。</w:t>
      </w:r>
      <w:r>
        <w:rPr>
          <w:rFonts w:hint="eastAsia" w:ascii="仿宋_GB2312" w:hAnsi="Calibri" w:eastAsia="仿宋_GB2312" w:cs="仿宋"/>
          <w:color w:val="auto"/>
          <w:sz w:val="32"/>
          <w:szCs w:val="32"/>
          <w:lang w:val="en-US" w:eastAsia="zh-CN" w:bidi="ar-SA"/>
        </w:rPr>
        <w:t>部门财政资金无结转结余。</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pPr>
        <w:pStyle w:val="8"/>
        <w:rPr>
          <w:rFonts w:hint="default" w:ascii="仿宋_GB2312" w:hAnsi="Calibri" w:eastAsia="仿宋_GB2312" w:cs="仿宋"/>
          <w:color w:val="auto"/>
          <w:kern w:val="0"/>
          <w:sz w:val="32"/>
          <w:szCs w:val="32"/>
          <w:lang w:val="en-US" w:eastAsia="zh-CN" w:bidi="ar-SA"/>
        </w:rPr>
      </w:pPr>
      <w:r>
        <w:rPr>
          <w:rFonts w:hint="eastAsia" w:ascii="楷体_GB2312" w:hAnsi="宋体" w:eastAsia="楷体_GB2312" w:cs="宋体"/>
          <w:color w:val="000000"/>
          <w:kern w:val="0"/>
          <w:sz w:val="32"/>
          <w:szCs w:val="32"/>
          <w:shd w:val="clear" w:color="auto" w:fill="FFFFFF"/>
          <w:lang w:val="en-US" w:eastAsia="zh-CN" w:bidi="ar-SA"/>
        </w:rPr>
        <w:t xml:space="preserve">   </w:t>
      </w:r>
      <w:r>
        <w:rPr>
          <w:rFonts w:hint="eastAsia" w:ascii="仿宋_GB2312" w:hAnsi="Calibri" w:eastAsia="仿宋_GB2312" w:cs="仿宋"/>
          <w:color w:val="auto"/>
          <w:kern w:val="0"/>
          <w:sz w:val="32"/>
          <w:szCs w:val="32"/>
          <w:lang w:val="en-US" w:eastAsia="zh-CN" w:bidi="ar-SA"/>
        </w:rPr>
        <w:t>区供销社按照绩效目标要求，安排专人负责各项工作，开展本单位自评，编制规范完整绩效目标，编制细化量绩效指标，确保部门整体绩效目标如期完成</w:t>
      </w:r>
    </w:p>
    <w:p>
      <w:pPr>
        <w:widowControl/>
        <w:adjustRightInd w:val="0"/>
        <w:snapToGrid w:val="0"/>
        <w:spacing w:line="580" w:lineRule="exact"/>
        <w:ind w:firstLine="640" w:firstLineChars="200"/>
        <w:contextualSpacing/>
        <w:jc w:val="left"/>
        <w:rPr>
          <w:rFonts w:hint="eastAsia" w:ascii="仿宋_GB2312" w:hAnsi="Calibri" w:eastAsia="仿宋_GB2312" w:cs="仿宋"/>
          <w:color w:val="auto"/>
          <w:kern w:val="0"/>
          <w:sz w:val="32"/>
          <w:szCs w:val="32"/>
          <w:lang w:val="zh-CN" w:eastAsia="zh-CN" w:bidi="ar-SA"/>
        </w:rPr>
      </w:pPr>
      <w:r>
        <w:rPr>
          <w:rFonts w:hint="eastAsia" w:ascii="仿宋_GB2312" w:hAnsi="Calibri" w:eastAsia="仿宋_GB2312" w:cs="仿宋"/>
          <w:color w:val="auto"/>
          <w:kern w:val="0"/>
          <w:sz w:val="32"/>
          <w:szCs w:val="32"/>
          <w:lang w:val="zh-CN" w:eastAsia="zh-CN" w:bidi="ar-SA"/>
        </w:rPr>
        <w:t>（</w:t>
      </w:r>
      <w:r>
        <w:rPr>
          <w:rFonts w:hint="eastAsia" w:ascii="仿宋_GB2312" w:hAnsi="Calibri" w:eastAsia="仿宋_GB2312" w:cs="仿宋"/>
          <w:color w:val="auto"/>
          <w:kern w:val="0"/>
          <w:sz w:val="32"/>
          <w:szCs w:val="32"/>
          <w:lang w:val="en-US" w:eastAsia="zh-CN" w:bidi="ar-SA"/>
        </w:rPr>
        <w:t>一</w:t>
      </w:r>
      <w:r>
        <w:rPr>
          <w:rFonts w:hint="eastAsia" w:ascii="仿宋_GB2312" w:hAnsi="Calibri" w:eastAsia="仿宋_GB2312" w:cs="仿宋"/>
          <w:color w:val="auto"/>
          <w:kern w:val="0"/>
          <w:sz w:val="32"/>
          <w:szCs w:val="32"/>
          <w:lang w:val="zh-CN" w:eastAsia="zh-CN" w:bidi="ar-SA"/>
        </w:rPr>
        <w:t>）特定目标类项目绩效分析。</w:t>
      </w:r>
    </w:p>
    <w:p>
      <w:pPr>
        <w:widowControl/>
        <w:adjustRightInd w:val="0"/>
        <w:snapToGrid w:val="0"/>
        <w:spacing w:line="580" w:lineRule="exact"/>
        <w:ind w:firstLine="640" w:firstLineChars="200"/>
        <w:contextualSpacing/>
        <w:jc w:val="left"/>
        <w:rPr>
          <w:rFonts w:hint="eastAsia" w:ascii="仿宋_GB2312" w:hAnsi="Calibri" w:eastAsia="仿宋_GB2312" w:cs="仿宋"/>
          <w:color w:val="auto"/>
          <w:kern w:val="0"/>
          <w:sz w:val="32"/>
          <w:szCs w:val="32"/>
          <w:lang w:val="zh-CN" w:eastAsia="zh-CN" w:bidi="ar-SA"/>
        </w:rPr>
      </w:pPr>
      <w:r>
        <w:rPr>
          <w:rFonts w:hint="eastAsia" w:ascii="仿宋_GB2312" w:hAnsi="Calibri" w:eastAsia="仿宋_GB2312" w:cs="仿宋"/>
          <w:color w:val="auto"/>
          <w:kern w:val="0"/>
          <w:sz w:val="32"/>
          <w:szCs w:val="32"/>
          <w:lang w:val="zh-CN" w:eastAsia="zh-CN" w:bidi="ar-SA"/>
        </w:rPr>
        <w:t>包括项目绩效目标制定、目标实现、支出控制、及时处置、执行进度、预算完成情况、资金结余率（低效无效率）和违规记录等情况。</w:t>
      </w:r>
    </w:p>
    <w:p>
      <w:pPr>
        <w:widowControl/>
        <w:numPr>
          <w:ilvl w:val="0"/>
          <w:numId w:val="6"/>
        </w:numPr>
        <w:adjustRightInd w:val="0"/>
        <w:snapToGrid w:val="0"/>
        <w:spacing w:line="580" w:lineRule="exact"/>
        <w:ind w:firstLine="643" w:firstLineChars="200"/>
        <w:contextualSpacing/>
        <w:jc w:val="left"/>
        <w:rPr>
          <w:rFonts w:hint="eastAsia" w:ascii="仿宋_GB2312" w:hAnsi="Calibri" w:eastAsia="仿宋_GB2312" w:cs="仿宋"/>
          <w:b/>
          <w:bCs/>
          <w:color w:val="auto"/>
          <w:kern w:val="0"/>
          <w:sz w:val="32"/>
          <w:szCs w:val="32"/>
          <w:lang w:val="zh-CN" w:eastAsia="zh-CN" w:bidi="ar-SA"/>
        </w:rPr>
      </w:pPr>
      <w:r>
        <w:rPr>
          <w:rFonts w:hint="eastAsia" w:ascii="仿宋_GB2312" w:hAnsi="Calibri" w:eastAsia="仿宋_GB2312" w:cs="仿宋"/>
          <w:b/>
          <w:bCs/>
          <w:color w:val="auto"/>
          <w:kern w:val="0"/>
          <w:sz w:val="32"/>
          <w:szCs w:val="32"/>
          <w:lang w:val="zh-CN" w:eastAsia="zh-CN" w:bidi="ar-SA"/>
        </w:rPr>
        <w:t>整体情况</w:t>
      </w:r>
    </w:p>
    <w:p>
      <w:pPr>
        <w:pStyle w:val="8"/>
        <w:ind w:firstLine="640" w:firstLineChars="200"/>
        <w:rPr>
          <w:rFonts w:hint="eastAsia" w:ascii="仿宋_GB2312" w:hAnsi="Calibri" w:eastAsia="仿宋_GB2312" w:cs="仿宋"/>
          <w:color w:val="auto"/>
          <w:kern w:val="0"/>
          <w:sz w:val="32"/>
          <w:szCs w:val="32"/>
          <w:lang w:val="zh-CN" w:eastAsia="zh-CN" w:bidi="ar-SA"/>
        </w:rPr>
      </w:pPr>
      <w:r>
        <w:rPr>
          <w:rFonts w:hint="eastAsia" w:ascii="仿宋_GB2312" w:hAnsi="Calibri" w:eastAsia="仿宋_GB2312" w:cs="仿宋"/>
          <w:color w:val="auto"/>
          <w:kern w:val="0"/>
          <w:sz w:val="32"/>
          <w:szCs w:val="32"/>
          <w:lang w:val="en-US" w:eastAsia="zh-CN" w:bidi="ar-SA"/>
        </w:rPr>
        <w:t xml:space="preserve"> 区供销社按照项目目标要求，制订项目绩效指标，编制规范化项目绩效指标，量化项目绩效指标，按照项目进度，严格控制项目支出金额，按时支付项目金额，项目绩效目标总体完成情况较好。</w:t>
      </w:r>
    </w:p>
    <w:p>
      <w:pPr>
        <w:widowControl/>
        <w:adjustRightInd w:val="0"/>
        <w:snapToGrid w:val="0"/>
        <w:spacing w:line="580" w:lineRule="exact"/>
        <w:ind w:firstLine="643" w:firstLineChars="200"/>
        <w:contextualSpacing/>
        <w:jc w:val="left"/>
        <w:rPr>
          <w:rFonts w:hint="eastAsia" w:ascii="仿宋_GB2312" w:hAnsi="Calibri" w:eastAsia="仿宋_GB2312" w:cs="仿宋"/>
          <w:b/>
          <w:bCs/>
          <w:color w:val="auto"/>
          <w:kern w:val="0"/>
          <w:sz w:val="32"/>
          <w:szCs w:val="32"/>
          <w:lang w:val="zh-CN" w:eastAsia="zh-CN" w:bidi="ar-SA"/>
        </w:rPr>
      </w:pPr>
      <w:r>
        <w:rPr>
          <w:rFonts w:hint="eastAsia" w:ascii="仿宋_GB2312" w:hAnsi="Calibri" w:eastAsia="仿宋_GB2312" w:cs="仿宋"/>
          <w:b/>
          <w:bCs/>
          <w:color w:val="auto"/>
          <w:kern w:val="0"/>
          <w:sz w:val="32"/>
          <w:szCs w:val="32"/>
          <w:lang w:val="zh-CN" w:eastAsia="zh-CN" w:bidi="ar-SA"/>
        </w:rPr>
        <w:t>（</w:t>
      </w:r>
      <w:r>
        <w:rPr>
          <w:rFonts w:hint="eastAsia" w:ascii="仿宋_GB2312" w:hAnsi="Calibri" w:eastAsia="仿宋_GB2312" w:cs="仿宋"/>
          <w:b/>
          <w:bCs/>
          <w:color w:val="auto"/>
          <w:kern w:val="0"/>
          <w:sz w:val="32"/>
          <w:szCs w:val="32"/>
          <w:lang w:val="en-US" w:eastAsia="zh-CN" w:bidi="ar-SA"/>
        </w:rPr>
        <w:t>二</w:t>
      </w:r>
      <w:r>
        <w:rPr>
          <w:rFonts w:hint="eastAsia" w:ascii="仿宋_GB2312" w:hAnsi="Calibri" w:eastAsia="仿宋_GB2312" w:cs="仿宋"/>
          <w:b/>
          <w:bCs/>
          <w:color w:val="auto"/>
          <w:kern w:val="0"/>
          <w:sz w:val="32"/>
          <w:szCs w:val="32"/>
          <w:lang w:val="zh-CN" w:eastAsia="zh-CN" w:bidi="ar-SA"/>
        </w:rPr>
        <w:t>）结果应用情况。</w:t>
      </w:r>
    </w:p>
    <w:p>
      <w:pPr>
        <w:widowControl/>
        <w:adjustRightInd w:val="0"/>
        <w:snapToGrid w:val="0"/>
        <w:spacing w:line="580" w:lineRule="exact"/>
        <w:ind w:firstLine="640" w:firstLineChars="200"/>
        <w:contextualSpacing/>
        <w:jc w:val="left"/>
        <w:rPr>
          <w:rFonts w:hint="eastAsia" w:ascii="仿宋_GB2312" w:hAnsi="Calibri" w:eastAsia="仿宋_GB2312" w:cs="仿宋"/>
          <w:color w:val="auto"/>
          <w:kern w:val="0"/>
          <w:sz w:val="32"/>
          <w:szCs w:val="32"/>
          <w:lang w:val="zh-CN" w:eastAsia="zh-CN" w:bidi="ar-SA"/>
        </w:rPr>
      </w:pPr>
      <w:r>
        <w:rPr>
          <w:rFonts w:hint="eastAsia" w:ascii="仿宋_GB2312" w:hAnsi="Calibri" w:eastAsia="仿宋_GB2312" w:cs="仿宋"/>
          <w:color w:val="auto"/>
          <w:kern w:val="0"/>
          <w:sz w:val="32"/>
          <w:szCs w:val="32"/>
          <w:lang w:val="zh-CN" w:eastAsia="zh-CN" w:bidi="ar-SA"/>
        </w:rPr>
        <w:t>按照预算绩效管理要求，我单位对202</w:t>
      </w:r>
      <w:r>
        <w:rPr>
          <w:rFonts w:hint="eastAsia" w:ascii="仿宋_GB2312" w:hAnsi="Calibri" w:eastAsia="仿宋_GB2312" w:cs="仿宋"/>
          <w:color w:val="auto"/>
          <w:kern w:val="0"/>
          <w:sz w:val="32"/>
          <w:szCs w:val="32"/>
          <w:lang w:val="en-US" w:eastAsia="zh-CN" w:bidi="ar-SA"/>
        </w:rPr>
        <w:t>4</w:t>
      </w:r>
      <w:r>
        <w:rPr>
          <w:rFonts w:hint="eastAsia" w:ascii="仿宋_GB2312" w:hAnsi="Calibri" w:eastAsia="仿宋_GB2312" w:cs="仿宋"/>
          <w:color w:val="auto"/>
          <w:kern w:val="0"/>
          <w:sz w:val="32"/>
          <w:szCs w:val="32"/>
          <w:lang w:val="zh-CN" w:eastAsia="zh-CN" w:bidi="ar-SA"/>
        </w:rPr>
        <w:t>年整体支出开展绩效自评。我单位严格按照国家财务管理制度规定，做到了财务制度健全，会计核算规范，资金使用规范、业务程序透明、达到预期绩效目标。</w:t>
      </w:r>
    </w:p>
    <w:p>
      <w:pPr>
        <w:widowControl/>
        <w:adjustRightInd w:val="0"/>
        <w:snapToGrid w:val="0"/>
        <w:spacing w:line="580" w:lineRule="exact"/>
        <w:ind w:firstLine="643" w:firstLineChars="200"/>
        <w:contextualSpacing/>
        <w:jc w:val="left"/>
        <w:rPr>
          <w:rFonts w:hint="eastAsia" w:ascii="仿宋_GB2312" w:hAnsi="Calibri" w:eastAsia="仿宋_GB2312" w:cs="仿宋"/>
          <w:b/>
          <w:bCs/>
          <w:color w:val="auto"/>
          <w:kern w:val="0"/>
          <w:sz w:val="32"/>
          <w:szCs w:val="32"/>
          <w:lang w:val="en-US" w:eastAsia="zh-CN" w:bidi="ar-SA"/>
        </w:rPr>
      </w:pPr>
      <w:r>
        <w:rPr>
          <w:rFonts w:hint="eastAsia" w:ascii="仿宋_GB2312" w:hAnsi="Calibri" w:eastAsia="仿宋_GB2312" w:cs="仿宋"/>
          <w:b/>
          <w:bCs/>
          <w:color w:val="auto"/>
          <w:kern w:val="0"/>
          <w:sz w:val="32"/>
          <w:szCs w:val="32"/>
          <w:lang w:val="en-US" w:eastAsia="zh-CN" w:bidi="ar-SA"/>
        </w:rPr>
        <w:t>四、评价结论及建议</w:t>
      </w:r>
    </w:p>
    <w:p>
      <w:pPr>
        <w:widowControl/>
        <w:adjustRightInd w:val="0"/>
        <w:snapToGrid w:val="0"/>
        <w:spacing w:line="580" w:lineRule="exact"/>
        <w:ind w:firstLine="643" w:firstLineChars="200"/>
        <w:contextualSpacing/>
        <w:jc w:val="left"/>
        <w:rPr>
          <w:rFonts w:hint="eastAsia" w:ascii="仿宋_GB2312" w:hAnsi="Calibri" w:eastAsia="仿宋_GB2312" w:cs="仿宋"/>
          <w:b/>
          <w:bCs/>
          <w:color w:val="auto"/>
          <w:kern w:val="0"/>
          <w:sz w:val="32"/>
          <w:szCs w:val="32"/>
          <w:lang w:val="zh-CN" w:eastAsia="zh-CN" w:bidi="ar-SA"/>
        </w:rPr>
      </w:pPr>
      <w:r>
        <w:rPr>
          <w:rFonts w:hint="eastAsia" w:ascii="仿宋_GB2312" w:hAnsi="Calibri" w:eastAsia="仿宋_GB2312" w:cs="仿宋"/>
          <w:b/>
          <w:bCs/>
          <w:color w:val="auto"/>
          <w:kern w:val="0"/>
          <w:sz w:val="32"/>
          <w:szCs w:val="32"/>
          <w:lang w:val="zh-CN" w:eastAsia="zh-CN" w:bidi="ar-SA"/>
        </w:rPr>
        <w:t>（一）评价结论。</w:t>
      </w:r>
    </w:p>
    <w:p>
      <w:pPr>
        <w:widowControl/>
        <w:adjustRightInd w:val="0"/>
        <w:snapToGrid w:val="0"/>
        <w:spacing w:line="580" w:lineRule="exact"/>
        <w:ind w:firstLine="640" w:firstLineChars="200"/>
        <w:contextualSpacing/>
        <w:jc w:val="left"/>
        <w:rPr>
          <w:rFonts w:hint="default"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zh-CN" w:eastAsia="zh-CN" w:bidi="ar-SA"/>
        </w:rPr>
        <w:t>202</w:t>
      </w:r>
      <w:r>
        <w:rPr>
          <w:rFonts w:hint="eastAsia" w:ascii="仿宋_GB2312" w:hAnsi="Calibri" w:eastAsia="仿宋_GB2312" w:cs="仿宋"/>
          <w:color w:val="auto"/>
          <w:kern w:val="0"/>
          <w:sz w:val="32"/>
          <w:szCs w:val="32"/>
          <w:lang w:val="en-US" w:eastAsia="zh-CN" w:bidi="ar-SA"/>
        </w:rPr>
        <w:t>4</w:t>
      </w:r>
      <w:r>
        <w:rPr>
          <w:rFonts w:hint="eastAsia" w:ascii="仿宋_GB2312" w:hAnsi="Calibri" w:eastAsia="仿宋_GB2312" w:cs="仿宋"/>
          <w:color w:val="auto"/>
          <w:kern w:val="0"/>
          <w:sz w:val="32"/>
          <w:szCs w:val="32"/>
          <w:lang w:val="zh-CN" w:eastAsia="zh-CN" w:bidi="ar-SA"/>
        </w:rPr>
        <w:t>年，按照国家的法律法规加强预算管理，不断完善内控制度，认真地完成了202</w:t>
      </w:r>
      <w:r>
        <w:rPr>
          <w:rFonts w:hint="eastAsia" w:ascii="仿宋_GB2312" w:hAnsi="Calibri" w:eastAsia="仿宋_GB2312" w:cs="仿宋"/>
          <w:color w:val="auto"/>
          <w:kern w:val="0"/>
          <w:sz w:val="32"/>
          <w:szCs w:val="32"/>
          <w:lang w:val="en-US" w:eastAsia="zh-CN" w:bidi="ar-SA"/>
        </w:rPr>
        <w:t>4</w:t>
      </w:r>
      <w:r>
        <w:rPr>
          <w:rFonts w:hint="eastAsia" w:ascii="仿宋_GB2312" w:hAnsi="Calibri" w:eastAsia="仿宋_GB2312" w:cs="仿宋"/>
          <w:color w:val="auto"/>
          <w:kern w:val="0"/>
          <w:sz w:val="32"/>
          <w:szCs w:val="32"/>
          <w:lang w:val="zh-CN" w:eastAsia="zh-CN" w:bidi="ar-SA"/>
        </w:rPr>
        <w:t>年部门预算和决算汇总工作，能够按照财政部门批复的预算组织实施。通过项目资金的分配使用。综合以上各项指标，财务管理健全规范，没有发生违法违规现象，202</w:t>
      </w:r>
      <w:r>
        <w:rPr>
          <w:rFonts w:hint="eastAsia" w:ascii="仿宋_GB2312" w:hAnsi="Calibri" w:eastAsia="仿宋_GB2312" w:cs="仿宋"/>
          <w:color w:val="auto"/>
          <w:kern w:val="0"/>
          <w:sz w:val="32"/>
          <w:szCs w:val="32"/>
          <w:lang w:val="en-US" w:eastAsia="zh-CN" w:bidi="ar-SA"/>
        </w:rPr>
        <w:t>4</w:t>
      </w:r>
      <w:r>
        <w:rPr>
          <w:rFonts w:hint="eastAsia" w:ascii="仿宋_GB2312" w:hAnsi="Calibri" w:eastAsia="仿宋_GB2312" w:cs="仿宋"/>
          <w:color w:val="auto"/>
          <w:kern w:val="0"/>
          <w:sz w:val="32"/>
          <w:szCs w:val="32"/>
          <w:lang w:val="zh-CN" w:eastAsia="zh-CN" w:bidi="ar-SA"/>
        </w:rPr>
        <w:t>年的部门整体支出做到了使用规范、程序透明、达到预期绩效目标确保了机关的正常运行和各部门职能的正常履行，保证了目标任务的圆满完成</w:t>
      </w:r>
    </w:p>
    <w:p>
      <w:pPr>
        <w:widowControl/>
        <w:numPr>
          <w:ilvl w:val="0"/>
          <w:numId w:val="7"/>
        </w:numPr>
        <w:adjustRightInd w:val="0"/>
        <w:snapToGrid w:val="0"/>
        <w:spacing w:line="580" w:lineRule="exact"/>
        <w:ind w:firstLine="643" w:firstLineChars="200"/>
        <w:contextualSpacing/>
        <w:jc w:val="left"/>
        <w:rPr>
          <w:rFonts w:hint="eastAsia" w:ascii="仿宋_GB2312" w:hAnsi="Calibri" w:eastAsia="仿宋_GB2312" w:cs="仿宋"/>
          <w:b/>
          <w:bCs/>
          <w:color w:val="auto"/>
          <w:kern w:val="0"/>
          <w:sz w:val="32"/>
          <w:szCs w:val="32"/>
          <w:lang w:val="zh-CN" w:eastAsia="zh-CN" w:bidi="ar-SA"/>
        </w:rPr>
      </w:pPr>
      <w:r>
        <w:rPr>
          <w:rFonts w:hint="eastAsia" w:ascii="仿宋_GB2312" w:hAnsi="Calibri" w:eastAsia="仿宋_GB2312" w:cs="仿宋"/>
          <w:b/>
          <w:bCs/>
          <w:color w:val="auto"/>
          <w:kern w:val="0"/>
          <w:sz w:val="32"/>
          <w:szCs w:val="32"/>
          <w:lang w:val="zh-CN" w:eastAsia="zh-CN" w:bidi="ar-SA"/>
        </w:rPr>
        <w:t>存在问题。</w:t>
      </w:r>
    </w:p>
    <w:p>
      <w:pPr>
        <w:widowControl/>
        <w:adjustRightInd w:val="0"/>
        <w:snapToGrid w:val="0"/>
        <w:spacing w:line="580" w:lineRule="exact"/>
        <w:ind w:firstLine="640" w:firstLineChars="200"/>
        <w:contextualSpacing/>
        <w:jc w:val="left"/>
        <w:rPr>
          <w:rFonts w:hint="eastAsia" w:ascii="仿宋_GB2312" w:hAnsi="Calibri" w:eastAsia="仿宋_GB2312" w:cs="仿宋"/>
          <w:color w:val="auto"/>
          <w:kern w:val="0"/>
          <w:sz w:val="32"/>
          <w:szCs w:val="32"/>
          <w:lang w:val="zh-CN" w:eastAsia="zh-CN" w:bidi="ar-SA"/>
        </w:rPr>
      </w:pPr>
      <w:r>
        <w:rPr>
          <w:rFonts w:hint="eastAsia" w:ascii="仿宋_GB2312" w:hAnsi="Calibri" w:eastAsia="仿宋_GB2312" w:cs="仿宋"/>
          <w:color w:val="auto"/>
          <w:kern w:val="0"/>
          <w:sz w:val="32"/>
          <w:szCs w:val="32"/>
          <w:lang w:val="zh-CN" w:eastAsia="zh-CN" w:bidi="ar-SA"/>
        </w:rPr>
        <w:t xml:space="preserve">加强项目资金管理，加强项目预算的计划性、科学性、确保专项资金使用公开、公平、公正；加强财政资金绩效管理，实现财政资金使用安全、高效、透明。 </w:t>
      </w:r>
    </w:p>
    <w:p>
      <w:pPr>
        <w:widowControl/>
        <w:numPr>
          <w:ilvl w:val="0"/>
          <w:numId w:val="7"/>
        </w:numPr>
        <w:adjustRightInd w:val="0"/>
        <w:snapToGrid w:val="0"/>
        <w:spacing w:line="580" w:lineRule="exact"/>
        <w:ind w:left="0" w:leftChars="0" w:firstLine="643" w:firstLineChars="200"/>
        <w:contextualSpacing/>
        <w:jc w:val="left"/>
        <w:rPr>
          <w:rFonts w:hint="eastAsia" w:ascii="仿宋_GB2312" w:hAnsi="Calibri" w:eastAsia="仿宋_GB2312" w:cs="仿宋"/>
          <w:color w:val="auto"/>
          <w:kern w:val="0"/>
          <w:sz w:val="32"/>
          <w:szCs w:val="32"/>
          <w:lang w:val="zh-CN" w:eastAsia="zh-CN" w:bidi="ar-SA"/>
        </w:rPr>
      </w:pPr>
      <w:r>
        <w:rPr>
          <w:rFonts w:hint="eastAsia" w:ascii="仿宋_GB2312" w:hAnsi="Calibri" w:eastAsia="仿宋_GB2312" w:cs="仿宋"/>
          <w:b/>
          <w:bCs/>
          <w:color w:val="auto"/>
          <w:kern w:val="0"/>
          <w:sz w:val="32"/>
          <w:szCs w:val="32"/>
          <w:lang w:val="zh-CN" w:eastAsia="zh-CN" w:bidi="ar-SA"/>
        </w:rPr>
        <w:t>改进建议</w:t>
      </w:r>
      <w:r>
        <w:rPr>
          <w:rFonts w:hint="eastAsia" w:ascii="仿宋_GB2312" w:hAnsi="Calibri" w:eastAsia="仿宋_GB2312" w:cs="仿宋"/>
          <w:color w:val="auto"/>
          <w:kern w:val="0"/>
          <w:sz w:val="32"/>
          <w:szCs w:val="32"/>
          <w:lang w:val="zh-CN" w:eastAsia="zh-CN" w:bidi="ar-SA"/>
        </w:rPr>
        <w:t>。</w:t>
      </w:r>
    </w:p>
    <w:p>
      <w:pPr>
        <w:widowControl/>
        <w:adjustRightInd w:val="0"/>
        <w:snapToGrid w:val="0"/>
        <w:spacing w:line="580" w:lineRule="exact"/>
        <w:ind w:firstLine="640" w:firstLineChars="200"/>
        <w:contextualSpacing/>
        <w:jc w:val="left"/>
        <w:rPr>
          <w:rFonts w:hint="eastAsia" w:ascii="仿宋_GB2312" w:hAnsi="Calibri" w:eastAsia="仿宋_GB2312" w:cs="仿宋"/>
          <w:color w:val="auto"/>
          <w:kern w:val="0"/>
          <w:sz w:val="32"/>
          <w:szCs w:val="32"/>
          <w:lang w:val="zh-CN" w:eastAsia="zh-CN" w:bidi="ar-SA"/>
        </w:rPr>
      </w:pPr>
      <w:r>
        <w:rPr>
          <w:rFonts w:hint="eastAsia" w:ascii="仿宋_GB2312" w:hAnsi="Calibri" w:eastAsia="仿宋_GB2312" w:cs="仿宋"/>
          <w:color w:val="auto"/>
          <w:kern w:val="0"/>
          <w:sz w:val="32"/>
          <w:szCs w:val="32"/>
          <w:lang w:val="zh-CN" w:eastAsia="zh-CN" w:bidi="ar-SA"/>
        </w:rPr>
        <w:t>进一步健全和完善财务管理制度及内部控制制度，科学合理编制预算，严格执行预算。在规范财务收支和控制经费增长上，创新管理手段，用新思路、新方法，改进完善财务管理方法。按照财政支出绩效管理的要求，建立科学的财政资金效益考评制度体系，牢固树立行政成本意识，不断提高财政资金使用管理的水平和效率。</w:t>
      </w:r>
    </w:p>
    <w:p>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Calibri" w:eastAsia="仿宋_GB2312" w:cs="仿宋"/>
          <w:color w:val="auto"/>
          <w:kern w:val="0"/>
          <w:sz w:val="32"/>
          <w:szCs w:val="32"/>
          <w:lang w:val="zh-CN" w:eastAsia="zh-CN" w:bidi="ar-SA"/>
        </w:rPr>
      </w:pPr>
    </w:p>
    <w:p>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Calibri" w:eastAsia="仿宋_GB2312" w:cs="仿宋"/>
          <w:color w:val="auto"/>
          <w:kern w:val="0"/>
          <w:sz w:val="32"/>
          <w:szCs w:val="32"/>
          <w:lang w:val="zh-CN" w:eastAsia="zh-CN" w:bidi="ar-SA"/>
        </w:rPr>
      </w:pPr>
    </w:p>
    <w:p>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pPr>
        <w:pStyle w:val="3"/>
        <w:sectPr>
          <w:footerReference r:id="rId8" w:type="first"/>
          <w:headerReference r:id="rId6" w:type="default"/>
          <w:footerReference r:id="rId7" w:type="default"/>
          <w:pgSz w:w="11906" w:h="16838"/>
          <w:pgMar w:top="1440" w:right="1800" w:bottom="1440" w:left="1800" w:header="851" w:footer="992" w:gutter="0"/>
          <w:pgNumType w:fmt="decimal"/>
          <w:cols w:space="720" w:num="1"/>
          <w:titlePg/>
          <w:docGrid w:type="lines" w:linePitch="312" w:charSpace="0"/>
        </w:sectPr>
      </w:pPr>
    </w:p>
    <w:p>
      <w:pPr>
        <w:spacing w:line="600" w:lineRule="exact"/>
        <w:jc w:val="center"/>
        <w:outlineLvl w:val="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部门预算项目支出绩效自评表（2024年度）</w:t>
      </w:r>
    </w:p>
    <w:p>
      <w:pPr>
        <w:pStyle w:val="3"/>
        <w:spacing w:line="560" w:lineRule="exact"/>
        <w:ind w:left="0" w:leftChars="0" w:firstLine="640"/>
        <w:rPr>
          <w:sz w:val="32"/>
        </w:rPr>
      </w:pPr>
    </w:p>
    <w:tbl>
      <w:tblPr>
        <w:tblStyle w:val="1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4"/>
        <w:gridCol w:w="2051"/>
        <w:gridCol w:w="1775"/>
        <w:gridCol w:w="2263"/>
        <w:gridCol w:w="521"/>
        <w:gridCol w:w="1677"/>
        <w:gridCol w:w="521"/>
        <w:gridCol w:w="1091"/>
        <w:gridCol w:w="505"/>
        <w:gridCol w:w="456"/>
        <w:gridCol w:w="25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51111321T000000130196-退休人员生活补贴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7"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区供销社本级</w:t>
            </w:r>
          </w:p>
        </w:tc>
        <w:tc>
          <w:tcPr>
            <w:tcW w:w="1091" w:type="dxa"/>
            <w:tcBorders>
              <w:top w:val="nil"/>
              <w:left w:val="nil"/>
              <w:bottom w:val="nil"/>
              <w:right w:val="nil"/>
            </w:tcBorders>
            <w:noWrap w:val="0"/>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区供销社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7"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6757"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保障退休人员生活质量</w:t>
            </w:r>
          </w:p>
        </w:tc>
        <w:tc>
          <w:tcPr>
            <w:tcW w:w="4608"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5" w:type="dxa"/>
            <w:gridSpan w:val="9"/>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0.52</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0.52</w:t>
            </w:r>
          </w:p>
        </w:tc>
        <w:tc>
          <w:tcPr>
            <w:tcW w:w="271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0.52</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25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0.52</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0.52</w:t>
            </w:r>
          </w:p>
        </w:tc>
        <w:tc>
          <w:tcPr>
            <w:tcW w:w="271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0.52</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退休人员满意</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退休人员满意</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退休人员满意</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tc>
        <w:tc>
          <w:tcPr>
            <w:tcW w:w="2051" w:type="dxa"/>
            <w:tcBorders>
              <w:top w:val="nil"/>
              <w:left w:val="nil"/>
              <w:bottom w:val="nil"/>
              <w:right w:val="nil"/>
            </w:tcBorders>
            <w:noWrap w:val="0"/>
            <w:vAlign w:val="center"/>
          </w:tcPr>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tc>
        <w:tc>
          <w:tcPr>
            <w:tcW w:w="1775"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2263"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677"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c>
          <w:tcPr>
            <w:tcW w:w="2556" w:type="dxa"/>
            <w:tcBorders>
              <w:top w:val="nil"/>
              <w:left w:val="nil"/>
              <w:bottom w:val="nil"/>
              <w:right w:val="nil"/>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trPr>
        <w:tc>
          <w:tcPr>
            <w:tcW w:w="14100"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5"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sz w:val="18"/>
                <w:szCs w:val="18"/>
              </w:rPr>
              <w:t>51111321T00000013025</w:t>
            </w:r>
            <w:r>
              <w:rPr>
                <w:rFonts w:hint="eastAsia" w:ascii="宋体" w:hAnsi="宋体" w:eastAsia="宋体" w:cs="宋体"/>
                <w:sz w:val="18"/>
                <w:szCs w:val="18"/>
                <w:lang w:val="en-US" w:eastAsia="zh-CN"/>
              </w:rPr>
              <w:t>3</w:t>
            </w:r>
            <w:r>
              <w:rPr>
                <w:rFonts w:hint="eastAsia" w:ascii="宋体" w:hAnsi="宋体" w:eastAsia="宋体" w:cs="宋体"/>
                <w:i w:val="0"/>
                <w:iCs w:val="0"/>
                <w:color w:val="000000"/>
                <w:kern w:val="0"/>
                <w:sz w:val="18"/>
                <w:szCs w:val="18"/>
                <w:u w:val="none"/>
                <w:lang w:val="en-US" w:eastAsia="zh-CN" w:bidi="ar"/>
              </w:rPr>
              <w:t>-专合社培训经费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7"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区供销社本级</w:t>
            </w:r>
          </w:p>
        </w:tc>
        <w:tc>
          <w:tcPr>
            <w:tcW w:w="1091"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区供销社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7"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6757" w:type="dxa"/>
            <w:gridSpan w:val="5"/>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对涉农专合社业务培训给予补贴</w:t>
            </w:r>
          </w:p>
        </w:tc>
        <w:tc>
          <w:tcPr>
            <w:tcW w:w="4608"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5" w:type="dxa"/>
            <w:gridSpan w:val="9"/>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1.00</w:t>
            </w:r>
          </w:p>
        </w:tc>
        <w:tc>
          <w:tcPr>
            <w:tcW w:w="271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1.00</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25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1.00</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1.00</w:t>
            </w:r>
          </w:p>
        </w:tc>
        <w:tc>
          <w:tcPr>
            <w:tcW w:w="271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1.00</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数量指标</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受训</w:t>
            </w:r>
            <w:r>
              <w:rPr>
                <w:rFonts w:ascii="宋体" w:hAnsi="宋体" w:eastAsia="宋体" w:cs="宋体"/>
                <w:i w:val="0"/>
                <w:iCs w:val="0"/>
                <w:color w:val="000000"/>
                <w:kern w:val="0"/>
                <w:sz w:val="18"/>
                <w:szCs w:val="18"/>
                <w:u w:val="none"/>
                <w:lang w:val="en-US" w:eastAsia="zh-CN" w:bidi="ar"/>
              </w:rPr>
              <w:t>人员满意</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人</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40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社会效益指标</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受训</w:t>
            </w:r>
            <w:r>
              <w:rPr>
                <w:rFonts w:ascii="宋体" w:hAnsi="宋体" w:eastAsia="宋体" w:cs="宋体"/>
                <w:i w:val="0"/>
                <w:iCs w:val="0"/>
                <w:color w:val="000000"/>
                <w:kern w:val="0"/>
                <w:sz w:val="18"/>
                <w:szCs w:val="18"/>
                <w:u w:val="none"/>
                <w:lang w:val="en-US" w:eastAsia="zh-CN" w:bidi="ar"/>
              </w:rPr>
              <w:t>人员满意</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人</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40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服务对象满意度指标</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受训</w:t>
            </w:r>
            <w:r>
              <w:rPr>
                <w:rFonts w:ascii="宋体" w:hAnsi="宋体" w:eastAsia="宋体" w:cs="宋体"/>
                <w:i w:val="0"/>
                <w:iCs w:val="0"/>
                <w:color w:val="000000"/>
                <w:kern w:val="0"/>
                <w:sz w:val="18"/>
                <w:szCs w:val="18"/>
                <w:u w:val="none"/>
                <w:lang w:val="en-US" w:eastAsia="zh-CN" w:bidi="ar"/>
              </w:rPr>
              <w:t>人员满意</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人</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83" w:type="dxa"/>
            <w:gridSpan w:val="8"/>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auto"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2556" w:type="dxa"/>
            <w:tcBorders>
              <w:top w:val="single" w:color="000000" w:sz="4" w:space="0"/>
              <w:left w:val="single" w:color="000000" w:sz="4" w:space="0"/>
              <w:bottom w:val="single" w:color="auto"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trPr>
        <w:tc>
          <w:tcPr>
            <w:tcW w:w="14100" w:type="dxa"/>
            <w:gridSpan w:val="11"/>
            <w:tcBorders>
              <w:top w:val="single" w:color="auto" w:sz="4" w:space="0"/>
              <w:left w:val="nil"/>
              <w:bottom w:val="nil"/>
              <w:right w:val="nil"/>
            </w:tcBorders>
            <w:noWrap w:val="0"/>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p>
            <w:pPr>
              <w:keepNext w:val="0"/>
              <w:keepLines w:val="0"/>
              <w:widowControl/>
              <w:suppressLineNumbers w:val="0"/>
              <w:jc w:val="center"/>
              <w:textAlignment w:val="center"/>
              <w:rPr>
                <w:rFonts w:hint="eastAsia" w:ascii="黑体" w:hAnsi="宋体" w:eastAsia="黑体" w:cs="黑体"/>
                <w:b/>
                <w:bCs/>
                <w:i w:val="0"/>
                <w:iCs w:val="0"/>
                <w:color w:val="000000"/>
                <w:kern w:val="0"/>
                <w:sz w:val="30"/>
                <w:szCs w:val="30"/>
                <w:u w:val="none"/>
                <w:lang w:val="en-US" w:eastAsia="zh-CN" w:bidi="ar"/>
              </w:rPr>
            </w:pPr>
          </w:p>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35" w:type="dxa"/>
            <w:gridSpan w:val="2"/>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5" w:type="dxa"/>
            <w:gridSpan w:val="9"/>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sz w:val="18"/>
                <w:szCs w:val="18"/>
              </w:rPr>
              <w:t>51111321T000000130</w:t>
            </w:r>
            <w:r>
              <w:rPr>
                <w:rFonts w:hint="eastAsia" w:ascii="宋体" w:hAnsi="宋体" w:eastAsia="宋体" w:cs="宋体"/>
                <w:sz w:val="18"/>
                <w:szCs w:val="18"/>
                <w:lang w:val="en-US" w:eastAsia="zh-CN"/>
              </w:rPr>
              <w:t>281</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sz w:val="18"/>
                <w:szCs w:val="18"/>
              </w:rPr>
              <w:t>农村社会化服务体系建设</w:t>
            </w:r>
            <w:r>
              <w:rPr>
                <w:rFonts w:hint="eastAsia" w:ascii="宋体" w:hAnsi="宋体" w:eastAsia="宋体" w:cs="宋体"/>
                <w:sz w:val="18"/>
                <w:szCs w:val="18"/>
                <w:lang w:val="en-US" w:eastAsia="zh-CN"/>
              </w:rPr>
              <w:t>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7"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区供销社本级</w:t>
            </w:r>
          </w:p>
        </w:tc>
        <w:tc>
          <w:tcPr>
            <w:tcW w:w="1091"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区供销社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7"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2051"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6757" w:type="dxa"/>
            <w:gridSpan w:val="5"/>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对涉农专合社业务开展给予补贴</w:t>
            </w:r>
          </w:p>
        </w:tc>
        <w:tc>
          <w:tcPr>
            <w:tcW w:w="4608"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5" w:type="dxa"/>
            <w:gridSpan w:val="9"/>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3.50</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3.50</w:t>
            </w:r>
          </w:p>
        </w:tc>
        <w:tc>
          <w:tcPr>
            <w:tcW w:w="271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3.50</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25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3.50</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3.50</w:t>
            </w:r>
          </w:p>
        </w:tc>
        <w:tc>
          <w:tcPr>
            <w:tcW w:w="271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3.50</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6"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数量指标</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获补贴专合社</w:t>
            </w:r>
            <w:r>
              <w:rPr>
                <w:rFonts w:ascii="宋体" w:hAnsi="宋体" w:eastAsia="宋体" w:cs="宋体"/>
                <w:i w:val="0"/>
                <w:iCs w:val="0"/>
                <w:color w:val="000000"/>
                <w:kern w:val="0"/>
                <w:sz w:val="18"/>
                <w:szCs w:val="18"/>
                <w:u w:val="none"/>
                <w:lang w:val="en-US" w:eastAsia="zh-CN" w:bidi="ar"/>
              </w:rPr>
              <w:t>满意</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人</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40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效益指标</w:t>
            </w:r>
          </w:p>
        </w:tc>
        <w:tc>
          <w:tcPr>
            <w:tcW w:w="1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社会效益指标</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获补贴专合社</w:t>
            </w:r>
            <w:r>
              <w:rPr>
                <w:rFonts w:ascii="宋体" w:hAnsi="宋体" w:eastAsia="宋体" w:cs="宋体"/>
                <w:i w:val="0"/>
                <w:iCs w:val="0"/>
                <w:color w:val="000000"/>
                <w:kern w:val="0"/>
                <w:sz w:val="18"/>
                <w:szCs w:val="18"/>
                <w:u w:val="none"/>
                <w:lang w:val="en-US" w:eastAsia="zh-CN" w:bidi="ar"/>
              </w:rPr>
              <w:t>满意</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人</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40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20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服务对象满意度指标</w:t>
            </w:r>
          </w:p>
        </w:tc>
        <w:tc>
          <w:tcPr>
            <w:tcW w:w="22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获补贴专合社</w:t>
            </w:r>
            <w:r>
              <w:rPr>
                <w:rFonts w:ascii="宋体" w:hAnsi="宋体" w:eastAsia="宋体" w:cs="宋体"/>
                <w:i w:val="0"/>
                <w:iCs w:val="0"/>
                <w:color w:val="000000"/>
                <w:kern w:val="0"/>
                <w:sz w:val="18"/>
                <w:szCs w:val="18"/>
                <w:u w:val="none"/>
                <w:lang w:val="en-US" w:eastAsia="zh-CN" w:bidi="ar"/>
              </w:rPr>
              <w:t>满意</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人</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c>
          <w:tcPr>
            <w:tcW w:w="25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18"/>
                <w:szCs w:val="18"/>
                <w:u w:val="none"/>
              </w:rPr>
            </w:pPr>
          </w:p>
        </w:tc>
      </w:tr>
    </w:tbl>
    <w:p>
      <w:pPr>
        <w:spacing w:line="600" w:lineRule="exact"/>
        <w:jc w:val="both"/>
        <w:outlineLvl w:val="0"/>
        <w:rPr>
          <w:rFonts w:hint="eastAsia" w:ascii="黑体" w:hAnsi="黑体" w:eastAsia="黑体"/>
          <w:sz w:val="44"/>
          <w:szCs w:val="44"/>
        </w:rPr>
        <w:sectPr>
          <w:type w:val="continuous"/>
          <w:pgSz w:w="16838" w:h="11906" w:orient="landscape"/>
          <w:pgMar w:top="1800" w:right="1440" w:bottom="1800" w:left="1440" w:header="851" w:footer="992" w:gutter="0"/>
          <w:pgNumType w:fmt="decimal"/>
          <w:cols w:space="720" w:num="1"/>
          <w:docGrid w:type="lines" w:linePitch="312" w:charSpace="0"/>
        </w:sectPr>
      </w:pPr>
    </w:p>
    <w:p>
      <w:pPr>
        <w:spacing w:line="600" w:lineRule="exact"/>
        <w:jc w:val="both"/>
        <w:outlineLvl w:val="0"/>
        <w:rPr>
          <w:rFonts w:hint="eastAsia" w:ascii="黑体" w:hAnsi="黑体" w:eastAsia="黑体"/>
          <w:sz w:val="44"/>
          <w:szCs w:val="44"/>
        </w:rPr>
        <w:sectPr>
          <w:type w:val="continuous"/>
          <w:pgSz w:w="16838" w:h="11906" w:orient="landscape"/>
          <w:pgMar w:top="1800" w:right="1440" w:bottom="1800" w:left="1440" w:header="851" w:footer="992" w:gutter="0"/>
          <w:pgNumType w:fmt="decimal"/>
          <w:cols w:space="720" w:num="1"/>
          <w:docGrid w:type="lines" w:linePitch="312" w:charSpace="0"/>
        </w:sect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37"/>
          <w:rFonts w:hint="eastAsia" w:ascii="黑体" w:hAnsi="黑体" w:eastAsia="黑体"/>
          <w:b w:val="0"/>
        </w:rPr>
        <w:t>五部分 附表</w:t>
      </w:r>
    </w:p>
    <w:p>
      <w:pPr>
        <w:pStyle w:val="6"/>
        <w:keepNext/>
        <w:keepLines/>
        <w:pageBreakBefore w:val="0"/>
        <w:widowControl w:val="0"/>
        <w:kinsoku/>
        <w:wordWrap/>
        <w:overflowPunct/>
        <w:topLinePunct w:val="0"/>
        <w:autoSpaceDE/>
        <w:autoSpaceDN/>
        <w:bidi w:val="0"/>
        <w:adjustRightInd/>
        <w:snapToGrid/>
        <w:spacing w:before="0" w:after="0" w:line="240" w:lineRule="auto"/>
        <w:textAlignment w:val="auto"/>
        <w:rPr>
          <w:rFonts w:ascii="仿宋" w:hAnsi="仿宋" w:eastAsia="仿宋"/>
          <w:color w:val="auto"/>
          <w:highlight w:val="none"/>
        </w:rPr>
      </w:pPr>
      <w:r>
        <w:rPr>
          <w:rFonts w:hint="eastAsia" w:ascii="仿宋" w:hAnsi="仿宋" w:eastAsia="仿宋"/>
          <w:b w:val="0"/>
          <w:color w:val="auto"/>
          <w:highlight w:val="none"/>
        </w:rPr>
        <w:t>一、收</w:t>
      </w:r>
      <w:r>
        <w:rPr>
          <w:rStyle w:val="30"/>
          <w:rFonts w:hint="eastAsia" w:ascii="仿宋" w:hAnsi="仿宋" w:eastAsia="仿宋"/>
          <w:b w:val="0"/>
          <w:bCs w:val="0"/>
          <w:color w:val="auto"/>
          <w:highlight w:val="none"/>
        </w:rPr>
        <w:t>入支出决算总表</w:t>
      </w:r>
    </w:p>
    <w:p>
      <w:pPr>
        <w:pStyle w:val="6"/>
        <w:keepNext/>
        <w:keepLines/>
        <w:pageBreakBefore w:val="0"/>
        <w:widowControl w:val="0"/>
        <w:kinsoku/>
        <w:wordWrap/>
        <w:overflowPunct/>
        <w:topLinePunct w:val="0"/>
        <w:autoSpaceDE/>
        <w:autoSpaceDN/>
        <w:bidi w:val="0"/>
        <w:adjustRightInd/>
        <w:snapToGrid/>
        <w:spacing w:before="0" w:after="0" w:line="240" w:lineRule="auto"/>
        <w:textAlignment w:val="auto"/>
        <w:rPr>
          <w:rFonts w:ascii="仿宋" w:hAnsi="仿宋" w:eastAsia="仿宋"/>
          <w:color w:val="auto"/>
          <w:highlight w:val="none"/>
        </w:rPr>
      </w:pPr>
      <w:r>
        <w:rPr>
          <w:rFonts w:hint="eastAsia" w:ascii="仿宋" w:hAnsi="仿宋" w:eastAsia="仿宋"/>
          <w:b w:val="0"/>
          <w:color w:val="auto"/>
          <w:highlight w:val="none"/>
        </w:rPr>
        <w:t>二、收</w:t>
      </w:r>
      <w:r>
        <w:rPr>
          <w:rStyle w:val="30"/>
          <w:rFonts w:hint="eastAsia" w:ascii="仿宋" w:hAnsi="仿宋" w:eastAsia="仿宋"/>
          <w:b w:val="0"/>
          <w:bCs w:val="0"/>
          <w:color w:val="auto"/>
          <w:highlight w:val="none"/>
        </w:rPr>
        <w:t>入决算表</w:t>
      </w:r>
    </w:p>
    <w:p>
      <w:pPr>
        <w:pStyle w:val="6"/>
        <w:keepNext/>
        <w:keepLines/>
        <w:pageBreakBefore w:val="0"/>
        <w:widowControl w:val="0"/>
        <w:kinsoku/>
        <w:wordWrap/>
        <w:overflowPunct/>
        <w:topLinePunct w:val="0"/>
        <w:autoSpaceDE/>
        <w:autoSpaceDN/>
        <w:bidi w:val="0"/>
        <w:adjustRightInd/>
        <w:snapToGrid/>
        <w:spacing w:before="0" w:after="0" w:line="240" w:lineRule="auto"/>
        <w:textAlignment w:val="auto"/>
        <w:rPr>
          <w:rFonts w:ascii="仿宋" w:hAnsi="仿宋" w:eastAsia="仿宋"/>
          <w:color w:val="auto"/>
          <w:highlight w:val="none"/>
        </w:rPr>
      </w:pPr>
      <w:r>
        <w:rPr>
          <w:rStyle w:val="30"/>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0"/>
          <w:rFonts w:hint="eastAsia" w:ascii="仿宋" w:hAnsi="仿宋" w:eastAsia="仿宋"/>
          <w:b w:val="0"/>
          <w:bCs w:val="0"/>
          <w:color w:val="auto"/>
          <w:highlight w:val="none"/>
        </w:rPr>
        <w:t>出决算表</w:t>
      </w:r>
    </w:p>
    <w:p>
      <w:pPr>
        <w:pStyle w:val="6"/>
        <w:keepNext/>
        <w:keepLines/>
        <w:pageBreakBefore w:val="0"/>
        <w:widowControl w:val="0"/>
        <w:kinsoku/>
        <w:wordWrap/>
        <w:overflowPunct/>
        <w:topLinePunct w:val="0"/>
        <w:autoSpaceDE/>
        <w:autoSpaceDN/>
        <w:bidi w:val="0"/>
        <w:adjustRightInd/>
        <w:snapToGrid/>
        <w:spacing w:before="0" w:after="0" w:line="240" w:lineRule="auto"/>
        <w:textAlignment w:val="auto"/>
        <w:rPr>
          <w:rFonts w:ascii="仿宋" w:hAnsi="仿宋" w:eastAsia="仿宋"/>
          <w:b w:val="0"/>
          <w:color w:val="auto"/>
          <w:highlight w:val="none"/>
        </w:rPr>
      </w:pPr>
      <w:r>
        <w:rPr>
          <w:rStyle w:val="30"/>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0"/>
          <w:rFonts w:hint="eastAsia" w:ascii="仿宋" w:hAnsi="仿宋" w:eastAsia="仿宋"/>
          <w:b w:val="0"/>
          <w:bCs w:val="0"/>
          <w:color w:val="auto"/>
          <w:highlight w:val="none"/>
        </w:rPr>
        <w:t>政拨款收入支出决算总表</w:t>
      </w:r>
    </w:p>
    <w:p>
      <w:pPr>
        <w:pStyle w:val="6"/>
        <w:keepNext/>
        <w:keepLines/>
        <w:pageBreakBefore w:val="0"/>
        <w:widowControl w:val="0"/>
        <w:kinsoku/>
        <w:wordWrap/>
        <w:overflowPunct/>
        <w:topLinePunct w:val="0"/>
        <w:autoSpaceDE/>
        <w:autoSpaceDN/>
        <w:bidi w:val="0"/>
        <w:adjustRightInd/>
        <w:snapToGrid/>
        <w:spacing w:before="0" w:after="0" w:line="240" w:lineRule="auto"/>
        <w:textAlignment w:val="auto"/>
        <w:rPr>
          <w:rStyle w:val="30"/>
          <w:rFonts w:ascii="仿宋" w:hAnsi="仿宋" w:eastAsia="仿宋"/>
          <w:b w:val="0"/>
          <w:bCs w:val="0"/>
          <w:color w:val="auto"/>
          <w:highlight w:val="none"/>
        </w:rPr>
      </w:pPr>
      <w:r>
        <w:rPr>
          <w:rStyle w:val="30"/>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0"/>
          <w:rFonts w:hint="eastAsia" w:ascii="仿宋" w:hAnsi="仿宋" w:eastAsia="仿宋"/>
          <w:b w:val="0"/>
          <w:bCs w:val="0"/>
          <w:color w:val="auto"/>
          <w:highlight w:val="none"/>
        </w:rPr>
        <w:t>政拨款支出决算明细表</w:t>
      </w:r>
    </w:p>
    <w:p>
      <w:pPr>
        <w:pStyle w:val="6"/>
        <w:keepNext/>
        <w:keepLines/>
        <w:pageBreakBefore w:val="0"/>
        <w:widowControl w:val="0"/>
        <w:kinsoku/>
        <w:wordWrap/>
        <w:overflowPunct/>
        <w:topLinePunct w:val="0"/>
        <w:autoSpaceDE/>
        <w:autoSpaceDN/>
        <w:bidi w:val="0"/>
        <w:adjustRightInd/>
        <w:snapToGrid/>
        <w:spacing w:before="0" w:after="0" w:line="240" w:lineRule="auto"/>
        <w:textAlignment w:val="auto"/>
        <w:rPr>
          <w:rFonts w:ascii="仿宋" w:hAnsi="仿宋" w:eastAsia="仿宋"/>
          <w:color w:val="auto"/>
          <w:highlight w:val="none"/>
        </w:rPr>
      </w:pPr>
      <w:r>
        <w:rPr>
          <w:rStyle w:val="30"/>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般公共预算财政拨款支出决算表</w:t>
      </w:r>
    </w:p>
    <w:p>
      <w:pPr>
        <w:pStyle w:val="6"/>
        <w:keepNext/>
        <w:keepLines/>
        <w:pageBreakBefore w:val="0"/>
        <w:widowControl w:val="0"/>
        <w:kinsoku/>
        <w:wordWrap/>
        <w:overflowPunct/>
        <w:topLinePunct w:val="0"/>
        <w:autoSpaceDE/>
        <w:autoSpaceDN/>
        <w:bidi w:val="0"/>
        <w:adjustRightInd/>
        <w:snapToGrid/>
        <w:spacing w:before="0" w:after="0" w:line="240" w:lineRule="auto"/>
        <w:textAlignment w:val="auto"/>
        <w:rPr>
          <w:rFonts w:ascii="仿宋" w:hAnsi="仿宋" w:eastAsia="仿宋"/>
          <w:color w:val="auto"/>
          <w:highlight w:val="none"/>
        </w:rPr>
      </w:pPr>
      <w:r>
        <w:rPr>
          <w:rStyle w:val="30"/>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般公共预算财政拨款支出决算明细表</w:t>
      </w:r>
    </w:p>
    <w:p>
      <w:pPr>
        <w:pStyle w:val="6"/>
        <w:keepNext/>
        <w:keepLines/>
        <w:pageBreakBefore w:val="0"/>
        <w:widowControl w:val="0"/>
        <w:kinsoku/>
        <w:wordWrap/>
        <w:overflowPunct/>
        <w:topLinePunct w:val="0"/>
        <w:autoSpaceDE/>
        <w:autoSpaceDN/>
        <w:bidi w:val="0"/>
        <w:adjustRightInd/>
        <w:snapToGrid/>
        <w:spacing w:before="0" w:after="0" w:line="240" w:lineRule="auto"/>
        <w:textAlignment w:val="auto"/>
        <w:rPr>
          <w:rFonts w:ascii="仿宋" w:hAnsi="仿宋" w:eastAsia="仿宋"/>
          <w:color w:val="auto"/>
          <w:highlight w:val="none"/>
        </w:rPr>
      </w:pPr>
      <w:r>
        <w:rPr>
          <w:rStyle w:val="30"/>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般公共预算财政拨款基本支出决算表</w:t>
      </w:r>
    </w:p>
    <w:p>
      <w:pPr>
        <w:pStyle w:val="6"/>
        <w:keepNext/>
        <w:keepLines/>
        <w:pageBreakBefore w:val="0"/>
        <w:widowControl w:val="0"/>
        <w:kinsoku/>
        <w:wordWrap/>
        <w:overflowPunct/>
        <w:topLinePunct w:val="0"/>
        <w:autoSpaceDE/>
        <w:autoSpaceDN/>
        <w:bidi w:val="0"/>
        <w:adjustRightInd/>
        <w:snapToGrid/>
        <w:spacing w:before="0" w:after="0" w:line="240" w:lineRule="auto"/>
        <w:textAlignment w:val="auto"/>
        <w:rPr>
          <w:rFonts w:ascii="仿宋" w:hAnsi="仿宋" w:eastAsia="仿宋"/>
          <w:color w:val="auto"/>
          <w:highlight w:val="none"/>
        </w:rPr>
      </w:pPr>
      <w:r>
        <w:rPr>
          <w:rStyle w:val="30"/>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般公共预算财政拨款项目支出决算表</w:t>
      </w:r>
    </w:p>
    <w:p>
      <w:pPr>
        <w:pStyle w:val="6"/>
        <w:keepNext/>
        <w:keepLines/>
        <w:pageBreakBefore w:val="0"/>
        <w:widowControl w:val="0"/>
        <w:kinsoku/>
        <w:wordWrap/>
        <w:overflowPunct/>
        <w:topLinePunct w:val="0"/>
        <w:autoSpaceDE/>
        <w:autoSpaceDN/>
        <w:bidi w:val="0"/>
        <w:adjustRightInd/>
        <w:snapToGrid/>
        <w:spacing w:before="0" w:after="0" w:line="240" w:lineRule="auto"/>
        <w:textAlignment w:val="auto"/>
        <w:rPr>
          <w:rFonts w:ascii="仿宋" w:hAnsi="仿宋" w:eastAsia="仿宋"/>
          <w:color w:val="auto"/>
          <w:highlight w:val="none"/>
        </w:rPr>
      </w:pPr>
      <w:r>
        <w:rPr>
          <w:rStyle w:val="30"/>
          <w:rFonts w:hint="eastAsia" w:ascii="仿宋" w:hAnsi="仿宋" w:eastAsia="仿宋"/>
          <w:b w:val="0"/>
          <w:bCs w:val="0"/>
          <w:color w:val="auto"/>
          <w:highlight w:val="none"/>
        </w:rPr>
        <w:t>十、</w:t>
      </w:r>
      <w:r>
        <w:rPr>
          <w:rFonts w:hint="eastAsia" w:ascii="仿宋" w:hAnsi="仿宋" w:eastAsia="仿宋"/>
          <w:b w:val="0"/>
          <w:color w:val="auto"/>
          <w:highlight w:val="none"/>
        </w:rPr>
        <w:t>政</w:t>
      </w:r>
      <w:r>
        <w:rPr>
          <w:rStyle w:val="30"/>
          <w:rFonts w:hint="eastAsia" w:ascii="仿宋" w:hAnsi="仿宋" w:eastAsia="仿宋"/>
          <w:b w:val="0"/>
          <w:bCs w:val="0"/>
          <w:color w:val="auto"/>
          <w:highlight w:val="none"/>
        </w:rPr>
        <w:t>府性基金预算财政拨款收入支出决算表</w:t>
      </w:r>
    </w:p>
    <w:p>
      <w:pPr>
        <w:pStyle w:val="6"/>
        <w:keepNext/>
        <w:keepLines/>
        <w:pageBreakBefore w:val="0"/>
        <w:widowControl w:val="0"/>
        <w:kinsoku/>
        <w:wordWrap/>
        <w:overflowPunct/>
        <w:topLinePunct w:val="0"/>
        <w:autoSpaceDE/>
        <w:autoSpaceDN/>
        <w:bidi w:val="0"/>
        <w:adjustRightInd/>
        <w:snapToGrid/>
        <w:spacing w:before="0" w:after="0" w:line="240" w:lineRule="auto"/>
        <w:textAlignment w:val="auto"/>
        <w:rPr>
          <w:rFonts w:ascii="仿宋" w:hAnsi="仿宋" w:eastAsia="仿宋"/>
          <w:color w:val="auto"/>
          <w:highlight w:val="none"/>
        </w:rPr>
      </w:pPr>
      <w:r>
        <w:rPr>
          <w:rStyle w:val="30"/>
          <w:rFonts w:hint="eastAsia" w:ascii="仿宋" w:hAnsi="仿宋" w:eastAsia="仿宋"/>
          <w:b w:val="0"/>
          <w:bCs w:val="0"/>
          <w:color w:val="auto"/>
          <w:highlight w:val="none"/>
        </w:rPr>
        <w:t>十一、</w:t>
      </w:r>
      <w:r>
        <w:rPr>
          <w:rFonts w:hint="eastAsia" w:ascii="仿宋" w:hAnsi="仿宋" w:eastAsia="仿宋"/>
          <w:b w:val="0"/>
          <w:color w:val="auto"/>
          <w:highlight w:val="none"/>
        </w:rPr>
        <w:t>国</w:t>
      </w:r>
      <w:r>
        <w:rPr>
          <w:rStyle w:val="30"/>
          <w:rFonts w:hint="eastAsia" w:ascii="仿宋" w:hAnsi="仿宋" w:eastAsia="仿宋"/>
          <w:b w:val="0"/>
          <w:bCs w:val="0"/>
          <w:color w:val="auto"/>
          <w:highlight w:val="none"/>
        </w:rPr>
        <w:t>有资本经营预算</w:t>
      </w:r>
      <w:r>
        <w:rPr>
          <w:rStyle w:val="30"/>
          <w:rFonts w:hint="eastAsia" w:ascii="仿宋" w:hAnsi="仿宋" w:eastAsia="仿宋"/>
          <w:b w:val="0"/>
          <w:bCs w:val="0"/>
          <w:color w:val="auto"/>
          <w:highlight w:val="none"/>
          <w:lang w:eastAsia="zh-CN"/>
        </w:rPr>
        <w:t>财政拨款收入</w:t>
      </w:r>
      <w:r>
        <w:rPr>
          <w:rStyle w:val="30"/>
          <w:rFonts w:hint="eastAsia" w:ascii="仿宋" w:hAnsi="仿宋" w:eastAsia="仿宋"/>
          <w:b w:val="0"/>
          <w:bCs w:val="0"/>
          <w:color w:val="auto"/>
          <w:highlight w:val="none"/>
        </w:rPr>
        <w:t>支出决算表</w:t>
      </w:r>
    </w:p>
    <w:p>
      <w:pPr>
        <w:pStyle w:val="6"/>
        <w:keepNext/>
        <w:keepLines/>
        <w:pageBreakBefore w:val="0"/>
        <w:widowControl w:val="0"/>
        <w:kinsoku/>
        <w:wordWrap/>
        <w:overflowPunct/>
        <w:topLinePunct w:val="0"/>
        <w:autoSpaceDE/>
        <w:autoSpaceDN/>
        <w:bidi w:val="0"/>
        <w:adjustRightInd/>
        <w:snapToGrid/>
        <w:spacing w:before="0" w:after="0" w:line="240" w:lineRule="auto"/>
        <w:textAlignment w:val="auto"/>
        <w:rPr>
          <w:rFonts w:ascii="仿宋" w:hAnsi="仿宋" w:eastAsia="仿宋"/>
          <w:color w:val="auto"/>
          <w:highlight w:val="none"/>
        </w:rPr>
      </w:pPr>
      <w:r>
        <w:rPr>
          <w:rStyle w:val="30"/>
          <w:rFonts w:hint="eastAsia" w:ascii="仿宋" w:hAnsi="仿宋" w:eastAsia="仿宋"/>
          <w:b w:val="0"/>
          <w:bCs w:val="0"/>
          <w:color w:val="auto"/>
          <w:highlight w:val="none"/>
        </w:rPr>
        <w:t>十二、</w:t>
      </w:r>
      <w:r>
        <w:rPr>
          <w:rStyle w:val="30"/>
          <w:rFonts w:hint="eastAsia" w:ascii="仿宋" w:hAnsi="仿宋" w:eastAsia="仿宋"/>
          <w:b w:val="0"/>
          <w:bCs w:val="0"/>
          <w:color w:val="auto"/>
          <w:highlight w:val="none"/>
          <w:lang w:eastAsia="zh-CN"/>
        </w:rPr>
        <w:t>国有资本经营预算财政拨款支出决算表</w:t>
      </w:r>
    </w:p>
    <w:p>
      <w:pPr>
        <w:pStyle w:val="6"/>
        <w:keepNext/>
        <w:keepLines/>
        <w:pageBreakBefore w:val="0"/>
        <w:widowControl w:val="0"/>
        <w:kinsoku/>
        <w:wordWrap/>
        <w:overflowPunct/>
        <w:topLinePunct w:val="0"/>
        <w:autoSpaceDE/>
        <w:autoSpaceDN/>
        <w:bidi w:val="0"/>
        <w:adjustRightInd/>
        <w:snapToGrid/>
        <w:spacing w:before="0" w:after="0" w:line="240" w:lineRule="auto"/>
        <w:textAlignment w:val="auto"/>
        <w:rPr>
          <w:rStyle w:val="30"/>
          <w:rFonts w:hint="eastAsia" w:ascii="仿宋" w:hAnsi="仿宋" w:eastAsia="仿宋"/>
          <w:b w:val="0"/>
          <w:bCs w:val="0"/>
          <w:color w:val="auto"/>
          <w:highlight w:val="none"/>
          <w:lang w:eastAsia="zh-CN"/>
        </w:rPr>
      </w:pPr>
      <w:r>
        <w:rPr>
          <w:rStyle w:val="30"/>
          <w:rFonts w:hint="eastAsia" w:ascii="仿宋" w:hAnsi="仿宋" w:eastAsia="仿宋"/>
          <w:b w:val="0"/>
          <w:bCs w:val="0"/>
          <w:color w:val="auto"/>
          <w:highlight w:val="none"/>
        </w:rPr>
        <w:t>十三、</w:t>
      </w:r>
      <w:r>
        <w:rPr>
          <w:rStyle w:val="30"/>
          <w:rFonts w:hint="eastAsia" w:ascii="仿宋" w:hAnsi="仿宋" w:eastAsia="仿宋"/>
          <w:b w:val="0"/>
          <w:bCs w:val="0"/>
          <w:color w:val="auto"/>
          <w:highlight w:val="none"/>
          <w:lang w:eastAsia="zh-CN"/>
        </w:rPr>
        <w:t>财政拨款“三公”经费支出决算表</w:t>
      </w:r>
    </w:p>
    <w:p/>
    <w:p>
      <w:pPr>
        <w:pStyle w:val="8"/>
        <w:rPr>
          <w:rFonts w:hint="eastAsia" w:ascii="Times New Roman" w:hAnsi="Times New Roman" w:cs="宋体"/>
          <w:color w:val="FF0000"/>
          <w:kern w:val="0"/>
          <w:sz w:val="32"/>
          <w:szCs w:val="32"/>
          <w:highlight w:val="yellow"/>
          <w:shd w:val="clear" w:color="auto" w:fill="FFFFFF"/>
          <w:lang w:val="zh-CN"/>
        </w:rPr>
      </w:pPr>
    </w:p>
    <w:bookmarkEnd w:id="24"/>
    <w:p>
      <w:pPr>
        <w:rPr>
          <w:rFonts w:hint="eastAsia" w:ascii="Times New Roman" w:hAnsi="Times New Roman" w:eastAsia="仿宋_GB2312" w:cs="仿宋_GB2312"/>
          <w:color w:val="auto"/>
          <w:sz w:val="32"/>
          <w:szCs w:val="32"/>
          <w:highlight w:val="none"/>
          <w:lang w:eastAsia="zh-CN"/>
        </w:rPr>
      </w:pPr>
    </w:p>
    <w:p>
      <w:pPr>
        <w:rPr>
          <w:rFonts w:hint="eastAsia" w:ascii="Times New Roman" w:hAnsi="Times New Roman"/>
          <w:lang w:eastAsia="zh-CN"/>
        </w:rPr>
      </w:pPr>
    </w:p>
    <w:sectPr>
      <w:footerReference r:id="rId11" w:type="first"/>
      <w:headerReference r:id="rId9" w:type="default"/>
      <w:footerReference r:id="rId10"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2010601030101010101"/>
    <w:charset w:val="86"/>
    <w:family w:val="script"/>
    <w:pitch w:val="default"/>
    <w:sig w:usb0="00000000" w:usb1="00000000" w:usb2="00000000" w:usb3="00000000" w:csb0="00040000" w:csb1="00000000"/>
  </w:font>
  <w:font w:name="华文中宋">
    <w:altName w:val="宋体"/>
    <w:panose1 w:val="02010600040101010101"/>
    <w:charset w:val="00"/>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jc w:val="center"/>
                          </w:pPr>
                          <w:r>
                            <w:fldChar w:fldCharType="begin"/>
                          </w:r>
                          <w:r>
                            <w:instrText xml:space="preserve">PAGE   \* MERGEFORMAT</w:instrText>
                          </w:r>
                          <w:r>
                            <w:fldChar w:fldCharType="separate"/>
                          </w:r>
                          <w:r>
                            <w:rPr>
                              <w:lang w:val="zh-CN"/>
                            </w:rPr>
                            <w:t>15</w:t>
                          </w:r>
                          <w:r>
                            <w:fldChar w:fldCharType="end"/>
                          </w: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12"/>
                      <w:jc w:val="center"/>
                    </w:pPr>
                    <w:r>
                      <w:fldChar w:fldCharType="begin"/>
                    </w:r>
                    <w:r>
                      <w:instrText xml:space="preserve">PAGE   \* MERGEFORMAT</w:instrText>
                    </w:r>
                    <w:r>
                      <w:fldChar w:fldCharType="separate"/>
                    </w:r>
                    <w:r>
                      <w:rPr>
                        <w:lang w:val="zh-CN"/>
                      </w:rPr>
                      <w:t>15</w:t>
                    </w:r>
                    <w:r>
                      <w:fldChar w:fldCharType="end"/>
                    </w:r>
                  </w:p>
                  <w:p/>
                </w:txbxContent>
              </v:textbox>
            </v:shape>
          </w:pict>
        </mc:Fallback>
      </mc:AlternateContent>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jc w:val="center"/>
                          </w:pPr>
                          <w:r>
                            <w:fldChar w:fldCharType="begin"/>
                          </w:r>
                          <w:r>
                            <w:instrText xml:space="preserve">PAGE   \* MERGEFORMAT</w:instrText>
                          </w:r>
                          <w:r>
                            <w:fldChar w:fldCharType="separate"/>
                          </w:r>
                          <w:r>
                            <w:rPr>
                              <w:lang w:val="zh-CN"/>
                            </w:rPr>
                            <w:t>15</w:t>
                          </w:r>
                          <w:r>
                            <w:fldChar w:fldCharType="end"/>
                          </w: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pPr>
                      <w:pStyle w:val="12"/>
                      <w:jc w:val="center"/>
                    </w:pPr>
                    <w:r>
                      <w:fldChar w:fldCharType="begin"/>
                    </w:r>
                    <w:r>
                      <w:instrText xml:space="preserve">PAGE   \* MERGEFORMAT</w:instrText>
                    </w:r>
                    <w:r>
                      <w:fldChar w:fldCharType="separate"/>
                    </w:r>
                    <w:r>
                      <w:rPr>
                        <w:lang w:val="zh-CN"/>
                      </w:rPr>
                      <w:t>15</w:t>
                    </w:r>
                    <w:r>
                      <w:fldChar w:fldCharType="end"/>
                    </w:r>
                  </w:p>
                  <w:p/>
                </w:txbxContent>
              </v:textbox>
            </v:shape>
          </w:pict>
        </mc:Fallback>
      </mc:AlternateContent>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8C8E44"/>
    <w:multiLevelType w:val="singleLevel"/>
    <w:tmpl w:val="8E8C8E44"/>
    <w:lvl w:ilvl="0" w:tentative="0">
      <w:start w:val="11"/>
      <w:numFmt w:val="decimal"/>
      <w:suff w:val="nothing"/>
      <w:lvlText w:val="%1、"/>
      <w:lvlJc w:val="left"/>
    </w:lvl>
  </w:abstractNum>
  <w:abstractNum w:abstractNumId="1">
    <w:nsid w:val="AAF570EF"/>
    <w:multiLevelType w:val="singleLevel"/>
    <w:tmpl w:val="AAF570EF"/>
    <w:lvl w:ilvl="0" w:tentative="0">
      <w:start w:val="2"/>
      <w:numFmt w:val="chineseCounting"/>
      <w:suff w:val="nothing"/>
      <w:lvlText w:val="（%1）"/>
      <w:lvlJc w:val="left"/>
      <w:rPr>
        <w:rFonts w:hint="eastAsia"/>
      </w:rPr>
    </w:lvl>
  </w:abstractNum>
  <w:abstractNum w:abstractNumId="2">
    <w:nsid w:val="D02CB169"/>
    <w:multiLevelType w:val="singleLevel"/>
    <w:tmpl w:val="D02CB169"/>
    <w:lvl w:ilvl="0" w:tentative="0">
      <w:start w:val="1"/>
      <w:numFmt w:val="decimal"/>
      <w:lvlText w:val="%1."/>
      <w:lvlJc w:val="left"/>
      <w:pPr>
        <w:tabs>
          <w:tab w:val="left" w:pos="312"/>
        </w:tabs>
      </w:pPr>
    </w:lvl>
  </w:abstractNum>
  <w:abstractNum w:abstractNumId="3">
    <w:nsid w:val="F6ABF686"/>
    <w:multiLevelType w:val="singleLevel"/>
    <w:tmpl w:val="F6ABF686"/>
    <w:lvl w:ilvl="0" w:tentative="0">
      <w:start w:val="1"/>
      <w:numFmt w:val="chineseCounting"/>
      <w:suff w:val="nothing"/>
      <w:lvlText w:val="（%1）"/>
      <w:lvlJc w:val="left"/>
      <w:rPr>
        <w:rFonts w:hint="eastAsia"/>
      </w:rPr>
    </w:lvl>
  </w:abstractNum>
  <w:abstractNum w:abstractNumId="4">
    <w:nsid w:val="5D7E8438"/>
    <w:multiLevelType w:val="singleLevel"/>
    <w:tmpl w:val="5D7E8438"/>
    <w:lvl w:ilvl="0" w:tentative="0">
      <w:start w:val="6"/>
      <w:numFmt w:val="chineseCounting"/>
      <w:suff w:val="nothing"/>
      <w:lvlText w:val="%1、"/>
      <w:lvlJc w:val="left"/>
      <w:rPr>
        <w:rFonts w:hint="eastAsia"/>
        <w:b/>
        <w:bCs/>
      </w:rPr>
    </w:lvl>
  </w:abstractNum>
  <w:abstractNum w:abstractNumId="5">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abstractNum w:abstractNumId="6">
    <w:nsid w:val="7FB6637C"/>
    <w:multiLevelType w:val="singleLevel"/>
    <w:tmpl w:val="7FB6637C"/>
    <w:lvl w:ilvl="0" w:tentative="0">
      <w:start w:val="1"/>
      <w:numFmt w:val="chineseCounting"/>
      <w:suff w:val="nothing"/>
      <w:lvlText w:val="（%1）"/>
      <w:lvlJc w:val="left"/>
      <w:rPr>
        <w:rFonts w:hint="eastAsia"/>
      </w:rPr>
    </w:lvl>
  </w:abstractNum>
  <w:num w:numId="1">
    <w:abstractNumId w:val="5"/>
  </w:num>
  <w:num w:numId="2">
    <w:abstractNumId w:val="4"/>
  </w:num>
  <w:num w:numId="3">
    <w:abstractNumId w:val="3"/>
  </w:num>
  <w:num w:numId="4">
    <w:abstractNumId w:val="6"/>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7E427B2"/>
    <w:rsid w:val="0939146E"/>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5E33EE6"/>
    <w:rsid w:val="165E0673"/>
    <w:rsid w:val="16B831D5"/>
    <w:rsid w:val="16BB723D"/>
    <w:rsid w:val="17E50567"/>
    <w:rsid w:val="186504BB"/>
    <w:rsid w:val="19033B41"/>
    <w:rsid w:val="19A445FC"/>
    <w:rsid w:val="1BE8440E"/>
    <w:rsid w:val="1D155CEE"/>
    <w:rsid w:val="1D1638FE"/>
    <w:rsid w:val="1E312DEB"/>
    <w:rsid w:val="1E740ACF"/>
    <w:rsid w:val="1FB438D5"/>
    <w:rsid w:val="1FF35744"/>
    <w:rsid w:val="1FF6BC77"/>
    <w:rsid w:val="2186353C"/>
    <w:rsid w:val="23860B96"/>
    <w:rsid w:val="240371BF"/>
    <w:rsid w:val="244F3473"/>
    <w:rsid w:val="24C97D99"/>
    <w:rsid w:val="25A718F0"/>
    <w:rsid w:val="25BB59F6"/>
    <w:rsid w:val="260F557C"/>
    <w:rsid w:val="26970054"/>
    <w:rsid w:val="281408E2"/>
    <w:rsid w:val="29FD04D3"/>
    <w:rsid w:val="2A7C1F82"/>
    <w:rsid w:val="2BE97B86"/>
    <w:rsid w:val="2BFF7BC6"/>
    <w:rsid w:val="2C8A61B5"/>
    <w:rsid w:val="2DC773DC"/>
    <w:rsid w:val="2DF04E50"/>
    <w:rsid w:val="2E586DFA"/>
    <w:rsid w:val="2F040D46"/>
    <w:rsid w:val="2F6B035B"/>
    <w:rsid w:val="2FAE5751"/>
    <w:rsid w:val="2FB1A395"/>
    <w:rsid w:val="2FD9A7D8"/>
    <w:rsid w:val="2FDBF714"/>
    <w:rsid w:val="30AB6865"/>
    <w:rsid w:val="3175067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02255D"/>
    <w:rsid w:val="3AB79AF3"/>
    <w:rsid w:val="3AE834C0"/>
    <w:rsid w:val="3B7EF35A"/>
    <w:rsid w:val="3B9FDB6C"/>
    <w:rsid w:val="3BF5BC2F"/>
    <w:rsid w:val="3C4C3ABE"/>
    <w:rsid w:val="3CEBA265"/>
    <w:rsid w:val="3D98207C"/>
    <w:rsid w:val="3DEE7CF3"/>
    <w:rsid w:val="3E740A63"/>
    <w:rsid w:val="3E78745D"/>
    <w:rsid w:val="3EE17838"/>
    <w:rsid w:val="3F55381A"/>
    <w:rsid w:val="3F7F7599"/>
    <w:rsid w:val="3FF4CAE0"/>
    <w:rsid w:val="3FF7B227"/>
    <w:rsid w:val="40852363"/>
    <w:rsid w:val="44E268DA"/>
    <w:rsid w:val="450D13D7"/>
    <w:rsid w:val="45506656"/>
    <w:rsid w:val="471272CE"/>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2C27F9"/>
    <w:rsid w:val="5BDD79E6"/>
    <w:rsid w:val="5BF561CA"/>
    <w:rsid w:val="5BFF5DFC"/>
    <w:rsid w:val="5CD71FC4"/>
    <w:rsid w:val="5D1F11B5"/>
    <w:rsid w:val="5D695134"/>
    <w:rsid w:val="5DAE1B18"/>
    <w:rsid w:val="5DE7D9E5"/>
    <w:rsid w:val="5ECEC941"/>
    <w:rsid w:val="5FBF9FF3"/>
    <w:rsid w:val="5FCD4E2C"/>
    <w:rsid w:val="5FEF394A"/>
    <w:rsid w:val="5FF67715"/>
    <w:rsid w:val="61446B4C"/>
    <w:rsid w:val="615800BD"/>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C87A4B"/>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7"/>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Body Text"/>
    <w:basedOn w:val="1"/>
    <w:next w:val="9"/>
    <w:link w:val="26"/>
    <w:qFormat/>
    <w:uiPriority w:val="99"/>
    <w:pPr>
      <w:spacing w:beforeLines="30"/>
    </w:pPr>
    <w:rPr>
      <w:rFonts w:ascii="仿宋_GB2312" w:eastAsia="仿宋_GB2312"/>
      <w:kern w:val="0"/>
      <w:sz w:val="30"/>
    </w:rPr>
  </w:style>
  <w:style w:type="paragraph" w:styleId="9">
    <w:name w:val="Body Text First Indent"/>
    <w:basedOn w:val="8"/>
    <w:qFormat/>
    <w:uiPriority w:val="99"/>
    <w:pPr>
      <w:ind w:firstLine="420" w:firstLineChars="100"/>
    </w:pPr>
    <w:rPr>
      <w:rFonts w:ascii="Times New Roman" w:hAnsi="Times New Roman"/>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2"/>
    <w:semiHidden/>
    <w:unhideWhenUsed/>
    <w:qFormat/>
    <w:uiPriority w:val="99"/>
    <w:rPr>
      <w:sz w:val="18"/>
      <w:szCs w:val="18"/>
    </w:rPr>
  </w:style>
  <w:style w:type="paragraph" w:styleId="12">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3"/>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2"/>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8"/>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5"/>
    <w:qFormat/>
    <w:uiPriority w:val="9"/>
    <w:rPr>
      <w:rFonts w:ascii="Times New Roman" w:hAnsi="Times New Roman"/>
      <w:b/>
      <w:bCs/>
      <w:kern w:val="44"/>
      <w:sz w:val="44"/>
      <w:szCs w:val="44"/>
    </w:rPr>
  </w:style>
  <w:style w:type="character" w:customStyle="1" w:styleId="30">
    <w:name w:val="标题 2 Char"/>
    <w:basedOn w:val="17"/>
    <w:link w:val="6"/>
    <w:qFormat/>
    <w:uiPriority w:val="9"/>
    <w:rPr>
      <w:rFonts w:asciiTheme="majorHAnsi" w:hAnsiTheme="majorHAnsi" w:eastAsiaTheme="majorEastAsia" w:cstheme="majorBidi"/>
      <w:b/>
      <w:bCs/>
      <w:kern w:val="2"/>
      <w:sz w:val="32"/>
      <w:szCs w:val="32"/>
    </w:rPr>
  </w:style>
  <w:style w:type="paragraph" w:customStyle="1" w:styleId="31">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1"/>
    <w:semiHidden/>
    <w:qFormat/>
    <w:uiPriority w:val="99"/>
    <w:rPr>
      <w:rFonts w:ascii="Times New Roman" w:hAnsi="Times New Roman"/>
      <w:kern w:val="2"/>
      <w:sz w:val="18"/>
      <w:szCs w:val="18"/>
    </w:rPr>
  </w:style>
  <w:style w:type="character" w:customStyle="1" w:styleId="33">
    <w:name w:val="标题 3 Char"/>
    <w:basedOn w:val="17"/>
    <w:link w:val="7"/>
    <w:qFormat/>
    <w:uiPriority w:val="9"/>
    <w:rPr>
      <w:rFonts w:ascii="Times New Roman" w:hAnsi="Times New Roman"/>
      <w:b/>
      <w:bCs/>
      <w:kern w:val="2"/>
      <w:sz w:val="32"/>
      <w:szCs w:val="32"/>
    </w:rPr>
  </w:style>
  <w:style w:type="paragraph" w:customStyle="1" w:styleId="34">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6">
    <w:name w:val="标题 2 字符"/>
    <w:basedOn w:val="17"/>
    <w:link w:val="6"/>
    <w:qFormat/>
    <w:uiPriority w:val="9"/>
    <w:rPr>
      <w:rFonts w:asciiTheme="majorHAnsi" w:hAnsiTheme="majorHAnsi" w:eastAsiaTheme="majorEastAsia" w:cstheme="majorBidi"/>
      <w:b/>
      <w:bCs/>
      <w:kern w:val="2"/>
      <w:sz w:val="32"/>
      <w:szCs w:val="32"/>
    </w:rPr>
  </w:style>
  <w:style w:type="character" w:customStyle="1" w:styleId="37">
    <w:name w:val="标题 1 字符"/>
    <w:basedOn w:val="17"/>
    <w:link w:val="5"/>
    <w:qFormat/>
    <w:uiPriority w:val="9"/>
    <w:rPr>
      <w:rFonts w:ascii="Times New Roman" w:hAnsi="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chart" Target="charts/chart7.xml"/><Relationship Id="rId18" Type="http://schemas.openxmlformats.org/officeDocument/2006/relationships/chart" Target="charts/chart6.xml"/><Relationship Id="rId17" Type="http://schemas.openxmlformats.org/officeDocument/2006/relationships/chart" Target="charts/chart5.xml"/><Relationship Id="rId16" Type="http://schemas.openxmlformats.org/officeDocument/2006/relationships/chart" Target="charts/chart4.xml"/><Relationship Id="rId15" Type="http://schemas.openxmlformats.org/officeDocument/2006/relationships/chart" Target="charts/chart3.xml"/><Relationship Id="rId14" Type="http://schemas.openxmlformats.org/officeDocument/2006/relationships/chart" Target="charts/chart2.xml"/><Relationship Id="rId13" Type="http://schemas.openxmlformats.org/officeDocument/2006/relationships/chart" Target="charts/chart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9579;&#23431;2001.10.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9579;&#23431;2001.10.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9579;&#23431;2001.1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9579;&#23431;2001.10.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9579;&#23431;2001.10.xls"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9579;&#23431;2001.10.xls"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37329;&#21475;&#27827;&#21069;&#26399;&#24037;&#20316;&#32463;&#36153;&#25903;&#20986;&#32479;&#35745;&#34920;9.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plotArea>
      <c:layout/>
      <c:barChart>
        <c:barDir val="col"/>
        <c:grouping val="clustered"/>
        <c:varyColors val="0"/>
        <c:ser>
          <c:idx val="0"/>
          <c:order val="0"/>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prstDash val="solid"/>
                      <a:round/>
                    </a:ln>
                    <a:effectLst/>
                  </c:spPr>
                </c15:leaderLines>
              </c:ext>
            </c:extLst>
          </c:dLbls>
          <c:cat>
            <c:strRef>
              <c:f>[王宇2001.10.xls]Sheet4!$C$8:$D$8</c:f>
              <c:strCache>
                <c:ptCount val="2"/>
                <c:pt idx="0">
                  <c:v>2024年</c:v>
                </c:pt>
                <c:pt idx="1">
                  <c:v>2023年</c:v>
                </c:pt>
              </c:strCache>
            </c:strRef>
          </c:cat>
          <c:val>
            <c:numRef>
              <c:f>[王宇2001.10.xls]Sheet4!$C$9:$D$9</c:f>
              <c:numCache>
                <c:formatCode>General</c:formatCode>
                <c:ptCount val="2"/>
                <c:pt idx="0">
                  <c:v>156.44</c:v>
                </c:pt>
                <c:pt idx="1">
                  <c:v>185.5</c:v>
                </c:pt>
              </c:numCache>
            </c:numRef>
          </c:val>
        </c:ser>
        <c:dLbls>
          <c:showLegendKey val="0"/>
          <c:showVal val="1"/>
          <c:showCatName val="0"/>
          <c:showSerName val="0"/>
          <c:showPercent val="0"/>
          <c:showBubbleSize val="0"/>
        </c:dLbls>
        <c:gapWidth val="219"/>
        <c:overlap val="-27"/>
        <c:axId val="533180918"/>
        <c:axId val="340479816"/>
      </c:barChart>
      <c:catAx>
        <c:axId val="533180918"/>
        <c:scaling>
          <c:orientation val="minMax"/>
        </c:scaling>
        <c:delete val="0"/>
        <c:axPos val="b"/>
        <c:majorTickMark val="none"/>
        <c:minorTickMark val="none"/>
        <c:tickLblPos val="nextTo"/>
        <c:spPr>
          <a:noFill/>
          <a:ln w="9525" cap="flat" cmpd="sng" algn="ctr">
            <a:solidFill>
              <a:srgbClr val="D9D9D9">
                <a:lumMod val="15000"/>
                <a:lumOff val="85000"/>
              </a:srgbClr>
            </a:solid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340479816"/>
        <c:crosses val="autoZero"/>
        <c:auto val="1"/>
        <c:lblAlgn val="ctr"/>
        <c:lblOffset val="100"/>
        <c:noMultiLvlLbl val="0"/>
      </c:catAx>
      <c:valAx>
        <c:axId val="340479816"/>
        <c:scaling>
          <c:orientation val="minMax"/>
        </c:scaling>
        <c:delete val="0"/>
        <c:axPos val="l"/>
        <c:majorGridlines>
          <c:spPr>
            <a:ln w="9525" cap="flat" cmpd="sng" algn="ctr">
              <a:solidFill>
                <a:srgbClr val="D9D9D9">
                  <a:lumMod val="15000"/>
                  <a:lumOff val="85000"/>
                </a:srgb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533180918"/>
        <c:crosses val="autoZero"/>
        <c:crossBetween val="between"/>
      </c:valAx>
      <c:spPr>
        <a:noFill/>
        <a:ln>
          <a:noFill/>
        </a:ln>
        <a:effectLst/>
      </c:spPr>
    </c:plotArea>
    <c:plotVisOnly val="1"/>
    <c:dispBlanksAs val="gap"/>
    <c:showDLblsOverMax val="0"/>
  </c:chart>
  <c:spPr>
    <a:solidFill>
      <a:srgbClr val="FFFFFF"/>
    </a:solidFill>
    <a:ln w="9525" cap="flat" cmpd="sng" algn="ctr">
      <a:solidFill>
        <a:srgbClr val="D9D9D9">
          <a:lumMod val="15000"/>
          <a:lumOff val="85000"/>
        </a:srgb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p>
          <a:p>
            <a:pPr defTabSz="914400">
              <a:defRPr lang="zh-CN" sz="1400" b="0" i="0" u="none" strike="noStrike" kern="1200" spc="0" baseline="0">
                <a:solidFill>
                  <a:srgbClr val="595959">
                    <a:lumMod val="65000"/>
                    <a:lumOff val="35000"/>
                  </a:srgbClr>
                </a:solidFill>
                <a:latin typeface="+mn-lt"/>
                <a:ea typeface="+mn-ea"/>
                <a:cs typeface="+mn-cs"/>
              </a:defRPr>
            </a:pPr>
          </a:p>
        </c:rich>
      </c:tx>
      <c:layout/>
      <c:overlay val="0"/>
      <c:spPr>
        <a:noFill/>
        <a:ln>
          <a:noFill/>
        </a:ln>
        <a:effectLst/>
      </c:spPr>
    </c:title>
    <c:autoTitleDeleted val="0"/>
    <c:plotArea>
      <c:layout/>
      <c:pieChart>
        <c:varyColors val="1"/>
        <c:ser>
          <c:idx val="0"/>
          <c:order val="0"/>
          <c:spPr/>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[王宇2001.10.xls]Sheet4!$C$3:$D$3</c:f>
              <c:strCache>
                <c:ptCount val="2"/>
                <c:pt idx="0">
                  <c:v>一般公共预算财政拨款收入</c:v>
                </c:pt>
                <c:pt idx="1">
                  <c:v>其他收入</c:v>
                </c:pt>
              </c:strCache>
            </c:strRef>
          </c:cat>
          <c:val>
            <c:numRef>
              <c:f>[王宇2001.10.xls]Sheet4!$C$4:$D$4</c:f>
              <c:numCache>
                <c:formatCode>General</c:formatCode>
                <c:ptCount val="2"/>
                <c:pt idx="0">
                  <c:v>156.31</c:v>
                </c:pt>
                <c:pt idx="1">
                  <c:v>0.04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[王宇2001.10.xls]Sheet4!$C$3:$D$3</c:f>
              <c:strCache>
                <c:ptCount val="2"/>
                <c:pt idx="0">
                  <c:v>基本支出</c:v>
                </c:pt>
                <c:pt idx="1">
                  <c:v>项目支出</c:v>
                </c:pt>
              </c:strCache>
            </c:strRef>
          </c:cat>
          <c:val>
            <c:numRef>
              <c:f>[王宇2001.10.xls]Sheet4!$C$4:$D$4</c:f>
              <c:numCache>
                <c:formatCode>General</c:formatCode>
                <c:ptCount val="2"/>
                <c:pt idx="0">
                  <c:v>151.29</c:v>
                </c:pt>
                <c:pt idx="1">
                  <c:v>5.02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plotArea>
      <c:layout/>
      <c:barChart>
        <c:barDir val="col"/>
        <c:grouping val="clustered"/>
        <c:varyColors val="0"/>
        <c:ser>
          <c:idx val="0"/>
          <c:order val="0"/>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prstDash val="solid"/>
                      <a:round/>
                    </a:ln>
                    <a:effectLst/>
                  </c:spPr>
                </c15:leaderLines>
              </c:ext>
            </c:extLst>
          </c:dLbls>
          <c:cat>
            <c:strRef>
              <c:f>[王宇2001.10.xls]Sheet4!$C$3:$D$3</c:f>
              <c:strCache>
                <c:ptCount val="2"/>
                <c:pt idx="0">
                  <c:v>2024年度</c:v>
                </c:pt>
                <c:pt idx="1">
                  <c:v>2023年度</c:v>
                </c:pt>
              </c:strCache>
            </c:strRef>
          </c:cat>
          <c:val>
            <c:numRef>
              <c:f>[王宇2001.10.xls]Sheet4!$C$4:$D$4</c:f>
              <c:numCache>
                <c:formatCode>General</c:formatCode>
                <c:ptCount val="2"/>
                <c:pt idx="0">
                  <c:v>156.4</c:v>
                </c:pt>
                <c:pt idx="1">
                  <c:v>185.48</c:v>
                </c:pt>
              </c:numCache>
            </c:numRef>
          </c:val>
        </c:ser>
        <c:dLbls>
          <c:showLegendKey val="0"/>
          <c:showVal val="1"/>
          <c:showCatName val="0"/>
          <c:showSerName val="0"/>
          <c:showPercent val="0"/>
          <c:showBubbleSize val="0"/>
        </c:dLbls>
        <c:gapWidth val="219"/>
        <c:overlap val="-27"/>
        <c:axId val="255238323"/>
        <c:axId val="671882066"/>
      </c:barChart>
      <c:catAx>
        <c:axId val="255238323"/>
        <c:scaling>
          <c:orientation val="minMax"/>
        </c:scaling>
        <c:delete val="0"/>
        <c:axPos val="b"/>
        <c:majorTickMark val="none"/>
        <c:minorTickMark val="none"/>
        <c:tickLblPos val="nextTo"/>
        <c:spPr>
          <a:noFill/>
          <a:ln w="9525" cap="flat" cmpd="sng" algn="ctr">
            <a:solidFill>
              <a:srgbClr val="D9D9D9">
                <a:lumMod val="15000"/>
                <a:lumOff val="85000"/>
              </a:srgbClr>
            </a:solid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671882066"/>
        <c:crosses val="autoZero"/>
        <c:auto val="1"/>
        <c:lblAlgn val="ctr"/>
        <c:lblOffset val="100"/>
        <c:noMultiLvlLbl val="0"/>
      </c:catAx>
      <c:valAx>
        <c:axId val="671882066"/>
        <c:scaling>
          <c:orientation val="minMax"/>
        </c:scaling>
        <c:delete val="0"/>
        <c:axPos val="l"/>
        <c:majorGridlines>
          <c:spPr>
            <a:ln w="9525" cap="flat" cmpd="sng" algn="ctr">
              <a:solidFill>
                <a:srgbClr val="D9D9D9">
                  <a:lumMod val="15000"/>
                  <a:lumOff val="85000"/>
                </a:srgb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255238323"/>
        <c:crosses val="autoZero"/>
        <c:crossBetween val="between"/>
      </c:valAx>
      <c:spPr>
        <a:noFill/>
        <a:ln>
          <a:noFill/>
        </a:ln>
        <a:effectLst/>
      </c:spPr>
    </c:plotArea>
    <c:plotVisOnly val="1"/>
    <c:dispBlanksAs val="gap"/>
    <c:showDLblsOverMax val="0"/>
  </c:chart>
  <c:spPr>
    <a:solidFill>
      <a:srgbClr val="FFFFFF"/>
    </a:solidFill>
    <a:ln w="9525" cap="flat" cmpd="sng" algn="ctr">
      <a:solidFill>
        <a:srgbClr val="D9D9D9">
          <a:lumMod val="15000"/>
          <a:lumOff val="85000"/>
        </a:srgb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[王宇2001.10.xls]Sheet4!$C$3:$D$3</c:f>
              <c:strCache>
                <c:ptCount val="2"/>
                <c:pt idx="0">
                  <c:v>2024年度</c:v>
                </c:pt>
                <c:pt idx="1">
                  <c:v>2023年度</c:v>
                </c:pt>
              </c:strCache>
            </c:strRef>
          </c:cat>
          <c:val>
            <c:numRef>
              <c:f>[王宇2001.10.xls]Sheet4!$C$4:$D$4</c:f>
              <c:numCache>
                <c:formatCode>General</c:formatCode>
                <c:ptCount val="2"/>
                <c:pt idx="0">
                  <c:v>156.31</c:v>
                </c:pt>
                <c:pt idx="1">
                  <c:v>185.39</c:v>
                </c:pt>
              </c:numCache>
            </c:numRef>
          </c:val>
        </c:ser>
        <c:dLbls>
          <c:showLegendKey val="0"/>
          <c:showVal val="1"/>
          <c:showCatName val="0"/>
          <c:showSerName val="0"/>
          <c:showPercent val="0"/>
          <c:showBubbleSize val="0"/>
        </c:dLbls>
        <c:gapWidth val="219"/>
        <c:overlap val="-27"/>
        <c:axId val="255238323"/>
        <c:axId val="671882066"/>
      </c:barChart>
      <c:catAx>
        <c:axId val="255238323"/>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671882066"/>
        <c:crosses val="autoZero"/>
        <c:auto val="1"/>
        <c:lblAlgn val="ctr"/>
        <c:lblOffset val="100"/>
        <c:noMultiLvlLbl val="0"/>
      </c:catAx>
      <c:valAx>
        <c:axId val="671882066"/>
        <c:scaling>
          <c:orientation val="minMax"/>
        </c:scaling>
        <c:delete val="0"/>
        <c:axPos val="l"/>
        <c:majorGridlines>
          <c:spPr>
            <a:ln w="9525" cap="flat" cmpd="sng" algn="ctr">
              <a:solidFill>
                <a:srgbClr val="D9D9D9">
                  <a:lumMod val="15000"/>
                  <a:lumOff val="850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255238323"/>
        <c:crosses val="autoZero"/>
        <c:crossBetween val="between"/>
      </c:valAx>
      <c:spPr>
        <a:noFill/>
        <a:ln>
          <a:noFill/>
        </a:ln>
        <a:effectLst/>
      </c:spPr>
    </c:plotArea>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Pt>
            <c:idx val="3"/>
            <c:bubble3D val="0"/>
            <c:spPr>
              <a:solidFill>
                <a:srgbClr val="8064A2"/>
              </a:solidFill>
              <a:ln w="19050">
                <a:solidFill>
                  <a:srgbClr val="FFFFFF"/>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[王宇2001.10.xls]Sheet4!$C$3:$F$3</c:f>
              <c:strCache>
                <c:ptCount val="4"/>
                <c:pt idx="0">
                  <c:v>社会保障和就业支出</c:v>
                </c:pt>
                <c:pt idx="1">
                  <c:v>卫生健康支出</c:v>
                </c:pt>
                <c:pt idx="2">
                  <c:v>商业服务业等支出</c:v>
                </c:pt>
                <c:pt idx="3">
                  <c:v>住房保障支出</c:v>
                </c:pt>
              </c:strCache>
            </c:strRef>
          </c:cat>
          <c:val>
            <c:numRef>
              <c:f>[王宇2001.10.xls]Sheet4!$C$4:$F$4</c:f>
              <c:numCache>
                <c:formatCode>General</c:formatCode>
                <c:ptCount val="4"/>
                <c:pt idx="0">
                  <c:v>22.87</c:v>
                </c:pt>
                <c:pt idx="1">
                  <c:v>5.98</c:v>
                </c:pt>
                <c:pt idx="2">
                  <c:v>116.09</c:v>
                </c:pt>
                <c:pt idx="3">
                  <c:v>11.38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[金口河前期工作经费支出统计表9.2.xlsx]Sheet1!$B$3:$D$3</c:f>
              <c:strCache>
                <c:ptCount val="3"/>
                <c:pt idx="0">
                  <c:v>公务接待费支出决算</c:v>
                </c:pt>
                <c:pt idx="1">
                  <c:v>因公出国（境）费支出</c:v>
                </c:pt>
                <c:pt idx="2">
                  <c:v>公务用车购置及运行维护费支出</c:v>
                </c:pt>
              </c:strCache>
            </c:strRef>
          </c:cat>
          <c:val>
            <c:numRef>
              <c:f>[金口河前期工作经费支出统计表9.2.xlsx]Sheet1!$B$4:$D$4</c:f>
              <c:numCache>
                <c:formatCode>General</c:formatCode>
                <c:ptCount val="3"/>
                <c:pt idx="0">
                  <c:v>0.41</c:v>
                </c:pt>
                <c:pt idx="1">
                  <c:v>0</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32</Pages>
  <Words>9456</Words>
  <Characters>10313</Characters>
  <Lines>61</Lines>
  <Paragraphs>17</Paragraphs>
  <TotalTime>21</TotalTime>
  <ScaleCrop>false</ScaleCrop>
  <LinksUpToDate>false</LinksUpToDate>
  <CharactersWithSpaces>10378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李宁果</cp:lastModifiedBy>
  <cp:lastPrinted>2025-08-06T17:34:00Z</cp:lastPrinted>
  <dcterms:modified xsi:type="dcterms:W3CDTF">2025-10-09T11:20:00Z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2108CF85B4B647D48E06E8F41BD5B000</vt:lpwstr>
  </property>
  <property fmtid="{D5CDD505-2E9C-101B-9397-08002B2CF9AE}" pid="4" name="KSOTemplateDocerSaveRecord">
    <vt:lpwstr>eyJoZGlkIjoiZmUyZTRhMzg1MzI5YjkzMDE2ZDg1ODUxMWI5MmEyNzAiLCJ1c2VySWQiOiI3MDMxMDA3MTEifQ==</vt:lpwstr>
  </property>
</Properties>
</file>