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8441"/>
      <w:bookmarkStart w:id="1" w:name="_Toc15377193"/>
      <w:bookmarkStart w:id="2" w:name="_Toc15396475"/>
      <w:bookmarkStart w:id="3" w:name="_Toc15377425"/>
      <w:bookmarkStart w:id="4" w:name="_Toc15396597"/>
      <w:bookmarkStart w:id="5" w:name="_Toc15306267"/>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9647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乐山市金口河区永胜乡人民政府单位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23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25</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41</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3"/>
          <w:rFonts w:hint="eastAsia" w:ascii="Times New Roman" w:hAnsi="Times New Roman" w:eastAsia="方正小标宋简体" w:cs="方正小标宋简体"/>
          <w:b w:val="0"/>
          <w:bCs w:val="0"/>
          <w:color w:val="auto"/>
          <w:highlight w:val="none"/>
        </w:rPr>
        <w:t>部门概况</w:t>
      </w:r>
      <w:bookmarkEnd w:id="12"/>
      <w:bookmarkEnd w:id="13"/>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spacing w:line="60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（一）乡党委主要职责</w:t>
      </w:r>
    </w:p>
    <w:p>
      <w:pPr>
        <w:spacing w:line="600" w:lineRule="exact"/>
        <w:ind w:firstLine="617" w:firstLineChars="193"/>
        <w:rPr>
          <w:rFonts w:hint="eastAsia" w:ascii="仿宋" w:hAnsi="仿宋" w:eastAsia="仿宋" w:cs="仿宋"/>
          <w:sz w:val="32"/>
          <w:szCs w:val="32"/>
        </w:rPr>
      </w:pPr>
      <w:r>
        <w:rPr>
          <w:rFonts w:hint="eastAsia" w:ascii="仿宋" w:hAnsi="仿宋" w:eastAsia="仿宋" w:cs="仿宋"/>
          <w:sz w:val="32"/>
          <w:szCs w:val="32"/>
        </w:rPr>
        <w:t>1．全面贯彻党的基本理论、基本路线、基本方略，宣传党的主张、落实党的决策部署，落实党中央、上级党组织及乡党员代表大会（党员大会）的决议，团结并组织党员、干部和群众，推动各项事业改革发展。</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2．讨论决定本乡加强党的建设、经济建设、政治建设、文化建设、社会建设、生态文明建设和乡村振兴、基层治理、公共服务、维护安全稳定、指导基层自治等方面的重大事项。</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3．领导乡政权机关、群团组织和其他各类组织，加强指导和规范，支持和保证各类机关和组织依照国家法律法规以及各自章程履行职责。</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落实全面从严治党主体责任，加强乡党委自身建设和村（社区）党组织建设，以及其他隶属乡党委的党组织建设，强化基层党组织的政治功能和服务功能。加强党员队伍建设，抓好党员教育管理和发展党员工作，发挥基层党组织战斗堡垒作用和党员先锋模范作用。履行党风廉政建设主体责任，监督党员干部和其他工作人员严格执行党的纪律和遵守国家法律法规。</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按照有关规定和干部管理权限，负责对干部的推荐、提名、教育、培训、选拔、考核、监督等工作。研究决定党员干部纪律处分有关事项。协助管理上级有关部门驻乡单位的干部。落实党的人才政策，做好人才服务和引进工作。</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加强社会主义民主法治建设和精神文明建设，培养和弘扬社会主义核心价值观，创造良好社会环境。</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加强社会治安综合治理，综合协调辖区内的城乡管理、人口管理、社会管理、安全管理、住宅小区和房屋管理等工作以及社会治安综合治理工作中的重大事项和难点问题，做好生态环保、美丽乡村建设、民生保障、脱贫攻坚、民族宗教等工作。</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9.完成上级党委交办的其他任务。</w:t>
      </w:r>
    </w:p>
    <w:p>
      <w:pPr>
        <w:spacing w:line="60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（二）乡人民政府主要职责</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1．贯彻落实党的路线方针政策和国家法律法规以及上级党委、政府的决议、决定和命令，执行乡党委和乡人民代表大会的决议，加强农村基层政权建设，巩固党在农村的执政基础。</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2．组织编制本行政区域经济社会发展规划和乡国土空间规划、村（社区）规划等有关规划。负责农村基础设施建设和各项公益事业发展，实施乡村振兴战略，加快经济社会发展，改善群众生产生活环境。</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3．指导农村经济发展，推进农业经济结构调整，促进经济增长方式转变，促进农业增效、农民增收。</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4．加强农村公共服务体系建设，抓好基础教育、科技、文化旅游、体育、卫生健康等工作，做好民政事务、就业培训、社会保障、社会救助、劳动关系协调、民族宗教、退役军人事务等工作，促进农村社会事业健康发展。</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5．加强社会管理，负责或配合区级有关部门做好辖区内自然资源、生态环境保护、市场监管、统计、粮食安全、供销合作、脱贫攻坚等工作。</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6．推进基层民主法制建设，加强普法依法治理，指导村（居）民委员会工作，维护群众合法权益。</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7．承担辖区内基层治理、平安建设、社会治安综合治理、公共安全、安全生产及应急管理等有关工作，处理群众来信来访，化解矛盾纠纷，维护社会安全稳定。</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8．负责制定完善权力清单、责任清单、公共服务清单等，建立清单动态调整和公示机制，推进政务公开，接受群众监督，增强政府公信力。</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9．负责国防教育、兵役征集、后备力量建设等有关工作。</w:t>
      </w:r>
    </w:p>
    <w:p>
      <w:pPr>
        <w:spacing w:line="600" w:lineRule="exact"/>
        <w:ind w:firstLine="627" w:firstLineChars="196"/>
        <w:rPr>
          <w:rFonts w:hint="eastAsia"/>
          <w:lang w:eastAsia="zh-CN"/>
        </w:rPr>
      </w:pPr>
      <w:r>
        <w:rPr>
          <w:rFonts w:hint="eastAsia" w:ascii="仿宋" w:hAnsi="仿宋" w:eastAsia="仿宋" w:cs="仿宋"/>
          <w:sz w:val="32"/>
          <w:szCs w:val="32"/>
        </w:rPr>
        <w:t>10．承担法律、法规、规章规定的其他职责和上级党委、政府交办的其他任务。</w:t>
      </w:r>
    </w:p>
    <w:p>
      <w:pPr>
        <w:pStyle w:val="4"/>
        <w:rPr>
          <w:rStyle w:val="34"/>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4"/>
          <w:rFonts w:hint="eastAsia" w:ascii="Times New Roman" w:hAnsi="Times New Roman" w:eastAsia="黑体"/>
          <w:b w:val="0"/>
          <w:bCs w:val="0"/>
          <w:color w:val="auto"/>
          <w:highlight w:val="none"/>
        </w:rPr>
        <w:t>构设置</w:t>
      </w:r>
      <w:bookmarkEnd w:id="14"/>
      <w:bookmarkEnd w:id="15"/>
    </w:p>
    <w:p>
      <w:pPr>
        <w:widowControl/>
        <w:ind w:firstLine="640" w:firstLineChars="200"/>
        <w:jc w:val="lef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金口河区永胜乡人民政府独立核算的机构1个，其中行政单位1个，参照公务员法管理的事业单位0个，参照公务员法管理的事业单位0个，其他事业单位4个：主要包括农业综合服务中心、便民服务中心、社区治理服务中心、文化旅游服务中心。</w:t>
      </w:r>
    </w:p>
    <w:p>
      <w:pPr>
        <w:widowControl/>
        <w:jc w:val="left"/>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bookmarkEnd w:id="18"/>
      <w:bookmarkEnd w:id="19"/>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1034.08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1034.08万元，其中：一般公共预算财政拨款收入1034.08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-2300605</wp:posOffset>
            </wp:positionV>
            <wp:extent cx="4254500" cy="2599690"/>
            <wp:effectExtent l="4445" t="4445" r="8255" b="571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22"/>
      <w:bookmarkEnd w:id="23"/>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820.93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213.15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20.61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71010" cy="2439035"/>
            <wp:effectExtent l="4445" t="4445" r="10795"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ascii="Times New Roman" w:hAnsi="Times New Roman" w:eastAsia="仿宋_GB2312" w:cs="仿宋_GB2312"/>
          <w:color w:val="auto"/>
          <w:sz w:val="32"/>
          <w:szCs w:val="32"/>
          <w:highlight w:val="none"/>
          <w:lang w:eastAsia="zh-CN"/>
        </w:rPr>
      </w:pPr>
    </w:p>
    <w:p>
      <w:pPr>
        <w:rPr>
          <w:rFonts w:hint="eastAsia"/>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4"/>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24"/>
      <w:bookmarkEnd w:id="25"/>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1034.</w:t>
      </w:r>
      <w:r>
        <w:rPr>
          <w:rFonts w:hint="eastAsia" w:ascii="仿宋_GB2312" w:hAnsi="仿宋_GB2312" w:eastAsia="仿宋_GB2312" w:cs="仿宋_GB2312"/>
          <w:sz w:val="32"/>
          <w:szCs w:val="32"/>
          <w:lang w:val="en-US" w:eastAsia="zh-CN"/>
        </w:rPr>
        <w:t>08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pStyle w:val="2"/>
        <w:rPr>
          <w:rFonts w:hint="eastAsia"/>
          <w:lang w:val="en-US" w:eastAsia="zh-CN"/>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4"/>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rPr>
          <w:rFonts w:hint="eastAsia"/>
          <w:lang w:val="en-US" w:eastAsia="zh-CN"/>
        </w:rPr>
      </w:pPr>
      <w:r>
        <w:drawing>
          <wp:inline distT="0" distB="0" distL="114300" distR="114300">
            <wp:extent cx="4826000" cy="2299335"/>
            <wp:effectExtent l="4445" t="4445" r="8255" b="2032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425.02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国防支出5万元，</w:t>
      </w:r>
      <w:r>
        <w:rPr>
          <w:rFonts w:hint="eastAsia" w:ascii="Times New Roman" w:hAnsi="Times New Roman" w:eastAsia="仿宋_GB2312" w:cs="仿宋_GB2312"/>
          <w:color w:val="auto"/>
          <w:kern w:val="2"/>
          <w:sz w:val="32"/>
          <w:szCs w:val="32"/>
          <w:highlight w:val="none"/>
          <w:lang w:val="en-US" w:eastAsia="zh-CN" w:bidi="ar-SA"/>
        </w:rPr>
        <w:t>占0.48%；文化旅游体育与传媒支出</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198.18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39.49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3.82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城乡社区支出108.39万元，</w:t>
      </w:r>
      <w:r>
        <w:rPr>
          <w:rFonts w:hint="eastAsia" w:ascii="Times New Roman" w:hAnsi="Times New Roman" w:eastAsia="仿宋_GB2312" w:cs="仿宋_GB2312"/>
          <w:color w:val="auto"/>
          <w:kern w:val="2"/>
          <w:sz w:val="32"/>
          <w:szCs w:val="32"/>
          <w:highlight w:val="none"/>
          <w:lang w:val="en-US" w:eastAsia="zh-CN" w:bidi="ar-SA"/>
        </w:rPr>
        <w:t>占10.48%；农林水</w:t>
      </w:r>
      <w:r>
        <w:rPr>
          <w:rFonts w:hint="eastAsia" w:eastAsia="仿宋_GB2312" w:cs="仿宋_GB2312"/>
          <w:color w:val="auto"/>
          <w:kern w:val="2"/>
          <w:sz w:val="32"/>
          <w:szCs w:val="32"/>
          <w:highlight w:val="none"/>
          <w:lang w:val="en-US" w:eastAsia="zh-CN" w:bidi="ar-SA"/>
        </w:rPr>
        <w:t>支出240万元，</w:t>
      </w:r>
      <w:r>
        <w:rPr>
          <w:rFonts w:hint="eastAsia" w:ascii="Times New Roman" w:hAnsi="Times New Roman" w:eastAsia="仿宋_GB2312" w:cs="仿宋_GB2312"/>
          <w:color w:val="auto"/>
          <w:kern w:val="2"/>
          <w:sz w:val="32"/>
          <w:szCs w:val="32"/>
          <w:highlight w:val="none"/>
          <w:lang w:val="en-US" w:eastAsia="zh-CN" w:bidi="ar-SA"/>
        </w:rPr>
        <w:t>占23.21%</w:t>
      </w:r>
      <w:r>
        <w:rPr>
          <w:rFonts w:hint="eastAsia" w:eastAsia="仿宋_GB2312" w:cs="仿宋_GB2312"/>
          <w:color w:val="auto"/>
          <w:kern w:val="2"/>
          <w:sz w:val="32"/>
          <w:szCs w:val="32"/>
          <w:highlight w:val="none"/>
          <w:lang w:val="en-US" w:eastAsia="zh-CN" w:bidi="ar-SA"/>
        </w:rPr>
        <w:t>。</w:t>
      </w:r>
    </w:p>
    <w:p>
      <w:pPr>
        <w:pStyle w:val="2"/>
        <w:rPr>
          <w:rFonts w:hint="eastAsia"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130810</wp:posOffset>
            </wp:positionH>
            <wp:positionV relativeFrom="paragraph">
              <wp:posOffset>224790</wp:posOffset>
            </wp:positionV>
            <wp:extent cx="4333875" cy="2922905"/>
            <wp:effectExtent l="4445" t="4445" r="5080" b="635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lang w:val="en-US" w:eastAsia="zh-CN"/>
        </w:rPr>
      </w:pPr>
    </w:p>
    <w:p>
      <w:pPr>
        <w:pStyle w:val="2"/>
        <w:rPr>
          <w:rFonts w:hint="eastAsia"/>
          <w:lang w:val="en-US" w:eastAsia="zh-CN"/>
        </w:rPr>
      </w:pPr>
    </w:p>
    <w:p>
      <w:pPr>
        <w:rPr>
          <w:rFonts w:hint="eastAsia"/>
          <w:lang w:val="en-US" w:eastAsia="zh-CN"/>
        </w:rPr>
      </w:pPr>
    </w:p>
    <w:p>
      <w:pPr>
        <w:bidi w:val="0"/>
        <w:rPr>
          <w:rFonts w:hint="eastAsia"/>
          <w:lang w:val="en-US" w:eastAsia="zh-CN"/>
        </w:rPr>
      </w:pPr>
    </w:p>
    <w:p>
      <w:pPr>
        <w:pStyle w:val="2"/>
        <w:rPr>
          <w:rFonts w:hint="eastAsia"/>
          <w:lang w:val="en-US" w:eastAsia="zh-CN"/>
        </w:rPr>
      </w:pPr>
    </w:p>
    <w:p>
      <w:pPr>
        <w:spacing w:line="600" w:lineRule="exact"/>
        <w:outlineLvl w:val="2"/>
        <w:rPr>
          <w:rFonts w:hint="eastAsia" w:ascii="Times New Roman" w:hAnsi="Times New Roman" w:eastAsia="楷体_GB2312" w:cs="楷体_GB2312"/>
          <w:b/>
          <w:color w:val="auto"/>
          <w:sz w:val="32"/>
          <w:szCs w:val="32"/>
          <w:highlight w:val="none"/>
        </w:rPr>
      </w:pPr>
      <w:bookmarkStart w:id="30" w:name="_Toc1537721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213"/>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1034.08</w:t>
      </w:r>
      <w:r>
        <w:rPr>
          <w:rFonts w:hint="eastAsia" w:ascii="仿宋_GB2312" w:hAnsi="仿宋_GB2312" w:eastAsia="仿宋_GB2312" w:cs="仿宋_GB2312"/>
          <w:sz w:val="32"/>
          <w:szCs w:val="32"/>
          <w:lang w:val="en-US" w:eastAsia="zh-CN"/>
        </w:rPr>
        <w:t>万元</w:t>
      </w:r>
      <w:bookmarkStart w:id="68" w:name="_GoBack"/>
      <w:bookmarkEnd w:id="68"/>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代表工作</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政协事务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其他政协事务支出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w:t>
      </w:r>
      <w:r>
        <w:rPr>
          <w:rFonts w:hint="eastAsia" w:ascii="Times New Roman" w:hAnsi="Times New Roman" w:eastAsia="仿宋_GB2312" w:cs="仿宋_GB2312"/>
          <w:color w:val="auto"/>
          <w:kern w:val="2"/>
          <w:sz w:val="32"/>
          <w:szCs w:val="32"/>
          <w:highlight w:val="none"/>
          <w:lang w:val="en-US" w:eastAsia="zh-CN" w:bidi="ar-SA"/>
        </w:rPr>
        <w:t>（款）行政运行（项）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269.06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w:t>
      </w:r>
      <w:r>
        <w:rPr>
          <w:rFonts w:hint="eastAsia" w:ascii="Times New Roman" w:hAnsi="Times New Roman" w:eastAsia="仿宋_GB2312" w:cs="仿宋_GB2312"/>
          <w:color w:val="auto"/>
          <w:kern w:val="2"/>
          <w:sz w:val="32"/>
          <w:szCs w:val="32"/>
          <w:highlight w:val="none"/>
          <w:lang w:val="en-US" w:eastAsia="zh-CN" w:bidi="ar-SA"/>
        </w:rPr>
        <w:t>（款）行政运行（项）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148.84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民族事务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民族工作专项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国防支出（类）</w:t>
      </w:r>
      <w:r>
        <w:rPr>
          <w:rFonts w:hint="eastAsia" w:eastAsia="仿宋_GB2312" w:cs="仿宋_GB2312"/>
          <w:color w:val="auto"/>
          <w:kern w:val="2"/>
          <w:sz w:val="32"/>
          <w:szCs w:val="32"/>
          <w:highlight w:val="none"/>
          <w:lang w:val="en-US" w:eastAsia="zh-CN" w:bidi="ar-SA"/>
        </w:rPr>
        <w:t>国防动员</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兵役征集</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其他文化和旅游支出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.社会保障和就业（类）人力资源和社会保障管理事务（款）其他人力资源和社会保障管理事务支出（项）: 支出决算为</w:t>
      </w:r>
      <w:r>
        <w:rPr>
          <w:rFonts w:hint="eastAsia" w:eastAsia="仿宋_GB2312" w:cs="仿宋_GB2312"/>
          <w:color w:val="auto"/>
          <w:kern w:val="2"/>
          <w:sz w:val="32"/>
          <w:szCs w:val="32"/>
          <w:highlight w:val="none"/>
          <w:lang w:val="en-US" w:eastAsia="zh-CN" w:bidi="ar-SA"/>
        </w:rPr>
        <w:t>73.82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.社会保障和就业（类）行政事业单位养老支出（款）其他行政事业单位养老支出（项）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50.37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.城乡社区支出（类）城乡社区环境卫生（款）城乡社区环境卫生（项）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.城乡社区支出（类）其他城乡社区支出（款）其他城乡社区支出（项）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.住房保障支出（类）住房保障支出（款）住房公积金（项）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34"/>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34"/>
      <w:bookmarkEnd w:id="35"/>
      <w:r>
        <w:rPr>
          <w:rStyle w:val="34"/>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820.93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726.73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4"/>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8.53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26.58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75.7</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上年度购买了新车。</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8.3</w:t>
      </w:r>
      <w:r>
        <w:rPr>
          <w:rFonts w:hint="eastAsia" w:ascii="仿宋_GB2312" w:hAnsi="仿宋_GB2312" w:eastAsia="仿宋_GB2312" w:cs="仿宋_GB2312"/>
          <w:color w:val="auto"/>
          <w:kern w:val="2"/>
          <w:sz w:val="32"/>
          <w:szCs w:val="32"/>
          <w:highlight w:val="none"/>
          <w:lang w:val="en-US" w:eastAsia="zh-CN" w:bidi="ar-SA"/>
        </w:rPr>
        <w:t>万元，占97.3%；公务接待费支出决算</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万元，占2.7%。具体情况如下：</w:t>
      </w:r>
    </w:p>
    <w:p>
      <w:pPr>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lang w:val="en-US" w:eastAsia="zh-CN"/>
        </w:rPr>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8.3万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97.3</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76.36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上年度购买了新车，</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8.3</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2.7</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上年度未发生公务接待费。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pPr>
        <w:spacing w:line="600" w:lineRule="exact"/>
        <w:ind w:firstLine="640"/>
        <w:outlineLvl w:val="1"/>
        <w:rPr>
          <w:rStyle w:val="3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42" w:name="_Toc15396611"/>
      <w:bookmarkStart w:id="43" w:name="_Toc15377219"/>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44" w:name="_Toc15377221"/>
      <w:bookmarkStart w:id="45" w:name="_Toc15396612"/>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38.96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70.55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，主要原因是日常公用</w:t>
      </w:r>
      <w:r>
        <w:rPr>
          <w:rFonts w:hint="eastAsia" w:eastAsia="仿宋_GB2312" w:cs="仿宋_GB2312"/>
          <w:color w:val="auto"/>
          <w:kern w:val="2"/>
          <w:sz w:val="32"/>
          <w:szCs w:val="32"/>
          <w:highlight w:val="none"/>
          <w:lang w:val="en-US" w:eastAsia="zh-CN" w:bidi="ar-SA"/>
        </w:rPr>
        <w:tab/>
      </w:r>
      <w:r>
        <w:rPr>
          <w:rFonts w:hint="eastAsia" w:eastAsia="仿宋_GB2312" w:cs="仿宋_GB2312"/>
          <w:color w:val="auto"/>
          <w:kern w:val="2"/>
          <w:sz w:val="32"/>
          <w:szCs w:val="32"/>
          <w:highlight w:val="none"/>
          <w:lang w:val="en-US" w:eastAsia="zh-CN" w:bidi="ar-SA"/>
        </w:rPr>
        <w:t>开支的增加。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辆，其他用车主要是用于公务处理。单价100万元（含）以上设备（不含车辆）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eastAsia="楷体_GB2312" w:cs="楷体_GB2312"/>
          <w:b/>
          <w:sz w:val="32"/>
          <w:szCs w:val="32"/>
          <w:lang w:val="en-US" w:eastAsia="zh-CN"/>
        </w:rPr>
      </w:pPr>
      <w:r>
        <w:rPr>
          <w:rFonts w:hint="eastAsia" w:eastAsia="楷体_GB2312" w:cs="楷体_GB2312"/>
          <w:b/>
          <w:sz w:val="32"/>
          <w:szCs w:val="32"/>
          <w:lang w:val="en-US" w:eastAsia="zh-CN"/>
        </w:rPr>
        <w:t>1.预决算编制情况</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leftChars="20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1</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按照区财政局关于单位预算、决算、政府采购、绩效等信息公开的时间，在规定时间内完成本单位的相关信息公开，做到及时、真实、不弄虚作假。</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2</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我</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我单位</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内所有资产必须实现资产归口管理和明确使用责任，细化到人，每半年对资产进行清查盘点，对账实不符的情况及时进行处理；严格按照规定处置资产。</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4.</w:t>
      </w:r>
      <w:r>
        <w:rPr>
          <w:rFonts w:hint="eastAsia" w:ascii="仿宋" w:hAnsi="仿宋" w:eastAsia="仿宋" w:cs="仿宋"/>
          <w:b/>
          <w:bCs/>
          <w:color w:val="auto"/>
          <w:sz w:val="32"/>
          <w:szCs w:val="32"/>
          <w:shd w:val="clear" w:color="auto" w:fill="FFFFFF"/>
          <w:lang w:eastAsia="zh-CN"/>
        </w:rPr>
        <w:t>整体绩效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eastAsia="zh-CN"/>
        </w:rPr>
        <w:t>（</w:t>
      </w: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lang w:eastAsia="zh-CN"/>
        </w:rPr>
        <w:t>）部门支出绩效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为保障机关运转、履行职能职责，基本支出</w:t>
      </w:r>
      <w:r>
        <w:rPr>
          <w:rFonts w:hint="eastAsia" w:hAnsi="仿宋_GB2312" w:eastAsia="仿宋_GB2312" w:cs="仿宋_GB2312"/>
          <w:color w:val="auto"/>
          <w:sz w:val="32"/>
          <w:szCs w:val="32"/>
          <w:shd w:val="clear" w:color="auto" w:fill="FFFFFF"/>
          <w:lang w:val="en-US" w:eastAsia="zh-CN"/>
        </w:rPr>
        <w:t>820.93</w:t>
      </w:r>
      <w:r>
        <w:rPr>
          <w:rFonts w:hint="eastAsia" w:ascii="仿宋_GB2312" w:hAnsi="仿宋_GB2312" w:eastAsia="仿宋_GB2312" w:cs="仿宋_GB2312"/>
          <w:color w:val="auto"/>
          <w:sz w:val="32"/>
          <w:szCs w:val="32"/>
          <w:shd w:val="clear" w:color="auto" w:fill="FFFFFF"/>
          <w:lang w:eastAsia="zh-CN"/>
        </w:rPr>
        <w:t>万元，其中：人员经费</w:t>
      </w:r>
      <w:r>
        <w:rPr>
          <w:rFonts w:hint="eastAsia" w:hAnsi="仿宋_GB2312" w:eastAsia="仿宋_GB2312" w:cs="仿宋_GB2312"/>
          <w:color w:val="auto"/>
          <w:sz w:val="32"/>
          <w:szCs w:val="32"/>
          <w:shd w:val="clear" w:color="auto" w:fill="FFFFFF"/>
          <w:lang w:val="en-US" w:eastAsia="zh-CN"/>
        </w:rPr>
        <w:t>726.73</w:t>
      </w:r>
      <w:r>
        <w:rPr>
          <w:rFonts w:hint="eastAsia" w:ascii="仿宋_GB2312" w:hAnsi="仿宋_GB2312" w:eastAsia="仿宋_GB2312" w:cs="仿宋_GB2312"/>
          <w:color w:val="auto"/>
          <w:sz w:val="32"/>
          <w:szCs w:val="32"/>
          <w:shd w:val="clear" w:color="auto" w:fill="FFFFFF"/>
          <w:lang w:eastAsia="zh-CN"/>
        </w:rPr>
        <w:t>万元，公用经费</w:t>
      </w:r>
      <w:r>
        <w:rPr>
          <w:rFonts w:hint="eastAsia" w:hAnsi="仿宋_GB2312" w:eastAsia="仿宋_GB2312" w:cs="仿宋_GB2312"/>
          <w:color w:val="auto"/>
          <w:sz w:val="32"/>
          <w:szCs w:val="32"/>
          <w:shd w:val="clear" w:color="auto" w:fill="FFFFFF"/>
          <w:lang w:val="en-US" w:eastAsia="zh-CN"/>
        </w:rPr>
        <w:t>94.2</w:t>
      </w:r>
      <w:r>
        <w:rPr>
          <w:rFonts w:hint="eastAsia" w:ascii="仿宋_GB2312" w:hAnsi="仿宋_GB2312" w:eastAsia="仿宋_GB2312" w:cs="仿宋_GB2312"/>
          <w:color w:val="auto"/>
          <w:sz w:val="32"/>
          <w:szCs w:val="32"/>
          <w:shd w:val="clear" w:color="auto" w:fill="FFFFFF"/>
          <w:lang w:eastAsia="zh-CN"/>
        </w:rPr>
        <w:t>万元；项目支出</w:t>
      </w:r>
      <w:r>
        <w:rPr>
          <w:rFonts w:hint="eastAsia" w:ascii="仿宋_GB2312" w:hAnsi="仿宋_GB2312" w:eastAsia="仿宋_GB2312" w:cs="仿宋_GB2312"/>
          <w:color w:val="auto"/>
          <w:sz w:val="32"/>
          <w:szCs w:val="32"/>
          <w:shd w:val="clear" w:color="auto" w:fill="FFFFFF"/>
          <w:lang w:val="en-US" w:eastAsia="zh-CN"/>
        </w:rPr>
        <w:t>开支</w:t>
      </w:r>
      <w:r>
        <w:rPr>
          <w:rFonts w:hint="eastAsia" w:hAnsi="仿宋_GB2312" w:eastAsia="仿宋_GB2312" w:cs="仿宋_GB2312"/>
          <w:color w:val="auto"/>
          <w:sz w:val="32"/>
          <w:szCs w:val="32"/>
          <w:shd w:val="clear" w:color="auto" w:fill="FFFFFF"/>
          <w:lang w:val="en-US" w:eastAsia="zh-CN"/>
        </w:rPr>
        <w:t>213.15</w:t>
      </w:r>
      <w:r>
        <w:rPr>
          <w:rFonts w:hint="eastAsia" w:ascii="仿宋_GB2312" w:hAnsi="仿宋_GB2312" w:eastAsia="仿宋_GB2312" w:cs="仿宋_GB2312"/>
          <w:color w:val="auto"/>
          <w:sz w:val="32"/>
          <w:szCs w:val="32"/>
          <w:shd w:val="clear" w:color="auto" w:fill="FFFFFF"/>
          <w:lang w:eastAsia="zh-CN"/>
        </w:rPr>
        <w:t>万元。全部门预算资金主要用于保障</w:t>
      </w:r>
      <w:r>
        <w:rPr>
          <w:rFonts w:hint="eastAsia" w:hAnsi="仿宋_GB2312" w:eastAsia="仿宋_GB2312" w:cs="仿宋_GB2312"/>
          <w:color w:val="auto"/>
          <w:sz w:val="32"/>
          <w:szCs w:val="32"/>
          <w:shd w:val="clear" w:color="auto" w:fill="FFFFFF"/>
          <w:lang w:val="en-US" w:eastAsia="zh-CN"/>
        </w:rPr>
        <w:t>部门</w:t>
      </w:r>
      <w:r>
        <w:rPr>
          <w:rFonts w:hint="eastAsia" w:ascii="仿宋_GB2312" w:hAnsi="仿宋_GB2312" w:eastAsia="仿宋_GB2312" w:cs="仿宋_GB2312"/>
          <w:color w:val="auto"/>
          <w:sz w:val="32"/>
          <w:szCs w:val="32"/>
          <w:shd w:val="clear" w:color="auto" w:fill="FFFFFF"/>
          <w:lang w:eastAsia="zh-CN"/>
        </w:rPr>
        <w:t>正常运转、各项任务圆满完成。</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项目支出绩效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① </w:t>
      </w:r>
      <w:r>
        <w:rPr>
          <w:rFonts w:hint="eastAsia" w:ascii="仿宋" w:hAnsi="仿宋" w:eastAsia="仿宋" w:cs="仿宋"/>
          <w:b/>
          <w:bCs/>
          <w:color w:val="auto"/>
          <w:sz w:val="32"/>
          <w:szCs w:val="32"/>
          <w:shd w:val="clear" w:color="auto" w:fill="FFFFFF"/>
          <w:lang w:eastAsia="zh-CN"/>
        </w:rPr>
        <w:t>资金绩效分配情况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认真贯彻执行《四川省省级财政专项资金绩效分配管理暂行办法》实施绩效分配。资金分配科学合理，分配过程符合相关规定。建立健全专项资金绩效分配机制，实现了财政资金资源有效配置。</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② </w:t>
      </w:r>
      <w:r>
        <w:rPr>
          <w:rFonts w:hint="eastAsia" w:ascii="仿宋" w:hAnsi="仿宋" w:eastAsia="仿宋" w:cs="仿宋"/>
          <w:b/>
          <w:bCs/>
          <w:color w:val="auto"/>
          <w:sz w:val="32"/>
          <w:szCs w:val="32"/>
          <w:shd w:val="clear" w:color="auto" w:fill="FFFFFF"/>
          <w:lang w:eastAsia="zh-CN"/>
        </w:rPr>
        <w:t>项目资金管理情况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加强对项目资金的管理，严格按照资金的使用范围专款专用，支付有依据，严格开支标准。无截留、挤占、挪用专项资金和虚列资金及大额度现金支出现象。</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③ </w:t>
      </w:r>
      <w:r>
        <w:rPr>
          <w:rFonts w:hint="eastAsia" w:ascii="仿宋" w:hAnsi="仿宋" w:eastAsia="仿宋" w:cs="仿宋"/>
          <w:b/>
          <w:bCs/>
          <w:color w:val="auto"/>
          <w:sz w:val="32"/>
          <w:szCs w:val="32"/>
          <w:shd w:val="clear" w:color="auto" w:fill="FFFFFF"/>
          <w:lang w:eastAsia="zh-CN"/>
        </w:rPr>
        <w:t>绩效目标完成情况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5.</w:t>
      </w:r>
      <w:r>
        <w:rPr>
          <w:rFonts w:hint="eastAsia" w:ascii="仿宋" w:hAnsi="仿宋" w:eastAsia="仿宋" w:cs="仿宋"/>
          <w:b/>
          <w:bCs/>
          <w:color w:val="auto"/>
          <w:sz w:val="32"/>
          <w:szCs w:val="32"/>
          <w:shd w:val="clear" w:color="auto" w:fill="FFFFFF"/>
          <w:lang w:eastAsia="zh-CN"/>
        </w:rPr>
        <w:t>评价结论</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组织对2024年度一般公共预算、政府性基金预算、国有资本经营预算、社会保险基金预算以及资本资产、债券资金等全面开展绩效自评。绩效自评报告详见附件。</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6.</w:t>
      </w:r>
      <w:r>
        <w:rPr>
          <w:rFonts w:hint="eastAsia" w:ascii="仿宋" w:hAnsi="仿宋" w:eastAsia="仿宋" w:cs="仿宋"/>
          <w:b/>
          <w:bCs/>
          <w:color w:val="auto"/>
          <w:sz w:val="32"/>
          <w:szCs w:val="32"/>
          <w:shd w:val="clear" w:color="auto" w:fill="FFFFFF"/>
          <w:lang w:eastAsia="zh-CN"/>
        </w:rPr>
        <w:t>改进建议</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color w:val="auto"/>
        </w:rPr>
      </w:pPr>
      <w:r>
        <w:rPr>
          <w:rFonts w:hint="eastAsia" w:ascii="仿宋" w:hAnsi="仿宋" w:eastAsia="仿宋" w:cs="仿宋"/>
          <w:color w:val="auto"/>
          <w:sz w:val="32"/>
          <w:szCs w:val="32"/>
          <w:shd w:val="clear" w:color="auto" w:fill="FFFFFF"/>
          <w:lang w:eastAsia="zh-CN"/>
        </w:rPr>
        <w:t>今后工作中在预算编制的准确性上下功夫，通过积极组织、认真论证、领导决策等程序，确保做实预算，保证预算与实际需要基本相符；对项目实施有科学规划，依据项目年内可完成进度分年度下达预算指标，当年预算才能全部执行，提高预算管理质量。</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ascii="仿宋_GB2312" w:hAnsi="Times New Roman" w:eastAsia="仿宋_GB2312" w:cs="Times New Roman"/>
          <w:color w:val="000000"/>
          <w:sz w:val="32"/>
          <w:szCs w:val="32"/>
        </w:rPr>
        <w:t>指政府提供一般公共服务支出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w:t>
      </w:r>
      <w:r>
        <w:rPr>
          <w:rFonts w:hint="eastAsia" w:ascii="仿宋_GB2312" w:hAnsi="Times New Roman" w:eastAsia="仿宋_GB2312" w:cs="Times New Roman"/>
          <w:color w:val="000000"/>
          <w:sz w:val="32"/>
          <w:szCs w:val="32"/>
        </w:rPr>
        <w:t>政府在文化、文物、体育、广播影视、新闻出版等方面的支出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.社会保障和就业：指</w:t>
      </w:r>
      <w:r>
        <w:rPr>
          <w:rFonts w:hint="eastAsia" w:ascii="仿宋_GB2312" w:hAnsi="Times New Roman" w:eastAsia="仿宋_GB2312" w:cs="Times New Roman"/>
          <w:color w:val="000000"/>
          <w:sz w:val="32"/>
          <w:szCs w:val="32"/>
        </w:rPr>
        <w:t>机关事业单位基本养老保险缴费支出</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机关事业单位职业年金缴费支出</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其他行政事业单位养老支出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.卫生健康：指</w:t>
      </w:r>
      <w:r>
        <w:rPr>
          <w:rFonts w:hint="eastAsia" w:ascii="仿宋_GB2312" w:hAnsi="Times New Roman" w:eastAsia="仿宋_GB2312" w:cs="Times New Roman"/>
          <w:color w:val="000000"/>
          <w:sz w:val="32"/>
          <w:szCs w:val="32"/>
        </w:rPr>
        <w:t>反映重大疾病、重大传染病预防控制等重大公共卫生服务项目支出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.城乡社区：指</w:t>
      </w:r>
      <w:r>
        <w:rPr>
          <w:rFonts w:hint="eastAsia" w:ascii="仿宋_GB2312" w:hAnsi="Times New Roman" w:eastAsia="仿宋_GB2312" w:cs="Times New Roman"/>
          <w:color w:val="000000"/>
          <w:sz w:val="32"/>
          <w:szCs w:val="32"/>
        </w:rPr>
        <w:t>反映城乡社区道路清扫、垃圾清运与处理、公厕建设与维护、园林绿化等方面的支出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.农林水：指</w:t>
      </w:r>
      <w:r>
        <w:rPr>
          <w:rFonts w:hint="eastAsia" w:ascii="仿宋_GB2312" w:hAnsi="Times New Roman" w:eastAsia="仿宋_GB2312" w:cs="Times New Roman"/>
          <w:color w:val="000000"/>
          <w:sz w:val="32"/>
          <w:szCs w:val="32"/>
        </w:rPr>
        <w:t>反映政府农林水事务支出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5.住房保障：指</w:t>
      </w:r>
      <w:r>
        <w:rPr>
          <w:rFonts w:hint="eastAsia" w:eastAsia="仿宋_GB2312" w:cs="仿宋_GB2312"/>
          <w:color w:val="auto"/>
          <w:kern w:val="2"/>
          <w:sz w:val="32"/>
          <w:szCs w:val="32"/>
          <w:highlight w:val="none"/>
          <w:lang w:val="en-US" w:eastAsia="zh-CN" w:bidi="ar-SA"/>
        </w:rPr>
        <w:t>住房公积金的支出。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3"/>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19"/>
        <w:gridCol w:w="660"/>
        <w:gridCol w:w="625"/>
        <w:gridCol w:w="1438"/>
        <w:gridCol w:w="1038"/>
        <w:gridCol w:w="1520"/>
        <w:gridCol w:w="895"/>
        <w:gridCol w:w="464"/>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bookmarkStart w:id="53" w:name="_Hlk110546638"/>
            <w:r>
              <w:rPr>
                <w:rFonts w:hint="eastAsia" w:ascii="宋体" w:hAnsi="宋体" w:eastAsia="宋体" w:cs="宋体"/>
                <w:i w:val="0"/>
                <w:iCs w:val="0"/>
                <w:color w:val="000000"/>
                <w:kern w:val="0"/>
                <w:sz w:val="22"/>
                <w:szCs w:val="22"/>
                <w:u w:val="none"/>
                <w:lang w:val="en-US" w:eastAsia="zh-CN" w:bidi="ar"/>
              </w:rPr>
              <w:t>附件4</w:t>
            </w:r>
          </w:p>
        </w:tc>
        <w:tc>
          <w:tcPr>
            <w:tcW w:w="3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5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区武装部驻村队员经费</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0.506666667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0.506666667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230"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用于区武装部驻村工作队在村工作期间的经费开支，为驻村工作队员紧紧围绕党的政策、建强基层组织、推动精准扶贫、为民办事服务一系列活动提供有力财政支撑</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区武装部驻村工作队员工作完成情况良好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驻村队员经费使用</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&lt;1.5万元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实际使用0.76万元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驻村服务效能</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3"/>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28"/>
        <w:gridCol w:w="710"/>
        <w:gridCol w:w="678"/>
        <w:gridCol w:w="2179"/>
        <w:gridCol w:w="1220"/>
        <w:gridCol w:w="1028"/>
        <w:gridCol w:w="488"/>
        <w:gridCol w:w="488"/>
        <w:gridCol w:w="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9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0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衔接乡村振兴工作经费</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40"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解决脱贫攻坚历史遗留问题，推动乡村振兴发展</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解决各村一些遗留问题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开展乡村振兴工作成本</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4.99万元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对标补短率</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15"/>
        <w:gridCol w:w="686"/>
        <w:gridCol w:w="2020"/>
        <w:gridCol w:w="1177"/>
        <w:gridCol w:w="1060"/>
        <w:gridCol w:w="521"/>
        <w:gridCol w:w="501"/>
        <w:gridCol w:w="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9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2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安监工作费</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26"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保障全乡日常安全监管工作。安全维稳、突发性事件应急管理，交通管理，减少乡境内交通事故发生率。</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开展安全检查100余次，清理安全隐患10余处，确保我乡全年无安全事故发生。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安全宣传教育检查次数</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≥50次/年</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90次</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资金使用合格率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资金拨付及时率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开展安全监管工作成本</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4.56万元</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4.56万元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提升我乡安全管理水平</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15"/>
        <w:gridCol w:w="686"/>
        <w:gridCol w:w="2053"/>
        <w:gridCol w:w="1140"/>
        <w:gridCol w:w="1042"/>
        <w:gridCol w:w="528"/>
        <w:gridCol w:w="491"/>
        <w:gridCol w:w="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人大主席团工作经费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24"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确保人大工作的顺利开展</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7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受益人大代表(人次）</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&gt;25人</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目标完成率</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&gt;80%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人大工作使用经费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i w:val="0"/>
                <w:iCs w:val="0"/>
                <w:color w:val="333333"/>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社会和谐稳定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持续促进</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持续促进</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7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94"/>
        <w:gridCol w:w="715"/>
        <w:gridCol w:w="679"/>
        <w:gridCol w:w="1741"/>
        <w:gridCol w:w="1568"/>
        <w:gridCol w:w="1035"/>
        <w:gridCol w:w="491"/>
        <w:gridCol w:w="491"/>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27"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3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93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公益岗位保险</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8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保障公益性岗位群众工伤、工亡后的医疗和基本生活，解决群众和家属的后顾之忧的必要举措，避免因病、因伤致贫返贫</w:t>
            </w:r>
          </w:p>
        </w:tc>
        <w:tc>
          <w:tcPr>
            <w:tcW w:w="1382"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保障公益性岗位群众工伤、工亡后的医疗和基本生活，解决群众和家属的后顾之忧的必要举措，避免因病、因伤致贫返贫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8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保险购买数</w:t>
            </w: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23份</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23份</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公益性岗位保险购买标准</w:t>
            </w:r>
          </w:p>
        </w:tc>
        <w:tc>
          <w:tcPr>
            <w:tcW w:w="930" w:type="pct"/>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每人400元/年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0元</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通过其他资金支付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333333"/>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贫困劳动力工伤保险保障率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公益性岗位满意度</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15"/>
        <w:gridCol w:w="686"/>
        <w:gridCol w:w="2045"/>
        <w:gridCol w:w="1194"/>
        <w:gridCol w:w="1038"/>
        <w:gridCol w:w="511"/>
        <w:gridCol w:w="491"/>
        <w:gridCol w:w="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1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网络宽带费</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51"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保障各应用系统、电子政务外网、政务云平台和政府门户网站等网络安全稳定运行。</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网络费缴纳月数</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网络宽带监控使用质量</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费用缴纳及时率</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及时</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网络宽带使用费</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对基层工作开展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80"/>
        <w:gridCol w:w="711"/>
        <w:gridCol w:w="688"/>
        <w:gridCol w:w="1967"/>
        <w:gridCol w:w="1219"/>
        <w:gridCol w:w="1091"/>
        <w:gridCol w:w="518"/>
        <w:gridCol w:w="491"/>
        <w:gridCol w:w="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9"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16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4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永胜乡生活垃圾清运费</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1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用于农村垃圾清远，实现所有农村垃圾清远专业化，致力于改变农村环境脏乱差的现状</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提升农村环境卫生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16"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垃圾清运村数</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垃圾转运率</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&gt;90%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垃圾清运及时率</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Arial" w:hAnsi="Arial" w:eastAsia="宋体" w:cs="Arial"/>
                <w:i w:val="0"/>
                <w:iCs w:val="0"/>
                <w:color w:val="333333"/>
                <w:sz w:val="20"/>
                <w:szCs w:val="20"/>
                <w:u w:val="none"/>
              </w:rPr>
            </w:pPr>
            <w:r>
              <w:rPr>
                <w:rStyle w:val="40"/>
                <w:rFonts w:eastAsia="宋体"/>
                <w:lang w:val="en-US" w:eastAsia="zh-CN" w:bidi="ar"/>
              </w:rPr>
              <w:t>≥</w:t>
            </w:r>
            <w:r>
              <w:rPr>
                <w:rStyle w:val="41"/>
                <w:lang w:val="en-US" w:eastAsia="zh-CN" w:bidi="ar"/>
              </w:rPr>
              <w:t>95%</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垃圾清运成本</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25万元</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23.76万元</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乡镇环境干净卫生</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43"/>
        <w:gridCol w:w="687"/>
        <w:gridCol w:w="622"/>
        <w:gridCol w:w="2638"/>
        <w:gridCol w:w="1058"/>
        <w:gridCol w:w="965"/>
        <w:gridCol w:w="463"/>
        <w:gridCol w:w="463"/>
        <w:gridCol w:w="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62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永胜乡农村公共运行维护建设及基层组织活动</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0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3003"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进一步深化农村（社区）综合改革，完善农村（社区）公共服务运行维护机制。切实解决村（社区）干部“想干事，没钱干”的困境，提高议事、决事、办事的效率和效果</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提高基层组织议事、决事、办事的效率和效果，提高群众的幸福感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按时完成公共服务设施的维护和村级基层建设</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基层组织活动及公共服务运行成本</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32万元</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15.4万元</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村基础设施项目维护率</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65%</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15"/>
        <w:gridCol w:w="686"/>
        <w:gridCol w:w="1590"/>
        <w:gridCol w:w="1140"/>
        <w:gridCol w:w="1038"/>
        <w:gridCol w:w="703"/>
        <w:gridCol w:w="491"/>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94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1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矿山维稳工作经费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4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449"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辖区内矿山企业安全稳定生产</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保障矿山安全稳定生产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0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矿山个数</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开展维稳工作成本</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矿山维稳工作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持续推进</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持续推进</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lang w:val="en-US" w:eastAsia="zh-CN"/>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lang w:val="en-US" w:eastAsia="zh-CN"/>
        </w:rPr>
      </w:pPr>
    </w:p>
    <w:p>
      <w:pPr>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87"/>
        <w:gridCol w:w="614"/>
        <w:gridCol w:w="2122"/>
        <w:gridCol w:w="1160"/>
        <w:gridCol w:w="1040"/>
        <w:gridCol w:w="494"/>
        <w:gridCol w:w="491"/>
        <w:gridCol w:w="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5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8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社区戒毒工作站运行经费</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78"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本单位戒毒站工作开展，通过对毒品违法犯罪的打击和预防宣传教育，提高公民的禁毒意识，有效遏制毒品违法犯罪的发展蔓延趋势；开展禁种铲毒工作，开展社区戒毒社区康复，提高对吸毒人员的管控能力，有效减少毒品危害</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辖区内无吸毒人员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2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工作开展完成率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w:t>
            </w:r>
            <w:r>
              <w:rPr>
                <w:rFonts w:hint="eastAsia" w:ascii="宋体" w:hAnsi="宋体" w:eastAsia="宋体" w:cs="宋体"/>
                <w:i w:val="0"/>
                <w:iCs w:val="0"/>
                <w:color w:val="333333"/>
                <w:kern w:val="0"/>
                <w:sz w:val="18"/>
                <w:szCs w:val="18"/>
                <w:u w:val="none"/>
                <w:lang w:val="en-US" w:eastAsia="zh-CN" w:bidi="ar"/>
              </w:rPr>
              <w:t>98%</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2024</w:t>
            </w:r>
            <w:r>
              <w:rPr>
                <w:rFonts w:hint="eastAsia" w:ascii="宋体" w:hAnsi="宋体" w:eastAsia="宋体" w:cs="宋体"/>
                <w:i w:val="0"/>
                <w:iCs w:val="0"/>
                <w:color w:val="333333"/>
                <w:kern w:val="0"/>
                <w:sz w:val="18"/>
                <w:szCs w:val="18"/>
                <w:u w:val="none"/>
                <w:lang w:val="en-US" w:eastAsia="zh-CN" w:bidi="ar"/>
              </w:rPr>
              <w:t>年内</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社区戒毒社区康复工作成本</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i w:val="0"/>
                <w:iCs w:val="0"/>
                <w:color w:val="333333"/>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吸毒发生率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&lt;5%</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85"/>
        <w:gridCol w:w="735"/>
        <w:gridCol w:w="613"/>
        <w:gridCol w:w="2056"/>
        <w:gridCol w:w="1092"/>
        <w:gridCol w:w="996"/>
        <w:gridCol w:w="722"/>
        <w:gridCol w:w="476"/>
        <w:gridCol w:w="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3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1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4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永胜乡驻村工作队工作经费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664"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用于驻村工作队在村工作期间的经费开支，为驻村工作队员紧紧围绕党的政策、建强基层组织、推动精准扶贫、为民办事服务一系列活动提供有力财政支撑</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驻村工作队工作完成情况良好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1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开展驻村工作所需成本</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2万元</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0.76万元</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驻村工作服务能力</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持续提高</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持续提高</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9"/>
        <w:gridCol w:w="620"/>
        <w:gridCol w:w="619"/>
        <w:gridCol w:w="2104"/>
        <w:gridCol w:w="1378"/>
        <w:gridCol w:w="1378"/>
        <w:gridCol w:w="441"/>
        <w:gridCol w:w="441"/>
        <w:gridCol w:w="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31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新冠疫情社区排查防控社工工作人员经费</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17.5276</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0.919692371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17.5276</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0.919692371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37"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保障新冠疫情社区排查防控工作需要，组织动员社工岗工作人员参与疫情排查防控任务，发挥基层岗位作用</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发挥基层岗位作用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1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受益人数</w:t>
            </w:r>
          </w:p>
        </w:tc>
        <w:tc>
          <w:tcPr>
            <w:tcW w:w="800"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800" w:type="pct"/>
            <w:tcBorders>
              <w:top w:val="nil"/>
              <w:left w:val="nil"/>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经费支出合规性</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符合相关文件规定</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符合相关文件规定</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工资及时发放率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社工岗经费使用</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&lt;17.5276万元</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16.12万元</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疫情防控工作开展情况</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疫情防控能力</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rPr>
          <w:rFonts w:hint="eastAsia"/>
          <w:lang w:val="en-US" w:eastAsia="zh-CN"/>
        </w:rPr>
      </w:pPr>
    </w:p>
    <w:tbl>
      <w:tblPr>
        <w:tblStyle w:val="2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70"/>
        <w:gridCol w:w="630"/>
        <w:gridCol w:w="1963"/>
        <w:gridCol w:w="1266"/>
        <w:gridCol w:w="1041"/>
        <w:gridCol w:w="512"/>
        <w:gridCol w:w="491"/>
        <w:gridCol w:w="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5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16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5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武装工作经费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47"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用于武装工作的经费开支，为工作队员紧紧围绕党的政策、建强基层组织、推动精准扶贫、为民办事服务一系列活动提供有力财政支撑</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武装工作完成情况良好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对民兵进行训练次数</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≧2次</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提升民兵应急能力</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武装工作所需成本</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民兵服务效能</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0"/>
        <w:gridCol w:w="615"/>
        <w:gridCol w:w="615"/>
        <w:gridCol w:w="1604"/>
        <w:gridCol w:w="988"/>
        <w:gridCol w:w="1146"/>
        <w:gridCol w:w="860"/>
        <w:gridCol w:w="579"/>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4"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35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5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2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3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大瓦山湿地公园日常运维管理经费</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31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对大瓦山湿地公园环境保护水草打捞等日常运维管理不断提升</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大瓦山湿地公园日常运维管理完成情况良好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6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1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湿地公园数量</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5处</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5处</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湿地公园环境维护</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日常运维经费</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12.05万元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周边环境卫生条件</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游客满意度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61"/>
        <w:gridCol w:w="706"/>
        <w:gridCol w:w="688"/>
        <w:gridCol w:w="2208"/>
        <w:gridCol w:w="1135"/>
        <w:gridCol w:w="1035"/>
        <w:gridCol w:w="491"/>
        <w:gridCol w:w="491"/>
        <w:gridCol w:w="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08"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1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30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政协工作站联络张工作经费</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0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确保政协工作的顺利开展</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受益村数量</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4个</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目标完成率</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&gt;80%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开展政协工作经费</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333333"/>
                <w:sz w:val="20"/>
                <w:szCs w:val="20"/>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Arial" w:hAnsi="Arial" w:eastAsia="宋体" w:cs="Arial"/>
                <w:i w:val="0"/>
                <w:iCs w:val="0"/>
                <w:color w:val="333333"/>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政治协商、民情民意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持续反映</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持续反映</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28"/>
        <w:gridCol w:w="700"/>
        <w:gridCol w:w="688"/>
        <w:gridCol w:w="2272"/>
        <w:gridCol w:w="1128"/>
        <w:gridCol w:w="1028"/>
        <w:gridCol w:w="488"/>
        <w:gridCol w:w="488"/>
        <w:gridCol w:w="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6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农村道路交通安全管理工作经费</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0.983606557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0.983606557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840"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保障全乡日常道路安全工作，交通管理，减少乡境内交通事故发生率。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开展安全检查100余次，确保我乡全年无交通安全事故发生。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安全宣传教育检查次数</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≥50次/年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90次</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资金使用合格率</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资金拨付及时率</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开展道路安全管理成本</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2.44万元</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2.4万元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提升我乡安全管理水平</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3"/>
          <w:rFonts w:hint="eastAsia" w:ascii="Times New Roman" w:hAnsi="Times New Roman" w:eastAsia="黑体"/>
          <w:b w:val="0"/>
          <w:color w:val="auto"/>
          <w:highlight w:val="none"/>
        </w:rPr>
        <w:t>五部分 附表</w:t>
      </w:r>
      <w:bookmarkEnd w:id="51"/>
      <w:bookmarkEnd w:id="54"/>
      <w:bookmarkStart w:id="55"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872122-C573-4143-80D7-4C24FCEA12B7}"/>
  </w:font>
  <w:font w:name="黑体">
    <w:panose1 w:val="02010609060101010101"/>
    <w:charset w:val="86"/>
    <w:family w:val="auto"/>
    <w:pitch w:val="default"/>
    <w:sig w:usb0="800002BF" w:usb1="38CF7CFA" w:usb2="00000016" w:usb3="00000000" w:csb0="00040001" w:csb1="00000000"/>
    <w:embedRegular r:id="rId2" w:fontKey="{EA77FAE9-A39C-480C-BB25-724CB54D33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928B058C-FD51-4DEF-BCDB-8C20CEE68018}"/>
  </w:font>
  <w:font w:name="仿宋">
    <w:panose1 w:val="02010609060101010101"/>
    <w:charset w:val="86"/>
    <w:family w:val="modern"/>
    <w:pitch w:val="default"/>
    <w:sig w:usb0="800002BF" w:usb1="38CF7CFA" w:usb2="00000016" w:usb3="00000000" w:csb0="00040001" w:csb1="00000000"/>
    <w:embedRegular r:id="rId4" w:fontKey="{49E8A2B0-BEE9-4D7F-957D-D7FB9F5CAEBF}"/>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embedRegular r:id="rId5" w:fontKey="{6C9F482F-4F05-477A-AA37-F7C0B2A42527}"/>
  </w:font>
  <w:font w:name="楷体_GB2312">
    <w:altName w:val="楷体"/>
    <w:panose1 w:val="02010609030101010101"/>
    <w:charset w:val="86"/>
    <w:family w:val="auto"/>
    <w:pitch w:val="default"/>
    <w:sig w:usb0="00000000" w:usb1="00000000" w:usb2="00000000" w:usb3="00000000" w:csb0="00040000" w:csb1="00000000"/>
    <w:embedRegular r:id="rId6" w:fontKey="{03ECC2E6-E538-4C78-A119-3915F0A8E314}"/>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A734"/>
    <w:multiLevelType w:val="singleLevel"/>
    <w:tmpl w:val="22F3A734"/>
    <w:lvl w:ilvl="0" w:tentative="0">
      <w:start w:val="1"/>
      <w:numFmt w:val="chineseCounting"/>
      <w:suff w:val="nothing"/>
      <w:lvlText w:val="%1、"/>
      <w:lvlJc w:val="left"/>
      <w:rPr>
        <w:rFonts w:hint="eastAsia"/>
      </w:rPr>
    </w:lvl>
  </w:abstractNum>
  <w:abstractNum w:abstractNumId="1">
    <w:nsid w:val="7AC226EA"/>
    <w:multiLevelType w:val="multilevel"/>
    <w:tmpl w:val="7AC226EA"/>
    <w:lvl w:ilvl="0" w:tentative="0">
      <w:start w:val="4"/>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592DE1"/>
    <w:rsid w:val="066E0107"/>
    <w:rsid w:val="07996F6E"/>
    <w:rsid w:val="07DFD8BA"/>
    <w:rsid w:val="09867E8F"/>
    <w:rsid w:val="0A2032A3"/>
    <w:rsid w:val="0BB772BD"/>
    <w:rsid w:val="0CA8290A"/>
    <w:rsid w:val="0D35B1ED"/>
    <w:rsid w:val="0E254B6B"/>
    <w:rsid w:val="0F98263C"/>
    <w:rsid w:val="101860EC"/>
    <w:rsid w:val="101F47CC"/>
    <w:rsid w:val="10C055FF"/>
    <w:rsid w:val="11694EBD"/>
    <w:rsid w:val="11772AA4"/>
    <w:rsid w:val="118107EC"/>
    <w:rsid w:val="12E24EE2"/>
    <w:rsid w:val="13693592"/>
    <w:rsid w:val="13D50BC4"/>
    <w:rsid w:val="14237BE5"/>
    <w:rsid w:val="14B17F78"/>
    <w:rsid w:val="165E0673"/>
    <w:rsid w:val="16B831D5"/>
    <w:rsid w:val="16BB723D"/>
    <w:rsid w:val="17873B7F"/>
    <w:rsid w:val="17E50567"/>
    <w:rsid w:val="186504BB"/>
    <w:rsid w:val="19A445FC"/>
    <w:rsid w:val="1BE8440E"/>
    <w:rsid w:val="1D155CEE"/>
    <w:rsid w:val="1D1638FE"/>
    <w:rsid w:val="1E312DEB"/>
    <w:rsid w:val="1E740ACF"/>
    <w:rsid w:val="1FF35744"/>
    <w:rsid w:val="1FF6BC77"/>
    <w:rsid w:val="214733AE"/>
    <w:rsid w:val="2186353C"/>
    <w:rsid w:val="23860B96"/>
    <w:rsid w:val="240371BF"/>
    <w:rsid w:val="244F3473"/>
    <w:rsid w:val="24C97D99"/>
    <w:rsid w:val="25A718F0"/>
    <w:rsid w:val="25BB59F6"/>
    <w:rsid w:val="260F557C"/>
    <w:rsid w:val="26970054"/>
    <w:rsid w:val="281408E2"/>
    <w:rsid w:val="28C50E13"/>
    <w:rsid w:val="29FD04D3"/>
    <w:rsid w:val="2BFF7BC6"/>
    <w:rsid w:val="2C8A61B5"/>
    <w:rsid w:val="2DF04E50"/>
    <w:rsid w:val="2E586DFA"/>
    <w:rsid w:val="2F040D46"/>
    <w:rsid w:val="2F6B035B"/>
    <w:rsid w:val="2FAE5751"/>
    <w:rsid w:val="2FB1A395"/>
    <w:rsid w:val="2FD9A7D8"/>
    <w:rsid w:val="2FDBF714"/>
    <w:rsid w:val="301E4A25"/>
    <w:rsid w:val="30AB6865"/>
    <w:rsid w:val="319F7F4E"/>
    <w:rsid w:val="32981347"/>
    <w:rsid w:val="32BD1EF1"/>
    <w:rsid w:val="3304709D"/>
    <w:rsid w:val="336678E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61B7D"/>
    <w:rsid w:val="3B7EF35A"/>
    <w:rsid w:val="3B9FDB6C"/>
    <w:rsid w:val="3BAF4A2A"/>
    <w:rsid w:val="3BF5BC2F"/>
    <w:rsid w:val="3CEBA265"/>
    <w:rsid w:val="3D98207C"/>
    <w:rsid w:val="3DEE7CF3"/>
    <w:rsid w:val="3E740A63"/>
    <w:rsid w:val="3E78745D"/>
    <w:rsid w:val="3EE17838"/>
    <w:rsid w:val="3F4C49F7"/>
    <w:rsid w:val="3F55381A"/>
    <w:rsid w:val="3F7F7599"/>
    <w:rsid w:val="3FF4CAE0"/>
    <w:rsid w:val="3FF7B227"/>
    <w:rsid w:val="41962EF5"/>
    <w:rsid w:val="42B17E9C"/>
    <w:rsid w:val="44E268DA"/>
    <w:rsid w:val="450D13D7"/>
    <w:rsid w:val="45506656"/>
    <w:rsid w:val="47887784"/>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3A3E67"/>
    <w:rsid w:val="561F43C7"/>
    <w:rsid w:val="567E1AA5"/>
    <w:rsid w:val="56E47B74"/>
    <w:rsid w:val="57175D52"/>
    <w:rsid w:val="57BD3DD4"/>
    <w:rsid w:val="5A2275C4"/>
    <w:rsid w:val="5AD22D98"/>
    <w:rsid w:val="5AF92295"/>
    <w:rsid w:val="5B250254"/>
    <w:rsid w:val="5BDD79E6"/>
    <w:rsid w:val="5BF561CA"/>
    <w:rsid w:val="5BFF5DFC"/>
    <w:rsid w:val="5C725394"/>
    <w:rsid w:val="5CD71FC4"/>
    <w:rsid w:val="5D1F11B5"/>
    <w:rsid w:val="5D695134"/>
    <w:rsid w:val="5D696074"/>
    <w:rsid w:val="5DAE1B18"/>
    <w:rsid w:val="5DE7D9E5"/>
    <w:rsid w:val="5ECEC941"/>
    <w:rsid w:val="5FBF9FF3"/>
    <w:rsid w:val="5FCD4E2C"/>
    <w:rsid w:val="5FEF394A"/>
    <w:rsid w:val="5FF67715"/>
    <w:rsid w:val="6062696C"/>
    <w:rsid w:val="62BF3928"/>
    <w:rsid w:val="63B3701E"/>
    <w:rsid w:val="647F5392"/>
    <w:rsid w:val="64FD4EB5"/>
    <w:rsid w:val="65E66580"/>
    <w:rsid w:val="664B1D71"/>
    <w:rsid w:val="664B4E8E"/>
    <w:rsid w:val="67277B67"/>
    <w:rsid w:val="673D77EB"/>
    <w:rsid w:val="67AA3209"/>
    <w:rsid w:val="698D0931"/>
    <w:rsid w:val="6A7FE5F3"/>
    <w:rsid w:val="6B053271"/>
    <w:rsid w:val="6BDD78B3"/>
    <w:rsid w:val="6C4A05C8"/>
    <w:rsid w:val="6C8742B8"/>
    <w:rsid w:val="6CF03552"/>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41F01"/>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5E3A65"/>
    <w:rsid w:val="78616DE9"/>
    <w:rsid w:val="78E875D7"/>
    <w:rsid w:val="79086DAD"/>
    <w:rsid w:val="796671AD"/>
    <w:rsid w:val="79D7FD79"/>
    <w:rsid w:val="79EE5BA4"/>
    <w:rsid w:val="7A894339"/>
    <w:rsid w:val="7AD284E8"/>
    <w:rsid w:val="7AFF7572"/>
    <w:rsid w:val="7B6C7DFB"/>
    <w:rsid w:val="7BBFBED0"/>
    <w:rsid w:val="7BC3E394"/>
    <w:rsid w:val="7C1F3737"/>
    <w:rsid w:val="7CBFC87B"/>
    <w:rsid w:val="7CFE0F48"/>
    <w:rsid w:val="7D0A180D"/>
    <w:rsid w:val="7D272ABC"/>
    <w:rsid w:val="7D7EC23E"/>
    <w:rsid w:val="7E8ADEBF"/>
    <w:rsid w:val="7EED169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2">
    <w:name w:val="heading 4"/>
    <w:basedOn w:val="1"/>
    <w:next w:val="1"/>
    <w:unhideWhenUsed/>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color w:val="000000"/>
      <w:spacing w:val="20"/>
      <w:szCs w:val="21"/>
    </w:r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able of figures"/>
    <w:basedOn w:val="1"/>
    <w:next w:val="1"/>
    <w:qFormat/>
    <w:uiPriority w:val="99"/>
    <w:pPr>
      <w:ind w:left="200" w:leftChars="200" w:hanging="200" w:hangingChars="200"/>
    </w:pPr>
    <w:rPr>
      <w:rFonts w:ascii="Times New Roman" w:eastAsia="仿宋_GB2312"/>
      <w:sz w:val="32"/>
      <w:szCs w:val="24"/>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9">
    <w:name w:val="Title"/>
    <w:basedOn w:val="1"/>
    <w:next w:val="1"/>
    <w:qFormat/>
    <w:uiPriority w:val="0"/>
    <w:pPr>
      <w:widowControl w:val="0"/>
      <w:jc w:val="center"/>
      <w:outlineLvl w:val="0"/>
    </w:pPr>
    <w:rPr>
      <w:rFonts w:ascii="Arial" w:hAnsi="Arial" w:eastAsia="宋体" w:cs="Times New Roman"/>
      <w:b/>
      <w:kern w:val="2"/>
      <w:sz w:val="32"/>
      <w:szCs w:val="24"/>
      <w:lang w:val="en-US" w:eastAsia="zh-CN" w:bidi="ar-SA"/>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3"/>
    <w:qFormat/>
    <w:uiPriority w:val="9"/>
    <w:rPr>
      <w:rFonts w:ascii="Times New Roman" w:hAnsi="Times New Roman"/>
      <w:b/>
      <w:bCs/>
      <w:kern w:val="44"/>
      <w:sz w:val="44"/>
      <w:szCs w:val="44"/>
    </w:rPr>
  </w:style>
  <w:style w:type="character" w:customStyle="1" w:styleId="34">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1"/>
    <w:semiHidden/>
    <w:qFormat/>
    <w:uiPriority w:val="99"/>
    <w:rPr>
      <w:rFonts w:ascii="Times New Roman" w:hAnsi="Times New Roman"/>
      <w:kern w:val="2"/>
      <w:sz w:val="18"/>
      <w:szCs w:val="18"/>
    </w:rPr>
  </w:style>
  <w:style w:type="character" w:customStyle="1" w:styleId="37">
    <w:name w:val="标题 3 Char"/>
    <w:basedOn w:val="21"/>
    <w:link w:val="5"/>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font71"/>
    <w:basedOn w:val="21"/>
    <w:uiPriority w:val="0"/>
    <w:rPr>
      <w:rFonts w:hint="default" w:ascii="Arial" w:hAnsi="Arial" w:cs="Arial"/>
      <w:color w:val="333333"/>
      <w:sz w:val="20"/>
      <w:szCs w:val="20"/>
      <w:u w:val="none"/>
    </w:rPr>
  </w:style>
  <w:style w:type="character" w:customStyle="1" w:styleId="41">
    <w:name w:val="font81"/>
    <w:basedOn w:val="21"/>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[图表.xlsx]Sheet2!$B$1:$B$2</c:f>
              <c:strCache>
                <c:ptCount val="2"/>
                <c:pt idx="0">
                  <c:v>2023年收支总计</c:v>
                </c:pt>
                <c:pt idx="1">
                  <c:v>2024年收支总计</c:v>
                </c:pt>
              </c:strCache>
            </c:strRef>
          </c:cat>
          <c:val>
            <c:numRef>
              <c:f>[图表.xlsx]Sheet2!$C$1:$C$2</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[图表.xlsx]Sheet2!$B$22:$B$29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[图表.xlsx]Sheet2!$C$22:$C$29</c:f>
              <c:numCache>
                <c:formatCode>0.00%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[图表.xlsx]Sheet2!$B$49:$B$53</c:f>
              <c:strCache>
                <c:ptCount val="5"/>
                <c:pt idx="0">
                  <c:v>基本支出</c:v>
                </c:pt>
                <c:pt idx="1">
                  <c:v>项目支出</c:v>
                </c:pt>
                <c:pt idx="2">
                  <c:v>上缴上级支出</c:v>
                </c:pt>
                <c:pt idx="3">
                  <c:v>经营支出</c:v>
                </c:pt>
                <c:pt idx="4">
                  <c:v>对附属单位补助支出</c:v>
                </c:pt>
              </c:strCache>
            </c:strRef>
          </c:cat>
          <c:val>
            <c:numRef>
              <c:f>[图表.xlsx]Sheet2!$C$49:$C$53</c:f>
              <c:numCache>
                <c:formatCode>0.00%</c:formatCode>
                <c:ptCount val="5"/>
                <c:pt idx="0">
                  <c:v>0.7939</c:v>
                </c:pt>
                <c:pt idx="1">
                  <c:v>0.2061</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[图表.xlsx]Sheet2!$B$74:$B$75</c:f>
              <c:strCache>
                <c:ptCount val="2"/>
                <c:pt idx="0">
                  <c:v>2023年财政收支总计</c:v>
                </c:pt>
                <c:pt idx="1">
                  <c:v>2024年财政收支总计</c:v>
                </c:pt>
              </c:strCache>
            </c:strRef>
          </c:cat>
          <c:val>
            <c:numRef>
              <c:f>[图表.xlsx]Sheet2!$C$74:$C$75</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[图表.xlsx]Sheet2!$B$98:$B$99</c:f>
              <c:strCache>
                <c:ptCount val="2"/>
                <c:pt idx="0">
                  <c:v>2023年一般公共预算财政拨款支出</c:v>
                </c:pt>
                <c:pt idx="1">
                  <c:v>2024年一般公共预算财政拨款支出</c:v>
                </c:pt>
              </c:strCache>
            </c:strRef>
          </c:cat>
          <c:val>
            <c:numRef>
              <c:f>[图表.xlsx]Sheet2!$C$98:$C$99</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875"/>
          <c:y val="0.034722222222222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[图表.xlsx]Sheet2!$B$141:$B$148</c:f>
              <c:strCache>
                <c:ptCount val="8"/>
                <c:pt idx="0">
                  <c:v>一般公共服务支出</c:v>
                </c:pt>
                <c:pt idx="1">
                  <c:v>国防支出</c:v>
                </c:pt>
                <c:pt idx="2">
                  <c:v>文化旅游体育与传媒支出</c:v>
                </c:pt>
                <c:pt idx="3">
                  <c:v>社会保障和就业支出</c:v>
                </c:pt>
                <c:pt idx="4">
                  <c:v>卫生健康支出</c:v>
                </c:pt>
                <c:pt idx="5">
                  <c:v>住房保障支出</c:v>
                </c:pt>
                <c:pt idx="6">
                  <c:v>城乡社区支出</c:v>
                </c:pt>
                <c:pt idx="7">
                  <c:v>农林水支出</c:v>
                </c:pt>
              </c:strCache>
            </c:strRef>
          </c:cat>
          <c:val>
            <c:numRef>
              <c:f>[图表.xlsx]Sheet2!$C$141:$C$148</c:f>
              <c:numCache>
                <c:formatCode>0.00%</c:formatCode>
                <c:ptCount val="8"/>
                <c:pt idx="0">
                  <c:v>0.411</c:v>
                </c:pt>
                <c:pt idx="1">
                  <c:v>0.0048</c:v>
                </c:pt>
                <c:pt idx="2">
                  <c:v>0.0034</c:v>
                </c:pt>
                <c:pt idx="3">
                  <c:v>0.1917</c:v>
                </c:pt>
                <c:pt idx="4">
                  <c:v>0.014</c:v>
                </c:pt>
                <c:pt idx="5">
                  <c:v>0.0382</c:v>
                </c:pt>
                <c:pt idx="6">
                  <c:v>0.1048</c:v>
                </c:pt>
                <c:pt idx="7">
                  <c:v>0.2321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[图表.xlsx]Sheet2!$B$170:$B$172</c:f>
              <c:strCache>
                <c:ptCount val="3"/>
                <c:pt idx="0">
                  <c:v>因公出国（境）费支出</c:v>
                </c:pt>
                <c:pt idx="1">
                  <c:v>公务用车购置及运行维护费支出</c:v>
                </c:pt>
                <c:pt idx="2">
                  <c:v>公务接待费支出</c:v>
                </c:pt>
              </c:strCache>
            </c:strRef>
          </c:cat>
          <c:val>
            <c:numRef>
              <c:f>[图表.xlsx]Sheet2!$C$170:$C$172</c:f>
              <c:numCache>
                <c:formatCode>0.00%</c:formatCode>
                <c:ptCount val="3"/>
                <c:pt idx="0">
                  <c:v>0</c:v>
                </c:pt>
                <c:pt idx="1">
                  <c:v>0.973</c:v>
                </c:pt>
                <c:pt idx="2">
                  <c:v>0.027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13338</Words>
  <Characters>14168</Characters>
  <Lines>61</Lines>
  <Paragraphs>17</Paragraphs>
  <TotalTime>9</TotalTime>
  <ScaleCrop>false</ScaleCrop>
  <LinksUpToDate>false</LinksUpToDate>
  <CharactersWithSpaces>14231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jump</cp:lastModifiedBy>
  <cp:lastPrinted>2025-08-06T17:34:00Z</cp:lastPrinted>
  <dcterms:modified xsi:type="dcterms:W3CDTF">2025-09-29T12:04:49Z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04787F2533EB45DC91BCDE4AB213247F</vt:lpwstr>
  </property>
  <property fmtid="{D5CDD505-2E9C-101B-9397-08002B2CF9AE}" pid="4" name="KSOTemplateDocerSaveRecord">
    <vt:lpwstr>eyJoZGlkIjoiZDE0NTkwY2JhZDYxM2IyNGY0ZjEzNTY5NzIxZDExZTciLCJ1c2VySWQiOiIxMDQ5Mjk0MjY4In0=</vt:lpwstr>
  </property>
</Properties>
</file>