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F3470">
      <w:pPr>
        <w:spacing w:line="600" w:lineRule="exact"/>
        <w:jc w:val="left"/>
        <w:outlineLvl w:val="9"/>
        <w:rPr>
          <w:rFonts w:ascii="方正小标宋简体" w:hAnsi="宋体" w:eastAsia="方正小标宋简体"/>
          <w:szCs w:val="21"/>
        </w:rPr>
      </w:pPr>
      <w:bookmarkStart w:id="0" w:name="_Toc15306267"/>
    </w:p>
    <w:p w14:paraId="29742AAA">
      <w:pPr>
        <w:pStyle w:val="8"/>
        <w:spacing w:before="93"/>
      </w:pPr>
    </w:p>
    <w:p w14:paraId="7FEBF053">
      <w:pPr>
        <w:spacing w:line="600" w:lineRule="exact"/>
        <w:jc w:val="center"/>
        <w:outlineLvl w:val="9"/>
        <w:rPr>
          <w:rFonts w:ascii="方正小标宋简体" w:hAnsi="宋体" w:eastAsia="方正小标宋简体"/>
          <w:sz w:val="72"/>
          <w:szCs w:val="72"/>
        </w:rPr>
      </w:pPr>
    </w:p>
    <w:p w14:paraId="189580BC">
      <w:pPr>
        <w:spacing w:line="600" w:lineRule="exact"/>
        <w:jc w:val="center"/>
        <w:outlineLvl w:val="9"/>
        <w:rPr>
          <w:rFonts w:ascii="方正小标宋简体" w:hAnsi="宋体" w:eastAsia="方正小标宋简体"/>
          <w:sz w:val="72"/>
          <w:szCs w:val="72"/>
        </w:rPr>
      </w:pPr>
    </w:p>
    <w:p w14:paraId="196C99A3">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ascii="方正小标宋简体" w:hAnsi="方正小标宋简体" w:eastAsia="方正小标宋简体" w:cs="方正小标宋简体"/>
          <w:sz w:val="72"/>
          <w:szCs w:val="72"/>
        </w:rPr>
      </w:pPr>
      <w:bookmarkStart w:id="1" w:name="_Toc15396597"/>
      <w:bookmarkStart w:id="2" w:name="_Toc15378441"/>
      <w:bookmarkStart w:id="3" w:name="_Toc15396475"/>
      <w:bookmarkStart w:id="4" w:name="_Toc15377425"/>
      <w:bookmarkStart w:id="5" w:name="_Toc15377193"/>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p>
    <w:bookmarkEnd w:id="0"/>
    <w:p w14:paraId="2A6CC08E">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72"/>
          <w:szCs w:val="72"/>
          <w:highlight w:val="none"/>
        </w:rPr>
      </w:pPr>
      <w:bookmarkStart w:id="6" w:name="_Toc15377194"/>
      <w:bookmarkStart w:id="7" w:name="_Toc15396598"/>
      <w:bookmarkStart w:id="8" w:name="_Toc15396476"/>
      <w:bookmarkStart w:id="9" w:name="_Toc15378442"/>
      <w:bookmarkStart w:id="10" w:name="_Toc15377426"/>
      <w:r>
        <w:rPr>
          <w:rFonts w:hint="eastAsia" w:ascii="方正小标宋简体" w:hAnsi="方正小标宋简体" w:eastAsia="方正小标宋简体" w:cs="方正小标宋简体"/>
          <w:color w:val="auto"/>
          <w:sz w:val="72"/>
          <w:szCs w:val="72"/>
          <w:highlight w:val="none"/>
        </w:rPr>
        <w:t>四川省</w:t>
      </w:r>
      <w:bookmarkStart w:id="11" w:name="_Toc15306268"/>
      <w:r>
        <w:rPr>
          <w:rFonts w:hint="eastAsia" w:ascii="方正小标宋简体" w:hAnsi="方正小标宋简体" w:eastAsia="方正小标宋简体" w:cs="方正小标宋简体"/>
          <w:color w:val="auto"/>
          <w:sz w:val="72"/>
          <w:szCs w:val="72"/>
          <w:highlight w:val="none"/>
          <w:lang w:eastAsia="zh-CN"/>
        </w:rPr>
        <w:t>中共乐山市金口河区委党校单位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14:paraId="347D396D">
      <w:pPr>
        <w:keepNext w:val="0"/>
        <w:keepLines w:val="0"/>
        <w:pageBreakBefore w:val="0"/>
        <w:widowControl/>
        <w:kinsoku/>
        <w:wordWrap/>
        <w:overflowPunct/>
        <w:topLinePunct w:val="0"/>
        <w:autoSpaceDE/>
        <w:autoSpaceDN/>
        <w:bidi w:val="0"/>
        <w:jc w:val="center"/>
        <w:textAlignment w:val="auto"/>
        <w:outlineLvl w:val="9"/>
        <w:rPr>
          <w:rFonts w:hint="eastAsia" w:ascii="黑体" w:hAnsi="黑体" w:eastAsia="黑体"/>
          <w:sz w:val="48"/>
          <w:szCs w:val="48"/>
        </w:rPr>
        <w:sectPr>
          <w:headerReference r:id="rId3" w:type="default"/>
          <w:pgSz w:w="11906" w:h="16838"/>
          <w:pgMar w:top="1440" w:right="1800" w:bottom="1440" w:left="1800" w:header="851" w:footer="992" w:gutter="0"/>
          <w:pgNumType w:start="1"/>
          <w:cols w:space="425" w:num="1"/>
          <w:titlePg/>
          <w:docGrid w:type="lines" w:linePitch="312" w:charSpace="0"/>
        </w:sectPr>
      </w:pPr>
    </w:p>
    <w:p w14:paraId="6C522D32">
      <w:pPr>
        <w:widowControl/>
        <w:jc w:val="center"/>
        <w:rPr>
          <w:rFonts w:ascii="黑体" w:hAnsi="黑体" w:eastAsia="黑体" w:cstheme="minorBidi"/>
          <w:sz w:val="28"/>
          <w:szCs w:val="28"/>
        </w:rPr>
      </w:pPr>
      <w:r>
        <w:rPr>
          <w:rFonts w:hint="eastAsia" w:ascii="黑体" w:hAnsi="黑体" w:eastAsia="黑体"/>
          <w:sz w:val="48"/>
          <w:szCs w:val="48"/>
        </w:rPr>
        <w:t>目录</w:t>
      </w:r>
    </w:p>
    <w:p w14:paraId="1172E832">
      <w:pPr>
        <w:pStyle w:val="13"/>
      </w:pPr>
      <w:r>
        <w:rPr>
          <w:rFonts w:hint="eastAsia"/>
        </w:rPr>
        <w:t>公开时间：20</w:t>
      </w:r>
      <w:r>
        <w:rPr>
          <w:rFonts w:hint="eastAsia"/>
          <w:lang w:val="en-US" w:eastAsia="zh-CN"/>
        </w:rPr>
        <w:t>25</w:t>
      </w:r>
      <w:r>
        <w:rPr>
          <w:rFonts w:hint="eastAsia"/>
        </w:rPr>
        <w:t>年9月</w:t>
      </w:r>
      <w:r>
        <w:rPr>
          <w:rFonts w:hint="eastAsia"/>
          <w:lang w:val="en-US" w:eastAsia="zh-CN"/>
        </w:rPr>
        <w:t xml:space="preserve">23 </w:t>
      </w:r>
      <w:r>
        <w:rPr>
          <w:rFonts w:hint="eastAsia"/>
        </w:rPr>
        <w:t>日</w:t>
      </w:r>
    </w:p>
    <w:sdt>
      <w:sdtPr>
        <w:rPr>
          <w:rFonts w:ascii="宋体" w:hAnsi="宋体" w:eastAsia="宋体" w:cs="Times New Roman"/>
          <w:kern w:val="2"/>
          <w:sz w:val="21"/>
          <w:szCs w:val="24"/>
          <w:lang w:val="en-US" w:eastAsia="zh-CN" w:bidi="ar-SA"/>
        </w:rPr>
        <w:id w:val="147475406"/>
        <w15:color w:val="DBDBDB"/>
        <w:docPartObj>
          <w:docPartGallery w:val="Table of Contents"/>
          <w:docPartUnique/>
        </w:docPartObj>
      </w:sdtPr>
      <w:sdtEndPr>
        <w:rPr>
          <w:rFonts w:hint="eastAsia" w:ascii="黑体" w:hAnsi="黑体" w:eastAsia="黑体" w:cs="Times New Roman"/>
          <w:b/>
          <w:bCs/>
          <w:kern w:val="44"/>
          <w:sz w:val="44"/>
          <w:szCs w:val="44"/>
          <w:lang w:val="en-US" w:eastAsia="zh-CN" w:bidi="ar-SA"/>
        </w:rPr>
      </w:sdtEndPr>
      <w:sdtContent>
        <w:p w14:paraId="1CF0C470">
          <w:pPr>
            <w:spacing w:before="0" w:beforeLines="0" w:after="0" w:afterLines="0" w:line="240" w:lineRule="auto"/>
            <w:ind w:left="0" w:leftChars="0" w:right="0" w:rightChars="0" w:firstLine="0" w:firstLineChars="0"/>
            <w:jc w:val="center"/>
          </w:pPr>
        </w:p>
        <w:p w14:paraId="60D20B56">
          <w:pPr>
            <w:pStyle w:val="13"/>
            <w:tabs>
              <w:tab w:val="right" w:leader="dot" w:pos="8306"/>
              <w:tab w:val="clear" w:pos="8296"/>
            </w:tabs>
          </w:pPr>
          <w:r>
            <w:rPr>
              <w:rFonts w:hint="eastAsia" w:ascii="黑体" w:hAnsi="黑体" w:eastAsia="黑体"/>
              <w:b w:val="0"/>
            </w:rPr>
            <w:fldChar w:fldCharType="begin"/>
          </w:r>
          <w:r>
            <w:rPr>
              <w:rFonts w:hint="eastAsia" w:ascii="黑体" w:hAnsi="黑体" w:eastAsia="黑体"/>
              <w:b w:val="0"/>
            </w:rPr>
            <w:instrText xml:space="preserve">TOC \o "1-2" \h \u </w:instrText>
          </w:r>
          <w:r>
            <w:rPr>
              <w:rFonts w:hint="eastAsia" w:ascii="黑体" w:hAnsi="黑体" w:eastAsia="黑体"/>
              <w:b w:val="0"/>
            </w:rPr>
            <w:fldChar w:fldCharType="separate"/>
          </w:r>
          <w:r>
            <w:rPr>
              <w:rFonts w:hint="eastAsia" w:ascii="黑体" w:hAnsi="黑体" w:eastAsia="黑体"/>
            </w:rPr>
            <w:fldChar w:fldCharType="begin"/>
          </w:r>
          <w:r>
            <w:rPr>
              <w:rFonts w:hint="eastAsia" w:ascii="黑体" w:hAnsi="黑体" w:eastAsia="黑体"/>
            </w:rPr>
            <w:instrText xml:space="preserve"> HYPERLINK \l _Toc30485 </w:instrText>
          </w:r>
          <w:r>
            <w:rPr>
              <w:rFonts w:hint="eastAsia" w:ascii="黑体" w:hAnsi="黑体" w:eastAsia="黑体"/>
            </w:rPr>
            <w:fldChar w:fldCharType="separate"/>
          </w:r>
          <w:r>
            <w:rPr>
              <w:rFonts w:hint="eastAsia" w:ascii="黑体" w:hAnsi="黑体" w:eastAsia="黑体"/>
            </w:rPr>
            <w:t xml:space="preserve">第一部分 </w:t>
          </w:r>
          <w:r>
            <w:rPr>
              <w:rFonts w:hint="eastAsia" w:ascii="黑体" w:hAnsi="黑体" w:eastAsia="黑体"/>
              <w:bCs w:val="0"/>
              <w:lang w:eastAsia="zh-CN"/>
            </w:rPr>
            <w:t>单位</w:t>
          </w:r>
          <w:r>
            <w:rPr>
              <w:rFonts w:hint="eastAsia" w:ascii="黑体" w:hAnsi="黑体" w:eastAsia="黑体"/>
              <w:bCs w:val="0"/>
            </w:rPr>
            <w:t>概况</w:t>
          </w:r>
          <w:r>
            <w:tab/>
          </w:r>
          <w:r>
            <w:fldChar w:fldCharType="begin"/>
          </w:r>
          <w:r>
            <w:instrText xml:space="preserve"> PAGEREF _Toc30485 \h </w:instrText>
          </w:r>
          <w:r>
            <w:fldChar w:fldCharType="separate"/>
          </w:r>
          <w:r>
            <w:t>2</w:t>
          </w:r>
          <w:r>
            <w:fldChar w:fldCharType="end"/>
          </w:r>
          <w:r>
            <w:rPr>
              <w:rFonts w:hint="eastAsia" w:ascii="黑体" w:hAnsi="黑体" w:eastAsia="黑体"/>
            </w:rPr>
            <w:fldChar w:fldCharType="end"/>
          </w:r>
        </w:p>
        <w:p w14:paraId="004A316A">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_Toc4028 </w:instrText>
          </w:r>
          <w:r>
            <w:rPr>
              <w:rFonts w:hint="eastAsia" w:ascii="黑体" w:hAnsi="黑体" w:eastAsia="黑体"/>
            </w:rPr>
            <w:fldChar w:fldCharType="separate"/>
          </w:r>
          <w:r>
            <w:rPr>
              <w:rFonts w:hint="eastAsia" w:ascii="黑体" w:hAnsi="黑体" w:eastAsia="黑体"/>
            </w:rPr>
            <w:t>一、 部门职责</w:t>
          </w:r>
          <w:r>
            <w:tab/>
          </w:r>
          <w:r>
            <w:fldChar w:fldCharType="begin"/>
          </w:r>
          <w:r>
            <w:instrText xml:space="preserve"> PAGEREF _Toc4028 \h </w:instrText>
          </w:r>
          <w:r>
            <w:fldChar w:fldCharType="separate"/>
          </w:r>
          <w:r>
            <w:t>2</w:t>
          </w:r>
          <w:r>
            <w:fldChar w:fldCharType="end"/>
          </w:r>
          <w:r>
            <w:rPr>
              <w:rFonts w:hint="eastAsia" w:ascii="黑体" w:hAnsi="黑体" w:eastAsia="黑体"/>
            </w:rPr>
            <w:fldChar w:fldCharType="end"/>
          </w:r>
        </w:p>
        <w:p w14:paraId="4591FD36">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_Toc28866 </w:instrText>
          </w:r>
          <w:r>
            <w:rPr>
              <w:rFonts w:hint="eastAsia" w:ascii="黑体" w:hAnsi="黑体" w:eastAsia="黑体"/>
            </w:rPr>
            <w:fldChar w:fldCharType="separate"/>
          </w:r>
          <w:r>
            <w:rPr>
              <w:rFonts w:hint="eastAsia" w:ascii="黑体" w:hAnsi="黑体" w:eastAsia="黑体"/>
              <w:bCs w:val="0"/>
            </w:rPr>
            <w:t xml:space="preserve">二、 </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_Toc28866 \h </w:instrText>
          </w:r>
          <w:r>
            <w:fldChar w:fldCharType="separate"/>
          </w:r>
          <w:r>
            <w:t>2</w:t>
          </w:r>
          <w:r>
            <w:fldChar w:fldCharType="end"/>
          </w:r>
          <w:r>
            <w:rPr>
              <w:rFonts w:hint="eastAsia" w:ascii="黑体" w:hAnsi="黑体" w:eastAsia="黑体"/>
            </w:rPr>
            <w:fldChar w:fldCharType="end"/>
          </w:r>
        </w:p>
        <w:p w14:paraId="246DFB2C">
          <w:pPr>
            <w:pStyle w:val="13"/>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_Toc14190 </w:instrText>
          </w:r>
          <w:r>
            <w:rPr>
              <w:rFonts w:hint="eastAsia" w:ascii="黑体" w:hAnsi="黑体" w:eastAsia="黑体"/>
            </w:rPr>
            <w:fldChar w:fldCharType="separate"/>
          </w:r>
          <w:r>
            <w:rPr>
              <w:rFonts w:hint="eastAsia" w:ascii="黑体" w:hAnsi="黑体" w:eastAsia="黑体"/>
            </w:rPr>
            <w:t xml:space="preserve">第二部分 </w:t>
          </w:r>
          <w:r>
            <w:rPr>
              <w:rFonts w:hint="eastAsia" w:ascii="黑体" w:hAnsi="黑体" w:eastAsia="黑体"/>
              <w:lang w:eastAsia="zh-CN"/>
            </w:rPr>
            <w:t>2024</w:t>
          </w:r>
          <w:r>
            <w:rPr>
              <w:rFonts w:hint="eastAsia" w:ascii="黑体" w:hAnsi="黑体" w:eastAsia="黑体"/>
            </w:rPr>
            <w:t>年度</w:t>
          </w:r>
          <w:r>
            <w:rPr>
              <w:rFonts w:hint="eastAsia" w:ascii="黑体" w:hAnsi="黑体" w:eastAsia="黑体"/>
              <w:bCs/>
              <w:lang w:eastAsia="zh-CN"/>
            </w:rPr>
            <w:t>单位</w:t>
          </w:r>
          <w:r>
            <w:rPr>
              <w:rFonts w:hint="eastAsia" w:ascii="黑体" w:hAnsi="黑体" w:eastAsia="黑体"/>
              <w:bCs/>
            </w:rPr>
            <w:t>决算情况说明</w:t>
          </w:r>
          <w:r>
            <w:tab/>
          </w:r>
          <w:r>
            <w:fldChar w:fldCharType="begin"/>
          </w:r>
          <w:r>
            <w:instrText xml:space="preserve"> PAGEREF _Toc14190 \h </w:instrText>
          </w:r>
          <w:r>
            <w:fldChar w:fldCharType="separate"/>
          </w:r>
          <w:r>
            <w:t>3</w:t>
          </w:r>
          <w:r>
            <w:fldChar w:fldCharType="end"/>
          </w:r>
          <w:r>
            <w:rPr>
              <w:rFonts w:hint="eastAsia" w:ascii="黑体" w:hAnsi="黑体" w:eastAsia="黑体"/>
            </w:rPr>
            <w:fldChar w:fldCharType="end"/>
          </w:r>
        </w:p>
        <w:p w14:paraId="3427B6E0">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_Toc9758 </w:instrText>
          </w:r>
          <w:r>
            <w:rPr>
              <w:rFonts w:hint="eastAsia" w:ascii="黑体" w:hAnsi="黑体" w:eastAsia="黑体"/>
            </w:rP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_Toc9758 \h </w:instrText>
          </w:r>
          <w:r>
            <w:fldChar w:fldCharType="separate"/>
          </w:r>
          <w:r>
            <w:t>3</w:t>
          </w:r>
          <w:r>
            <w:fldChar w:fldCharType="end"/>
          </w:r>
          <w:r>
            <w:rPr>
              <w:rFonts w:hint="eastAsia" w:ascii="黑体" w:hAnsi="黑体" w:eastAsia="黑体"/>
            </w:rPr>
            <w:fldChar w:fldCharType="end"/>
          </w:r>
        </w:p>
        <w:p w14:paraId="27F0BBAB">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_Toc21032 </w:instrText>
          </w:r>
          <w:r>
            <w:rPr>
              <w:rFonts w:hint="eastAsia" w:ascii="黑体" w:hAnsi="黑体" w:eastAsia="黑体"/>
            </w:rP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_Toc21032 \h </w:instrText>
          </w:r>
          <w:r>
            <w:fldChar w:fldCharType="separate"/>
          </w:r>
          <w:r>
            <w:t>3</w:t>
          </w:r>
          <w:r>
            <w:fldChar w:fldCharType="end"/>
          </w:r>
          <w:r>
            <w:rPr>
              <w:rFonts w:hint="eastAsia" w:ascii="黑体" w:hAnsi="黑体" w:eastAsia="黑体"/>
            </w:rPr>
            <w:fldChar w:fldCharType="end"/>
          </w:r>
        </w:p>
        <w:p w14:paraId="74821602">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_Toc25902 </w:instrText>
          </w:r>
          <w:r>
            <w:rPr>
              <w:rFonts w:hint="eastAsia" w:ascii="黑体" w:hAnsi="黑体" w:eastAsia="黑体"/>
            </w:rP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_Toc25902 \h </w:instrText>
          </w:r>
          <w:r>
            <w:fldChar w:fldCharType="separate"/>
          </w:r>
          <w:r>
            <w:t>4</w:t>
          </w:r>
          <w:r>
            <w:fldChar w:fldCharType="end"/>
          </w:r>
          <w:r>
            <w:rPr>
              <w:rFonts w:hint="eastAsia" w:ascii="黑体" w:hAnsi="黑体" w:eastAsia="黑体"/>
            </w:rPr>
            <w:fldChar w:fldCharType="end"/>
          </w:r>
        </w:p>
        <w:p w14:paraId="14E457CA">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_Toc10334 </w:instrText>
          </w:r>
          <w:r>
            <w:rPr>
              <w:rFonts w:hint="eastAsia" w:ascii="黑体" w:hAnsi="黑体" w:eastAsia="黑体"/>
            </w:rP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_Toc10334 \h </w:instrText>
          </w:r>
          <w:r>
            <w:fldChar w:fldCharType="separate"/>
          </w:r>
          <w:r>
            <w:t>5</w:t>
          </w:r>
          <w:r>
            <w:fldChar w:fldCharType="end"/>
          </w:r>
          <w:r>
            <w:rPr>
              <w:rFonts w:hint="eastAsia" w:ascii="黑体" w:hAnsi="黑体" w:eastAsia="黑体"/>
            </w:rPr>
            <w:fldChar w:fldCharType="end"/>
          </w:r>
        </w:p>
        <w:p w14:paraId="345122DD">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_Toc25847 </w:instrText>
          </w:r>
          <w:r>
            <w:rPr>
              <w:rFonts w:hint="eastAsia" w:ascii="黑体" w:hAnsi="黑体" w:eastAsia="黑体"/>
            </w:rP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_Toc25847 \h </w:instrText>
          </w:r>
          <w:r>
            <w:fldChar w:fldCharType="separate"/>
          </w:r>
          <w:r>
            <w:t>6</w:t>
          </w:r>
          <w:r>
            <w:fldChar w:fldCharType="end"/>
          </w:r>
          <w:r>
            <w:rPr>
              <w:rFonts w:hint="eastAsia" w:ascii="黑体" w:hAnsi="黑体" w:eastAsia="黑体"/>
            </w:rPr>
            <w:fldChar w:fldCharType="end"/>
          </w:r>
        </w:p>
        <w:p w14:paraId="1ED1F31B">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_Toc27615 </w:instrText>
          </w:r>
          <w:r>
            <w:rPr>
              <w:rFonts w:hint="eastAsia" w:ascii="黑体" w:hAnsi="黑体" w:eastAsia="黑体"/>
            </w:rP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_Toc27615 \h </w:instrText>
          </w:r>
          <w:r>
            <w:fldChar w:fldCharType="separate"/>
          </w:r>
          <w:r>
            <w:t>8</w:t>
          </w:r>
          <w:r>
            <w:fldChar w:fldCharType="end"/>
          </w:r>
          <w:r>
            <w:rPr>
              <w:rFonts w:hint="eastAsia" w:ascii="黑体" w:hAnsi="黑体" w:eastAsia="黑体"/>
            </w:rPr>
            <w:fldChar w:fldCharType="end"/>
          </w:r>
        </w:p>
        <w:p w14:paraId="2AB1F15A">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_Toc29568 </w:instrText>
          </w:r>
          <w:r>
            <w:rPr>
              <w:rFonts w:hint="eastAsia" w:ascii="黑体" w:hAnsi="黑体" w:eastAsia="黑体"/>
            </w:rP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_Toc29568 \h </w:instrText>
          </w:r>
          <w:r>
            <w:fldChar w:fldCharType="separate"/>
          </w:r>
          <w:r>
            <w:t>9</w:t>
          </w:r>
          <w:r>
            <w:fldChar w:fldCharType="end"/>
          </w:r>
          <w:r>
            <w:rPr>
              <w:rFonts w:hint="eastAsia" w:ascii="黑体" w:hAnsi="黑体" w:eastAsia="黑体"/>
            </w:rPr>
            <w:fldChar w:fldCharType="end"/>
          </w:r>
        </w:p>
        <w:p w14:paraId="25F0ABAA">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_Toc20543 </w:instrText>
          </w:r>
          <w:r>
            <w:rPr>
              <w:rFonts w:hint="eastAsia" w:ascii="黑体" w:hAnsi="黑体" w:eastAsia="黑体"/>
            </w:rP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_Toc20543 \h </w:instrText>
          </w:r>
          <w:r>
            <w:fldChar w:fldCharType="separate"/>
          </w:r>
          <w:r>
            <w:t>11</w:t>
          </w:r>
          <w:r>
            <w:fldChar w:fldCharType="end"/>
          </w:r>
          <w:r>
            <w:rPr>
              <w:rFonts w:hint="eastAsia" w:ascii="黑体" w:hAnsi="黑体" w:eastAsia="黑体"/>
            </w:rPr>
            <w:fldChar w:fldCharType="end"/>
          </w:r>
        </w:p>
        <w:p w14:paraId="44CD9F2B">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_Toc17680 </w:instrText>
          </w:r>
          <w:r>
            <w:rPr>
              <w:rFonts w:hint="eastAsia" w:ascii="黑体" w:hAnsi="黑体" w:eastAsia="黑体"/>
            </w:rPr>
            <w:fldChar w:fldCharType="separate"/>
          </w:r>
          <w:r>
            <w:rPr>
              <w:rFonts w:hint="eastAsia" w:ascii="黑体" w:hAnsi="黑体" w:eastAsia="黑体"/>
            </w:rPr>
            <w:t>九、 国有资本经营预算支出决算情况说明</w:t>
          </w:r>
          <w:r>
            <w:tab/>
          </w:r>
          <w:r>
            <w:fldChar w:fldCharType="begin"/>
          </w:r>
          <w:r>
            <w:instrText xml:space="preserve"> PAGEREF _Toc17680 \h </w:instrText>
          </w:r>
          <w:r>
            <w:fldChar w:fldCharType="separate"/>
          </w:r>
          <w:r>
            <w:t>11</w:t>
          </w:r>
          <w:r>
            <w:fldChar w:fldCharType="end"/>
          </w:r>
          <w:r>
            <w:rPr>
              <w:rFonts w:hint="eastAsia" w:ascii="黑体" w:hAnsi="黑体" w:eastAsia="黑体"/>
            </w:rPr>
            <w:fldChar w:fldCharType="end"/>
          </w:r>
        </w:p>
        <w:p w14:paraId="53911A02">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_Toc21411 </w:instrText>
          </w:r>
          <w:r>
            <w:rPr>
              <w:rFonts w:hint="eastAsia" w:ascii="黑体" w:hAnsi="黑体" w:eastAsia="黑体"/>
            </w:rPr>
            <w:fldChar w:fldCharType="separate"/>
          </w:r>
          <w:r>
            <w:rPr>
              <w:rFonts w:hint="eastAsia" w:ascii="黑体" w:hAnsi="黑体" w:eastAsia="黑体"/>
            </w:rPr>
            <w:t>十、 其他重要事项的情况说明</w:t>
          </w:r>
          <w:r>
            <w:tab/>
          </w:r>
          <w:r>
            <w:fldChar w:fldCharType="begin"/>
          </w:r>
          <w:r>
            <w:instrText xml:space="preserve"> PAGEREF _Toc21411 \h </w:instrText>
          </w:r>
          <w:r>
            <w:fldChar w:fldCharType="separate"/>
          </w:r>
          <w:r>
            <w:t>11</w:t>
          </w:r>
          <w:r>
            <w:fldChar w:fldCharType="end"/>
          </w:r>
          <w:r>
            <w:rPr>
              <w:rFonts w:hint="eastAsia" w:ascii="黑体" w:hAnsi="黑体" w:eastAsia="黑体"/>
            </w:rPr>
            <w:fldChar w:fldCharType="end"/>
          </w:r>
        </w:p>
        <w:p w14:paraId="0B898BFE">
          <w:pPr>
            <w:pStyle w:val="13"/>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_Toc30277 </w:instrText>
          </w:r>
          <w:r>
            <w:rPr>
              <w:rFonts w:hint="eastAsia" w:ascii="黑体" w:hAnsi="黑体" w:eastAsia="黑体"/>
            </w:rPr>
            <w:fldChar w:fldCharType="separate"/>
          </w:r>
          <w:r>
            <w:rPr>
              <w:rFonts w:hint="eastAsia" w:ascii="黑体" w:hAnsi="黑体" w:eastAsia="黑体" w:cs="黑体"/>
              <w:szCs w:val="44"/>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_Toc30277 \h </w:instrText>
          </w:r>
          <w:r>
            <w:fldChar w:fldCharType="separate"/>
          </w:r>
          <w:r>
            <w:t>13</w:t>
          </w:r>
          <w:r>
            <w:fldChar w:fldCharType="end"/>
          </w:r>
          <w:r>
            <w:rPr>
              <w:rFonts w:hint="eastAsia" w:ascii="黑体" w:hAnsi="黑体" w:eastAsia="黑体"/>
            </w:rPr>
            <w:fldChar w:fldCharType="end"/>
          </w:r>
        </w:p>
        <w:p w14:paraId="12AE4501">
          <w:pPr>
            <w:pStyle w:val="13"/>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_Toc8957 </w:instrText>
          </w:r>
          <w:r>
            <w:rPr>
              <w:rFonts w:hint="eastAsia" w:ascii="黑体" w:hAnsi="黑体" w:eastAsia="黑体"/>
            </w:rP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_Toc8957 \h </w:instrText>
          </w:r>
          <w:r>
            <w:fldChar w:fldCharType="separate"/>
          </w:r>
          <w:r>
            <w:t>17</w:t>
          </w:r>
          <w:r>
            <w:fldChar w:fldCharType="end"/>
          </w:r>
          <w:r>
            <w:rPr>
              <w:rFonts w:hint="eastAsia" w:ascii="黑体" w:hAnsi="黑体" w:eastAsia="黑体"/>
            </w:rPr>
            <w:fldChar w:fldCharType="end"/>
          </w:r>
        </w:p>
        <w:p w14:paraId="62E495D1">
          <w:pPr>
            <w:pStyle w:val="13"/>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_Toc8178 </w:instrText>
          </w:r>
          <w:r>
            <w:rPr>
              <w:rFonts w:hint="eastAsia" w:ascii="黑体" w:hAnsi="黑体" w:eastAsia="黑体"/>
            </w:rP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_Toc8178 \h </w:instrText>
          </w:r>
          <w:r>
            <w:fldChar w:fldCharType="separate"/>
          </w:r>
          <w:r>
            <w:t>18</w:t>
          </w:r>
          <w:r>
            <w:fldChar w:fldCharType="end"/>
          </w:r>
          <w:r>
            <w:rPr>
              <w:rFonts w:hint="eastAsia" w:ascii="黑体" w:hAnsi="黑体" w:eastAsia="黑体"/>
            </w:rPr>
            <w:fldChar w:fldCharType="end"/>
          </w:r>
        </w:p>
        <w:p w14:paraId="51AE7BB5">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_Toc7402 </w:instrText>
          </w:r>
          <w:r>
            <w:rPr>
              <w:rFonts w:hint="eastAsia" w:ascii="黑体" w:hAnsi="黑体" w:eastAsia="黑体"/>
            </w:rP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_Toc7402 \h </w:instrText>
          </w:r>
          <w:r>
            <w:fldChar w:fldCharType="separate"/>
          </w:r>
          <w:r>
            <w:t>18</w:t>
          </w:r>
          <w:r>
            <w:fldChar w:fldCharType="end"/>
          </w:r>
          <w:r>
            <w:rPr>
              <w:rFonts w:hint="eastAsia" w:ascii="黑体" w:hAnsi="黑体" w:eastAsia="黑体"/>
            </w:rPr>
            <w:fldChar w:fldCharType="end"/>
          </w:r>
        </w:p>
        <w:p w14:paraId="28643E44">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_Toc4843 </w:instrText>
          </w:r>
          <w:r>
            <w:rPr>
              <w:rFonts w:hint="eastAsia" w:ascii="黑体" w:hAnsi="黑体" w:eastAsia="黑体"/>
            </w:rP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_Toc4843 \h </w:instrText>
          </w:r>
          <w:r>
            <w:fldChar w:fldCharType="separate"/>
          </w:r>
          <w:r>
            <w:t>18</w:t>
          </w:r>
          <w:r>
            <w:fldChar w:fldCharType="end"/>
          </w:r>
          <w:r>
            <w:rPr>
              <w:rFonts w:hint="eastAsia" w:ascii="黑体" w:hAnsi="黑体" w:eastAsia="黑体"/>
            </w:rPr>
            <w:fldChar w:fldCharType="end"/>
          </w:r>
        </w:p>
        <w:p w14:paraId="289D63C0">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_Toc20699 </w:instrText>
          </w:r>
          <w:r>
            <w:rPr>
              <w:rFonts w:hint="eastAsia" w:ascii="黑体" w:hAnsi="黑体" w:eastAsia="黑体"/>
            </w:rP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_Toc20699 \h </w:instrText>
          </w:r>
          <w:r>
            <w:fldChar w:fldCharType="separate"/>
          </w:r>
          <w:r>
            <w:t>18</w:t>
          </w:r>
          <w:r>
            <w:fldChar w:fldCharType="end"/>
          </w:r>
          <w:r>
            <w:rPr>
              <w:rFonts w:hint="eastAsia" w:ascii="黑体" w:hAnsi="黑体" w:eastAsia="黑体"/>
            </w:rPr>
            <w:fldChar w:fldCharType="end"/>
          </w:r>
        </w:p>
        <w:p w14:paraId="331FA3E0">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_Toc17187 </w:instrText>
          </w:r>
          <w:r>
            <w:rPr>
              <w:rFonts w:hint="eastAsia" w:ascii="黑体" w:hAnsi="黑体" w:eastAsia="黑体"/>
            </w:rP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_Toc17187 \h </w:instrText>
          </w:r>
          <w:r>
            <w:fldChar w:fldCharType="separate"/>
          </w:r>
          <w:r>
            <w:t>18</w:t>
          </w:r>
          <w:r>
            <w:fldChar w:fldCharType="end"/>
          </w:r>
          <w:r>
            <w:rPr>
              <w:rFonts w:hint="eastAsia" w:ascii="黑体" w:hAnsi="黑体" w:eastAsia="黑体"/>
            </w:rPr>
            <w:fldChar w:fldCharType="end"/>
          </w:r>
        </w:p>
        <w:p w14:paraId="094EDCA6">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_Toc1073 </w:instrText>
          </w:r>
          <w:r>
            <w:rPr>
              <w:rFonts w:hint="eastAsia" w:ascii="黑体" w:hAnsi="黑体" w:eastAsia="黑体"/>
            </w:rP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_Toc1073 \h </w:instrText>
          </w:r>
          <w:r>
            <w:fldChar w:fldCharType="separate"/>
          </w:r>
          <w:r>
            <w:t>18</w:t>
          </w:r>
          <w:r>
            <w:fldChar w:fldCharType="end"/>
          </w:r>
          <w:r>
            <w:rPr>
              <w:rFonts w:hint="eastAsia" w:ascii="黑体" w:hAnsi="黑体" w:eastAsia="黑体"/>
            </w:rPr>
            <w:fldChar w:fldCharType="end"/>
          </w:r>
        </w:p>
        <w:p w14:paraId="604ECB84">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_Toc25800 </w:instrText>
          </w:r>
          <w:r>
            <w:rPr>
              <w:rFonts w:hint="eastAsia" w:ascii="黑体" w:hAnsi="黑体" w:eastAsia="黑体"/>
            </w:rP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_Toc25800 \h </w:instrText>
          </w:r>
          <w:r>
            <w:fldChar w:fldCharType="separate"/>
          </w:r>
          <w:r>
            <w:t>18</w:t>
          </w:r>
          <w:r>
            <w:fldChar w:fldCharType="end"/>
          </w:r>
          <w:r>
            <w:rPr>
              <w:rFonts w:hint="eastAsia" w:ascii="黑体" w:hAnsi="黑体" w:eastAsia="黑体"/>
            </w:rPr>
            <w:fldChar w:fldCharType="end"/>
          </w:r>
        </w:p>
        <w:p w14:paraId="4B61A462">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_Toc21864 </w:instrText>
          </w:r>
          <w:r>
            <w:rPr>
              <w:rFonts w:hint="eastAsia" w:ascii="黑体" w:hAnsi="黑体" w:eastAsia="黑体"/>
            </w:rP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_Toc21864 \h </w:instrText>
          </w:r>
          <w:r>
            <w:fldChar w:fldCharType="separate"/>
          </w:r>
          <w:r>
            <w:t>18</w:t>
          </w:r>
          <w:r>
            <w:fldChar w:fldCharType="end"/>
          </w:r>
          <w:r>
            <w:rPr>
              <w:rFonts w:hint="eastAsia" w:ascii="黑体" w:hAnsi="黑体" w:eastAsia="黑体"/>
            </w:rPr>
            <w:fldChar w:fldCharType="end"/>
          </w:r>
        </w:p>
        <w:p w14:paraId="34C4AB8D">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_Toc4937 </w:instrText>
          </w:r>
          <w:r>
            <w:rPr>
              <w:rFonts w:hint="eastAsia" w:ascii="黑体" w:hAnsi="黑体" w:eastAsia="黑体"/>
            </w:rP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_Toc4937 \h </w:instrText>
          </w:r>
          <w:r>
            <w:fldChar w:fldCharType="separate"/>
          </w:r>
          <w:r>
            <w:t>18</w:t>
          </w:r>
          <w:r>
            <w:fldChar w:fldCharType="end"/>
          </w:r>
          <w:r>
            <w:rPr>
              <w:rFonts w:hint="eastAsia" w:ascii="黑体" w:hAnsi="黑体" w:eastAsia="黑体"/>
            </w:rPr>
            <w:fldChar w:fldCharType="end"/>
          </w:r>
        </w:p>
        <w:p w14:paraId="6C39B1A4">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_Toc5523 </w:instrText>
          </w:r>
          <w:r>
            <w:rPr>
              <w:rFonts w:hint="eastAsia" w:ascii="黑体" w:hAnsi="黑体" w:eastAsia="黑体"/>
            </w:rP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_Toc5523 \h </w:instrText>
          </w:r>
          <w:r>
            <w:fldChar w:fldCharType="separate"/>
          </w:r>
          <w:r>
            <w:t>18</w:t>
          </w:r>
          <w:r>
            <w:fldChar w:fldCharType="end"/>
          </w:r>
          <w:r>
            <w:rPr>
              <w:rFonts w:hint="eastAsia" w:ascii="黑体" w:hAnsi="黑体" w:eastAsia="黑体"/>
            </w:rPr>
            <w:fldChar w:fldCharType="end"/>
          </w:r>
        </w:p>
        <w:p w14:paraId="77409233">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_Toc22879 </w:instrText>
          </w:r>
          <w:r>
            <w:rPr>
              <w:rFonts w:hint="eastAsia" w:ascii="黑体" w:hAnsi="黑体" w:eastAsia="黑体"/>
            </w:rP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_Toc22879 \h </w:instrText>
          </w:r>
          <w:r>
            <w:fldChar w:fldCharType="separate"/>
          </w:r>
          <w:r>
            <w:t>18</w:t>
          </w:r>
          <w:r>
            <w:fldChar w:fldCharType="end"/>
          </w:r>
          <w:r>
            <w:rPr>
              <w:rFonts w:hint="eastAsia" w:ascii="黑体" w:hAnsi="黑体" w:eastAsia="黑体"/>
            </w:rPr>
            <w:fldChar w:fldCharType="end"/>
          </w:r>
        </w:p>
        <w:p w14:paraId="57B96CD9">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_Toc29360 </w:instrText>
          </w:r>
          <w:r>
            <w:rPr>
              <w:rFonts w:hint="eastAsia" w:ascii="黑体" w:hAnsi="黑体" w:eastAsia="黑体"/>
            </w:rP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_Toc29360 \h </w:instrText>
          </w:r>
          <w:r>
            <w:fldChar w:fldCharType="separate"/>
          </w:r>
          <w:r>
            <w:t>18</w:t>
          </w:r>
          <w:r>
            <w:fldChar w:fldCharType="end"/>
          </w:r>
          <w:r>
            <w:rPr>
              <w:rFonts w:hint="eastAsia" w:ascii="黑体" w:hAnsi="黑体" w:eastAsia="黑体"/>
            </w:rPr>
            <w:fldChar w:fldCharType="end"/>
          </w:r>
        </w:p>
        <w:p w14:paraId="56188BBA">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_Toc27283 </w:instrText>
          </w:r>
          <w:r>
            <w:rPr>
              <w:rFonts w:hint="eastAsia" w:ascii="黑体" w:hAnsi="黑体" w:eastAsia="黑体"/>
            </w:rPr>
            <w:fldChar w:fldCharType="separate"/>
          </w:r>
          <w:r>
            <w:rPr>
              <w:rFonts w:hint="eastAsia" w:ascii="仿宋" w:hAnsi="仿宋" w:eastAsia="仿宋"/>
              <w:bCs w:val="0"/>
            </w:rPr>
            <w:t>十二、国有资本经营预算财政拨款支出决算表</w:t>
          </w:r>
          <w:r>
            <w:tab/>
          </w:r>
          <w:r>
            <w:fldChar w:fldCharType="begin"/>
          </w:r>
          <w:r>
            <w:instrText xml:space="preserve"> PAGEREF _Toc27283 \h </w:instrText>
          </w:r>
          <w:r>
            <w:fldChar w:fldCharType="separate"/>
          </w:r>
          <w:r>
            <w:t>18</w:t>
          </w:r>
          <w:r>
            <w:fldChar w:fldCharType="end"/>
          </w:r>
          <w:r>
            <w:rPr>
              <w:rFonts w:hint="eastAsia" w:ascii="黑体" w:hAnsi="黑体" w:eastAsia="黑体"/>
            </w:rPr>
            <w:fldChar w:fldCharType="end"/>
          </w:r>
        </w:p>
        <w:p w14:paraId="186C4DF3">
          <w:pPr>
            <w:pStyle w:val="14"/>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_Toc8602 </w:instrText>
          </w:r>
          <w:r>
            <w:rPr>
              <w:rFonts w:hint="eastAsia" w:ascii="黑体" w:hAnsi="黑体" w:eastAsia="黑体"/>
            </w:rPr>
            <w:fldChar w:fldCharType="separate"/>
          </w:r>
          <w:r>
            <w:rPr>
              <w:rFonts w:hint="eastAsia" w:ascii="仿宋" w:hAnsi="仿宋" w:eastAsia="仿宋"/>
              <w:bCs w:val="0"/>
            </w:rPr>
            <w:t>十三、财政拨款“三公”经费支出决算表</w:t>
          </w:r>
          <w:r>
            <w:tab/>
          </w:r>
          <w:r>
            <w:fldChar w:fldCharType="begin"/>
          </w:r>
          <w:r>
            <w:instrText xml:space="preserve"> PAGEREF _Toc8602 \h </w:instrText>
          </w:r>
          <w:r>
            <w:fldChar w:fldCharType="separate"/>
          </w:r>
          <w:r>
            <w:t>18</w:t>
          </w:r>
          <w:r>
            <w:fldChar w:fldCharType="end"/>
          </w:r>
          <w:r>
            <w:rPr>
              <w:rFonts w:hint="eastAsia" w:ascii="黑体" w:hAnsi="黑体" w:eastAsia="黑体"/>
            </w:rPr>
            <w:fldChar w:fldCharType="end"/>
          </w:r>
        </w:p>
        <w:p w14:paraId="26215D11">
          <w:pPr>
            <w:pStyle w:val="5"/>
            <w:spacing w:before="0" w:after="0" w:line="240" w:lineRule="auto"/>
            <w:jc w:val="both"/>
            <w:outlineLvl w:val="9"/>
          </w:pPr>
          <w:r>
            <w:rPr>
              <w:rFonts w:hint="eastAsia" w:ascii="黑体" w:hAnsi="黑体" w:eastAsia="黑体"/>
            </w:rPr>
            <w:fldChar w:fldCharType="end"/>
          </w:r>
        </w:p>
      </w:sdtContent>
    </w:sdt>
    <w:p w14:paraId="3A26B5C9">
      <w:pPr>
        <w:pStyle w:val="5"/>
        <w:jc w:val="center"/>
        <w:outlineLvl w:val="9"/>
        <w:rPr>
          <w:rFonts w:ascii="黑体" w:eastAsia="黑体"/>
          <w:sz w:val="32"/>
          <w:szCs w:val="32"/>
        </w:rPr>
      </w:pPr>
      <w:bookmarkStart w:id="12" w:name="_Toc30485"/>
      <w:r>
        <w:rPr>
          <w:rFonts w:hint="eastAsia" w:ascii="黑体" w:hAnsi="黑体" w:eastAsia="黑体"/>
          <w:b w:val="0"/>
        </w:rPr>
        <w:t xml:space="preserve">第一部分 </w:t>
      </w:r>
      <w:r>
        <w:rPr>
          <w:rStyle w:val="30"/>
          <w:rFonts w:hint="eastAsia" w:ascii="黑体" w:hAnsi="黑体" w:eastAsia="黑体"/>
          <w:b w:val="0"/>
          <w:bCs w:val="0"/>
          <w:lang w:eastAsia="zh-CN"/>
        </w:rPr>
        <w:t>单位</w:t>
      </w:r>
      <w:r>
        <w:rPr>
          <w:rStyle w:val="30"/>
          <w:rFonts w:hint="eastAsia" w:ascii="黑体" w:hAnsi="黑体" w:eastAsia="黑体"/>
          <w:b w:val="0"/>
          <w:bCs w:val="0"/>
        </w:rPr>
        <w:t>概况</w:t>
      </w:r>
      <w:bookmarkEnd w:id="12"/>
    </w:p>
    <w:p w14:paraId="78DA6EEB">
      <w:pPr>
        <w:pStyle w:val="6"/>
        <w:numPr>
          <w:ilvl w:val="0"/>
          <w:numId w:val="1"/>
        </w:numPr>
        <w:rPr>
          <w:rFonts w:hint="eastAsia" w:ascii="黑体" w:hAnsi="黑体" w:eastAsia="黑体"/>
          <w:b w:val="0"/>
        </w:rPr>
      </w:pPr>
      <w:bookmarkStart w:id="13" w:name="_Toc4028"/>
      <w:r>
        <w:rPr>
          <w:rFonts w:hint="eastAsia" w:ascii="黑体" w:hAnsi="黑体" w:eastAsia="黑体"/>
          <w:b w:val="0"/>
        </w:rPr>
        <w:t>部门职责</w:t>
      </w:r>
      <w:bookmarkEnd w:id="13"/>
    </w:p>
    <w:p w14:paraId="493BE844">
      <w:pPr>
        <w:ind w:firstLine="420" w:firstLineChars="200"/>
        <w:jc w:val="left"/>
        <w:rPr>
          <w:rFonts w:hint="eastAsia" w:ascii="仿宋_GB2312" w:eastAsia="仿宋_GB2312"/>
          <w:sz w:val="32"/>
        </w:rPr>
      </w:pPr>
      <w:r>
        <w:rPr>
          <w:rFonts w:hint="eastAsia"/>
          <w:lang w:val="en-US" w:eastAsia="zh-CN"/>
        </w:rPr>
        <w:t xml:space="preserve"> </w:t>
      </w:r>
      <w:r>
        <w:rPr>
          <w:rFonts w:hint="eastAsia" w:ascii="仿宋_GB2312" w:eastAsia="仿宋_GB2312"/>
          <w:sz w:val="32"/>
        </w:rPr>
        <w:t>中共乐山市金口河区委党校是中共乐山市金口河区委直属参公事业单位。其主要职责是：</w:t>
      </w:r>
    </w:p>
    <w:p w14:paraId="79E86E0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①根据区委对干部队伍建设的要求，有计划地轮训部分科级干部和全区副科级以下党员领导干部、基层党支部书记，培训区副科级后备干部和理论骨干。</w:t>
      </w:r>
    </w:p>
    <w:p w14:paraId="13DE5E0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②根据区委、区政府要求，有计划地（轮）培训全区机关公务员。</w:t>
      </w:r>
    </w:p>
    <w:p w14:paraId="43B835C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③协同组织、人事部门对学员在学习期间的表现进行考核。</w:t>
      </w:r>
    </w:p>
    <w:p w14:paraId="6B6ABD5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④学习宣传马列主义、毛泽东思想和邓小平理论，结合实际开展理论研究，为区委、区政府决策提供参考。</w:t>
      </w:r>
    </w:p>
    <w:p w14:paraId="58A81333">
      <w:pPr>
        <w:snapToGrid w:val="0"/>
        <w:spacing w:line="520" w:lineRule="exact"/>
        <w:ind w:firstLine="640" w:firstLineChars="200"/>
      </w:pPr>
      <w:r>
        <w:rPr>
          <w:rFonts w:hint="eastAsia" w:ascii="仿宋_GB2312" w:eastAsia="仿宋_GB2312"/>
          <w:sz w:val="32"/>
          <w:szCs w:val="32"/>
        </w:rPr>
        <w:t>⑤完成区委、区政府交办的其他工作。</w:t>
      </w:r>
    </w:p>
    <w:p w14:paraId="7586F7B8">
      <w:pPr>
        <w:pStyle w:val="6"/>
        <w:numPr>
          <w:ilvl w:val="0"/>
          <w:numId w:val="1"/>
        </w:numPr>
        <w:ind w:left="0" w:leftChars="0" w:firstLine="0" w:firstLineChars="0"/>
        <w:rPr>
          <w:rStyle w:val="31"/>
          <w:rFonts w:hint="eastAsia" w:ascii="黑体" w:hAnsi="黑体" w:eastAsia="黑体"/>
          <w:b w:val="0"/>
          <w:bCs w:val="0"/>
        </w:rPr>
      </w:pPr>
      <w:bookmarkStart w:id="14" w:name="_Toc28866"/>
      <w:bookmarkStart w:id="15" w:name="_Toc15396601"/>
      <w:bookmarkStart w:id="16" w:name="_Toc15377200"/>
      <w:r>
        <w:rPr>
          <w:rFonts w:hint="eastAsia" w:ascii="黑体" w:hAnsi="黑体" w:eastAsia="黑体"/>
          <w:b w:val="0"/>
        </w:rPr>
        <w:t>机</w:t>
      </w:r>
      <w:r>
        <w:rPr>
          <w:rStyle w:val="31"/>
          <w:rFonts w:hint="eastAsia" w:ascii="黑体" w:hAnsi="黑体" w:eastAsia="黑体"/>
          <w:b w:val="0"/>
          <w:bCs w:val="0"/>
        </w:rPr>
        <w:t>构设置</w:t>
      </w:r>
      <w:bookmarkEnd w:id="14"/>
      <w:bookmarkEnd w:id="15"/>
      <w:bookmarkEnd w:id="16"/>
    </w:p>
    <w:p w14:paraId="1064E63D">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内设机构有3个：办公室、教务股、科研股。参公事业编制数：参公编制4名，事业编5名。领导职数：校长1名（区委分管领导兼任），常务副校长1名，副校长1名，校务委员1名。</w:t>
      </w:r>
    </w:p>
    <w:p w14:paraId="4D78ADEF">
      <w:pPr>
        <w:pStyle w:val="5"/>
        <w:ind w:right="440"/>
        <w:jc w:val="center"/>
        <w:rPr>
          <w:rStyle w:val="30"/>
          <w:rFonts w:ascii="黑体" w:hAnsi="黑体" w:eastAsia="黑体"/>
          <w:b w:val="0"/>
          <w:bCs/>
        </w:rPr>
      </w:pPr>
      <w:bookmarkStart w:id="17" w:name="_Toc15396602"/>
      <w:bookmarkStart w:id="18" w:name="_Toc14190"/>
      <w:bookmarkStart w:id="19" w:name="_Toc15377204"/>
      <w:r>
        <w:rPr>
          <w:rFonts w:hint="eastAsia" w:ascii="黑体" w:hAnsi="黑体" w:eastAsia="黑体"/>
          <w:b w:val="0"/>
        </w:rPr>
        <w:t xml:space="preserve">第二部分 </w:t>
      </w:r>
      <w:r>
        <w:rPr>
          <w:rFonts w:hint="eastAsia" w:ascii="黑体" w:hAnsi="黑体" w:eastAsia="黑体"/>
          <w:b w:val="0"/>
          <w:lang w:eastAsia="zh-CN"/>
        </w:rPr>
        <w:t>2024</w:t>
      </w:r>
      <w:r>
        <w:rPr>
          <w:rFonts w:hint="eastAsia" w:ascii="黑体" w:hAnsi="黑体" w:eastAsia="黑体"/>
          <w:b w:val="0"/>
        </w:rPr>
        <w:t>年度</w:t>
      </w:r>
      <w:r>
        <w:rPr>
          <w:rStyle w:val="30"/>
          <w:rFonts w:hint="eastAsia" w:ascii="黑体" w:hAnsi="黑体" w:eastAsia="黑体"/>
          <w:b w:val="0"/>
          <w:bCs/>
          <w:lang w:eastAsia="zh-CN"/>
        </w:rPr>
        <w:t>单位</w:t>
      </w:r>
      <w:r>
        <w:rPr>
          <w:rStyle w:val="30"/>
          <w:rFonts w:hint="eastAsia" w:ascii="黑体" w:hAnsi="黑体" w:eastAsia="黑体"/>
          <w:b w:val="0"/>
          <w:bCs/>
        </w:rPr>
        <w:t>决算情况说明</w:t>
      </w:r>
      <w:bookmarkEnd w:id="17"/>
      <w:bookmarkEnd w:id="18"/>
      <w:bookmarkEnd w:id="19"/>
    </w:p>
    <w:p w14:paraId="140A784B"/>
    <w:p w14:paraId="4AB92FDC">
      <w:pPr>
        <w:pStyle w:val="29"/>
        <w:numPr>
          <w:ilvl w:val="0"/>
          <w:numId w:val="2"/>
        </w:numPr>
        <w:spacing w:line="600" w:lineRule="exact"/>
        <w:ind w:firstLineChars="0"/>
        <w:outlineLvl w:val="1"/>
        <w:rPr>
          <w:rStyle w:val="31"/>
          <w:rFonts w:ascii="黑体" w:hAnsi="黑体" w:eastAsia="黑体"/>
          <w:b w:val="0"/>
        </w:rPr>
      </w:pPr>
      <w:bookmarkStart w:id="20" w:name="_Toc15396603"/>
      <w:bookmarkStart w:id="21" w:name="_Toc15377205"/>
      <w:bookmarkStart w:id="22" w:name="_Toc9758"/>
      <w:r>
        <w:rPr>
          <w:rFonts w:hint="eastAsia" w:ascii="黑体" w:hAnsi="黑体" w:eastAsia="黑体"/>
          <w:sz w:val="32"/>
          <w:szCs w:val="32"/>
        </w:rPr>
        <w:t>收</w:t>
      </w:r>
      <w:r>
        <w:rPr>
          <w:rStyle w:val="31"/>
          <w:rFonts w:hint="eastAsia" w:ascii="黑体" w:hAnsi="黑体" w:eastAsia="黑体"/>
          <w:b w:val="0"/>
        </w:rPr>
        <w:t>入支出决算总体情况说明</w:t>
      </w:r>
      <w:bookmarkEnd w:id="20"/>
      <w:bookmarkEnd w:id="21"/>
      <w:bookmarkEnd w:id="22"/>
    </w:p>
    <w:p w14:paraId="239E3D3D">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333.73</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50.74</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15.2</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项目支出增加。</w:t>
      </w:r>
    </w:p>
    <w:p w14:paraId="04BEA436">
      <w:pPr>
        <w:spacing w:line="240" w:lineRule="auto"/>
        <w:ind w:firstLine="420" w:firstLineChars="200"/>
        <w:rPr>
          <w:rFonts w:hint="eastAsia" w:ascii="仿宋" w:hAnsi="仿宋" w:eastAsia="仿宋"/>
          <w:sz w:val="32"/>
          <w:szCs w:val="32"/>
          <w:lang w:eastAsia="zh-CN"/>
        </w:rPr>
      </w:pPr>
      <w:r>
        <w:drawing>
          <wp:inline distT="0" distB="0" distL="114300" distR="114300">
            <wp:extent cx="4572000" cy="2749550"/>
            <wp:effectExtent l="4445" t="4445" r="14605" b="8255"/>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383F995">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3A2EAA3A">
      <w:pPr>
        <w:pStyle w:val="29"/>
        <w:numPr>
          <w:ilvl w:val="0"/>
          <w:numId w:val="2"/>
        </w:numPr>
        <w:spacing w:line="600" w:lineRule="exact"/>
        <w:ind w:firstLineChars="0"/>
        <w:outlineLvl w:val="1"/>
        <w:rPr>
          <w:rStyle w:val="31"/>
          <w:rFonts w:ascii="黑体" w:hAnsi="黑体" w:eastAsia="黑体"/>
          <w:b w:val="0"/>
        </w:rPr>
      </w:pPr>
      <w:bookmarkStart w:id="23" w:name="_Toc15377206"/>
      <w:bookmarkStart w:id="24" w:name="_Toc15396604"/>
      <w:bookmarkStart w:id="25" w:name="_Toc21032"/>
      <w:r>
        <w:rPr>
          <w:rFonts w:hint="eastAsia" w:ascii="黑体" w:hAnsi="黑体" w:eastAsia="黑体"/>
          <w:sz w:val="32"/>
          <w:szCs w:val="32"/>
        </w:rPr>
        <w:t>收</w:t>
      </w:r>
      <w:r>
        <w:rPr>
          <w:rStyle w:val="31"/>
          <w:rFonts w:hint="eastAsia" w:ascii="黑体" w:hAnsi="黑体" w:eastAsia="黑体"/>
          <w:b w:val="0"/>
        </w:rPr>
        <w:t>入决算情况说明</w:t>
      </w:r>
      <w:bookmarkEnd w:id="23"/>
      <w:bookmarkEnd w:id="24"/>
      <w:bookmarkEnd w:id="25"/>
    </w:p>
    <w:p w14:paraId="7284D27F">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332.97万元，其中：一般公共预算财政拨款收入332.97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（注：仅罗列本部门涉及的收入）</w:t>
      </w:r>
    </w:p>
    <w:p w14:paraId="05847B0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，仅罗列本部门涉及的收入。</w:t>
      </w:r>
      <w:r>
        <w:rPr>
          <w:rFonts w:ascii="仿宋" w:hAnsi="仿宋" w:eastAsia="仿宋"/>
          <w:b/>
          <w:sz w:val="32"/>
          <w:szCs w:val="32"/>
        </w:rPr>
        <w:t>）</w:t>
      </w:r>
    </w:p>
    <w:p w14:paraId="330B0A01">
      <w:pPr>
        <w:spacing w:line="240" w:lineRule="auto"/>
        <w:ind w:firstLine="420" w:firstLineChars="200"/>
        <w:outlineLvl w:val="9"/>
        <w:rPr>
          <w:rFonts w:hint="eastAsia" w:ascii="仿宋" w:hAnsi="仿宋" w:eastAsia="仿宋"/>
          <w:sz w:val="32"/>
          <w:szCs w:val="32"/>
          <w:lang w:eastAsia="zh-CN"/>
        </w:rPr>
      </w:pPr>
      <w:r>
        <w:drawing>
          <wp:inline distT="0" distB="0" distL="114300" distR="114300">
            <wp:extent cx="4572000" cy="2749550"/>
            <wp:effectExtent l="4445" t="4445" r="14605" b="8255"/>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BB0D04">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（图2：收入决算结构图）（饼状图）</w:t>
      </w:r>
    </w:p>
    <w:p w14:paraId="75732764">
      <w:pPr>
        <w:pStyle w:val="29"/>
        <w:numPr>
          <w:ilvl w:val="0"/>
          <w:numId w:val="2"/>
        </w:numPr>
        <w:spacing w:line="600" w:lineRule="exact"/>
        <w:ind w:firstLineChars="0"/>
        <w:outlineLvl w:val="1"/>
        <w:rPr>
          <w:rStyle w:val="31"/>
          <w:rFonts w:ascii="黑体" w:hAnsi="黑体" w:eastAsia="黑体"/>
          <w:b w:val="0"/>
        </w:rPr>
      </w:pPr>
      <w:bookmarkStart w:id="26" w:name="_Toc15377207"/>
      <w:bookmarkStart w:id="27" w:name="_Toc25902"/>
      <w:bookmarkStart w:id="28" w:name="_Toc15396605"/>
      <w:r>
        <w:rPr>
          <w:rFonts w:hint="eastAsia" w:ascii="黑体" w:hAnsi="黑体" w:eastAsia="黑体"/>
          <w:sz w:val="32"/>
          <w:szCs w:val="32"/>
        </w:rPr>
        <w:t>支</w:t>
      </w:r>
      <w:r>
        <w:rPr>
          <w:rStyle w:val="31"/>
          <w:rFonts w:hint="eastAsia" w:ascii="黑体" w:hAnsi="黑体" w:eastAsia="黑体"/>
          <w:b w:val="0"/>
        </w:rPr>
        <w:t>出决算情况说明</w:t>
      </w:r>
      <w:bookmarkEnd w:id="26"/>
      <w:bookmarkEnd w:id="27"/>
      <w:bookmarkEnd w:id="28"/>
    </w:p>
    <w:p w14:paraId="628D8C2F">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333.06</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243.05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72.97</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90.01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27.02</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（注：仅罗列本部门涉及的支出）</w:t>
      </w:r>
    </w:p>
    <w:p w14:paraId="287A04CD">
      <w:pPr>
        <w:spacing w:line="240" w:lineRule="auto"/>
        <w:ind w:firstLine="640"/>
        <w:rPr>
          <w:rFonts w:hint="eastAsia" w:ascii="仿宋" w:hAnsi="仿宋" w:eastAsia="仿宋"/>
          <w:sz w:val="32"/>
          <w:szCs w:val="32"/>
          <w:shd w:val="pct10" w:color="auto" w:fill="FFFFFF"/>
          <w:lang w:eastAsia="zh-CN"/>
        </w:rPr>
      </w:pPr>
      <w:r>
        <w:drawing>
          <wp:inline distT="0" distB="0" distL="114300" distR="114300">
            <wp:extent cx="4572000" cy="2749550"/>
            <wp:effectExtent l="4445" t="4445" r="14605" b="8255"/>
            <wp:docPr id="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0C8DEF">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（图3：支出决算结构图）（饼状图）</w:t>
      </w:r>
    </w:p>
    <w:p w14:paraId="140DF940">
      <w:pPr>
        <w:spacing w:line="600" w:lineRule="exact"/>
        <w:ind w:firstLine="640" w:firstLineChars="200"/>
        <w:outlineLvl w:val="1"/>
        <w:rPr>
          <w:rStyle w:val="31"/>
          <w:rFonts w:ascii="黑体" w:hAnsi="黑体" w:eastAsia="黑体"/>
          <w:b w:val="0"/>
        </w:rPr>
      </w:pPr>
      <w:bookmarkStart w:id="29" w:name="_Toc15396606"/>
      <w:bookmarkStart w:id="30" w:name="_Toc15377208"/>
      <w:bookmarkStart w:id="31" w:name="_Toc10334"/>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29"/>
      <w:bookmarkEnd w:id="30"/>
      <w:bookmarkEnd w:id="31"/>
    </w:p>
    <w:p w14:paraId="49A0E89F">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333.25</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w:t>
      </w:r>
      <w:r>
        <w:rPr>
          <w:rFonts w:hint="eastAsia" w:eastAsia="仿宋_GB2312" w:cs="仿宋_GB2312"/>
          <w:color w:val="auto"/>
          <w:kern w:val="2"/>
          <w:sz w:val="32"/>
          <w:szCs w:val="32"/>
          <w:highlight w:val="none"/>
          <w:lang w:val="en-US" w:eastAsia="zh-CN" w:bidi="ar-SA"/>
        </w:rPr>
        <w:t>63.7</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23.63</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项目支出增加。</w:t>
      </w:r>
    </w:p>
    <w:p w14:paraId="4E4C3E24">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610FC0FD">
      <w:pPr>
        <w:spacing w:line="240" w:lineRule="auto"/>
        <w:rPr>
          <w:rFonts w:hint="eastAsia" w:ascii="仿宋" w:hAnsi="仿宋" w:eastAsia="仿宋"/>
          <w:sz w:val="32"/>
          <w:szCs w:val="32"/>
          <w:lang w:eastAsia="zh-CN"/>
        </w:rPr>
      </w:pPr>
      <w:r>
        <w:drawing>
          <wp:inline distT="0" distB="0" distL="114300" distR="114300">
            <wp:extent cx="4667250" cy="2940050"/>
            <wp:effectExtent l="4445" t="5080" r="14605" b="762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169C67">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2FB2424C">
      <w:pPr>
        <w:spacing w:line="600" w:lineRule="exact"/>
        <w:ind w:firstLine="640"/>
        <w:rPr>
          <w:rFonts w:ascii="仿宋" w:hAnsi="仿宋" w:eastAsia="仿宋"/>
          <w:b/>
          <w:sz w:val="32"/>
          <w:szCs w:val="32"/>
        </w:rPr>
      </w:pPr>
    </w:p>
    <w:p w14:paraId="5B4B0DFE">
      <w:pPr>
        <w:spacing w:line="600" w:lineRule="exact"/>
        <w:ind w:firstLine="640" w:firstLineChars="200"/>
        <w:outlineLvl w:val="1"/>
        <w:rPr>
          <w:rStyle w:val="31"/>
          <w:rFonts w:ascii="黑体" w:hAnsi="黑体" w:eastAsia="黑体"/>
          <w:b w:val="0"/>
        </w:rPr>
      </w:pPr>
      <w:bookmarkStart w:id="32" w:name="_Toc15396607"/>
      <w:bookmarkStart w:id="33" w:name="_Toc25847"/>
      <w:bookmarkStart w:id="34" w:name="_Toc15377209"/>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32"/>
      <w:bookmarkEnd w:id="33"/>
      <w:bookmarkEnd w:id="34"/>
    </w:p>
    <w:p w14:paraId="0513E04B">
      <w:pPr>
        <w:spacing w:line="600" w:lineRule="exact"/>
        <w:ind w:firstLine="643" w:firstLineChars="200"/>
        <w:outlineLvl w:val="2"/>
        <w:rPr>
          <w:rFonts w:ascii="仿宋" w:hAnsi="仿宋" w:eastAsia="仿宋"/>
          <w:b/>
          <w:sz w:val="32"/>
          <w:szCs w:val="32"/>
        </w:rPr>
      </w:pPr>
      <w:bookmarkStart w:id="35" w:name="_Toc15377210"/>
      <w:r>
        <w:rPr>
          <w:rFonts w:hint="eastAsia" w:ascii="仿宋" w:hAnsi="仿宋" w:eastAsia="仿宋"/>
          <w:b/>
          <w:sz w:val="32"/>
          <w:szCs w:val="32"/>
        </w:rPr>
        <w:t>（一）一般公共预算财政拨款支出决算总体情况</w:t>
      </w:r>
      <w:bookmarkEnd w:id="35"/>
    </w:p>
    <w:p w14:paraId="7CBE52C7">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332.97</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99.97</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%。与2023年度相比，一般公共预算财政拨款支出增加63.71万元，增长23.66%。主要变动原因是项目支出增加。</w:t>
      </w:r>
    </w:p>
    <w:p w14:paraId="5C07E8A7">
      <w:pPr>
        <w:spacing w:line="240" w:lineRule="auto"/>
        <w:ind w:firstLine="420" w:firstLineChars="200"/>
        <w:rPr>
          <w:rFonts w:hint="eastAsia" w:ascii="仿宋" w:hAnsi="仿宋" w:eastAsia="仿宋"/>
          <w:sz w:val="32"/>
          <w:szCs w:val="32"/>
          <w:lang w:eastAsia="zh-CN"/>
        </w:rPr>
      </w:pPr>
      <w:r>
        <w:drawing>
          <wp:inline distT="0" distB="0" distL="114300" distR="114300">
            <wp:extent cx="4572000" cy="2749550"/>
            <wp:effectExtent l="4445" t="4445" r="14605" b="825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9F5E3E">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41ADCEA0">
      <w:pPr>
        <w:spacing w:line="600" w:lineRule="exact"/>
        <w:ind w:firstLine="643" w:firstLineChars="200"/>
        <w:outlineLvl w:val="2"/>
        <w:rPr>
          <w:rFonts w:ascii="仿宋" w:hAnsi="仿宋" w:eastAsia="仿宋"/>
          <w:b/>
          <w:sz w:val="32"/>
          <w:szCs w:val="32"/>
        </w:rPr>
      </w:pPr>
      <w:bookmarkStart w:id="36" w:name="_Toc15377211"/>
      <w:r>
        <w:rPr>
          <w:rFonts w:hint="eastAsia" w:ascii="仿宋" w:hAnsi="仿宋" w:eastAsia="仿宋"/>
          <w:b/>
          <w:sz w:val="32"/>
          <w:szCs w:val="32"/>
        </w:rPr>
        <w:t>（二）一般公共预算财政拨款支出决算结构情况</w:t>
      </w:r>
      <w:bookmarkEnd w:id="36"/>
    </w:p>
    <w:p w14:paraId="123B678F">
      <w:pPr>
        <w:spacing w:line="600" w:lineRule="exact"/>
        <w:ind w:firstLine="640"/>
        <w:rPr>
          <w:rFonts w:ascii="仿宋" w:hAnsi="仿宋" w:eastAsia="仿宋"/>
          <w:b/>
          <w:sz w:val="32"/>
          <w:szCs w:val="32"/>
        </w:rPr>
      </w:pPr>
      <w:r>
        <w:rPr>
          <w:rFonts w:hint="eastAsia" w:ascii="仿宋" w:hAnsi="仿宋" w:eastAsia="仿宋"/>
          <w:sz w:val="32"/>
          <w:szCs w:val="32"/>
          <w:lang w:eastAsia="zh-CN"/>
        </w:rPr>
        <w:t>2024</w:t>
      </w:r>
      <w:r>
        <w:rPr>
          <w:rFonts w:hint="eastAsia" w:ascii="仿宋" w:hAnsi="仿宋" w:eastAsia="仿宋"/>
          <w:sz w:val="32"/>
          <w:szCs w:val="32"/>
        </w:rPr>
        <w:t>年度一般公共预算财政拨款支出</w:t>
      </w:r>
      <w:r>
        <w:rPr>
          <w:rFonts w:hint="eastAsia" w:ascii="仿宋" w:hAnsi="仿宋" w:eastAsia="仿宋"/>
          <w:b/>
          <w:sz w:val="32"/>
          <w:szCs w:val="32"/>
          <w:lang w:val="en-US" w:eastAsia="zh-CN"/>
        </w:rPr>
        <w:t>332.97</w:t>
      </w:r>
      <w:r>
        <w:rPr>
          <w:rFonts w:hint="eastAsia" w:ascii="仿宋" w:hAnsi="仿宋" w:eastAsia="仿宋"/>
          <w:sz w:val="32"/>
          <w:szCs w:val="32"/>
        </w:rPr>
        <w:t>万元，主要用于以下方面</w:t>
      </w:r>
      <w:r>
        <w:rPr>
          <w:rFonts w:hint="eastAsia" w:ascii="仿宋" w:hAnsi="仿宋" w:eastAsia="仿宋"/>
          <w:sz w:val="32"/>
          <w:szCs w:val="32"/>
          <w:lang w:eastAsia="zh-CN"/>
        </w:rPr>
        <w:t>：</w:t>
      </w:r>
      <w:r>
        <w:rPr>
          <w:rFonts w:hint="eastAsia" w:ascii="仿宋" w:hAnsi="仿宋" w:eastAsia="仿宋"/>
          <w:b/>
          <w:sz w:val="32"/>
          <w:szCs w:val="32"/>
        </w:rPr>
        <w:t>教育支出</w:t>
      </w:r>
      <w:r>
        <w:rPr>
          <w:rFonts w:hint="eastAsia" w:ascii="仿宋" w:hAnsi="仿宋" w:eastAsia="仿宋"/>
          <w:sz w:val="32"/>
          <w:szCs w:val="32"/>
          <w:lang w:val="en-US" w:eastAsia="zh-CN"/>
        </w:rPr>
        <w:t>268.59</w:t>
      </w:r>
      <w:r>
        <w:rPr>
          <w:rFonts w:hint="eastAsia" w:ascii="仿宋" w:hAnsi="仿宋" w:eastAsia="仿宋"/>
          <w:sz w:val="32"/>
          <w:szCs w:val="32"/>
        </w:rPr>
        <w:t>万元，</w:t>
      </w:r>
      <w:r>
        <w:rPr>
          <w:rFonts w:hint="eastAsia" w:ascii="仿宋" w:hAnsi="仿宋" w:eastAsia="仿宋"/>
          <w:sz w:val="32"/>
          <w:szCs w:val="32"/>
          <w:lang w:val="en-US" w:eastAsia="zh-CN"/>
        </w:rPr>
        <w:t>占80.66</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36.87</w:t>
      </w:r>
      <w:r>
        <w:rPr>
          <w:rFonts w:hint="eastAsia" w:ascii="仿宋" w:hAnsi="仿宋" w:eastAsia="仿宋"/>
          <w:sz w:val="32"/>
          <w:szCs w:val="32"/>
        </w:rPr>
        <w:t>万元，占</w:t>
      </w:r>
      <w:r>
        <w:rPr>
          <w:rFonts w:hint="eastAsia" w:ascii="仿宋" w:hAnsi="仿宋" w:eastAsia="仿宋"/>
          <w:sz w:val="32"/>
          <w:szCs w:val="32"/>
          <w:lang w:val="en-US" w:eastAsia="zh-CN"/>
        </w:rPr>
        <w:t>11.07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7.27</w:t>
      </w:r>
      <w:r>
        <w:rPr>
          <w:rFonts w:hint="eastAsia" w:ascii="仿宋" w:hAnsi="仿宋" w:eastAsia="仿宋"/>
          <w:sz w:val="32"/>
          <w:szCs w:val="32"/>
        </w:rPr>
        <w:t>万元，占</w:t>
      </w:r>
      <w:r>
        <w:rPr>
          <w:rFonts w:hint="eastAsia" w:ascii="仿宋" w:hAnsi="仿宋" w:eastAsia="仿宋"/>
          <w:sz w:val="32"/>
          <w:szCs w:val="32"/>
          <w:lang w:val="en-US" w:eastAsia="zh-CN"/>
        </w:rPr>
        <w:t>2.18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20.23</w:t>
      </w:r>
      <w:r>
        <w:rPr>
          <w:rFonts w:hint="eastAsia" w:ascii="仿宋" w:hAnsi="仿宋" w:eastAsia="仿宋"/>
          <w:sz w:val="32"/>
          <w:szCs w:val="32"/>
        </w:rPr>
        <w:t>万元，占</w:t>
      </w:r>
      <w:r>
        <w:rPr>
          <w:rFonts w:hint="eastAsia" w:ascii="仿宋" w:hAnsi="仿宋" w:eastAsia="仿宋"/>
          <w:sz w:val="32"/>
          <w:szCs w:val="32"/>
          <w:lang w:val="en-US" w:eastAsia="zh-CN"/>
        </w:rPr>
        <w:t>6.09</w:t>
      </w:r>
      <w:r>
        <w:rPr>
          <w:rFonts w:ascii="仿宋" w:hAnsi="仿宋" w:eastAsia="仿宋"/>
          <w:sz w:val="32"/>
          <w:szCs w:val="32"/>
        </w:rPr>
        <w:t>%</w:t>
      </w:r>
      <w:r>
        <w:rPr>
          <w:rFonts w:hint="eastAsia" w:ascii="仿宋" w:hAnsi="仿宋" w:eastAsia="仿宋"/>
          <w:sz w:val="32"/>
          <w:szCs w:val="32"/>
        </w:rPr>
        <w:t>。</w:t>
      </w:r>
    </w:p>
    <w:p w14:paraId="2A76CD07">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（注：数据来源于财决01-1表，仅罗列本部门涉及的全部功能分类科目，至类级。）</w:t>
      </w:r>
    </w:p>
    <w:p w14:paraId="5308941A">
      <w:pPr>
        <w:spacing w:line="240" w:lineRule="auto"/>
        <w:ind w:firstLine="640"/>
        <w:rPr>
          <w:rFonts w:hint="eastAsia" w:ascii="仿宋" w:hAnsi="仿宋" w:eastAsia="仿宋"/>
          <w:sz w:val="32"/>
          <w:szCs w:val="32"/>
          <w:lang w:eastAsia="zh-CN"/>
        </w:rPr>
      </w:pPr>
      <w:r>
        <w:drawing>
          <wp:inline distT="0" distB="0" distL="114300" distR="114300">
            <wp:extent cx="4572000" cy="2743200"/>
            <wp:effectExtent l="4445" t="4445" r="14605" b="1460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E130C8">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1578E31A">
      <w:pPr>
        <w:spacing w:line="600" w:lineRule="exact"/>
        <w:ind w:firstLine="643" w:firstLineChars="200"/>
        <w:outlineLvl w:val="2"/>
        <w:rPr>
          <w:rFonts w:ascii="仿宋" w:hAnsi="仿宋" w:eastAsia="仿宋"/>
          <w:b/>
          <w:sz w:val="32"/>
          <w:szCs w:val="32"/>
        </w:rPr>
      </w:pPr>
      <w:bookmarkStart w:id="37" w:name="_Toc15377212"/>
      <w:r>
        <w:rPr>
          <w:rFonts w:hint="eastAsia" w:ascii="仿宋" w:hAnsi="仿宋" w:eastAsia="仿宋"/>
          <w:b/>
          <w:sz w:val="32"/>
          <w:szCs w:val="32"/>
        </w:rPr>
        <w:t>（三）一般公共预算财政拨款支出决算具体情况</w:t>
      </w:r>
      <w:bookmarkEnd w:id="37"/>
    </w:p>
    <w:p w14:paraId="43065A97">
      <w:pPr>
        <w:spacing w:line="600" w:lineRule="exact"/>
        <w:ind w:firstLine="643" w:firstLineChars="200"/>
        <w:outlineLvl w:val="2"/>
        <w:rPr>
          <w:rFonts w:ascii="仿宋" w:hAnsi="仿宋" w:eastAsia="仿宋"/>
          <w:b/>
          <w:sz w:val="32"/>
          <w:szCs w:val="32"/>
        </w:rPr>
      </w:pPr>
      <w:bookmarkStart w:id="38" w:name="_Toc15377213"/>
      <w:bookmarkStart w:id="39" w:name="_Toc15378460"/>
      <w:bookmarkStart w:id="40" w:name="_Toc15377444"/>
      <w:r>
        <w:rPr>
          <w:rFonts w:hint="eastAsia" w:ascii="仿宋" w:hAnsi="仿宋" w:eastAsia="仿宋"/>
          <w:b/>
          <w:sz w:val="32"/>
          <w:szCs w:val="32"/>
          <w:lang w:eastAsia="zh-CN"/>
        </w:rPr>
        <w:t>2024</w:t>
      </w:r>
      <w:r>
        <w:rPr>
          <w:rFonts w:hint="eastAsia" w:ascii="仿宋" w:hAnsi="仿宋" w:eastAsia="仿宋"/>
          <w:b/>
          <w:sz w:val="32"/>
          <w:szCs w:val="32"/>
        </w:rPr>
        <w:t>年度一般公共预算支出决算数为</w:t>
      </w:r>
      <w:r>
        <w:rPr>
          <w:rFonts w:hint="eastAsia" w:ascii="仿宋" w:hAnsi="仿宋" w:eastAsia="仿宋"/>
          <w:b/>
          <w:sz w:val="32"/>
          <w:szCs w:val="32"/>
          <w:lang w:val="en-US" w:eastAsia="zh-CN"/>
        </w:rPr>
        <w:t>332.97</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38"/>
      <w:bookmarkEnd w:id="39"/>
      <w:bookmarkEnd w:id="40"/>
    </w:p>
    <w:p w14:paraId="19BE1A74">
      <w:pPr>
        <w:numPr>
          <w:ilvl w:val="0"/>
          <w:numId w:val="0"/>
        </w:numPr>
        <w:spacing w:line="600" w:lineRule="exact"/>
        <w:ind w:firstLine="643" w:firstLineChars="200"/>
        <w:rPr>
          <w:rStyle w:val="18"/>
          <w:rFonts w:hint="eastAsia" w:ascii="仿宋" w:hAnsi="仿宋" w:eastAsia="仿宋"/>
          <w:b w:val="0"/>
          <w:bCs/>
          <w:sz w:val="32"/>
          <w:szCs w:val="32"/>
        </w:rPr>
      </w:pPr>
      <w:r>
        <w:rPr>
          <w:rStyle w:val="18"/>
          <w:rFonts w:hint="eastAsia" w:ascii="仿宋" w:hAnsi="仿宋" w:eastAsia="仿宋"/>
          <w:bCs/>
          <w:sz w:val="32"/>
          <w:szCs w:val="32"/>
          <w:lang w:val="en-US" w:eastAsia="zh-CN"/>
        </w:rPr>
        <w:t>1.</w:t>
      </w:r>
      <w:r>
        <w:rPr>
          <w:rStyle w:val="18"/>
          <w:rFonts w:hint="eastAsia" w:ascii="仿宋" w:hAnsi="仿宋" w:eastAsia="仿宋"/>
          <w:bCs/>
          <w:sz w:val="32"/>
          <w:szCs w:val="32"/>
        </w:rPr>
        <w:t>教育（类）进修及培训（款）干部教育（项）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w:t>
      </w:r>
      <w:r>
        <w:rPr>
          <w:rStyle w:val="18"/>
          <w:rFonts w:hint="eastAsia" w:ascii="仿宋" w:hAnsi="仿宋" w:eastAsia="仿宋"/>
          <w:b w:val="0"/>
          <w:bCs/>
          <w:sz w:val="32"/>
          <w:szCs w:val="32"/>
          <w:lang w:val="en-US" w:eastAsia="zh-CN"/>
        </w:rPr>
        <w:t>268.59</w:t>
      </w:r>
      <w:r>
        <w:rPr>
          <w:rStyle w:val="18"/>
          <w:rFonts w:hint="eastAsia" w:ascii="仿宋" w:hAnsi="仿宋" w:eastAsia="仿宋"/>
          <w:b w:val="0"/>
          <w:bCs/>
          <w:sz w:val="32"/>
          <w:szCs w:val="32"/>
        </w:rPr>
        <w:t>万元，完成预</w:t>
      </w:r>
      <w:r>
        <w:rPr>
          <w:rStyle w:val="18"/>
          <w:rFonts w:hint="eastAsia" w:ascii="仿宋" w:hAnsi="仿宋" w:eastAsia="仿宋"/>
          <w:b w:val="0"/>
          <w:bCs/>
          <w:sz w:val="32"/>
          <w:szCs w:val="32"/>
          <w:lang w:val="en-US" w:eastAsia="zh-CN"/>
        </w:rPr>
        <w:t>算100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4CE2FA77">
      <w:pPr>
        <w:spacing w:line="600" w:lineRule="exact"/>
        <w:ind w:firstLine="643" w:firstLineChars="200"/>
        <w:rPr>
          <w:rStyle w:val="18"/>
          <w:rFonts w:hint="eastAsia" w:ascii="仿宋" w:hAnsi="仿宋" w:eastAsia="仿宋"/>
          <w:b w:val="0"/>
          <w:bCs/>
          <w:sz w:val="32"/>
          <w:szCs w:val="32"/>
        </w:rPr>
      </w:pPr>
      <w:r>
        <w:rPr>
          <w:rStyle w:val="18"/>
          <w:rFonts w:hint="eastAsia" w:ascii="仿宋" w:hAnsi="仿宋" w:eastAsia="仿宋"/>
          <w:bCs/>
          <w:sz w:val="32"/>
          <w:szCs w:val="32"/>
          <w:lang w:val="en-US" w:eastAsia="zh-CN"/>
        </w:rPr>
        <w:t>2</w:t>
      </w:r>
      <w:r>
        <w:rPr>
          <w:rStyle w:val="18"/>
          <w:rFonts w:ascii="仿宋" w:hAnsi="仿宋" w:eastAsia="仿宋"/>
          <w:bCs/>
          <w:sz w:val="32"/>
          <w:szCs w:val="32"/>
        </w:rPr>
        <w:t>.</w:t>
      </w:r>
      <w:r>
        <w:rPr>
          <w:rStyle w:val="18"/>
          <w:rFonts w:hint="eastAsia" w:ascii="仿宋" w:hAnsi="仿宋" w:eastAsia="仿宋"/>
          <w:bCs/>
          <w:sz w:val="32"/>
          <w:szCs w:val="32"/>
        </w:rPr>
        <w:t>社会保障和就业（类）行政事业单位养老支出（款）机关事业单位基本养老保险缴费支出（项）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21.17</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5FEEB86A">
      <w:pPr>
        <w:spacing w:line="600" w:lineRule="exact"/>
        <w:ind w:firstLine="640" w:firstLineChars="200"/>
        <w:rPr>
          <w:rStyle w:val="18"/>
          <w:rFonts w:hint="eastAsia" w:ascii="仿宋" w:hAnsi="仿宋" w:eastAsia="仿宋"/>
          <w:b w:val="0"/>
          <w:bCs/>
          <w:sz w:val="32"/>
          <w:szCs w:val="32"/>
        </w:rPr>
      </w:pPr>
      <w:r>
        <w:rPr>
          <w:rStyle w:val="18"/>
          <w:rFonts w:hint="eastAsia" w:ascii="仿宋" w:hAnsi="仿宋" w:eastAsia="仿宋"/>
          <w:b w:val="0"/>
          <w:bCs/>
          <w:sz w:val="32"/>
          <w:szCs w:val="32"/>
          <w:lang w:val="en-US" w:eastAsia="zh-CN"/>
        </w:rPr>
        <w:t xml:space="preserve"> 3</w:t>
      </w:r>
      <w:r>
        <w:rPr>
          <w:rStyle w:val="18"/>
          <w:rFonts w:ascii="仿宋" w:hAnsi="仿宋" w:eastAsia="仿宋"/>
          <w:bCs/>
          <w:sz w:val="32"/>
          <w:szCs w:val="32"/>
        </w:rPr>
        <w:t>.</w:t>
      </w:r>
      <w:r>
        <w:rPr>
          <w:rStyle w:val="18"/>
          <w:rFonts w:hint="eastAsia" w:ascii="仿宋" w:hAnsi="仿宋" w:eastAsia="仿宋"/>
          <w:bCs/>
          <w:sz w:val="32"/>
          <w:szCs w:val="32"/>
        </w:rPr>
        <w:t>社会保障和就业（类）行政事业单位养老支出（款）机关事业单位职业年金缴费支出（项）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12.95</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57556239">
      <w:pPr>
        <w:pStyle w:val="8"/>
        <w:rPr>
          <w:rFonts w:hint="default"/>
          <w:lang w:val="en-US" w:eastAsia="zh-CN"/>
        </w:rPr>
      </w:pPr>
      <w:r>
        <w:rPr>
          <w:rStyle w:val="18"/>
          <w:rFonts w:hint="eastAsia" w:ascii="仿宋" w:hAnsi="仿宋" w:eastAsia="仿宋"/>
          <w:b w:val="0"/>
          <w:bCs/>
          <w:sz w:val="32"/>
          <w:szCs w:val="32"/>
          <w:lang w:val="en-US" w:eastAsia="zh-CN"/>
        </w:rPr>
        <w:t xml:space="preserve">     4</w:t>
      </w:r>
      <w:r>
        <w:rPr>
          <w:rStyle w:val="18"/>
          <w:rFonts w:ascii="仿宋" w:hAnsi="仿宋" w:eastAsia="仿宋"/>
          <w:bCs/>
          <w:sz w:val="32"/>
          <w:szCs w:val="32"/>
        </w:rPr>
        <w:t>.</w:t>
      </w:r>
      <w:r>
        <w:rPr>
          <w:rStyle w:val="18"/>
          <w:rFonts w:hint="eastAsia" w:ascii="仿宋" w:hAnsi="仿宋" w:eastAsia="仿宋"/>
          <w:bCs/>
          <w:sz w:val="32"/>
          <w:szCs w:val="32"/>
        </w:rPr>
        <w:t>社会保障和就业（类）行政事业单位养老支出（款）其他行政事业单位养老支出（项）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0.04</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0935AF3D">
      <w:pPr>
        <w:pStyle w:val="8"/>
        <w:rPr>
          <w:rFonts w:hint="eastAsia" w:eastAsia="仿宋"/>
          <w:lang w:val="en-US" w:eastAsia="zh-CN"/>
        </w:rPr>
      </w:pPr>
      <w:r>
        <w:rPr>
          <w:rFonts w:hint="eastAsia" w:eastAsia="仿宋"/>
          <w:lang w:val="en-US" w:eastAsia="zh-CN"/>
        </w:rPr>
        <w:t xml:space="preserve">     </w:t>
      </w:r>
      <w:r>
        <w:rPr>
          <w:rStyle w:val="18"/>
          <w:rFonts w:hint="eastAsia" w:ascii="仿宋" w:hAnsi="仿宋" w:eastAsia="仿宋"/>
          <w:b w:val="0"/>
          <w:bCs/>
          <w:sz w:val="32"/>
          <w:szCs w:val="32"/>
          <w:lang w:val="en-US" w:eastAsia="zh-CN"/>
        </w:rPr>
        <w:t xml:space="preserve"> 5</w:t>
      </w:r>
      <w:r>
        <w:rPr>
          <w:rStyle w:val="18"/>
          <w:rFonts w:ascii="仿宋" w:hAnsi="仿宋" w:eastAsia="仿宋"/>
          <w:bCs/>
          <w:sz w:val="32"/>
          <w:szCs w:val="32"/>
        </w:rPr>
        <w:t>.</w:t>
      </w:r>
      <w:r>
        <w:rPr>
          <w:rStyle w:val="18"/>
          <w:rFonts w:hint="eastAsia" w:ascii="仿宋" w:hAnsi="仿宋" w:eastAsia="仿宋"/>
          <w:bCs/>
          <w:sz w:val="32"/>
          <w:szCs w:val="32"/>
        </w:rPr>
        <w:t>社会保障和就业（类）</w:t>
      </w:r>
      <w:r>
        <w:rPr>
          <w:rStyle w:val="18"/>
          <w:rFonts w:hint="eastAsia" w:ascii="仿宋" w:hAnsi="仿宋" w:eastAsia="仿宋"/>
          <w:bCs/>
          <w:sz w:val="32"/>
          <w:szCs w:val="32"/>
          <w:lang w:val="en-US" w:eastAsia="zh-CN"/>
        </w:rPr>
        <w:t>残疾人事业</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残疾人就业</w:t>
      </w:r>
      <w:r>
        <w:rPr>
          <w:rStyle w:val="18"/>
          <w:rFonts w:hint="eastAsia" w:ascii="仿宋" w:hAnsi="仿宋" w:eastAsia="仿宋"/>
          <w:bCs/>
          <w:sz w:val="32"/>
          <w:szCs w:val="32"/>
        </w:rPr>
        <w:t>（项）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2.28</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4F1E2CE0">
      <w:pPr>
        <w:pStyle w:val="8"/>
        <w:ind w:firstLine="900" w:firstLineChars="300"/>
      </w:pPr>
      <w:r>
        <w:rPr>
          <w:rFonts w:hint="eastAsia" w:eastAsia="仿宋"/>
          <w:lang w:val="en-US" w:eastAsia="zh-CN"/>
        </w:rPr>
        <w:t>6.</w:t>
      </w:r>
      <w:r>
        <w:rPr>
          <w:rStyle w:val="18"/>
          <w:rFonts w:hint="eastAsia" w:ascii="仿宋" w:hAnsi="仿宋" w:eastAsia="仿宋"/>
          <w:bCs/>
          <w:sz w:val="32"/>
          <w:szCs w:val="32"/>
        </w:rPr>
        <w:t>社会保障和就业（类）其他社会保障和就业支出（款）其他社会保障和就业支出（项）</w:t>
      </w:r>
      <w:r>
        <w:rPr>
          <w:rStyle w:val="18"/>
          <w:rFonts w:hint="eastAsia" w:ascii="仿宋" w:hAnsi="仿宋" w:eastAsia="仿宋"/>
          <w:bCs/>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0.44</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Style w:val="18"/>
          <w:rFonts w:hint="eastAsia" w:ascii="仿宋" w:hAnsi="仿宋" w:eastAsia="仿宋"/>
          <w:b w:val="0"/>
          <w:bCs/>
          <w:sz w:val="32"/>
          <w:szCs w:val="32"/>
          <w:lang w:val="en-US" w:eastAsia="zh-CN"/>
        </w:rPr>
        <w:t xml:space="preserve"> </w:t>
      </w:r>
    </w:p>
    <w:p w14:paraId="3839C40F">
      <w:pPr>
        <w:numPr>
          <w:ilvl w:val="0"/>
          <w:numId w:val="0"/>
        </w:numPr>
        <w:spacing w:line="600" w:lineRule="exact"/>
        <w:ind w:firstLine="643" w:firstLineChars="200"/>
        <w:rPr>
          <w:rStyle w:val="18"/>
          <w:rFonts w:hint="eastAsia" w:ascii="仿宋" w:hAnsi="仿宋" w:eastAsia="仿宋"/>
          <w:b w:val="0"/>
          <w:bCs/>
          <w:sz w:val="32"/>
          <w:szCs w:val="32"/>
        </w:rPr>
      </w:pPr>
      <w:r>
        <w:rPr>
          <w:rFonts w:hint="eastAsia" w:ascii="仿宋" w:hAnsi="仿宋" w:eastAsia="仿宋"/>
          <w:b/>
          <w:bCs/>
          <w:sz w:val="32"/>
          <w:szCs w:val="32"/>
          <w:lang w:val="en-US" w:eastAsia="zh-CN"/>
        </w:rPr>
        <w:t>7.</w:t>
      </w:r>
      <w:r>
        <w:rPr>
          <w:rFonts w:hint="eastAsia" w:ascii="仿宋" w:hAnsi="仿宋" w:eastAsia="仿宋"/>
          <w:b/>
          <w:bCs/>
          <w:sz w:val="32"/>
          <w:szCs w:val="32"/>
        </w:rPr>
        <w:t>卫生健康支出</w:t>
      </w:r>
      <w:r>
        <w:rPr>
          <w:rStyle w:val="18"/>
          <w:rFonts w:hint="eastAsia" w:ascii="仿宋" w:hAnsi="仿宋" w:eastAsia="仿宋"/>
          <w:bCs/>
          <w:sz w:val="32"/>
          <w:szCs w:val="32"/>
        </w:rPr>
        <w:t>（类）行政事业单位医疗（款）行政单位医疗（项）</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4.23</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17711FCB">
      <w:pPr>
        <w:spacing w:line="600" w:lineRule="exact"/>
        <w:ind w:firstLine="643" w:firstLineChars="200"/>
        <w:rPr>
          <w:rFonts w:ascii="仿宋" w:hAnsi="仿宋" w:eastAsia="仿宋"/>
          <w:b/>
          <w:sz w:val="32"/>
          <w:szCs w:val="32"/>
        </w:rPr>
      </w:pPr>
      <w:r>
        <w:rPr>
          <w:rFonts w:hint="eastAsia" w:ascii="仿宋" w:hAnsi="仿宋" w:eastAsia="仿宋"/>
          <w:b/>
          <w:bCs/>
          <w:sz w:val="32"/>
          <w:szCs w:val="32"/>
          <w:lang w:val="en-US" w:eastAsia="zh-CN"/>
        </w:rPr>
        <w:t>8.</w:t>
      </w:r>
      <w:r>
        <w:rPr>
          <w:rFonts w:hint="eastAsia" w:ascii="仿宋" w:hAnsi="仿宋" w:eastAsia="仿宋"/>
          <w:b/>
          <w:bCs/>
          <w:sz w:val="32"/>
          <w:szCs w:val="32"/>
        </w:rPr>
        <w:t>卫生健康支出</w:t>
      </w:r>
      <w:r>
        <w:rPr>
          <w:rStyle w:val="18"/>
          <w:rFonts w:hint="eastAsia" w:ascii="仿宋" w:hAnsi="仿宋" w:eastAsia="仿宋"/>
          <w:bCs/>
          <w:sz w:val="32"/>
          <w:szCs w:val="32"/>
        </w:rPr>
        <w:t>（类）行政事业单位医疗（款）事业单位医疗（项）</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1.84</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7F721B26">
      <w:pPr>
        <w:spacing w:line="60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9.</w:t>
      </w:r>
      <w:r>
        <w:rPr>
          <w:rFonts w:hint="eastAsia" w:ascii="仿宋" w:hAnsi="仿宋" w:eastAsia="仿宋"/>
          <w:b/>
          <w:bCs/>
          <w:sz w:val="32"/>
          <w:szCs w:val="32"/>
        </w:rPr>
        <w:t>卫生健康支出</w:t>
      </w:r>
      <w:r>
        <w:rPr>
          <w:rStyle w:val="18"/>
          <w:rFonts w:hint="eastAsia" w:ascii="仿宋" w:hAnsi="仿宋" w:eastAsia="仿宋"/>
          <w:bCs/>
          <w:sz w:val="32"/>
          <w:szCs w:val="32"/>
        </w:rPr>
        <w:t>（类）行政事业单位医疗（款）</w:t>
      </w:r>
      <w:r>
        <w:rPr>
          <w:rStyle w:val="18"/>
          <w:rFonts w:hint="eastAsia" w:ascii="仿宋" w:hAnsi="仿宋" w:eastAsia="仿宋"/>
          <w:bCs/>
          <w:sz w:val="32"/>
          <w:szCs w:val="32"/>
          <w:lang w:val="en-US" w:eastAsia="zh-CN"/>
        </w:rPr>
        <w:t>公务员医疗补助</w:t>
      </w:r>
      <w:r>
        <w:rPr>
          <w:rStyle w:val="18"/>
          <w:rFonts w:hint="eastAsia" w:ascii="仿宋" w:hAnsi="仿宋" w:eastAsia="仿宋"/>
          <w:bCs/>
          <w:sz w:val="32"/>
          <w:szCs w:val="32"/>
        </w:rPr>
        <w:t>（项）</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1.2</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0D200267">
      <w:pPr>
        <w:pStyle w:val="8"/>
        <w:numPr>
          <w:ilvl w:val="0"/>
          <w:numId w:val="0"/>
        </w:numPr>
        <w:ind w:firstLine="643" w:firstLineChars="200"/>
        <w:rPr>
          <w:rStyle w:val="18"/>
          <w:rFonts w:hint="eastAsia" w:ascii="仿宋" w:hAnsi="仿宋" w:eastAsia="仿宋"/>
          <w:b w:val="0"/>
          <w:bCs/>
          <w:sz w:val="32"/>
          <w:szCs w:val="32"/>
        </w:rPr>
      </w:pPr>
      <w:r>
        <w:rPr>
          <w:rFonts w:hint="eastAsia" w:ascii="仿宋" w:hAnsi="仿宋" w:eastAsia="仿宋"/>
          <w:b/>
          <w:bCs/>
          <w:sz w:val="32"/>
          <w:szCs w:val="32"/>
          <w:lang w:val="en-US" w:eastAsia="zh-CN"/>
        </w:rPr>
        <w:t>10.</w:t>
      </w:r>
      <w:r>
        <w:rPr>
          <w:rFonts w:hint="eastAsia" w:ascii="仿宋" w:hAnsi="仿宋" w:eastAsia="仿宋"/>
          <w:b/>
          <w:bCs/>
          <w:sz w:val="32"/>
          <w:szCs w:val="32"/>
        </w:rPr>
        <w:t>住房保障支出</w:t>
      </w:r>
      <w:r>
        <w:rPr>
          <w:rStyle w:val="18"/>
          <w:rFonts w:hint="eastAsia" w:ascii="仿宋" w:hAnsi="仿宋" w:eastAsia="仿宋"/>
          <w:bCs/>
          <w:sz w:val="32"/>
          <w:szCs w:val="32"/>
        </w:rPr>
        <w:t>（类）住房改革支出（款）住房公积金（项）</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20.23</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29F695F5">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hint="eastAsia" w:ascii="仿宋" w:hAnsi="仿宋" w:eastAsia="仿宋"/>
          <w:b/>
          <w:sz w:val="32"/>
          <w:szCs w:val="32"/>
          <w:lang w:eastAsia="zh-CN"/>
        </w:rPr>
        <w:t>〈</w:t>
      </w:r>
      <w:r>
        <w:rPr>
          <w:rFonts w:hint="eastAsia" w:ascii="仿宋" w:hAnsi="仿宋" w:eastAsia="仿宋"/>
          <w:b/>
          <w:sz w:val="32"/>
          <w:szCs w:val="32"/>
        </w:rPr>
        <w:t>项级</w:t>
      </w:r>
      <w:r>
        <w:rPr>
          <w:rFonts w:hint="eastAsia" w:ascii="仿宋" w:hAnsi="仿宋" w:eastAsia="仿宋"/>
          <w:b/>
          <w:sz w:val="32"/>
          <w:szCs w:val="32"/>
          <w:lang w:eastAsia="zh-CN"/>
        </w:rPr>
        <w:t>〉</w:t>
      </w:r>
      <w:r>
        <w:rPr>
          <w:rFonts w:hint="eastAsia" w:ascii="仿宋" w:hAnsi="仿宋" w:eastAsia="仿宋"/>
          <w:b/>
          <w:sz w:val="32"/>
          <w:szCs w:val="32"/>
        </w:rPr>
        <w:t>和全年预算数</w:t>
      </w:r>
      <w:r>
        <w:rPr>
          <w:rFonts w:hint="eastAsia" w:ascii="仿宋" w:hAnsi="仿宋" w:eastAsia="仿宋"/>
          <w:b/>
          <w:sz w:val="32"/>
          <w:szCs w:val="32"/>
          <w:lang w:eastAsia="zh-CN"/>
        </w:rPr>
        <w:t>〈</w:t>
      </w:r>
      <w:r>
        <w:rPr>
          <w:rFonts w:hint="eastAsia" w:ascii="仿宋" w:hAnsi="仿宋" w:eastAsia="仿宋"/>
          <w:b/>
          <w:sz w:val="32"/>
          <w:szCs w:val="32"/>
        </w:rPr>
        <w:t>项级</w:t>
      </w:r>
      <w:r>
        <w:rPr>
          <w:rFonts w:hint="eastAsia" w:ascii="仿宋" w:hAnsi="仿宋" w:eastAsia="仿宋"/>
          <w:b/>
          <w:sz w:val="32"/>
          <w:szCs w:val="32"/>
          <w:lang w:eastAsia="zh-CN"/>
        </w:rPr>
        <w:t>〉</w:t>
      </w:r>
      <w:r>
        <w:rPr>
          <w:rFonts w:hint="eastAsia" w:ascii="仿宋" w:hAnsi="仿宋" w:eastAsia="仿宋"/>
          <w:b/>
          <w:sz w:val="32"/>
          <w:szCs w:val="32"/>
        </w:rPr>
        <w:t>比较，与预算数持平可以不写原因。）</w:t>
      </w:r>
    </w:p>
    <w:p w14:paraId="62653692">
      <w:pPr>
        <w:tabs>
          <w:tab w:val="right" w:pos="8306"/>
        </w:tabs>
        <w:spacing w:line="600" w:lineRule="exact"/>
        <w:ind w:firstLine="640"/>
        <w:outlineLvl w:val="1"/>
        <w:rPr>
          <w:rStyle w:val="31"/>
        </w:rPr>
      </w:pPr>
      <w:bookmarkStart w:id="41" w:name="_Toc27615"/>
      <w:bookmarkStart w:id="42" w:name="_Toc15377214"/>
      <w:bookmarkStart w:id="43"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41"/>
      <w:bookmarkEnd w:id="42"/>
      <w:bookmarkEnd w:id="43"/>
      <w:r>
        <w:rPr>
          <w:rStyle w:val="31"/>
          <w:rFonts w:ascii="黑体" w:hAnsi="黑体" w:eastAsia="黑体"/>
          <w:b w:val="0"/>
        </w:rPr>
        <w:tab/>
      </w:r>
    </w:p>
    <w:p w14:paraId="460ADDD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242.95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0BEE241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217.31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25.64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0EA7B15">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555B85B9">
      <w:pPr>
        <w:spacing w:line="600" w:lineRule="exact"/>
        <w:ind w:firstLine="640"/>
        <w:outlineLvl w:val="1"/>
        <w:rPr>
          <w:rStyle w:val="31"/>
          <w:rFonts w:ascii="黑体" w:hAnsi="黑体" w:eastAsia="黑体"/>
          <w:b w:val="0"/>
        </w:rPr>
      </w:pPr>
      <w:bookmarkStart w:id="44" w:name="_Toc15396609"/>
      <w:bookmarkStart w:id="45" w:name="_Toc29568"/>
      <w:bookmarkStart w:id="46" w:name="_Toc15377215"/>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44"/>
      <w:bookmarkEnd w:id="45"/>
      <w:bookmarkEnd w:id="46"/>
    </w:p>
    <w:p w14:paraId="40375DD9">
      <w:pPr>
        <w:spacing w:line="600" w:lineRule="exact"/>
        <w:ind w:firstLine="640"/>
        <w:outlineLvl w:val="2"/>
        <w:rPr>
          <w:rFonts w:ascii="仿宋" w:hAnsi="仿宋" w:eastAsia="仿宋"/>
          <w:b/>
          <w:sz w:val="32"/>
          <w:szCs w:val="32"/>
        </w:rPr>
      </w:pPr>
      <w:bookmarkStart w:id="47" w:name="_Toc15377216"/>
      <w:r>
        <w:rPr>
          <w:rFonts w:hint="eastAsia" w:ascii="仿宋" w:hAnsi="仿宋" w:eastAsia="仿宋"/>
          <w:b/>
          <w:sz w:val="32"/>
          <w:szCs w:val="32"/>
        </w:rPr>
        <w:t>（一）“三公”经费财政拨款支出决算总体情况说明</w:t>
      </w:r>
      <w:bookmarkEnd w:id="47"/>
    </w:p>
    <w:p w14:paraId="0C442D2B">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0.19</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较上年度增加</w:t>
      </w:r>
      <w:r>
        <w:rPr>
          <w:rFonts w:hint="eastAsia" w:eastAsia="仿宋_GB2312" w:cs="仿宋_GB2312"/>
          <w:color w:val="auto"/>
          <w:kern w:val="2"/>
          <w:sz w:val="32"/>
          <w:szCs w:val="32"/>
          <w:highlight w:val="none"/>
          <w:lang w:val="en-US" w:eastAsia="zh-CN" w:bidi="ar-SA"/>
        </w:rPr>
        <w:t>0.19</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%。决算与预算数持平</w:t>
      </w:r>
      <w:r>
        <w:rPr>
          <w:rFonts w:hint="eastAsia" w:eastAsia="仿宋_GB2312" w:cs="仿宋_GB2312"/>
          <w:color w:val="auto"/>
          <w:kern w:val="2"/>
          <w:sz w:val="32"/>
          <w:szCs w:val="32"/>
          <w:highlight w:val="none"/>
          <w:lang w:val="en-US" w:eastAsia="zh-CN" w:bidi="ar-SA"/>
        </w:rPr>
        <w:t>。</w:t>
      </w:r>
    </w:p>
    <w:p w14:paraId="4C587F8A">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5937AE41">
      <w:pPr>
        <w:spacing w:line="600" w:lineRule="exact"/>
        <w:ind w:firstLine="640"/>
        <w:outlineLvl w:val="2"/>
        <w:rPr>
          <w:rFonts w:ascii="仿宋" w:hAnsi="仿宋" w:eastAsia="仿宋"/>
          <w:b/>
          <w:sz w:val="32"/>
          <w:szCs w:val="32"/>
        </w:rPr>
      </w:pPr>
      <w:bookmarkStart w:id="48" w:name="_Toc15377217"/>
      <w:r>
        <w:rPr>
          <w:rFonts w:hint="eastAsia" w:ascii="仿宋" w:hAnsi="仿宋" w:eastAsia="仿宋"/>
          <w:b/>
          <w:sz w:val="32"/>
          <w:szCs w:val="32"/>
        </w:rPr>
        <w:t>（二）“三公”经费财政拨款支出决算具体情况说明</w:t>
      </w:r>
      <w:bookmarkEnd w:id="48"/>
    </w:p>
    <w:p w14:paraId="511BE081">
      <w:pPr>
        <w:spacing w:line="600" w:lineRule="exact"/>
        <w:ind w:firstLine="640"/>
        <w:rPr>
          <w:rFonts w:hint="eastAsia"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b/>
          <w:sz w:val="32"/>
          <w:szCs w:val="32"/>
          <w:lang w:val="en-US" w:eastAsia="zh-CN"/>
        </w:rPr>
        <w:t>.19</w:t>
      </w:r>
      <w:r>
        <w:rPr>
          <w:rFonts w:hint="eastAsia" w:ascii="仿宋" w:hAnsi="仿宋" w:eastAsia="仿宋"/>
          <w:sz w:val="32"/>
          <w:szCs w:val="32"/>
        </w:rPr>
        <w:t>万元，占</w:t>
      </w:r>
      <w:r>
        <w:rPr>
          <w:rFonts w:hint="eastAsia" w:ascii="仿宋" w:hAnsi="仿宋" w:eastAsia="仿宋"/>
          <w:b/>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14:paraId="6AA94AB0">
      <w:pPr>
        <w:pStyle w:val="2"/>
      </w:pPr>
      <w:r>
        <w:drawing>
          <wp:inline distT="0" distB="0" distL="114300" distR="114300">
            <wp:extent cx="4942840" cy="2876550"/>
            <wp:effectExtent l="4445" t="4445" r="5715" b="1460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75234E">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7E310B1C">
      <w:pPr>
        <w:spacing w:line="600" w:lineRule="exact"/>
        <w:ind w:firstLine="640"/>
        <w:rPr>
          <w:rFonts w:ascii="仿宋_GB2312" w:eastAsia="仿宋_GB2312"/>
          <w:b/>
          <w:sz w:val="32"/>
          <w:szCs w:val="32"/>
        </w:rPr>
      </w:pPr>
      <w:bookmarkStart w:id="49" w:name="_Toc15396610"/>
      <w:bookmarkStart w:id="50"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w:t>
      </w:r>
      <w:r>
        <w:rPr>
          <w:rFonts w:hint="eastAsia" w:ascii="仿宋_GB2312" w:eastAsia="仿宋_GB2312"/>
          <w:sz w:val="32"/>
          <w:szCs w:val="32"/>
          <w:lang w:eastAsia="zh-CN"/>
        </w:rPr>
        <w:t>2023</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7335CFB0">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hint="eastAsia" w:ascii="仿宋_GB2312" w:eastAsia="仿宋_GB2312"/>
          <w:sz w:val="32"/>
          <w:szCs w:val="32"/>
          <w:lang w:eastAsia="zh-CN"/>
        </w:rPr>
        <w:t>2023</w:t>
      </w:r>
      <w:r>
        <w:rPr>
          <w:rFonts w:hint="eastAsia" w:ascii="仿宋_GB2312" w:eastAsia="仿宋_GB2312"/>
          <w:sz w:val="32"/>
          <w:szCs w:val="32"/>
        </w:rPr>
        <w:t>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1985A27A">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00</w:t>
      </w:r>
      <w:r>
        <w:rPr>
          <w:rFonts w:hint="eastAsia" w:ascii="仿宋_GB2312" w:eastAsia="仿宋_GB2312"/>
          <w:sz w:val="32"/>
          <w:szCs w:val="32"/>
        </w:rPr>
        <w:t>万元。截至</w:t>
      </w:r>
      <w:r>
        <w:rPr>
          <w:rFonts w:hint="eastAsia" w:ascii="仿宋_GB2312" w:eastAsia="仿宋_GB2312"/>
          <w:sz w:val="32"/>
          <w:szCs w:val="32"/>
          <w:lang w:eastAsia="zh-CN"/>
        </w:rPr>
        <w:t>2024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0E2470C1">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（具体工作）等所需的公务用车燃料费、维修费、过路过桥费、保险费等支出。</w:t>
      </w:r>
    </w:p>
    <w:p w14:paraId="34B2B171">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 w:hAnsi="仿宋" w:eastAsia="仿宋"/>
          <w:b/>
          <w:sz w:val="32"/>
          <w:szCs w:val="32"/>
          <w:lang w:val="en-US" w:eastAsia="zh-CN"/>
        </w:rPr>
        <w:t>.19</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hint="eastAsia" w:ascii="仿宋_GB2312" w:eastAsia="仿宋_GB2312"/>
          <w:sz w:val="32"/>
          <w:szCs w:val="32"/>
          <w:lang w:eastAsia="zh-CN"/>
        </w:rPr>
        <w:t>2023</w:t>
      </w:r>
      <w:r>
        <w:rPr>
          <w:rFonts w:hint="eastAsia" w:ascii="仿宋_GB2312" w:eastAsia="仿宋_GB2312"/>
          <w:sz w:val="32"/>
          <w:szCs w:val="32"/>
        </w:rPr>
        <w:t>年度</w:t>
      </w:r>
      <w:r>
        <w:rPr>
          <w:rFonts w:hint="eastAsia" w:ascii="仿宋_GB2312" w:eastAsia="仿宋_GB2312"/>
          <w:sz w:val="32"/>
          <w:szCs w:val="32"/>
          <w:lang w:val="en-US" w:eastAsia="zh-CN"/>
        </w:rPr>
        <w:t>增加0.19</w:t>
      </w:r>
      <w:r>
        <w:rPr>
          <w:rFonts w:hint="eastAsia" w:ascii="仿宋_GB2312" w:eastAsia="仿宋_GB2312"/>
          <w:sz w:val="32"/>
          <w:szCs w:val="32"/>
        </w:rPr>
        <w:t>万元，</w:t>
      </w:r>
      <w:r>
        <w:rPr>
          <w:rFonts w:hint="eastAsia" w:ascii="仿宋_GB2312" w:eastAsia="仿宋_GB2312"/>
          <w:sz w:val="32"/>
          <w:szCs w:val="32"/>
          <w:lang w:val="en-US" w:eastAsia="zh-CN"/>
        </w:rPr>
        <w:t>增长100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接受检查次数增加</w:t>
      </w:r>
      <w:r>
        <w:rPr>
          <w:rFonts w:hint="eastAsia" w:ascii="仿宋_GB2312" w:eastAsia="仿宋_GB2312"/>
          <w:sz w:val="32"/>
          <w:szCs w:val="32"/>
        </w:rPr>
        <w:t>。其中：</w:t>
      </w:r>
    </w:p>
    <w:p w14:paraId="2C42BE37">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 w:hAnsi="仿宋" w:eastAsia="仿宋"/>
          <w:b/>
          <w:sz w:val="32"/>
          <w:szCs w:val="32"/>
          <w:lang w:val="en-US" w:eastAsia="zh-CN"/>
        </w:rPr>
        <w:t>.19</w:t>
      </w:r>
      <w:r>
        <w:rPr>
          <w:rFonts w:hint="eastAsia" w:ascii="仿宋_GB2312" w:eastAsia="仿宋_GB2312"/>
          <w:sz w:val="32"/>
          <w:szCs w:val="32"/>
        </w:rPr>
        <w:t>万元。国内公务接待</w:t>
      </w:r>
      <w:r>
        <w:rPr>
          <w:rFonts w:hint="eastAsia" w:ascii="仿宋_GB2312" w:eastAsia="仿宋_GB2312"/>
          <w:sz w:val="32"/>
          <w:szCs w:val="32"/>
          <w:lang w:val="en-US" w:eastAsia="zh-CN"/>
        </w:rPr>
        <w:t>3</w:t>
      </w:r>
      <w:r>
        <w:rPr>
          <w:rFonts w:hint="eastAsia" w:ascii="仿宋_GB2312" w:eastAsia="仿宋_GB2312"/>
          <w:sz w:val="32"/>
          <w:szCs w:val="32"/>
        </w:rPr>
        <w:t>批次，</w:t>
      </w:r>
      <w:r>
        <w:rPr>
          <w:rFonts w:hint="eastAsia" w:ascii="仿宋_GB2312" w:eastAsia="仿宋_GB2312"/>
          <w:sz w:val="32"/>
          <w:szCs w:val="32"/>
          <w:lang w:val="en-US" w:eastAsia="zh-CN"/>
        </w:rPr>
        <w:t>19</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0.19</w:t>
      </w:r>
      <w:r>
        <w:rPr>
          <w:rFonts w:hint="eastAsia" w:ascii="仿宋_GB2312" w:eastAsia="仿宋_GB2312"/>
          <w:sz w:val="32"/>
          <w:szCs w:val="32"/>
        </w:rPr>
        <w:t>万元。</w:t>
      </w:r>
    </w:p>
    <w:p w14:paraId="1225020D">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003FA712">
      <w:pPr>
        <w:spacing w:line="600" w:lineRule="exact"/>
        <w:ind w:firstLine="640"/>
        <w:outlineLvl w:val="1"/>
        <w:rPr>
          <w:rStyle w:val="31"/>
          <w:rFonts w:ascii="黑体" w:hAnsi="黑体" w:eastAsia="黑体"/>
        </w:rPr>
      </w:pPr>
      <w:bookmarkStart w:id="51" w:name="_Toc20543"/>
      <w:r>
        <w:rPr>
          <w:rFonts w:hint="eastAsia" w:ascii="黑体" w:eastAsia="黑体"/>
          <w:sz w:val="32"/>
          <w:szCs w:val="32"/>
        </w:rPr>
        <w:t>八、</w:t>
      </w:r>
      <w:r>
        <w:rPr>
          <w:rStyle w:val="31"/>
          <w:rFonts w:hint="eastAsia" w:ascii="黑体" w:hAnsi="黑体" w:eastAsia="黑体"/>
          <w:b w:val="0"/>
        </w:rPr>
        <w:t>政府性基金预算支出决算情况说明</w:t>
      </w:r>
      <w:bookmarkEnd w:id="49"/>
      <w:bookmarkEnd w:id="50"/>
      <w:bookmarkEnd w:id="51"/>
    </w:p>
    <w:p w14:paraId="4BB27C79">
      <w:pPr>
        <w:spacing w:line="600" w:lineRule="exact"/>
        <w:ind w:firstLine="640"/>
        <w:rPr>
          <w:rFonts w:ascii="仿宋_GB2312" w:eastAsia="仿宋_GB2312"/>
          <w:sz w:val="32"/>
          <w:szCs w:val="32"/>
        </w:rPr>
      </w:pPr>
      <w:r>
        <w:rPr>
          <w:rFonts w:hint="eastAsia" w:ascii="仿宋_GB2312" w:eastAsia="仿宋_GB2312"/>
          <w:sz w:val="32"/>
          <w:szCs w:val="32"/>
          <w:lang w:eastAsia="zh-CN"/>
        </w:rPr>
        <w:t>2024</w:t>
      </w:r>
      <w:r>
        <w:rPr>
          <w:rFonts w:hint="eastAsia" w:ascii="仿宋_GB2312" w:eastAsia="仿宋_GB2312"/>
          <w:sz w:val="32"/>
          <w:szCs w:val="32"/>
        </w:rPr>
        <w:t>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38F6A984">
      <w:pPr>
        <w:numPr>
          <w:ilvl w:val="0"/>
          <w:numId w:val="3"/>
        </w:numPr>
        <w:spacing w:line="600" w:lineRule="exact"/>
        <w:ind w:firstLine="640"/>
        <w:outlineLvl w:val="1"/>
        <w:rPr>
          <w:rStyle w:val="31"/>
          <w:rFonts w:ascii="黑体" w:hAnsi="黑体" w:eastAsia="黑体"/>
          <w:b w:val="0"/>
        </w:rPr>
      </w:pPr>
      <w:bookmarkStart w:id="52" w:name="_Toc15377219"/>
      <w:bookmarkStart w:id="53" w:name="_Toc15396611"/>
      <w:bookmarkStart w:id="54" w:name="_Toc17680"/>
      <w:r>
        <w:rPr>
          <w:rStyle w:val="31"/>
          <w:rFonts w:hint="eastAsia" w:ascii="黑体" w:hAnsi="黑体" w:eastAsia="黑体"/>
          <w:b w:val="0"/>
        </w:rPr>
        <w:t>国有资本经营预算支出决算情况说明</w:t>
      </w:r>
      <w:bookmarkEnd w:id="52"/>
      <w:bookmarkEnd w:id="53"/>
      <w:bookmarkEnd w:id="54"/>
    </w:p>
    <w:p w14:paraId="409CB47D">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lang w:eastAsia="zh-CN"/>
        </w:rPr>
        <w:t>2024</w:t>
      </w:r>
      <w:r>
        <w:rPr>
          <w:rFonts w:hint="eastAsia" w:ascii="仿宋_GB2312" w:eastAsia="仿宋_GB2312"/>
          <w:sz w:val="32"/>
          <w:szCs w:val="32"/>
        </w:rPr>
        <w:t>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2125F617">
      <w:pPr>
        <w:numPr>
          <w:ilvl w:val="0"/>
          <w:numId w:val="3"/>
        </w:numPr>
        <w:spacing w:line="600" w:lineRule="exact"/>
        <w:ind w:firstLine="640"/>
        <w:outlineLvl w:val="1"/>
        <w:rPr>
          <w:rStyle w:val="31"/>
          <w:rFonts w:ascii="黑体" w:hAnsi="黑体" w:eastAsia="黑体"/>
          <w:b w:val="0"/>
        </w:rPr>
      </w:pPr>
      <w:bookmarkStart w:id="55" w:name="_Toc15377221"/>
      <w:bookmarkStart w:id="56" w:name="_Toc15396612"/>
      <w:bookmarkStart w:id="57" w:name="_Toc21411"/>
      <w:r>
        <w:rPr>
          <w:rStyle w:val="31"/>
          <w:rFonts w:hint="eastAsia" w:ascii="黑体" w:hAnsi="黑体" w:eastAsia="黑体"/>
          <w:b w:val="0"/>
        </w:rPr>
        <w:t>其他重要事项的情况说明</w:t>
      </w:r>
      <w:bookmarkEnd w:id="55"/>
      <w:bookmarkEnd w:id="56"/>
      <w:bookmarkEnd w:id="57"/>
    </w:p>
    <w:p w14:paraId="57E965B6">
      <w:pPr>
        <w:spacing w:line="600" w:lineRule="exact"/>
        <w:ind w:firstLine="643" w:firstLineChars="200"/>
        <w:outlineLvl w:val="2"/>
        <w:rPr>
          <w:rFonts w:ascii="仿宋" w:hAnsi="仿宋" w:eastAsia="仿宋"/>
          <w:sz w:val="32"/>
          <w:szCs w:val="32"/>
        </w:rPr>
      </w:pPr>
      <w:bookmarkStart w:id="58" w:name="_Toc15377222"/>
      <w:r>
        <w:rPr>
          <w:rFonts w:hint="eastAsia" w:ascii="仿宋" w:hAnsi="仿宋" w:eastAsia="仿宋"/>
          <w:b/>
          <w:sz w:val="32"/>
          <w:szCs w:val="32"/>
        </w:rPr>
        <w:t>（一）机关运行经费支出情况</w:t>
      </w:r>
      <w:bookmarkEnd w:id="58"/>
    </w:p>
    <w:p w14:paraId="72402714">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2024</w:t>
      </w:r>
      <w:r>
        <w:rPr>
          <w:rFonts w:hint="eastAsia" w:ascii="仿宋_GB2312" w:eastAsia="仿宋_GB2312"/>
          <w:sz w:val="32"/>
          <w:szCs w:val="32"/>
        </w:rPr>
        <w:t>年度，</w:t>
      </w:r>
      <w:r>
        <w:rPr>
          <w:rFonts w:ascii="仿宋_GB2312" w:eastAsia="仿宋_GB2312"/>
          <w:b/>
          <w:sz w:val="32"/>
          <w:szCs w:val="32"/>
        </w:rPr>
        <w:t>中共乐山市金口河区委党校</w:t>
      </w:r>
      <w:r>
        <w:rPr>
          <w:rFonts w:hint="eastAsia" w:ascii="仿宋_GB2312" w:eastAsia="仿宋_GB2312"/>
          <w:sz w:val="32"/>
          <w:szCs w:val="32"/>
        </w:rPr>
        <w:t>机关运行经费支出</w:t>
      </w:r>
      <w:r>
        <w:rPr>
          <w:rFonts w:hint="eastAsia" w:ascii="仿宋" w:hAnsi="仿宋" w:eastAsia="仿宋"/>
          <w:b/>
          <w:sz w:val="32"/>
          <w:szCs w:val="32"/>
          <w:lang w:val="en-US" w:eastAsia="zh-CN"/>
        </w:rPr>
        <w:t>25.64</w:t>
      </w:r>
      <w:r>
        <w:rPr>
          <w:rFonts w:hint="eastAsia" w:ascii="仿宋_GB2312" w:eastAsia="仿宋_GB2312"/>
          <w:sz w:val="32"/>
          <w:szCs w:val="32"/>
        </w:rPr>
        <w:t>万元，比</w:t>
      </w:r>
      <w:r>
        <w:rPr>
          <w:rFonts w:hint="eastAsia" w:ascii="仿宋_GB2312" w:eastAsia="仿宋_GB2312"/>
          <w:sz w:val="32"/>
          <w:szCs w:val="32"/>
          <w:lang w:eastAsia="zh-CN"/>
        </w:rPr>
        <w:t>2023</w:t>
      </w:r>
      <w:r>
        <w:rPr>
          <w:rFonts w:hint="eastAsia" w:ascii="仿宋_GB2312" w:eastAsia="仿宋_GB2312"/>
          <w:sz w:val="32"/>
          <w:szCs w:val="32"/>
        </w:rPr>
        <w:t>年度</w:t>
      </w:r>
      <w:r>
        <w:rPr>
          <w:rFonts w:hint="eastAsia" w:ascii="仿宋_GB2312" w:eastAsia="仿宋_GB2312"/>
          <w:sz w:val="32"/>
          <w:szCs w:val="32"/>
          <w:lang w:val="en-US" w:eastAsia="zh-CN"/>
        </w:rPr>
        <w:t>减少6.24</w:t>
      </w:r>
      <w:r>
        <w:rPr>
          <w:rFonts w:hint="eastAsia" w:ascii="仿宋_GB2312" w:eastAsia="仿宋_GB2312"/>
          <w:sz w:val="32"/>
          <w:szCs w:val="32"/>
        </w:rPr>
        <w:t>万元，</w:t>
      </w:r>
      <w:r>
        <w:rPr>
          <w:rFonts w:hint="eastAsia" w:ascii="仿宋_GB2312" w:eastAsia="仿宋_GB2312"/>
          <w:sz w:val="32"/>
          <w:szCs w:val="32"/>
          <w:lang w:val="en-US" w:eastAsia="zh-CN"/>
        </w:rPr>
        <w:t>降低19.55</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缩减经费</w:t>
      </w:r>
      <w:r>
        <w:rPr>
          <w:rFonts w:hint="eastAsia" w:ascii="仿宋_GB2312" w:eastAsia="仿宋_GB2312"/>
          <w:color w:val="auto"/>
          <w:sz w:val="32"/>
          <w:szCs w:val="32"/>
          <w:highlight w:val="none"/>
          <w:lang w:eastAsia="zh-CN"/>
        </w:rPr>
        <w:t>。</w:t>
      </w:r>
    </w:p>
    <w:p w14:paraId="5FBA5349">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24883134">
      <w:pPr>
        <w:autoSpaceDE w:val="0"/>
        <w:autoSpaceDN w:val="0"/>
        <w:adjustRightInd w:val="0"/>
        <w:spacing w:line="600" w:lineRule="exact"/>
        <w:ind w:firstLine="643" w:firstLineChars="200"/>
        <w:jc w:val="left"/>
        <w:outlineLvl w:val="2"/>
        <w:rPr>
          <w:rFonts w:ascii="仿宋" w:hAnsi="仿宋" w:eastAsia="仿宋"/>
          <w:b/>
          <w:sz w:val="32"/>
          <w:szCs w:val="32"/>
        </w:rPr>
      </w:pPr>
      <w:bookmarkStart w:id="59" w:name="_Toc15377223"/>
      <w:r>
        <w:rPr>
          <w:rFonts w:hint="eastAsia" w:ascii="仿宋" w:hAnsi="仿宋" w:eastAsia="仿宋"/>
          <w:b/>
          <w:sz w:val="32"/>
          <w:szCs w:val="32"/>
        </w:rPr>
        <w:t>（二）政府采购支出情况</w:t>
      </w:r>
      <w:bookmarkEnd w:id="59"/>
    </w:p>
    <w:p w14:paraId="77062AF8">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2024</w:t>
      </w:r>
      <w:r>
        <w:rPr>
          <w:rFonts w:hint="eastAsia" w:ascii="仿宋_GB2312" w:eastAsia="仿宋_GB2312"/>
          <w:sz w:val="32"/>
          <w:szCs w:val="32"/>
        </w:rPr>
        <w:t>年度，</w:t>
      </w:r>
      <w:r>
        <w:rPr>
          <w:rFonts w:ascii="仿宋_GB2312" w:eastAsia="仿宋_GB2312"/>
          <w:b/>
          <w:sz w:val="32"/>
          <w:szCs w:val="32"/>
        </w:rPr>
        <w:t>中共乐山市金口河区委党校</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5D3295B0">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51D6401B">
      <w:pPr>
        <w:autoSpaceDE w:val="0"/>
        <w:autoSpaceDN w:val="0"/>
        <w:adjustRightInd w:val="0"/>
        <w:spacing w:line="600" w:lineRule="exact"/>
        <w:ind w:firstLine="643" w:firstLineChars="200"/>
        <w:jc w:val="left"/>
        <w:outlineLvl w:val="2"/>
        <w:rPr>
          <w:rFonts w:ascii="仿宋" w:hAnsi="仿宋" w:eastAsia="仿宋"/>
          <w:b/>
          <w:sz w:val="32"/>
          <w:szCs w:val="32"/>
        </w:rPr>
      </w:pPr>
      <w:bookmarkStart w:id="60" w:name="_Toc15377224"/>
      <w:r>
        <w:rPr>
          <w:rFonts w:hint="eastAsia" w:ascii="仿宋" w:hAnsi="仿宋" w:eastAsia="仿宋"/>
          <w:b/>
          <w:sz w:val="32"/>
          <w:szCs w:val="32"/>
        </w:rPr>
        <w:t>（三）国有资产占有使用情况</w:t>
      </w:r>
      <w:bookmarkEnd w:id="60"/>
    </w:p>
    <w:p w14:paraId="7B376F04">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eastAsia="zh-CN"/>
        </w:rPr>
        <w:t>2024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中共乐山市金口河区委党校</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222AF545">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546E51D6">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D01A9A0">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w:t>
      </w:r>
      <w:r>
        <w:rPr>
          <w:rFonts w:hint="eastAsia" w:ascii="仿宋_GB2312" w:eastAsia="仿宋_GB2312"/>
          <w:sz w:val="32"/>
          <w:szCs w:val="32"/>
          <w:lang w:eastAsia="zh-CN"/>
        </w:rPr>
        <w:t>2024</w:t>
      </w:r>
      <w:r>
        <w:rPr>
          <w:rFonts w:hint="eastAsia" w:ascii="仿宋_GB2312" w:eastAsia="仿宋_GB2312"/>
          <w:sz w:val="32"/>
          <w:szCs w:val="32"/>
        </w:rPr>
        <w:t>年度预算编制阶段，组织对</w:t>
      </w:r>
      <w:r>
        <w:rPr>
          <w:rFonts w:hint="eastAsia" w:ascii="仿宋_GB2312" w:eastAsia="仿宋_GB2312"/>
          <w:sz w:val="32"/>
          <w:szCs w:val="32"/>
          <w:lang w:val="en-US" w:eastAsia="zh-CN"/>
        </w:rPr>
        <w:t>公务员培训等5</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5</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5</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5</w:t>
      </w:r>
      <w:r>
        <w:rPr>
          <w:rFonts w:hint="eastAsia" w:ascii="仿宋_GB2312" w:eastAsia="仿宋_GB2312"/>
          <w:sz w:val="32"/>
          <w:szCs w:val="32"/>
        </w:rPr>
        <w:t>个项目开展绩效自评，绩效自评表详见第四部分附件。</w:t>
      </w:r>
    </w:p>
    <w:p w14:paraId="4C84E94A">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6E4871E2">
      <w:pPr>
        <w:numPr>
          <w:ilvl w:val="0"/>
          <w:numId w:val="4"/>
        </w:numPr>
        <w:spacing w:line="600" w:lineRule="exact"/>
        <w:ind w:firstLine="660" w:firstLineChars="150"/>
        <w:jc w:val="center"/>
        <w:outlineLvl w:val="0"/>
        <w:rPr>
          <w:rStyle w:val="30"/>
          <w:rFonts w:ascii="黑体" w:hAnsi="黑体" w:eastAsia="黑体"/>
          <w:b w:val="0"/>
        </w:rPr>
      </w:pPr>
      <w:bookmarkStart w:id="61" w:name="_Toc15396613"/>
      <w:bookmarkStart w:id="62" w:name="_Toc15377225"/>
      <w:bookmarkStart w:id="63" w:name="_Toc30277"/>
      <w:r>
        <w:rPr>
          <w:rFonts w:hint="eastAsia" w:ascii="黑体" w:hAnsi="黑体" w:eastAsia="黑体"/>
          <w:sz w:val="44"/>
          <w:szCs w:val="44"/>
        </w:rPr>
        <w:t>名</w:t>
      </w:r>
      <w:r>
        <w:rPr>
          <w:rStyle w:val="30"/>
          <w:rFonts w:hint="eastAsia" w:ascii="黑体" w:hAnsi="黑体" w:eastAsia="黑体"/>
          <w:b w:val="0"/>
        </w:rPr>
        <w:t>词解释</w:t>
      </w:r>
      <w:bookmarkEnd w:id="61"/>
      <w:bookmarkEnd w:id="62"/>
      <w:bookmarkEnd w:id="63"/>
    </w:p>
    <w:p w14:paraId="50F976C8">
      <w:pPr>
        <w:spacing w:line="600" w:lineRule="exact"/>
        <w:jc w:val="left"/>
        <w:rPr>
          <w:rFonts w:ascii="宋体"/>
          <w:b/>
          <w:sz w:val="44"/>
          <w:szCs w:val="44"/>
        </w:rPr>
      </w:pPr>
    </w:p>
    <w:p w14:paraId="41108E78">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492A04C8">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594CF7DE">
      <w:pPr>
        <w:pStyle w:val="28"/>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63BF2D82">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14:paraId="61DFC275">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67C9FB8D">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22A21D62">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78C8F4F4">
      <w:pPr>
        <w:pStyle w:val="28"/>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2FEA3D4E">
      <w:pPr>
        <w:widowControl/>
        <w:shd w:val="clear" w:color="auto" w:fill="FFFFFF"/>
        <w:spacing w:line="450" w:lineRule="atLeast"/>
        <w:ind w:firstLine="645"/>
        <w:jc w:val="left"/>
        <w:rPr>
          <w:rFonts w:hint="eastAsia" w:ascii="Times New Roman" w:hAnsi="Times New Roman"/>
          <w:color w:val="333333"/>
          <w:kern w:val="0"/>
          <w:sz w:val="24"/>
          <w:szCs w:val="24"/>
        </w:rPr>
      </w:pPr>
      <w:r>
        <w:rPr>
          <w:rFonts w:hint="eastAsia" w:ascii="仿宋_GB2312" w:hAnsi="Times New Roman" w:eastAsia="仿宋_GB2312"/>
          <w:color w:val="000000"/>
          <w:kern w:val="0"/>
          <w:sz w:val="32"/>
          <w:szCs w:val="32"/>
        </w:rPr>
        <w:t>9.</w:t>
      </w:r>
      <w:r>
        <w:rPr>
          <w:rFonts w:hint="eastAsia" w:ascii="仿宋_GB2312" w:hAnsi="Times New Roman" w:eastAsia="仿宋_GB2312"/>
          <w:color w:val="333333"/>
          <w:kern w:val="0"/>
          <w:sz w:val="32"/>
          <w:szCs w:val="32"/>
          <w:shd w:val="clear" w:color="auto" w:fill="FFFFFF"/>
        </w:rPr>
        <w:t>教育（205）进修及培训（08）干部教育（02）：反映各级党校、行政学院、社会主义学院、国家会计学院的支出。包括机构运转、招聘师资、举办各类培训班的支出等。</w:t>
      </w:r>
    </w:p>
    <w:p w14:paraId="22284121">
      <w:pPr>
        <w:widowControl/>
        <w:shd w:val="clear" w:color="auto" w:fill="FFFFFF"/>
        <w:spacing w:line="450" w:lineRule="atLeast"/>
        <w:ind w:firstLine="645"/>
        <w:jc w:val="left"/>
        <w:rPr>
          <w:rFonts w:ascii="Times New Roman" w:hAnsi="Times New Roman"/>
          <w:color w:val="333333"/>
          <w:kern w:val="0"/>
          <w:sz w:val="24"/>
          <w:szCs w:val="24"/>
        </w:rPr>
      </w:pPr>
      <w:r>
        <w:rPr>
          <w:rFonts w:hint="eastAsia" w:ascii="仿宋_GB2312" w:hAnsi="Times New Roman" w:eastAsia="仿宋_GB2312"/>
          <w:color w:val="333333"/>
          <w:kern w:val="0"/>
          <w:sz w:val="32"/>
          <w:szCs w:val="32"/>
          <w:shd w:val="clear" w:color="auto" w:fill="FFFFFF"/>
        </w:rPr>
        <w:t>10.教育（205）进修及培训（08）其他进修及培训（99）：反映除上述项目以外其他用于进修及培训方面的支出。</w:t>
      </w:r>
    </w:p>
    <w:p w14:paraId="08CFA9D4">
      <w:pPr>
        <w:widowControl/>
        <w:shd w:val="clear" w:color="auto" w:fill="FFFFFF"/>
        <w:spacing w:line="450" w:lineRule="atLeast"/>
        <w:ind w:firstLine="645"/>
        <w:jc w:val="left"/>
        <w:rPr>
          <w:rFonts w:hint="eastAsia" w:ascii="仿宋_GB2312" w:eastAsia="仿宋_GB2312"/>
          <w:color w:val="333333"/>
          <w:kern w:val="0"/>
          <w:sz w:val="32"/>
          <w:szCs w:val="32"/>
          <w:shd w:val="clear" w:color="auto" w:fill="FFFFFF"/>
          <w:lang w:eastAsia="zh-CN"/>
        </w:rPr>
      </w:pPr>
      <w:r>
        <w:rPr>
          <w:rFonts w:hint="eastAsia" w:ascii="仿宋_GB2312" w:hAnsi="Times New Roman" w:eastAsia="仿宋_GB2312"/>
          <w:color w:val="333333"/>
          <w:kern w:val="0"/>
          <w:sz w:val="32"/>
          <w:szCs w:val="32"/>
          <w:shd w:val="clear" w:color="auto" w:fill="FFFFFF"/>
        </w:rPr>
        <w:t>11.社会保障和就业（208）行政事业离退休（05）</w:t>
      </w:r>
      <w:r>
        <w:rPr>
          <w:rFonts w:hint="eastAsia" w:ascii="仿宋_GB2312" w:eastAsia="仿宋_GB2312"/>
          <w:color w:val="333333"/>
          <w:kern w:val="0"/>
          <w:sz w:val="32"/>
          <w:szCs w:val="32"/>
          <w:shd w:val="clear" w:color="auto" w:fill="FFFFFF"/>
          <w:lang w:eastAsia="zh-CN"/>
        </w:rPr>
        <w:t>行政单位离退休</w:t>
      </w:r>
      <w:r>
        <w:rPr>
          <w:rFonts w:hint="eastAsia" w:ascii="仿宋_GB2312" w:hAnsi="Times New Roman" w:eastAsia="仿宋_GB2312"/>
          <w:color w:val="333333"/>
          <w:kern w:val="0"/>
          <w:sz w:val="32"/>
          <w:szCs w:val="32"/>
          <w:shd w:val="clear" w:color="auto" w:fill="FFFFFF"/>
        </w:rPr>
        <w:t>（0</w:t>
      </w:r>
      <w:r>
        <w:rPr>
          <w:rFonts w:hint="eastAsia" w:ascii="仿宋_GB2312" w:eastAsia="仿宋_GB2312"/>
          <w:color w:val="333333"/>
          <w:kern w:val="0"/>
          <w:sz w:val="32"/>
          <w:szCs w:val="32"/>
          <w:shd w:val="clear" w:color="auto" w:fill="FFFFFF"/>
          <w:lang w:val="en-US" w:eastAsia="zh-CN"/>
        </w:rPr>
        <w:t>1</w:t>
      </w:r>
      <w:r>
        <w:rPr>
          <w:rFonts w:hint="eastAsia" w:ascii="仿宋_GB2312" w:hAnsi="Times New Roman" w:eastAsia="仿宋_GB2312"/>
          <w:color w:val="333333"/>
          <w:kern w:val="0"/>
          <w:sz w:val="32"/>
          <w:szCs w:val="32"/>
          <w:shd w:val="clear" w:color="auto" w:fill="FFFFFF"/>
        </w:rPr>
        <w:t>）：反映</w:t>
      </w:r>
      <w:r>
        <w:rPr>
          <w:rFonts w:hint="eastAsia" w:ascii="仿宋_GB2312" w:eastAsia="仿宋_GB2312"/>
          <w:color w:val="333333"/>
          <w:kern w:val="0"/>
          <w:sz w:val="32"/>
          <w:szCs w:val="32"/>
          <w:shd w:val="clear" w:color="auto" w:fill="FFFFFF"/>
          <w:lang w:eastAsia="zh-CN"/>
        </w:rPr>
        <w:t>行政单位（包括实行公务员管理的事业单位）开支的离退休经费。</w:t>
      </w:r>
    </w:p>
    <w:p w14:paraId="7C389AD8">
      <w:pPr>
        <w:widowControl/>
        <w:shd w:val="clear" w:color="auto" w:fill="FFFFFF"/>
        <w:spacing w:line="450" w:lineRule="atLeast"/>
        <w:ind w:firstLine="645"/>
        <w:jc w:val="left"/>
        <w:rPr>
          <w:rFonts w:ascii="Times New Roman" w:hAnsi="Times New Roman"/>
          <w:color w:val="333333"/>
          <w:kern w:val="0"/>
          <w:sz w:val="24"/>
          <w:szCs w:val="24"/>
        </w:rPr>
      </w:pPr>
      <w:r>
        <w:rPr>
          <w:rFonts w:hint="eastAsia" w:ascii="仿宋_GB2312" w:hAnsi="Times New Roman" w:eastAsia="仿宋_GB2312"/>
          <w:color w:val="333333"/>
          <w:kern w:val="0"/>
          <w:sz w:val="32"/>
          <w:szCs w:val="32"/>
          <w:shd w:val="clear" w:color="auto" w:fill="FFFFFF"/>
          <w:lang w:val="en-US" w:eastAsia="zh-CN"/>
        </w:rPr>
        <w:t>12.</w:t>
      </w:r>
      <w:r>
        <w:rPr>
          <w:rFonts w:hint="eastAsia" w:ascii="仿宋_GB2312" w:hAnsi="Times New Roman" w:eastAsia="仿宋_GB2312"/>
          <w:color w:val="333333"/>
          <w:kern w:val="0"/>
          <w:sz w:val="32"/>
          <w:szCs w:val="32"/>
          <w:shd w:val="clear" w:color="auto" w:fill="FFFFFF"/>
        </w:rPr>
        <w:t>社会保障和就业（208）行政事业离退休（05）机关事业单位基本养老保险缴费支出（05）：反映机关事业单位实施养老保险制度由单位交纳的基本养老保险费支出。</w:t>
      </w:r>
    </w:p>
    <w:p w14:paraId="50E7A397">
      <w:pPr>
        <w:widowControl/>
        <w:shd w:val="clear" w:color="auto" w:fill="FFFFFF"/>
        <w:spacing w:line="450" w:lineRule="atLeast"/>
        <w:ind w:firstLine="645"/>
        <w:jc w:val="left"/>
        <w:rPr>
          <w:rFonts w:ascii="Times New Roman" w:hAnsi="Times New Roman"/>
          <w:color w:val="333333"/>
          <w:kern w:val="0"/>
          <w:sz w:val="24"/>
          <w:szCs w:val="24"/>
        </w:rPr>
      </w:pPr>
      <w:r>
        <w:rPr>
          <w:rFonts w:hint="eastAsia" w:ascii="仿宋_GB2312" w:hAnsi="Times New Roman" w:eastAsia="仿宋_GB2312"/>
          <w:color w:val="333333"/>
          <w:kern w:val="0"/>
          <w:sz w:val="32"/>
          <w:szCs w:val="32"/>
          <w:shd w:val="clear" w:color="auto" w:fill="FFFFFF"/>
          <w:lang w:val="en-US" w:eastAsia="zh-CN"/>
        </w:rPr>
        <w:t>13</w:t>
      </w:r>
      <w:r>
        <w:rPr>
          <w:rFonts w:hint="eastAsia" w:ascii="仿宋_GB2312" w:hAnsi="Times New Roman" w:eastAsia="仿宋_GB2312"/>
          <w:color w:val="333333"/>
          <w:kern w:val="0"/>
          <w:sz w:val="32"/>
          <w:szCs w:val="32"/>
          <w:shd w:val="clear" w:color="auto" w:fill="FFFFFF"/>
        </w:rPr>
        <w:t>社会保障和就业（208）行政事业离退休（05）机关事业单位职业年金缴费支出（06）：反映机关事业单位实施养老保险制度由单位实际缴纳的职业年金支出。</w:t>
      </w:r>
    </w:p>
    <w:p w14:paraId="6E4C8D3F">
      <w:pPr>
        <w:widowControl/>
        <w:shd w:val="clear" w:color="auto" w:fill="FFFFFF"/>
        <w:spacing w:line="450" w:lineRule="atLeast"/>
        <w:ind w:firstLine="645"/>
        <w:jc w:val="left"/>
        <w:rPr>
          <w:rFonts w:ascii="Times New Roman" w:hAnsi="Times New Roman"/>
          <w:color w:val="333333"/>
          <w:kern w:val="0"/>
          <w:sz w:val="24"/>
          <w:szCs w:val="24"/>
        </w:rPr>
      </w:pPr>
      <w:r>
        <w:rPr>
          <w:rFonts w:hint="eastAsia" w:ascii="仿宋_GB2312" w:hAnsi="Times New Roman" w:eastAsia="仿宋_GB2312"/>
          <w:color w:val="333333"/>
          <w:kern w:val="0"/>
          <w:sz w:val="32"/>
          <w:szCs w:val="32"/>
          <w:shd w:val="clear" w:color="auto" w:fill="FFFFFF"/>
          <w:lang w:val="en-US" w:eastAsia="zh-CN"/>
        </w:rPr>
        <w:t>14</w:t>
      </w:r>
      <w:r>
        <w:rPr>
          <w:rFonts w:hint="eastAsia" w:ascii="仿宋_GB2312" w:hAnsi="Times New Roman" w:eastAsia="仿宋_GB2312"/>
          <w:color w:val="333333"/>
          <w:kern w:val="0"/>
          <w:sz w:val="32"/>
          <w:szCs w:val="32"/>
          <w:shd w:val="clear" w:color="auto" w:fill="FFFFFF"/>
        </w:rPr>
        <w:t>.</w:t>
      </w:r>
      <w:r>
        <w:rPr>
          <w:rFonts w:hint="eastAsia" w:ascii="仿宋_GB2312" w:hAnsi="Times New Roman" w:eastAsia="仿宋_GB2312"/>
          <w:color w:val="000000"/>
          <w:kern w:val="0"/>
          <w:sz w:val="32"/>
          <w:szCs w:val="32"/>
          <w:shd w:val="clear" w:color="auto" w:fill="FFFFFF"/>
        </w:rPr>
        <w:t>社会保障和就业（208）其他社会保障和就业支出（99）其他社会保障和就业支出（</w:t>
      </w:r>
      <w:r>
        <w:rPr>
          <w:rFonts w:hint="eastAsia" w:ascii="仿宋_GB2312" w:hAnsi="Times New Roman" w:eastAsia="仿宋_GB2312"/>
          <w:color w:val="000000"/>
          <w:kern w:val="0"/>
          <w:sz w:val="32"/>
          <w:szCs w:val="32"/>
          <w:shd w:val="clear" w:color="auto" w:fill="FFFFFF"/>
          <w:lang w:val="en-US" w:eastAsia="zh-CN"/>
        </w:rPr>
        <w:t>99</w:t>
      </w:r>
      <w:r>
        <w:rPr>
          <w:rFonts w:hint="eastAsia" w:ascii="仿宋_GB2312" w:hAnsi="Times New Roman" w:eastAsia="仿宋_GB2312"/>
          <w:color w:val="000000"/>
          <w:kern w:val="0"/>
          <w:sz w:val="32"/>
          <w:szCs w:val="32"/>
          <w:shd w:val="clear" w:color="auto" w:fill="FFFFFF"/>
        </w:rPr>
        <w:t>）：反映除上述项目以外其他用于社会保障和就业方面的支出。</w:t>
      </w:r>
    </w:p>
    <w:p w14:paraId="7339C52C">
      <w:pPr>
        <w:widowControl/>
        <w:shd w:val="clear" w:color="auto" w:fill="FFFFFF"/>
        <w:spacing w:line="450" w:lineRule="atLeast"/>
        <w:ind w:firstLine="645"/>
        <w:jc w:val="left"/>
        <w:rPr>
          <w:rFonts w:hint="eastAsia" w:ascii="仿宋_GB2312" w:hAnsi="Times New Roman" w:eastAsia="仿宋_GB2312"/>
          <w:color w:val="333333"/>
          <w:kern w:val="0"/>
          <w:sz w:val="32"/>
          <w:szCs w:val="32"/>
          <w:shd w:val="clear" w:color="auto" w:fill="FFFFFF"/>
        </w:rPr>
      </w:pPr>
      <w:r>
        <w:rPr>
          <w:rFonts w:hint="eastAsia" w:ascii="仿宋_GB2312" w:hAnsi="Times New Roman" w:eastAsia="仿宋_GB2312"/>
          <w:color w:val="333333"/>
          <w:kern w:val="0"/>
          <w:sz w:val="32"/>
          <w:szCs w:val="32"/>
          <w:shd w:val="clear" w:color="auto" w:fill="FFFFFF"/>
          <w:lang w:val="en-US" w:eastAsia="zh-CN"/>
        </w:rPr>
        <w:t>15</w:t>
      </w:r>
      <w:r>
        <w:rPr>
          <w:rFonts w:hint="eastAsia" w:ascii="仿宋_GB2312" w:hAnsi="Times New Roman" w:eastAsia="仿宋_GB2312"/>
          <w:color w:val="333333"/>
          <w:kern w:val="0"/>
          <w:sz w:val="32"/>
          <w:szCs w:val="32"/>
          <w:shd w:val="clear" w:color="auto" w:fill="FFFFFF"/>
        </w:rPr>
        <w:t>.卫生健康支出（210）行政单位医疗（11）行政单位医疗（01）：反映财政部门安排的行政单位（包括实行公务员管理的事业单位，下同）基本医疗保险缴费经费。未参加医疗保险的行政单位的公费医疗经费，按国家规定享受离休人员、红军老战士待遇人员的医疗经费。</w:t>
      </w:r>
    </w:p>
    <w:p w14:paraId="2F22A139">
      <w:pPr>
        <w:pStyle w:val="15"/>
        <w:keepNext w:val="0"/>
        <w:keepLines w:val="0"/>
        <w:widowControl/>
        <w:suppressLineNumbers w:val="0"/>
        <w:shd w:val="clear" w:fill="FFFFFF"/>
        <w:spacing w:before="0" w:beforeAutospacing="0" w:after="0" w:afterAutospacing="0" w:line="520" w:lineRule="atLeast"/>
        <w:ind w:left="0" w:firstLine="641"/>
        <w:jc w:val="both"/>
        <w:rPr>
          <w:rFonts w:hint="eastAsia" w:ascii="宋体" w:hAnsi="宋体" w:eastAsia="宋体" w:cs="宋体"/>
          <w:sz w:val="24"/>
          <w:szCs w:val="24"/>
        </w:rPr>
      </w:pPr>
      <w:r>
        <w:rPr>
          <w:rFonts w:hint="eastAsia" w:ascii="仿宋_GB2312" w:hAnsi="Times New Roman" w:eastAsia="仿宋_GB2312" w:cs="Times New Roman"/>
          <w:color w:val="333333"/>
          <w:kern w:val="0"/>
          <w:sz w:val="32"/>
          <w:szCs w:val="32"/>
          <w:shd w:val="clear" w:color="auto" w:fill="FFFFFF"/>
          <w:lang w:val="en-US" w:eastAsia="zh-CN" w:bidi="ar-SA"/>
        </w:rPr>
        <w:t>16.卫</w:t>
      </w:r>
      <w:r>
        <w:rPr>
          <w:rFonts w:hint="eastAsia" w:ascii="仿宋_GB2312" w:hAnsi="宋体" w:eastAsia="仿宋_GB2312" w:cs="仿宋_GB2312"/>
          <w:color w:val="000000"/>
          <w:sz w:val="32"/>
          <w:szCs w:val="32"/>
          <w:shd w:val="clear" w:fill="FFFFFF"/>
        </w:rPr>
        <w:t>生健康支出（210）行政单位医疗（11）事业单位医疗（02）</w:t>
      </w:r>
      <w:r>
        <w:rPr>
          <w:rFonts w:hint="eastAsia" w:ascii="仿宋_GB2312" w:hAnsi="宋体" w:eastAsia="仿宋_GB2312" w:cs="仿宋_GB2312"/>
          <w:color w:val="000000"/>
          <w:sz w:val="32"/>
          <w:szCs w:val="32"/>
          <w:shd w:val="clear" w:fill="FFFFFF"/>
          <w:lang w:eastAsia="zh-CN"/>
        </w:rPr>
        <w:t>：</w:t>
      </w:r>
      <w:r>
        <w:rPr>
          <w:rFonts w:hint="eastAsia" w:ascii="仿宋_GB2312" w:hAnsi="宋体" w:eastAsia="仿宋_GB2312" w:cs="仿宋_GB2312"/>
          <w:color w:val="000000"/>
          <w:sz w:val="32"/>
          <w:szCs w:val="32"/>
          <w:shd w:val="clear" w:fill="FFFFFF"/>
        </w:rPr>
        <w:t>反映财政部门安排的事业单位基本医疗保险缴费经费。未参加医疗保险的行政单位的公费医疗经费，按国家规定享受离休人员待遇的医疗经费。</w:t>
      </w:r>
    </w:p>
    <w:p w14:paraId="427872D3">
      <w:pPr>
        <w:pStyle w:val="15"/>
        <w:keepNext w:val="0"/>
        <w:keepLines w:val="0"/>
        <w:widowControl/>
        <w:suppressLineNumbers w:val="0"/>
        <w:shd w:val="clear" w:fill="FFFFFF"/>
        <w:spacing w:before="0" w:beforeAutospacing="0" w:after="0" w:afterAutospacing="0" w:line="520" w:lineRule="atLeast"/>
        <w:ind w:left="0" w:firstLine="641"/>
        <w:jc w:val="both"/>
        <w:rPr>
          <w:rFonts w:hint="eastAsia" w:ascii="仿宋_GB2312" w:hAnsi="宋体" w:eastAsia="仿宋_GB2312" w:cs="仿宋_GB2312"/>
          <w:color w:val="000000"/>
          <w:sz w:val="32"/>
          <w:szCs w:val="32"/>
          <w:shd w:val="clear" w:fill="FFFFFF"/>
          <w:lang w:eastAsia="zh-CN"/>
        </w:rPr>
      </w:pPr>
      <w:r>
        <w:rPr>
          <w:rFonts w:hint="eastAsia" w:ascii="仿宋_GB2312" w:hAnsi="Times New Roman" w:eastAsia="仿宋_GB2312" w:cs="Times New Roman"/>
          <w:color w:val="333333"/>
          <w:kern w:val="0"/>
          <w:sz w:val="32"/>
          <w:szCs w:val="32"/>
          <w:shd w:val="clear" w:color="auto" w:fill="FFFFFF"/>
          <w:lang w:val="en-US" w:eastAsia="zh-CN" w:bidi="ar-SA"/>
        </w:rPr>
        <w:t>17.卫</w:t>
      </w:r>
      <w:r>
        <w:rPr>
          <w:rFonts w:hint="eastAsia" w:ascii="仿宋_GB2312" w:hAnsi="宋体" w:eastAsia="仿宋_GB2312" w:cs="仿宋_GB2312"/>
          <w:color w:val="000000"/>
          <w:sz w:val="32"/>
          <w:szCs w:val="32"/>
          <w:shd w:val="clear" w:fill="FFFFFF"/>
        </w:rPr>
        <w:t>生健康支出（210）行政单位医疗（11）</w:t>
      </w:r>
      <w:r>
        <w:rPr>
          <w:rFonts w:hint="eastAsia" w:ascii="仿宋_GB2312" w:hAnsi="宋体" w:eastAsia="仿宋_GB2312" w:cs="仿宋_GB2312"/>
          <w:color w:val="000000"/>
          <w:sz w:val="32"/>
          <w:szCs w:val="32"/>
          <w:shd w:val="clear" w:fill="FFFFFF"/>
          <w:lang w:eastAsia="zh-CN"/>
        </w:rPr>
        <w:t>公务员</w:t>
      </w:r>
      <w:r>
        <w:rPr>
          <w:rFonts w:hint="eastAsia" w:ascii="仿宋_GB2312" w:hAnsi="宋体" w:eastAsia="仿宋_GB2312" w:cs="仿宋_GB2312"/>
          <w:color w:val="000000"/>
          <w:sz w:val="32"/>
          <w:szCs w:val="32"/>
          <w:shd w:val="clear" w:fill="FFFFFF"/>
        </w:rPr>
        <w:t>医疗（0</w:t>
      </w:r>
      <w:r>
        <w:rPr>
          <w:rFonts w:hint="eastAsia" w:ascii="仿宋_GB2312" w:hAnsi="宋体" w:eastAsia="仿宋_GB2312" w:cs="仿宋_GB2312"/>
          <w:color w:val="000000"/>
          <w:sz w:val="32"/>
          <w:szCs w:val="32"/>
          <w:shd w:val="clear" w:fill="FFFFFF"/>
          <w:lang w:val="en-US" w:eastAsia="zh-CN"/>
        </w:rPr>
        <w:t>3</w:t>
      </w:r>
      <w:r>
        <w:rPr>
          <w:rFonts w:hint="eastAsia" w:ascii="仿宋_GB2312" w:hAnsi="宋体" w:eastAsia="仿宋_GB2312" w:cs="仿宋_GB2312"/>
          <w:color w:val="000000"/>
          <w:sz w:val="32"/>
          <w:szCs w:val="32"/>
          <w:shd w:val="clear" w:fill="FFFFFF"/>
        </w:rPr>
        <w:t>）</w:t>
      </w:r>
      <w:r>
        <w:rPr>
          <w:rFonts w:hint="eastAsia" w:ascii="仿宋_GB2312" w:hAnsi="宋体" w:eastAsia="仿宋_GB2312" w:cs="仿宋_GB2312"/>
          <w:color w:val="000000"/>
          <w:sz w:val="32"/>
          <w:szCs w:val="32"/>
          <w:shd w:val="clear" w:fill="FFFFFF"/>
          <w:lang w:eastAsia="zh-CN"/>
        </w:rPr>
        <w:t>：</w:t>
      </w:r>
      <w:r>
        <w:rPr>
          <w:rFonts w:hint="eastAsia" w:ascii="仿宋_GB2312" w:hAnsi="宋体" w:eastAsia="仿宋_GB2312" w:cs="仿宋_GB2312"/>
          <w:color w:val="000000"/>
          <w:sz w:val="32"/>
          <w:szCs w:val="32"/>
          <w:shd w:val="clear" w:fill="FFFFFF"/>
        </w:rPr>
        <w:t>反映财政部门安排的</w:t>
      </w:r>
      <w:bookmarkStart w:id="96" w:name="_GoBack"/>
      <w:bookmarkEnd w:id="96"/>
      <w:r>
        <w:rPr>
          <w:rFonts w:hint="eastAsia" w:ascii="仿宋_GB2312" w:hAnsi="宋体" w:eastAsia="仿宋_GB2312" w:cs="仿宋_GB2312"/>
          <w:color w:val="000000"/>
          <w:sz w:val="32"/>
          <w:szCs w:val="32"/>
          <w:shd w:val="clear" w:fill="FFFFFF"/>
          <w:lang w:eastAsia="zh-CN"/>
        </w:rPr>
        <w:t>公务员医疗补助经费。</w:t>
      </w:r>
    </w:p>
    <w:p w14:paraId="5CC3AF45">
      <w:pPr>
        <w:keepNext w:val="0"/>
        <w:keepLines w:val="0"/>
        <w:pageBreakBefore w:val="0"/>
        <w:widowControl/>
        <w:kinsoku/>
        <w:wordWrap/>
        <w:overflowPunct/>
        <w:topLinePunct w:val="0"/>
        <w:bidi w:val="0"/>
        <w:snapToGrid/>
        <w:ind w:firstLine="640" w:firstLineChars="200"/>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Times New Roman" w:eastAsia="仿宋_GB2312"/>
          <w:color w:val="333333"/>
          <w:kern w:val="0"/>
          <w:sz w:val="32"/>
          <w:szCs w:val="32"/>
          <w:shd w:val="clear" w:color="auto" w:fill="FFFFFF"/>
        </w:rPr>
        <w:t>1</w:t>
      </w:r>
      <w:r>
        <w:rPr>
          <w:rFonts w:hint="eastAsia" w:ascii="仿宋_GB2312" w:hAnsi="Times New Roman" w:eastAsia="仿宋_GB2312"/>
          <w:color w:val="333333"/>
          <w:kern w:val="0"/>
          <w:sz w:val="32"/>
          <w:szCs w:val="32"/>
          <w:shd w:val="clear" w:color="auto" w:fill="FFFFFF"/>
          <w:lang w:val="en-US" w:eastAsia="zh-CN"/>
        </w:rPr>
        <w:t>8</w:t>
      </w:r>
      <w:r>
        <w:rPr>
          <w:rFonts w:hint="eastAsia" w:ascii="仿宋_GB2312" w:hAnsi="Times New Roman" w:eastAsia="仿宋_GB2312"/>
          <w:color w:val="333333"/>
          <w:kern w:val="0"/>
          <w:sz w:val="32"/>
          <w:szCs w:val="32"/>
          <w:shd w:val="clear" w:color="auto" w:fill="FFFFFF"/>
        </w:rPr>
        <w:t>.</w:t>
      </w:r>
      <w:r>
        <w:rPr>
          <w:rFonts w:hint="eastAsia" w:ascii="仿宋_GB2312" w:hAnsi="Calibri" w:eastAsia="仿宋_GB2312" w:cs="仿宋"/>
          <w:color w:val="auto"/>
          <w:kern w:val="0"/>
          <w:sz w:val="32"/>
          <w:szCs w:val="32"/>
          <w:highlight w:val="none"/>
          <w:lang w:val="en-US" w:eastAsia="zh-CN" w:bidi="ar-SA"/>
        </w:rPr>
        <w:t>农林水（213）巩固脱贫衔接乡村振兴05）其他巩固脱贫衔接乡村振兴支出（99）：反映除上述项目以外用于巩固拓展脱贫攻坚成果同乡村振兴有效衔接方面的支出。</w:t>
      </w:r>
    </w:p>
    <w:p w14:paraId="4F7BCC3E">
      <w:pPr>
        <w:widowControl/>
        <w:shd w:val="clear" w:color="auto" w:fill="FFFFFF"/>
        <w:spacing w:line="450" w:lineRule="atLeast"/>
        <w:ind w:firstLine="645"/>
        <w:jc w:val="left"/>
        <w:rPr>
          <w:rFonts w:ascii="Times New Roman" w:hAnsi="Times New Roman"/>
          <w:color w:val="333333"/>
          <w:kern w:val="0"/>
          <w:sz w:val="24"/>
          <w:szCs w:val="24"/>
        </w:rPr>
      </w:pPr>
      <w:r>
        <w:rPr>
          <w:rFonts w:hint="eastAsia" w:ascii="仿宋_GB2312" w:hAnsi="Times New Roman" w:eastAsia="仿宋_GB2312"/>
          <w:color w:val="333333"/>
          <w:kern w:val="0"/>
          <w:sz w:val="32"/>
          <w:szCs w:val="32"/>
          <w:shd w:val="clear" w:color="auto" w:fill="FFFFFF"/>
          <w:lang w:val="en-US" w:eastAsia="zh-CN"/>
        </w:rPr>
        <w:t>19</w:t>
      </w:r>
      <w:r>
        <w:rPr>
          <w:rFonts w:hint="eastAsia" w:ascii="仿宋_GB2312" w:hAnsi="Times New Roman" w:eastAsia="仿宋_GB2312"/>
          <w:color w:val="333333"/>
          <w:kern w:val="0"/>
          <w:sz w:val="32"/>
          <w:szCs w:val="32"/>
          <w:shd w:val="clear" w:color="auto" w:fill="FFFFFF"/>
        </w:rPr>
        <w:t>.住房保障（221）住房改革支出（02）住房公积金（01）：反映行政事业单位按人力资源和社会保障部、财政部规定的基本工资和津贴补贴以及规定的比例为职工缴纳的住房公积金。</w:t>
      </w:r>
    </w:p>
    <w:p w14:paraId="7E1FDE9D">
      <w:pPr>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5B5C83DA">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6DDC9E05">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1ACDC3E6">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23</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21A7449">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24</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E786B20">
      <w:pPr>
        <w:pStyle w:val="28"/>
        <w:spacing w:line="560" w:lineRule="exact"/>
        <w:ind w:firstLine="640" w:firstLineChars="200"/>
        <w:rPr>
          <w:rFonts w:ascii="仿宋_GB2312" w:eastAsia="仿宋_GB2312" w:cs="黑体"/>
          <w:color w:val="auto"/>
          <w:sz w:val="32"/>
          <w:szCs w:val="32"/>
        </w:rPr>
      </w:pPr>
    </w:p>
    <w:p w14:paraId="1B566BA7">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14:paraId="5C985080">
      <w:pPr>
        <w:spacing w:line="600" w:lineRule="exact"/>
        <w:jc w:val="center"/>
        <w:outlineLvl w:val="0"/>
        <w:rPr>
          <w:rStyle w:val="30"/>
          <w:rFonts w:ascii="黑体" w:hAnsi="黑体" w:eastAsia="黑体"/>
          <w:b w:val="0"/>
        </w:rPr>
      </w:pPr>
      <w:bookmarkStart w:id="64" w:name="_Toc15377226"/>
      <w:r>
        <w:rPr>
          <w:rFonts w:ascii="宋体"/>
          <w:b/>
          <w:sz w:val="44"/>
          <w:szCs w:val="44"/>
        </w:rPr>
        <w:br w:type="page"/>
      </w:r>
      <w:bookmarkStart w:id="65" w:name="_Toc8957"/>
      <w:bookmarkStart w:id="66" w:name="_Toc15396614"/>
      <w:r>
        <w:rPr>
          <w:rFonts w:hint="eastAsia" w:ascii="黑体" w:hAnsi="黑体" w:eastAsia="黑体"/>
          <w:sz w:val="44"/>
          <w:szCs w:val="44"/>
        </w:rPr>
        <w:t>第</w:t>
      </w:r>
      <w:r>
        <w:rPr>
          <w:rStyle w:val="30"/>
          <w:rFonts w:hint="eastAsia" w:ascii="黑体" w:hAnsi="黑体" w:eastAsia="黑体"/>
          <w:b w:val="0"/>
        </w:rPr>
        <w:t>四部分 附件</w:t>
      </w:r>
      <w:bookmarkEnd w:id="65"/>
      <w:bookmarkEnd w:id="66"/>
    </w:p>
    <w:p w14:paraId="6B1D5F91">
      <w:pPr>
        <w:spacing w:line="572" w:lineRule="exact"/>
        <w:jc w:val="left"/>
        <w:outlineLvl w:val="9"/>
        <w:rPr>
          <w:rFonts w:ascii="仿宋_GB2312" w:hAnsi="仿宋_GB2312" w:eastAsia="仿宋_GB2312" w:cs="仿宋_GB2312"/>
          <w:sz w:val="32"/>
          <w:szCs w:val="32"/>
        </w:rPr>
      </w:pPr>
    </w:p>
    <w:p w14:paraId="2B750F1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黑体" w:hAnsi="黑体" w:eastAsia="黑体"/>
          <w:color w:val="FF0000"/>
          <w:sz w:val="44"/>
          <w:szCs w:val="44"/>
        </w:rPr>
      </w:pPr>
      <w:bookmarkStart w:id="67" w:name="_Toc11614_WPSOffice_Level2"/>
      <w:bookmarkStart w:id="68" w:name="_Toc15396618"/>
      <w:r>
        <w:rPr>
          <w:rFonts w:hint="eastAsia"/>
          <w:sz w:val="32"/>
          <w:szCs w:val="32"/>
        </w:rPr>
        <w:t>部门预算项目支出绩效自评表（</w:t>
      </w:r>
      <w:r>
        <w:rPr>
          <w:rFonts w:hint="eastAsia"/>
          <w:sz w:val="32"/>
          <w:szCs w:val="32"/>
          <w:lang w:eastAsia="zh-CN"/>
        </w:rPr>
        <w:t>2024</w:t>
      </w:r>
      <w:r>
        <w:rPr>
          <w:rFonts w:hint="eastAsia"/>
          <w:sz w:val="32"/>
          <w:szCs w:val="32"/>
        </w:rPr>
        <w:t>年度）</w:t>
      </w:r>
      <w:bookmarkEnd w:id="67"/>
    </w:p>
    <w:p w14:paraId="46750D19">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outlineLvl w:val="9"/>
        <w:rPr>
          <w:sz w:val="32"/>
        </w:rPr>
      </w:pPr>
    </w:p>
    <w:p w14:paraId="797EA118">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outlineLvl w:val="9"/>
        <w:rPr>
          <w:rFonts w:hAnsi="Calibri" w:eastAsia="仿宋_GB2312" w:cs="仿宋"/>
          <w:sz w:val="32"/>
          <w:lang w:val="zh-CN"/>
        </w:rPr>
      </w:pPr>
      <w:r>
        <w:rPr>
          <w:rFonts w:hint="eastAsia" w:hAnsi="Calibri" w:eastAsia="仿宋_GB2312" w:cs="仿宋"/>
          <w:sz w:val="32"/>
        </w:rPr>
        <w:t>（备注：“部门预算项目支出绩效自评表（</w:t>
      </w:r>
      <w:r>
        <w:rPr>
          <w:rFonts w:hint="eastAsia" w:hAnsi="Calibri" w:eastAsia="仿宋_GB2312" w:cs="仿宋"/>
          <w:sz w:val="32"/>
          <w:lang w:eastAsia="zh-CN"/>
        </w:rPr>
        <w:t>2024</w:t>
      </w:r>
      <w:r>
        <w:rPr>
          <w:rFonts w:hint="eastAsia" w:hAnsi="Calibri" w:eastAsia="仿宋_GB2312" w:cs="仿宋"/>
          <w:sz w:val="32"/>
        </w:rPr>
        <w:t>年度）”，该表格作为附件予以公开。）</w:t>
      </w:r>
    </w:p>
    <w:p w14:paraId="6A7DE9D1">
      <w:pPr>
        <w:pStyle w:val="8"/>
        <w:spacing w:before="93"/>
        <w:rPr>
          <w:rFonts w:hAnsi="Calibri" w:cs="仿宋"/>
          <w:sz w:val="32"/>
          <w:szCs w:val="32"/>
        </w:rPr>
      </w:pPr>
    </w:p>
    <w:p w14:paraId="7583F660">
      <w:pPr>
        <w:pStyle w:val="8"/>
        <w:spacing w:before="93"/>
        <w:rPr>
          <w:rFonts w:hAnsi="Calibri" w:cs="仿宋"/>
          <w:sz w:val="32"/>
          <w:szCs w:val="32"/>
        </w:rPr>
      </w:pPr>
    </w:p>
    <w:p w14:paraId="3D27204F">
      <w:pPr>
        <w:pStyle w:val="8"/>
        <w:spacing w:before="93"/>
        <w:rPr>
          <w:rFonts w:hAnsi="Calibri" w:cs="仿宋"/>
          <w:sz w:val="32"/>
          <w:szCs w:val="32"/>
        </w:rPr>
      </w:pPr>
    </w:p>
    <w:p w14:paraId="014590DF">
      <w:pPr>
        <w:pStyle w:val="8"/>
        <w:spacing w:before="93"/>
        <w:rPr>
          <w:rFonts w:hAnsi="Calibri" w:cs="仿宋"/>
          <w:sz w:val="32"/>
          <w:szCs w:val="32"/>
        </w:rPr>
      </w:pPr>
    </w:p>
    <w:p w14:paraId="3BD7CAD5">
      <w:pPr>
        <w:pStyle w:val="8"/>
        <w:spacing w:before="93"/>
        <w:rPr>
          <w:rFonts w:hAnsi="Calibri" w:cs="仿宋"/>
          <w:sz w:val="32"/>
          <w:szCs w:val="32"/>
        </w:rPr>
      </w:pPr>
    </w:p>
    <w:p w14:paraId="300A3337">
      <w:pPr>
        <w:pStyle w:val="8"/>
        <w:spacing w:before="93"/>
        <w:rPr>
          <w:rFonts w:hAnsi="Calibri" w:cs="仿宋"/>
          <w:sz w:val="32"/>
          <w:szCs w:val="32"/>
        </w:rPr>
      </w:pPr>
    </w:p>
    <w:p w14:paraId="675F4F45">
      <w:pPr>
        <w:pStyle w:val="8"/>
        <w:spacing w:before="93"/>
        <w:rPr>
          <w:rFonts w:hAnsi="Calibri" w:cs="仿宋"/>
          <w:sz w:val="32"/>
          <w:szCs w:val="32"/>
        </w:rPr>
      </w:pPr>
    </w:p>
    <w:p w14:paraId="601E0B6F">
      <w:pPr>
        <w:pStyle w:val="8"/>
        <w:spacing w:before="93"/>
        <w:rPr>
          <w:rFonts w:hAnsi="Calibri" w:cs="仿宋"/>
          <w:sz w:val="32"/>
          <w:szCs w:val="32"/>
        </w:rPr>
      </w:pPr>
    </w:p>
    <w:p w14:paraId="28CC9258">
      <w:pPr>
        <w:pStyle w:val="8"/>
        <w:spacing w:before="93"/>
        <w:rPr>
          <w:rFonts w:hAnsi="Calibri" w:cs="仿宋"/>
          <w:sz w:val="32"/>
          <w:szCs w:val="32"/>
        </w:rPr>
      </w:pPr>
    </w:p>
    <w:p w14:paraId="5429D35E">
      <w:pPr>
        <w:pStyle w:val="8"/>
        <w:spacing w:before="93"/>
        <w:rPr>
          <w:rFonts w:hAnsi="Calibri" w:cs="仿宋"/>
          <w:sz w:val="32"/>
          <w:szCs w:val="32"/>
        </w:rPr>
      </w:pPr>
    </w:p>
    <w:p w14:paraId="358CB259">
      <w:pPr>
        <w:pStyle w:val="8"/>
        <w:spacing w:before="93"/>
        <w:rPr>
          <w:rFonts w:hAnsi="Calibri" w:cs="仿宋"/>
          <w:sz w:val="32"/>
          <w:szCs w:val="32"/>
        </w:rPr>
      </w:pPr>
    </w:p>
    <w:p w14:paraId="631C0392">
      <w:pPr>
        <w:pStyle w:val="8"/>
        <w:spacing w:before="93"/>
        <w:rPr>
          <w:rFonts w:hAnsi="Calibri" w:cs="仿宋"/>
          <w:sz w:val="32"/>
          <w:szCs w:val="32"/>
        </w:rPr>
      </w:pPr>
    </w:p>
    <w:p w14:paraId="2E84D355">
      <w:pPr>
        <w:spacing w:line="600" w:lineRule="exact"/>
        <w:jc w:val="both"/>
        <w:outlineLvl w:val="0"/>
        <w:rPr>
          <w:rFonts w:hint="eastAsia" w:ascii="黑体" w:hAnsi="黑体" w:eastAsia="黑体"/>
          <w:sz w:val="44"/>
          <w:szCs w:val="44"/>
        </w:rPr>
      </w:pPr>
    </w:p>
    <w:p w14:paraId="2BD3208B">
      <w:pPr>
        <w:spacing w:line="600" w:lineRule="exact"/>
        <w:jc w:val="both"/>
        <w:outlineLvl w:val="0"/>
        <w:rPr>
          <w:rFonts w:hint="eastAsia" w:ascii="黑体" w:hAnsi="黑体" w:eastAsia="黑体"/>
          <w:sz w:val="44"/>
          <w:szCs w:val="44"/>
        </w:rPr>
      </w:pPr>
    </w:p>
    <w:p w14:paraId="0534EED8">
      <w:pPr>
        <w:spacing w:line="600" w:lineRule="exact"/>
        <w:jc w:val="center"/>
        <w:outlineLvl w:val="0"/>
        <w:rPr>
          <w:rFonts w:ascii="仿宋" w:hAnsi="仿宋" w:eastAsia="仿宋"/>
        </w:rPr>
      </w:pPr>
      <w:bookmarkStart w:id="69" w:name="_Toc8178"/>
      <w:r>
        <w:rPr>
          <w:rFonts w:hint="eastAsia" w:ascii="黑体" w:hAnsi="黑体" w:eastAsia="黑体"/>
          <w:sz w:val="44"/>
          <w:szCs w:val="44"/>
        </w:rPr>
        <w:t>第</w:t>
      </w:r>
      <w:r>
        <w:rPr>
          <w:rStyle w:val="30"/>
          <w:rFonts w:hint="eastAsia" w:ascii="黑体" w:hAnsi="黑体" w:eastAsia="黑体"/>
          <w:b w:val="0"/>
        </w:rPr>
        <w:t>五部分 附表</w:t>
      </w:r>
      <w:bookmarkEnd w:id="64"/>
      <w:bookmarkEnd w:id="68"/>
      <w:bookmarkEnd w:id="69"/>
      <w:bookmarkStart w:id="70" w:name="_Toc15396619"/>
    </w:p>
    <w:p w14:paraId="078D3576">
      <w:pPr>
        <w:pStyle w:val="6"/>
        <w:rPr>
          <w:rFonts w:ascii="仿宋" w:hAnsi="仿宋" w:eastAsia="仿宋"/>
        </w:rPr>
      </w:pPr>
      <w:bookmarkStart w:id="71" w:name="_Toc7402"/>
      <w:r>
        <w:rPr>
          <w:rFonts w:hint="eastAsia" w:ascii="仿宋" w:hAnsi="仿宋" w:eastAsia="仿宋"/>
          <w:b w:val="0"/>
        </w:rPr>
        <w:t>一、收</w:t>
      </w:r>
      <w:r>
        <w:rPr>
          <w:rStyle w:val="31"/>
          <w:rFonts w:hint="eastAsia" w:ascii="仿宋" w:hAnsi="仿宋" w:eastAsia="仿宋"/>
          <w:b w:val="0"/>
          <w:bCs w:val="0"/>
        </w:rPr>
        <w:t>入支出决算总表</w:t>
      </w:r>
      <w:bookmarkEnd w:id="70"/>
      <w:bookmarkEnd w:id="71"/>
    </w:p>
    <w:p w14:paraId="019FBEF1">
      <w:pPr>
        <w:pStyle w:val="6"/>
        <w:rPr>
          <w:rFonts w:ascii="仿宋" w:hAnsi="仿宋" w:eastAsia="仿宋"/>
        </w:rPr>
      </w:pPr>
      <w:bookmarkStart w:id="72" w:name="_Toc4843"/>
      <w:bookmarkStart w:id="73" w:name="_Toc15396620"/>
      <w:r>
        <w:rPr>
          <w:rFonts w:hint="eastAsia" w:ascii="仿宋" w:hAnsi="仿宋" w:eastAsia="仿宋"/>
          <w:b w:val="0"/>
        </w:rPr>
        <w:t>二、收</w:t>
      </w:r>
      <w:r>
        <w:rPr>
          <w:rStyle w:val="31"/>
          <w:rFonts w:hint="eastAsia" w:ascii="仿宋" w:hAnsi="仿宋" w:eastAsia="仿宋"/>
          <w:b w:val="0"/>
          <w:bCs w:val="0"/>
        </w:rPr>
        <w:t>入决算表</w:t>
      </w:r>
      <w:bookmarkEnd w:id="72"/>
      <w:bookmarkEnd w:id="73"/>
    </w:p>
    <w:p w14:paraId="5CA8E7AC">
      <w:pPr>
        <w:pStyle w:val="6"/>
        <w:rPr>
          <w:rFonts w:ascii="仿宋" w:hAnsi="仿宋" w:eastAsia="仿宋"/>
        </w:rPr>
      </w:pPr>
      <w:bookmarkStart w:id="74" w:name="_Toc15396621"/>
      <w:bookmarkStart w:id="75" w:name="_Toc20699"/>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74"/>
      <w:bookmarkEnd w:id="75"/>
    </w:p>
    <w:p w14:paraId="27E414E4">
      <w:pPr>
        <w:pStyle w:val="6"/>
        <w:rPr>
          <w:rFonts w:ascii="仿宋" w:hAnsi="仿宋" w:eastAsia="仿宋"/>
          <w:b w:val="0"/>
        </w:rPr>
      </w:pPr>
      <w:bookmarkStart w:id="76" w:name="_Toc17187"/>
      <w:bookmarkStart w:id="77"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76"/>
      <w:bookmarkEnd w:id="77"/>
    </w:p>
    <w:p w14:paraId="179629ED">
      <w:pPr>
        <w:pStyle w:val="6"/>
        <w:rPr>
          <w:rStyle w:val="31"/>
          <w:rFonts w:ascii="仿宋" w:hAnsi="仿宋" w:eastAsia="仿宋"/>
          <w:b w:val="0"/>
          <w:bCs w:val="0"/>
        </w:rPr>
      </w:pPr>
      <w:bookmarkStart w:id="78" w:name="_Toc15396623"/>
      <w:bookmarkStart w:id="79" w:name="_Toc107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78"/>
      <w:bookmarkEnd w:id="79"/>
      <w:bookmarkStart w:id="80" w:name="_Toc15396624"/>
    </w:p>
    <w:p w14:paraId="0B4F3512">
      <w:pPr>
        <w:pStyle w:val="6"/>
        <w:rPr>
          <w:rFonts w:ascii="仿宋" w:hAnsi="仿宋" w:eastAsia="仿宋"/>
        </w:rPr>
      </w:pPr>
      <w:bookmarkStart w:id="81" w:name="_Toc25800"/>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80"/>
      <w:bookmarkEnd w:id="81"/>
    </w:p>
    <w:p w14:paraId="3AE5D4E8">
      <w:pPr>
        <w:pStyle w:val="6"/>
        <w:rPr>
          <w:rFonts w:ascii="仿宋" w:hAnsi="仿宋" w:eastAsia="仿宋"/>
        </w:rPr>
      </w:pPr>
      <w:bookmarkStart w:id="82" w:name="_Toc21864"/>
      <w:bookmarkStart w:id="83" w:name="_Toc15396625"/>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82"/>
      <w:bookmarkEnd w:id="83"/>
    </w:p>
    <w:p w14:paraId="5C19EDDB">
      <w:pPr>
        <w:pStyle w:val="6"/>
        <w:rPr>
          <w:rFonts w:ascii="仿宋" w:hAnsi="仿宋" w:eastAsia="仿宋"/>
        </w:rPr>
      </w:pPr>
      <w:bookmarkStart w:id="84" w:name="_Toc4937"/>
      <w:bookmarkStart w:id="85" w:name="_Toc1539662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84"/>
      <w:bookmarkEnd w:id="85"/>
    </w:p>
    <w:p w14:paraId="728C9738">
      <w:pPr>
        <w:pStyle w:val="6"/>
        <w:rPr>
          <w:rFonts w:ascii="仿宋" w:hAnsi="仿宋" w:eastAsia="仿宋"/>
        </w:rPr>
      </w:pPr>
      <w:bookmarkStart w:id="86" w:name="_Toc5523"/>
      <w:bookmarkStart w:id="87" w:name="_Toc15396627"/>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86"/>
      <w:bookmarkEnd w:id="87"/>
    </w:p>
    <w:p w14:paraId="66DE86DE">
      <w:pPr>
        <w:pStyle w:val="6"/>
        <w:rPr>
          <w:rFonts w:ascii="仿宋" w:hAnsi="仿宋" w:eastAsia="仿宋"/>
        </w:rPr>
      </w:pPr>
      <w:bookmarkStart w:id="88" w:name="_Toc15396628"/>
      <w:bookmarkStart w:id="89" w:name="_Toc22879"/>
      <w:r>
        <w:rPr>
          <w:rStyle w:val="31"/>
          <w:rFonts w:hint="eastAsia" w:ascii="仿宋" w:hAnsi="仿宋" w:eastAsia="仿宋"/>
          <w:b w:val="0"/>
          <w:bCs w:val="0"/>
        </w:rPr>
        <w:t>十、</w:t>
      </w:r>
      <w:bookmarkEnd w:id="88"/>
      <w:r>
        <w:rPr>
          <w:rFonts w:hint="eastAsia" w:ascii="仿宋" w:hAnsi="仿宋" w:eastAsia="仿宋"/>
          <w:b w:val="0"/>
        </w:rPr>
        <w:t>政</w:t>
      </w:r>
      <w:r>
        <w:rPr>
          <w:rStyle w:val="31"/>
          <w:rFonts w:hint="eastAsia" w:ascii="仿宋" w:hAnsi="仿宋" w:eastAsia="仿宋"/>
          <w:b w:val="0"/>
          <w:bCs w:val="0"/>
        </w:rPr>
        <w:t>府性基金预算财政拨款收入支出决算表</w:t>
      </w:r>
      <w:bookmarkEnd w:id="89"/>
    </w:p>
    <w:p w14:paraId="5E59B24E">
      <w:pPr>
        <w:pStyle w:val="6"/>
        <w:rPr>
          <w:rFonts w:ascii="仿宋" w:hAnsi="仿宋" w:eastAsia="仿宋"/>
        </w:rPr>
      </w:pPr>
      <w:bookmarkStart w:id="90" w:name="_Toc15396629"/>
      <w:bookmarkStart w:id="91" w:name="_Toc29360"/>
      <w:r>
        <w:rPr>
          <w:rStyle w:val="31"/>
          <w:rFonts w:hint="eastAsia" w:ascii="仿宋" w:hAnsi="仿宋" w:eastAsia="仿宋"/>
          <w:b w:val="0"/>
          <w:bCs w:val="0"/>
        </w:rPr>
        <w:t>十一、</w:t>
      </w:r>
      <w:bookmarkEnd w:id="90"/>
      <w:r>
        <w:rPr>
          <w:rFonts w:hint="eastAsia" w:ascii="仿宋" w:hAnsi="仿宋" w:eastAsia="仿宋"/>
          <w:b w:val="0"/>
        </w:rPr>
        <w:t>国</w:t>
      </w:r>
      <w:r>
        <w:rPr>
          <w:rStyle w:val="31"/>
          <w:rFonts w:hint="eastAsia" w:ascii="仿宋" w:hAnsi="仿宋" w:eastAsia="仿宋"/>
          <w:b w:val="0"/>
          <w:bCs w:val="0"/>
        </w:rPr>
        <w:t>有资本经营预算财政拨款收入支出决算表</w:t>
      </w:r>
      <w:bookmarkEnd w:id="91"/>
    </w:p>
    <w:p w14:paraId="14E8944B">
      <w:pPr>
        <w:pStyle w:val="6"/>
        <w:rPr>
          <w:rFonts w:ascii="仿宋" w:hAnsi="仿宋" w:eastAsia="仿宋"/>
        </w:rPr>
      </w:pPr>
      <w:bookmarkStart w:id="92" w:name="_Toc15396630"/>
      <w:bookmarkStart w:id="93" w:name="_Toc27283"/>
      <w:r>
        <w:rPr>
          <w:rStyle w:val="31"/>
          <w:rFonts w:hint="eastAsia" w:ascii="仿宋" w:hAnsi="仿宋" w:eastAsia="仿宋"/>
          <w:b w:val="0"/>
          <w:bCs w:val="0"/>
        </w:rPr>
        <w:t>十二、</w:t>
      </w:r>
      <w:bookmarkEnd w:id="92"/>
      <w:r>
        <w:rPr>
          <w:rStyle w:val="31"/>
          <w:rFonts w:hint="eastAsia" w:ascii="仿宋" w:hAnsi="仿宋" w:eastAsia="仿宋"/>
          <w:b w:val="0"/>
          <w:bCs w:val="0"/>
        </w:rPr>
        <w:t>国有资本经营预算财政拨款支出决算表</w:t>
      </w:r>
      <w:bookmarkEnd w:id="93"/>
    </w:p>
    <w:p w14:paraId="3F699BA9">
      <w:pPr>
        <w:pStyle w:val="6"/>
        <w:rPr>
          <w:rFonts w:eastAsia="仿宋"/>
        </w:rPr>
      </w:pPr>
      <w:bookmarkStart w:id="94" w:name="_Toc15396631"/>
      <w:bookmarkStart w:id="95" w:name="_Toc8602"/>
      <w:r>
        <w:rPr>
          <w:rStyle w:val="31"/>
          <w:rFonts w:hint="eastAsia" w:ascii="仿宋" w:hAnsi="仿宋" w:eastAsia="仿宋"/>
          <w:b w:val="0"/>
          <w:bCs w:val="0"/>
        </w:rPr>
        <w:t>十三、</w:t>
      </w:r>
      <w:bookmarkEnd w:id="94"/>
      <w:r>
        <w:rPr>
          <w:rStyle w:val="31"/>
          <w:rFonts w:hint="eastAsia" w:ascii="仿宋" w:hAnsi="仿宋" w:eastAsia="仿宋"/>
          <w:b w:val="0"/>
          <w:bCs w:val="0"/>
        </w:rPr>
        <w:t>财政拨款“三公”经费支出决算表</w:t>
      </w:r>
      <w:bookmarkEnd w:id="95"/>
    </w:p>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4E6A6">
    <w:pPr>
      <w:pStyle w:val="11"/>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7756E">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E67756E">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4E5896F4">
                              <w:pPr>
                                <w:pStyle w:val="11"/>
                                <w:jc w:val="center"/>
                              </w:pPr>
                            </w:p>
                          </w:sdtContent>
                        </w:sdt>
                        <w:p w14:paraId="25C96327">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14:paraId="4E5896F4">
                        <w:pPr>
                          <w:pStyle w:val="11"/>
                          <w:jc w:val="center"/>
                        </w:pPr>
                      </w:p>
                    </w:sdtContent>
                  </w:sdt>
                  <w:p w14:paraId="25C96327">
                    <w:pPr>
                      <w:pStyle w:val="20"/>
                    </w:pPr>
                  </w:p>
                </w:txbxContent>
              </v:textbox>
            </v:shape>
          </w:pict>
        </mc:Fallback>
      </mc:AlternateContent>
    </w:r>
  </w:p>
  <w:p w14:paraId="7182DD3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AA43A">
    <w:pPr>
      <w:pStyle w:val="11"/>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DBB60">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A1DBB60">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51F48">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80DC0BF"/>
    <w:multiLevelType w:val="singleLevel"/>
    <w:tmpl w:val="480DC0BF"/>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YTUwMzYxMWVhOGNiOTFjOWU2ZjMxNDM0YzlmMW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5616A99"/>
    <w:rsid w:val="06AE2EA3"/>
    <w:rsid w:val="06CE6402"/>
    <w:rsid w:val="081B5E94"/>
    <w:rsid w:val="08EF22ED"/>
    <w:rsid w:val="0A2032A3"/>
    <w:rsid w:val="0B513A6C"/>
    <w:rsid w:val="0B8A37D8"/>
    <w:rsid w:val="0F5FFB2F"/>
    <w:rsid w:val="0FFFCF60"/>
    <w:rsid w:val="10C055FF"/>
    <w:rsid w:val="111F0A31"/>
    <w:rsid w:val="118107EC"/>
    <w:rsid w:val="11DD6519"/>
    <w:rsid w:val="11F10233"/>
    <w:rsid w:val="12A0783F"/>
    <w:rsid w:val="16BB723D"/>
    <w:rsid w:val="18015F3F"/>
    <w:rsid w:val="1A9105CF"/>
    <w:rsid w:val="1BE8440E"/>
    <w:rsid w:val="1D155CEE"/>
    <w:rsid w:val="1FAA459F"/>
    <w:rsid w:val="1FDBBF84"/>
    <w:rsid w:val="20F57F95"/>
    <w:rsid w:val="225F479F"/>
    <w:rsid w:val="23684656"/>
    <w:rsid w:val="240371BF"/>
    <w:rsid w:val="24696B0D"/>
    <w:rsid w:val="25711CC6"/>
    <w:rsid w:val="25C741E6"/>
    <w:rsid w:val="276F80C0"/>
    <w:rsid w:val="27842671"/>
    <w:rsid w:val="29FD04D3"/>
    <w:rsid w:val="2ABE7A3E"/>
    <w:rsid w:val="2AFF09B6"/>
    <w:rsid w:val="2CA234A8"/>
    <w:rsid w:val="2CC62B33"/>
    <w:rsid w:val="2EFA178C"/>
    <w:rsid w:val="2EFDF86C"/>
    <w:rsid w:val="2F9D17E1"/>
    <w:rsid w:val="30B46D73"/>
    <w:rsid w:val="319F7F4E"/>
    <w:rsid w:val="356A28F1"/>
    <w:rsid w:val="357C035A"/>
    <w:rsid w:val="358E40CD"/>
    <w:rsid w:val="368E000D"/>
    <w:rsid w:val="36B52AAA"/>
    <w:rsid w:val="37D422F2"/>
    <w:rsid w:val="383D272C"/>
    <w:rsid w:val="38750F00"/>
    <w:rsid w:val="38DD26C4"/>
    <w:rsid w:val="39212A05"/>
    <w:rsid w:val="39AE70AB"/>
    <w:rsid w:val="3A4DCE41"/>
    <w:rsid w:val="3BCB56FA"/>
    <w:rsid w:val="3BF368C4"/>
    <w:rsid w:val="3C0C0783"/>
    <w:rsid w:val="3EE7C2F4"/>
    <w:rsid w:val="3F371B56"/>
    <w:rsid w:val="3F792ED8"/>
    <w:rsid w:val="3F9F3A96"/>
    <w:rsid w:val="3FECA4B2"/>
    <w:rsid w:val="3FF58C48"/>
    <w:rsid w:val="40641AC5"/>
    <w:rsid w:val="42C53274"/>
    <w:rsid w:val="42FF6694"/>
    <w:rsid w:val="43760E54"/>
    <w:rsid w:val="4587122F"/>
    <w:rsid w:val="48BF60AB"/>
    <w:rsid w:val="493C27E9"/>
    <w:rsid w:val="496F39ED"/>
    <w:rsid w:val="49FF41D3"/>
    <w:rsid w:val="4BE068DB"/>
    <w:rsid w:val="4BF6002B"/>
    <w:rsid w:val="4BFFC6BE"/>
    <w:rsid w:val="4CED12EA"/>
    <w:rsid w:val="4D0C3518"/>
    <w:rsid w:val="4D4B5F2A"/>
    <w:rsid w:val="4ECE2238"/>
    <w:rsid w:val="4F92069D"/>
    <w:rsid w:val="50E7632E"/>
    <w:rsid w:val="51637A7C"/>
    <w:rsid w:val="51DB4B86"/>
    <w:rsid w:val="51F64DB0"/>
    <w:rsid w:val="52822A3A"/>
    <w:rsid w:val="5316785F"/>
    <w:rsid w:val="541F33AB"/>
    <w:rsid w:val="5498027C"/>
    <w:rsid w:val="55333C3E"/>
    <w:rsid w:val="562F56AE"/>
    <w:rsid w:val="574823B4"/>
    <w:rsid w:val="57561AB3"/>
    <w:rsid w:val="59015B3A"/>
    <w:rsid w:val="59EB5E4F"/>
    <w:rsid w:val="5C461BAD"/>
    <w:rsid w:val="5F67802D"/>
    <w:rsid w:val="5F7DC4F2"/>
    <w:rsid w:val="5FB36814"/>
    <w:rsid w:val="5FBB8E56"/>
    <w:rsid w:val="5FFB5535"/>
    <w:rsid w:val="60CF64F1"/>
    <w:rsid w:val="61D609FD"/>
    <w:rsid w:val="63A34DB9"/>
    <w:rsid w:val="64CA39A1"/>
    <w:rsid w:val="662040F3"/>
    <w:rsid w:val="667F1C14"/>
    <w:rsid w:val="69630ADE"/>
    <w:rsid w:val="69BD5F13"/>
    <w:rsid w:val="69FB01EE"/>
    <w:rsid w:val="69FB0B4B"/>
    <w:rsid w:val="6AFB7930"/>
    <w:rsid w:val="6BFFE1FB"/>
    <w:rsid w:val="6C4A05C8"/>
    <w:rsid w:val="6D3B1A89"/>
    <w:rsid w:val="6D680A03"/>
    <w:rsid w:val="6DB7D8A3"/>
    <w:rsid w:val="6EC78701"/>
    <w:rsid w:val="6F297BD2"/>
    <w:rsid w:val="6F7A5481"/>
    <w:rsid w:val="6FFE07A9"/>
    <w:rsid w:val="71BF4EC2"/>
    <w:rsid w:val="71C513BF"/>
    <w:rsid w:val="72734D90"/>
    <w:rsid w:val="72BD4997"/>
    <w:rsid w:val="73E75B71"/>
    <w:rsid w:val="7412278C"/>
    <w:rsid w:val="741739FF"/>
    <w:rsid w:val="752C0A45"/>
    <w:rsid w:val="75DDCDA9"/>
    <w:rsid w:val="75FF44B1"/>
    <w:rsid w:val="77670518"/>
    <w:rsid w:val="777FA627"/>
    <w:rsid w:val="77DF1B5F"/>
    <w:rsid w:val="77EF2D9D"/>
    <w:rsid w:val="79E7B28D"/>
    <w:rsid w:val="7ACFF0C2"/>
    <w:rsid w:val="7AFB9108"/>
    <w:rsid w:val="7B7B7F27"/>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Body Text"/>
    <w:basedOn w:val="1"/>
    <w:next w:val="1"/>
    <w:link w:val="27"/>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常用样式（方正仿宋简）"/>
    <w:basedOn w:val="1"/>
    <w:qFormat/>
    <w:uiPriority w:val="99"/>
    <w:pPr>
      <w:spacing w:line="560" w:lineRule="exact"/>
      <w:ind w:firstLine="640"/>
    </w:pPr>
    <w:rPr>
      <w:sz w:val="32"/>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字符"/>
    <w:link w:val="12"/>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字符"/>
    <w:link w:val="11"/>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字符"/>
    <w:link w:val="8"/>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7"/>
    <w:link w:val="5"/>
    <w:qFormat/>
    <w:uiPriority w:val="9"/>
    <w:rPr>
      <w:rFonts w:ascii="Times New Roman" w:hAnsi="Times New Roman"/>
      <w:b/>
      <w:bCs/>
      <w:kern w:val="44"/>
      <w:sz w:val="44"/>
      <w:szCs w:val="44"/>
    </w:rPr>
  </w:style>
  <w:style w:type="character" w:customStyle="1" w:styleId="31">
    <w:name w:val="标题 2 字符"/>
    <w:basedOn w:val="17"/>
    <w:link w:val="6"/>
    <w:qFormat/>
    <w:uiPriority w:val="9"/>
    <w:rPr>
      <w:rFonts w:asciiTheme="majorHAnsi" w:hAnsiTheme="majorHAnsi" w:eastAsiaTheme="majorEastAsia" w:cstheme="majorBidi"/>
      <w:b/>
      <w:bCs/>
      <w:kern w:val="2"/>
      <w:sz w:val="32"/>
      <w:szCs w:val="32"/>
    </w:rPr>
  </w:style>
  <w:style w:type="paragraph" w:customStyle="1" w:styleId="32">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7"/>
    <w:link w:val="10"/>
    <w:semiHidden/>
    <w:qFormat/>
    <w:uiPriority w:val="99"/>
    <w:rPr>
      <w:rFonts w:ascii="Times New Roman" w:hAnsi="Times New Roman"/>
      <w:kern w:val="2"/>
      <w:sz w:val="18"/>
      <w:szCs w:val="18"/>
    </w:rPr>
  </w:style>
  <w:style w:type="character" w:customStyle="1" w:styleId="34">
    <w:name w:val="标题 3 字符"/>
    <w:basedOn w:val="17"/>
    <w:link w:val="7"/>
    <w:qFormat/>
    <w:uiPriority w:val="9"/>
    <w:rPr>
      <w:rFonts w:ascii="Times New Roman" w:hAnsi="Times New Roman"/>
      <w:b/>
      <w:bCs/>
      <w:kern w:val="2"/>
      <w:sz w:val="32"/>
      <w:szCs w:val="32"/>
    </w:rPr>
  </w:style>
  <w:style w:type="paragraph" w:customStyle="1" w:styleId="35">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 w:type="paragraph" w:customStyle="1" w:styleId="3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24&#24180;&#20915;&#31639;&#20844;&#24320;1\&#22270;&#2925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4&#24180;&#20915;&#31639;&#20844;&#24320;1\&#22270;&#2925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4&#24180;&#20915;&#31639;&#20844;&#24320;1\&#22270;&#2925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24&#24180;&#20915;&#31639;&#20844;&#24320;1\&#22270;&#2925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24&#24180;&#20915;&#31639;&#20844;&#24320;1\&#22270;&#2925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4&#24180;&#20915;&#31639;&#20844;&#24320;1\&#22270;&#2925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24&#24180;&#20915;&#31639;&#20844;&#24320;1\&#22270;&#292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[图片.xlsx]Sheet1!$B$2</c:f>
              <c:strCache>
                <c:ptCount val="1"/>
                <c:pt idx="0">
                  <c:v>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[图片.xlsx]Sheet1!$A$3:$A$4</c:f>
              <c:strCache>
                <c:ptCount val="2"/>
                <c:pt idx="0">
                  <c:v>2023年决算数</c:v>
                </c:pt>
                <c:pt idx="1">
                  <c:v>2024年决算数</c:v>
                </c:pt>
              </c:strCache>
            </c:strRef>
          </c:cat>
          <c:val>
            <c:numRef>
              <c:f>[图片.xlsx]Sheet1!$B$3:$B$4</c:f>
              <c:numCache>
                <c:formatCode>General</c:formatCode>
                <c:ptCount val="2"/>
                <c:pt idx="0">
                  <c:v>282.99</c:v>
                </c:pt>
                <c:pt idx="1">
                  <c:v>333.73</c:v>
                </c:pt>
              </c:numCache>
            </c:numRef>
          </c:val>
        </c:ser>
        <c:dLbls>
          <c:showLegendKey val="0"/>
          <c:showVal val="1"/>
          <c:showCatName val="0"/>
          <c:showSerName val="0"/>
          <c:showPercent val="0"/>
          <c:showBubbleSize val="0"/>
        </c:dLbls>
        <c:gapWidth val="150"/>
        <c:overlap val="0"/>
        <c:axId val="793052153"/>
        <c:axId val="875876059"/>
      </c:barChart>
      <c:catAx>
        <c:axId val="7930521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5876059"/>
        <c:crosses val="autoZero"/>
        <c:auto val="1"/>
        <c:lblAlgn val="ctr"/>
        <c:lblOffset val="100"/>
        <c:noMultiLvlLbl val="0"/>
      </c:catAx>
      <c:valAx>
        <c:axId val="8758760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3052153"/>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0758c5e-dc10-48b1-807d-450a2b794be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9305555555556"/>
          <c:y val="0.565509259259259"/>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[图片.xlsx]Sheet1!$A$9</c:f>
              <c:strCache>
                <c:ptCount val="1"/>
                <c:pt idx="0">
                  <c:v>一般公共预算财政拨款收入</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[图片.xlsx]Sheet1!$B$9</c:f>
              <c:numCache>
                <c:formatCode>0%</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a8c7bf6-df5f-4a6f-b1a4-c38d7174f05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[图片.xlsx]Sheet1!$A$20:$A$21</c:f>
              <c:strCache>
                <c:ptCount val="2"/>
                <c:pt idx="0">
                  <c:v>基本支出</c:v>
                </c:pt>
                <c:pt idx="1">
                  <c:v>项目支出</c:v>
                </c:pt>
              </c:strCache>
            </c:strRef>
          </c:cat>
          <c:val>
            <c:numRef>
              <c:f>[图片.xlsx]Sheet1!$B$20:$B$21</c:f>
              <c:numCache>
                <c:formatCode>General</c:formatCode>
                <c:ptCount val="2"/>
                <c:pt idx="0">
                  <c:v>243.05</c:v>
                </c:pt>
                <c:pt idx="1">
                  <c:v>90.01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7cfca8d-738a-4ffa-bcd9-2e39dc4d477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[图片.xlsx]Sheet1!$B$25</c:f>
              <c:strCache>
                <c:ptCount val="1"/>
                <c:pt idx="0">
                  <c:v>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[图片.xlsx]Sheet1!$A$26:$A$27</c:f>
              <c:strCache>
                <c:ptCount val="2"/>
                <c:pt idx="0">
                  <c:v>2023年决算数</c:v>
                </c:pt>
                <c:pt idx="1">
                  <c:v>2024年决算数</c:v>
                </c:pt>
              </c:strCache>
            </c:strRef>
          </c:cat>
          <c:val>
            <c:numRef>
              <c:f>[图片.xlsx]Sheet1!$B$26:$B$27</c:f>
              <c:numCache>
                <c:formatCode>General</c:formatCode>
                <c:ptCount val="2"/>
                <c:pt idx="0">
                  <c:v>269.55</c:v>
                </c:pt>
                <c:pt idx="1">
                  <c:v>333.25</c:v>
                </c:pt>
              </c:numCache>
            </c:numRef>
          </c:val>
        </c:ser>
        <c:dLbls>
          <c:showLegendKey val="0"/>
          <c:showVal val="1"/>
          <c:showCatName val="0"/>
          <c:showSerName val="0"/>
          <c:showPercent val="0"/>
          <c:showBubbleSize val="0"/>
        </c:dLbls>
        <c:gapWidth val="150"/>
        <c:overlap val="0"/>
        <c:axId val="838355612"/>
        <c:axId val="491489695"/>
      </c:barChart>
      <c:catAx>
        <c:axId val="8383556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1489695"/>
        <c:crosses val="autoZero"/>
        <c:auto val="1"/>
        <c:lblAlgn val="ctr"/>
        <c:lblOffset val="100"/>
        <c:noMultiLvlLbl val="0"/>
      </c:catAx>
      <c:valAx>
        <c:axId val="491489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8355612"/>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e05403a-67e3-4296-b76c-2d089ed3dce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07361111111111"/>
          <c:y val="0.0416666666666667"/>
        </c:manualLayout>
      </c:layout>
      <c:overlay val="0"/>
      <c:spPr>
        <a:noFill/>
        <a:ln>
          <a:noFill/>
        </a:ln>
        <a:effectLst/>
      </c:spPr>
    </c:title>
    <c:autoTitleDeleted val="0"/>
    <c:plotArea>
      <c:layout/>
      <c:barChart>
        <c:barDir val="col"/>
        <c:grouping val="clustered"/>
        <c:varyColors val="0"/>
        <c:ser>
          <c:idx val="0"/>
          <c:order val="0"/>
          <c:tx>
            <c:strRef>
              <c:f>[图片.xlsx]Sheet1!$B$32</c:f>
              <c:strCache>
                <c:ptCount val="1"/>
                <c:pt idx="0">
                  <c:v>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[图片.xlsx]Sheet1!$A$33:$A$34</c:f>
              <c:strCache>
                <c:ptCount val="2"/>
                <c:pt idx="0">
                  <c:v>2023年决算数</c:v>
                </c:pt>
                <c:pt idx="1">
                  <c:v>2024年决算数</c:v>
                </c:pt>
              </c:strCache>
            </c:strRef>
          </c:cat>
          <c:val>
            <c:numRef>
              <c:f>[图片.xlsx]Sheet1!$B$33:$B$34</c:f>
              <c:numCache>
                <c:formatCode>General</c:formatCode>
                <c:ptCount val="2"/>
                <c:pt idx="0">
                  <c:v>269.26</c:v>
                </c:pt>
                <c:pt idx="1">
                  <c:v>332.97</c:v>
                </c:pt>
              </c:numCache>
            </c:numRef>
          </c:val>
        </c:ser>
        <c:dLbls>
          <c:showLegendKey val="0"/>
          <c:showVal val="1"/>
          <c:showCatName val="0"/>
          <c:showSerName val="0"/>
          <c:showPercent val="0"/>
          <c:showBubbleSize val="0"/>
        </c:dLbls>
        <c:gapWidth val="150"/>
        <c:overlap val="0"/>
        <c:axId val="345213702"/>
        <c:axId val="604097817"/>
      </c:barChart>
      <c:catAx>
        <c:axId val="345213702"/>
        <c:scaling>
          <c:orientation val="minMax"/>
        </c:scaling>
        <c:delete val="0"/>
        <c:axPos val="b"/>
        <c:title>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4097817"/>
        <c:crosses val="autoZero"/>
        <c:auto val="1"/>
        <c:lblAlgn val="ctr"/>
        <c:lblOffset val="100"/>
        <c:noMultiLvlLbl val="0"/>
      </c:catAx>
      <c:valAx>
        <c:axId val="604097817"/>
        <c:scaling>
          <c:orientation val="minMax"/>
        </c:scaling>
        <c:delete val="0"/>
        <c:axPos val="l"/>
        <c:majorGridlines>
          <c:spPr>
            <a:ln w="9525" cap="flat" cmpd="sng" algn="ctr">
              <a:solidFill>
                <a:schemeClr val="tx1">
                  <a:lumMod val="15000"/>
                  <a:lumOff val="850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5213702"/>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effd727-13e7-4dba-aca2-13eed82789a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[图片.xlsx]Sheet1!$A$38:$A$41</c:f>
              <c:strCache>
                <c:ptCount val="4"/>
                <c:pt idx="0">
                  <c:v>教育支出</c:v>
                </c:pt>
                <c:pt idx="1">
                  <c:v>社会保障和就业支出</c:v>
                </c:pt>
                <c:pt idx="2">
                  <c:v>卫生健康支出</c:v>
                </c:pt>
                <c:pt idx="3">
                  <c:v>住房保障支出</c:v>
                </c:pt>
              </c:strCache>
            </c:strRef>
          </c:cat>
          <c:val>
            <c:numRef>
              <c:f>[图片.xlsx]Sheet1!$B$38:$B$41</c:f>
              <c:numCache>
                <c:formatCode>General</c:formatCode>
                <c:ptCount val="4"/>
                <c:pt idx="0">
                  <c:v>268.59</c:v>
                </c:pt>
                <c:pt idx="1">
                  <c:v>36.87</c:v>
                </c:pt>
                <c:pt idx="2">
                  <c:v>7.27</c:v>
                </c:pt>
                <c:pt idx="3">
                  <c:v>20.23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8e5ad2e-2db4-4662-85f6-75d66d6fc01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13611111111111"/>
          <c:y val="0.59722222222222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[图片.xlsx]Sheet1!$A$45</c:f>
              <c:strCache>
                <c:ptCount val="1"/>
                <c:pt idx="0">
                  <c:v>公务接待费支出决算</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[图片.xlsx]Sheet1!$B$45</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9ef9143-3fe7-4849-a84c-01a65f8a4a3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5829</Words>
  <Characters>6334</Characters>
  <Lines>54</Lines>
  <Paragraphs>15</Paragraphs>
  <TotalTime>0</TotalTime>
  <ScaleCrop>false</ScaleCrop>
  <LinksUpToDate>false</LinksUpToDate>
  <CharactersWithSpaces>6407</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飞舟</cp:lastModifiedBy>
  <cp:lastPrinted>2023-08-03T02:35:00Z</cp:lastPrinted>
  <dcterms:modified xsi:type="dcterms:W3CDTF">2025-09-23T09:22:10Z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F7AD1F4152A34F64A2C8685B23691F81_13</vt:lpwstr>
  </property>
  <property fmtid="{D5CDD505-2E9C-101B-9397-08002B2CF9AE}" pid="4" name="KSOTemplateDocerSaveRecord">
    <vt:lpwstr>eyJoZGlkIjoiMDMzYzZhMWY2Zjg3NGE5YTk5NTM5NjRlNjhiYjg3NGIiLCJ1c2VySWQiOiI3NjE3NDI2NDIifQ==</vt:lpwstr>
  </property>
</Properties>
</file>