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B5A1E">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193"/>
      <w:bookmarkStart w:id="3" w:name="_Toc15396597"/>
      <w:bookmarkStart w:id="4" w:name="_Toc15377425"/>
      <w:bookmarkStart w:id="5" w:name="_Toc15306267"/>
    </w:p>
    <w:p w14:paraId="45B4EE40">
      <w:pPr>
        <w:rPr>
          <w:rFonts w:ascii="Times New Roman" w:hAnsi="Times New Roman"/>
        </w:rPr>
      </w:pPr>
    </w:p>
    <w:p w14:paraId="0ADF7FF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5473CF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84FC61B">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360645E">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9A29ED1">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78442"/>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乐山市金口河区人大常务委员会办公室单位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561B5AA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4A86E8EB">
      <w:pPr>
        <w:widowControl/>
        <w:jc w:val="center"/>
        <w:rPr>
          <w:rFonts w:ascii="Times New Roman" w:hAnsi="Times New Roman" w:eastAsia="黑体" w:cstheme="minorBidi"/>
          <w:color w:val="auto"/>
          <w:sz w:val="28"/>
          <w:szCs w:val="28"/>
          <w:highlight w:val="none"/>
        </w:rPr>
      </w:pPr>
    </w:p>
    <w:p w14:paraId="1FBCF21C">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23 </w:t>
      </w:r>
      <w:r>
        <w:rPr>
          <w:rFonts w:hint="eastAsia" w:ascii="Times New Roman" w:hAnsi="Times New Roman" w:eastAsia="仿宋_GB2312" w:cs="仿宋_GB2312"/>
          <w:color w:val="auto"/>
          <w:sz w:val="32"/>
          <w:szCs w:val="32"/>
          <w:highlight w:val="none"/>
        </w:rPr>
        <w:t>日</w:t>
      </w:r>
    </w:p>
    <w:p w14:paraId="55256DEB">
      <w:pPr>
        <w:rPr>
          <w:rFonts w:ascii="Times New Roman" w:hAnsi="Times New Roman"/>
          <w:color w:val="auto"/>
          <w:highlight w:val="none"/>
        </w:rPr>
      </w:pPr>
    </w:p>
    <w:p w14:paraId="642C116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64F122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8F8A3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07A5AE8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451EFD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10EC5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D1696B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22A15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6BCBBE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5BD6B8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9EA97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181AFA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3B1F07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13408D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823571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11A3675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1FDE881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4CE3C2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5BC626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4146FBE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1CA9EE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00539F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0E294E5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3AC404F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60BF9C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5A6563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71D1F18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0D865AC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1262AE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347B1B5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29</w:t>
      </w:r>
    </w:p>
    <w:p w14:paraId="723DE4C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7DBDF3BC">
      <w:pPr>
        <w:pStyle w:val="5"/>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31D46562">
      <w:pPr>
        <w:widowControl/>
        <w:jc w:val="left"/>
        <w:rPr>
          <w:rFonts w:ascii="Times New Roman" w:hAnsi="Times New Roman" w:eastAsia="黑体"/>
          <w:color w:val="auto"/>
          <w:sz w:val="32"/>
          <w:szCs w:val="32"/>
          <w:highlight w:val="none"/>
        </w:rPr>
      </w:pPr>
    </w:p>
    <w:p w14:paraId="62100196">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7E737AE5">
      <w:pPr>
        <w:keepNext w:val="0"/>
        <w:keepLines w:val="0"/>
        <w:widowControl/>
        <w:suppressLineNumbers w:val="0"/>
        <w:ind w:firstLine="640" w:firstLineChars="200"/>
        <w:jc w:val="left"/>
        <w:rPr>
          <w:sz w:val="32"/>
          <w:szCs w:val="32"/>
        </w:rPr>
      </w:pPr>
      <w:r>
        <w:rPr>
          <w:rFonts w:ascii="仿宋_GB2312" w:hAnsi="仿宋_GB2312" w:eastAsia="仿宋_GB2312" w:cs="仿宋_GB2312"/>
          <w:color w:val="333333"/>
          <w:kern w:val="0"/>
          <w:sz w:val="32"/>
          <w:szCs w:val="32"/>
          <w:lang w:val="en-US" w:eastAsia="zh-CN" w:bidi="ar"/>
        </w:rPr>
        <w:t xml:space="preserve">1、金口河区人大常委会办公室主要职责是承担区人 </w:t>
      </w:r>
    </w:p>
    <w:p w14:paraId="79C0727D">
      <w:pPr>
        <w:keepNext w:val="0"/>
        <w:keepLines w:val="0"/>
        <w:widowControl/>
        <w:suppressLineNumbers w:val="0"/>
        <w:jc w:val="left"/>
        <w:rPr>
          <w:sz w:val="32"/>
          <w:szCs w:val="32"/>
        </w:rPr>
      </w:pPr>
      <w:r>
        <w:rPr>
          <w:rFonts w:ascii="仿宋_GB2312" w:hAnsi="仿宋_GB2312" w:eastAsia="仿宋_GB2312" w:cs="仿宋_GB2312"/>
          <w:color w:val="333333"/>
          <w:kern w:val="0"/>
          <w:sz w:val="32"/>
          <w:szCs w:val="32"/>
          <w:lang w:val="en-US" w:eastAsia="zh-CN" w:bidi="ar"/>
        </w:rPr>
        <w:t xml:space="preserve">民代表大会会议、人大常委会会议、主任会议的筹备和会务 </w:t>
      </w:r>
    </w:p>
    <w:p w14:paraId="12A17974">
      <w:pPr>
        <w:keepNext w:val="0"/>
        <w:keepLines w:val="0"/>
        <w:widowControl/>
        <w:suppressLineNumbers w:val="0"/>
        <w:jc w:val="left"/>
        <w:rPr>
          <w:rFonts w:hint="eastAsia"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工作，承担区人民代表大会换届选举的各种事务工作；</w:t>
      </w:r>
      <w:r>
        <w:rPr>
          <w:rFonts w:hint="eastAsia" w:ascii="仿宋_GB2312" w:hAnsi="仿宋_GB2312" w:eastAsia="仿宋_GB2312" w:cs="仿宋_GB2312"/>
          <w:color w:val="333333"/>
          <w:kern w:val="0"/>
          <w:sz w:val="32"/>
          <w:szCs w:val="32"/>
          <w:lang w:val="en-US" w:eastAsia="zh-CN" w:bidi="ar"/>
        </w:rPr>
        <w:t xml:space="preserve">  </w:t>
      </w:r>
    </w:p>
    <w:p w14:paraId="6542348D">
      <w:pPr>
        <w:keepNext w:val="0"/>
        <w:keepLines w:val="0"/>
        <w:widowControl/>
        <w:numPr>
          <w:ilvl w:val="0"/>
          <w:numId w:val="2"/>
        </w:numPr>
        <w:suppressLineNumbers w:val="0"/>
        <w:ind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负责对“一府两院”办公室、民族、法治、财经、农业、城环、教科文卫方面对口部门的工作联系，负责省、市、区人大代表的工作联系，协助常委会组织好代表视察工作，负责联系乡镇综合性的工作；协助区人大常委会指导乡镇人大换届选举工作、指导乡镇人大主席团工作。</w:t>
      </w:r>
    </w:p>
    <w:p w14:paraId="5F87A733">
      <w:pPr>
        <w:keepNext w:val="0"/>
        <w:keepLines w:val="0"/>
        <w:widowControl/>
        <w:numPr>
          <w:ilvl w:val="0"/>
          <w:numId w:val="2"/>
        </w:numPr>
        <w:suppressLineNumbers w:val="0"/>
        <w:ind w:left="0" w:leftChars="0"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负责常委会综合性文稿的起草、审核、校对，编印人民代表大会《会刊》、 常委会《公报》、常委会审议议题《参阅材料》。</w:t>
      </w:r>
    </w:p>
    <w:p w14:paraId="0B484A40">
      <w:pPr>
        <w:keepNext w:val="0"/>
        <w:keepLines w:val="0"/>
        <w:widowControl/>
        <w:numPr>
          <w:ilvl w:val="0"/>
          <w:numId w:val="2"/>
        </w:numPr>
        <w:suppressLineNumbers w:val="0"/>
        <w:ind w:left="0" w:leftChars="0"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凡新颁布的法律法规实施一周年后，对其实施情况进行检查。</w:t>
      </w:r>
    </w:p>
    <w:p w14:paraId="0C7886A8">
      <w:pPr>
        <w:keepNext w:val="0"/>
        <w:keepLines w:val="0"/>
        <w:widowControl/>
        <w:numPr>
          <w:ilvl w:val="0"/>
          <w:numId w:val="0"/>
        </w:numPr>
        <w:suppressLineNumbers w:val="0"/>
        <w:ind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5、 围绕常委会、主任会议议题，开展财政经济、农业、工业、城乡建设、环境保护、民族、法治、教科文卫方面的调查研究和上述有关方面的法律、法规和方针、政策贯彻实施情况进行调查研究，开展执法检查活动，提供有关综合情况和参阅资料。</w:t>
      </w:r>
    </w:p>
    <w:p w14:paraId="79B4C1A7">
      <w:pPr>
        <w:keepNext w:val="0"/>
        <w:keepLines w:val="0"/>
        <w:widowControl/>
        <w:suppressLineNumbers w:val="0"/>
        <w:ind w:firstLine="640" w:firstLineChars="200"/>
        <w:jc w:val="left"/>
        <w:rPr>
          <w:sz w:val="32"/>
          <w:szCs w:val="32"/>
        </w:rPr>
      </w:pPr>
      <w:r>
        <w:rPr>
          <w:rFonts w:ascii="仿宋_GB2312" w:hAnsi="仿宋_GB2312" w:eastAsia="仿宋_GB2312" w:cs="仿宋_GB2312"/>
          <w:color w:val="333333"/>
          <w:kern w:val="0"/>
          <w:sz w:val="32"/>
          <w:szCs w:val="32"/>
          <w:lang w:val="en-US" w:eastAsia="zh-CN" w:bidi="ar"/>
        </w:rPr>
        <w:t>6</w:t>
      </w:r>
      <w:r>
        <w:rPr>
          <w:rFonts w:hint="eastAsia" w:ascii="仿宋_GB2312" w:hAnsi="仿宋_GB2312" w:eastAsia="仿宋_GB2312" w:cs="仿宋_GB2312"/>
          <w:color w:val="333333"/>
          <w:kern w:val="0"/>
          <w:sz w:val="32"/>
          <w:szCs w:val="32"/>
          <w:lang w:val="en-US" w:eastAsia="zh-CN" w:bidi="ar"/>
        </w:rPr>
        <w:t>、</w:t>
      </w:r>
      <w:r>
        <w:rPr>
          <w:rFonts w:ascii="仿宋_GB2312" w:hAnsi="仿宋_GB2312" w:eastAsia="仿宋_GB2312" w:cs="仿宋_GB2312"/>
          <w:color w:val="333333"/>
          <w:kern w:val="0"/>
          <w:sz w:val="32"/>
          <w:szCs w:val="32"/>
          <w:lang w:val="en-US" w:eastAsia="zh-CN" w:bidi="ar"/>
        </w:rPr>
        <w:t xml:space="preserve">负责做好与区委组织部有关干部人事任免工作 </w:t>
      </w:r>
    </w:p>
    <w:p w14:paraId="50E4D768">
      <w:pPr>
        <w:keepNext w:val="0"/>
        <w:keepLines w:val="0"/>
        <w:widowControl/>
        <w:suppressLineNumbers w:val="0"/>
        <w:jc w:val="left"/>
        <w:rPr>
          <w:rFonts w:hint="eastAsia"/>
          <w:lang w:eastAsia="zh-CN"/>
        </w:rPr>
      </w:pPr>
      <w:r>
        <w:rPr>
          <w:rFonts w:ascii="仿宋_GB2312" w:hAnsi="仿宋_GB2312" w:eastAsia="仿宋_GB2312" w:cs="仿宋_GB2312"/>
          <w:color w:val="333333"/>
          <w:kern w:val="0"/>
          <w:sz w:val="32"/>
          <w:szCs w:val="32"/>
          <w:lang w:val="en-US" w:eastAsia="zh-CN" w:bidi="ar"/>
        </w:rPr>
        <w:t>的联络，为区人大常委会任免干部做好工作准备等。</w:t>
      </w:r>
    </w:p>
    <w:p w14:paraId="682AA4F2">
      <w:pPr>
        <w:pStyle w:val="6"/>
        <w:rPr>
          <w:rStyle w:val="32"/>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4"/>
      <w:bookmarkEnd w:id="15"/>
    </w:p>
    <w:p w14:paraId="42A3C123">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乐山市金口河区人民代表大会常务委员会(办公室)</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04C1EC59">
      <w:pPr>
        <w:pStyle w:val="8"/>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乐山市金口河区人民代表大会常务委员会(办公室)</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6700AF17">
      <w:pPr>
        <w:pStyle w:val="5"/>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17DF4535">
      <w:pPr>
        <w:rPr>
          <w:rFonts w:ascii="Times New Roman" w:hAnsi="Times New Roman"/>
          <w:color w:val="auto"/>
          <w:highlight w:val="none"/>
        </w:rPr>
      </w:pPr>
    </w:p>
    <w:p w14:paraId="2CA5E8F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48CB173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260985</wp:posOffset>
            </wp:positionH>
            <wp:positionV relativeFrom="paragraph">
              <wp:posOffset>1102995</wp:posOffset>
            </wp:positionV>
            <wp:extent cx="4826000" cy="2743200"/>
            <wp:effectExtent l="4445" t="4445" r="8255" b="14605"/>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673.2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187.22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人员经费和公用经费的减少。</w:t>
      </w:r>
    </w:p>
    <w:p w14:paraId="62DBD8C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594E7F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F5ADBD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C0BB79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A2229E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89405B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180966E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2158E4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76303C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p>
    <w:p w14:paraId="30ED544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646D4BA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673万元，其中：一般公共预算财政拨款收入672.98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0.02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color w:val="auto"/>
          <w:sz w:val="32"/>
          <w:szCs w:val="32"/>
          <w:highlight w:val="none"/>
          <w:lang w:eastAsia="zh-CN"/>
        </w:rPr>
        <w:t>%。</w:t>
      </w:r>
    </w:p>
    <w:p w14:paraId="5B7753D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68190" cy="2505075"/>
            <wp:effectExtent l="4445" t="4445" r="18415" b="508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ABCA7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1FED243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673.03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567.9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105.13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15.62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3CF7E8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15C2C133">
      <w:pPr>
        <w:ind w:firstLine="420" w:firstLineChars="0"/>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8255" b="1460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45D2ED">
      <w:pPr>
        <w:spacing w:line="600" w:lineRule="exact"/>
        <w:ind w:firstLine="640" w:firstLineChars="200"/>
        <w:outlineLvl w:val="1"/>
        <w:rPr>
          <w:rStyle w:val="32"/>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082CBB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673.01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187.22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人员经费和公用经费的减少。</w:t>
      </w:r>
    </w:p>
    <w:p w14:paraId="3344694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4B70D1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D600F1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EF36D7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BC74FF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019D84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2FF6B0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338AFFC">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-2453005</wp:posOffset>
            </wp:positionV>
            <wp:extent cx="4826000" cy="2743200"/>
            <wp:effectExtent l="4445" t="4445" r="8255" b="14605"/>
            <wp:wrapNone/>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DABE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D0374C">
      <w:pPr>
        <w:spacing w:line="600" w:lineRule="exact"/>
        <w:ind w:firstLine="640" w:firstLineChars="200"/>
        <w:outlineLvl w:val="1"/>
        <w:rPr>
          <w:rStyle w:val="32"/>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642FD0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70A0C2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672.98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%。与2023年度相比，一般公共预算财政拨款支出减少187.02万元，下降21.75%。主要变动原因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人员经费和公用经费的减少。</w:t>
      </w:r>
    </w:p>
    <w:p w14:paraId="1FD1EEC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76835</wp:posOffset>
            </wp:positionV>
            <wp:extent cx="4826000" cy="2670175"/>
            <wp:effectExtent l="4445" t="4445" r="8255" b="1143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F81AAF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8C106D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31C4FF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64E474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EE986A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035BD6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89A2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2C711BD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672.98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517.51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103.03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15.31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37.26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5.53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农林水支出1.23万元，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F535E7">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bookmarkStart w:id="30" w:name="_Toc15377212"/>
      <w:r>
        <w:drawing>
          <wp:anchor distT="0" distB="0" distL="114300" distR="114300" simplePos="0" relativeHeight="251662336" behindDoc="0" locked="0" layoutInCell="1" allowOverlap="1">
            <wp:simplePos x="0" y="0"/>
            <wp:positionH relativeFrom="column">
              <wp:posOffset>239395</wp:posOffset>
            </wp:positionH>
            <wp:positionV relativeFrom="paragraph">
              <wp:posOffset>330200</wp:posOffset>
            </wp:positionV>
            <wp:extent cx="4826000" cy="2743200"/>
            <wp:effectExtent l="4445" t="4445" r="8255" b="14605"/>
            <wp:wrapNone/>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5058D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572CBB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ED998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A4159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3DAC40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68161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13B4D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D87A3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6E03E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296F99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672.98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90553B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418.75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7A43FB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91565F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人大会议</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xml:space="preserve">。    </w:t>
      </w:r>
    </w:p>
    <w:p w14:paraId="63420B3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人大监督</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AC17BF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人大代表履职能力提升</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AF3EA3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代表工作</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D247DE0">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B313C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4DB5A3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（款）其他行政事业单位养老支出（项）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7E43DD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残疾人事业</w:t>
      </w:r>
      <w:r>
        <w:rPr>
          <w:rFonts w:hint="eastAsia" w:ascii="Times New Roman" w:hAnsi="Times New Roman" w:eastAsia="仿宋_GB2312" w:cs="仿宋_GB2312"/>
          <w:color w:val="auto"/>
          <w:kern w:val="2"/>
          <w:sz w:val="32"/>
          <w:szCs w:val="32"/>
          <w:highlight w:val="none"/>
          <w:lang w:val="en-US" w:eastAsia="zh-CN" w:bidi="ar-SA"/>
        </w:rPr>
        <w:t>（款）残疾人就业（项）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F7D4E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FD3B82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7C694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70BB05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xml:space="preserve">。   </w:t>
      </w:r>
    </w:p>
    <w:p w14:paraId="1C659E2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8F3DEC">
      <w:pPr>
        <w:spacing w:line="600" w:lineRule="exact"/>
        <w:ind w:firstLine="640"/>
        <w:rPr>
          <w:rFonts w:hint="eastAsia" w:eastAsia="仿宋_GB2312" w:cs="仿宋_GB2312"/>
          <w:color w:val="auto"/>
          <w:kern w:val="2"/>
          <w:sz w:val="32"/>
          <w:szCs w:val="32"/>
          <w:highlight w:val="none"/>
          <w:lang w:val="en-US" w:eastAsia="zh-CN" w:bidi="ar-SA"/>
        </w:rPr>
      </w:pPr>
    </w:p>
    <w:p w14:paraId="47FB54B8">
      <w:pPr>
        <w:tabs>
          <w:tab w:val="right" w:pos="8306"/>
        </w:tabs>
        <w:spacing w:line="600" w:lineRule="exact"/>
        <w:ind w:firstLine="640"/>
        <w:outlineLvl w:val="1"/>
        <w:rPr>
          <w:rStyle w:val="32"/>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7A7F25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567.85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3D78D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483.45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69A4A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EDB24F">
      <w:pPr>
        <w:spacing w:line="600" w:lineRule="exact"/>
        <w:ind w:firstLine="640"/>
        <w:outlineLvl w:val="1"/>
        <w:rPr>
          <w:rStyle w:val="32"/>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5340AF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27687E3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87.33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1.27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26.57</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例行节约、无公务用车运行费、公务接待费减少。</w:t>
      </w:r>
    </w:p>
    <w:p w14:paraId="07BDC3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B031D5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B72ADC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2FE3D22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0AD5863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1DB3FB3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8206A3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8423B3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774ACA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57C7F96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7DB7607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C6A76A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E65072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24FE803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410845</wp:posOffset>
            </wp:positionH>
            <wp:positionV relativeFrom="paragraph">
              <wp:posOffset>-2453005</wp:posOffset>
            </wp:positionV>
            <wp:extent cx="4826000" cy="2743200"/>
            <wp:effectExtent l="4445" t="4445" r="8255" b="14605"/>
            <wp:wrapNone/>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439A0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w:t>
      </w:r>
      <w:r>
        <w:rPr>
          <w:rFonts w:hint="eastAsia" w:eastAsia="仿宋_GB2312" w:cs="仿宋_GB2312"/>
          <w:color w:val="auto"/>
          <w:kern w:val="2"/>
          <w:sz w:val="32"/>
          <w:szCs w:val="32"/>
          <w:highlight w:val="none"/>
          <w:lang w:val="en-US" w:eastAsia="zh-CN" w:bidi="ar-SA"/>
        </w:rPr>
        <w:t>年度</w:t>
      </w:r>
      <w:bookmarkStart w:id="67" w:name="_GoBack"/>
      <w:bookmarkEnd w:id="67"/>
      <w:r>
        <w:rPr>
          <w:rFonts w:hint="eastAsia" w:ascii="Times New Roman" w:hAnsi="Times New Roman" w:eastAsia="仿宋_GB2312" w:cs="仿宋_GB2312"/>
          <w:color w:val="auto"/>
          <w:kern w:val="2"/>
          <w:sz w:val="32"/>
          <w:szCs w:val="32"/>
          <w:highlight w:val="none"/>
          <w:lang w:val="en-US" w:eastAsia="zh-CN" w:bidi="ar-SA"/>
        </w:rPr>
        <w:t>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6BA6E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787F6A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29F90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B3905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3.5万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87.33</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1.24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26.09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例行节约</w:t>
      </w:r>
      <w:r>
        <w:rPr>
          <w:rFonts w:hint="eastAsia" w:ascii="Times New Roman" w:hAnsi="Times New Roman" w:eastAsia="仿宋_GB2312" w:cs="仿宋_GB2312"/>
          <w:color w:val="auto"/>
          <w:kern w:val="2"/>
          <w:sz w:val="32"/>
          <w:szCs w:val="32"/>
          <w:highlight w:val="none"/>
          <w:lang w:val="en-US" w:eastAsia="zh-CN" w:bidi="ar-SA"/>
        </w:rPr>
        <w:t>。其中：</w:t>
      </w:r>
    </w:p>
    <w:p w14:paraId="12DC62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350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万元。</w:t>
      </w:r>
    </w:p>
    <w:p w14:paraId="52BA13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77218"/>
      <w:bookmarkStart w:id="41" w:name="_Toc15396610"/>
    </w:p>
    <w:p w14:paraId="7FE0A4F3">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0ADE6E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06A185B">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2" w:name="_Toc15377219"/>
      <w:bookmarkStart w:id="43"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1A3C5A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EB3AAD0">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4" w:name="_Toc15396612"/>
      <w:bookmarkStart w:id="45"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6EE85D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D39EC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乐山市金口河区人民代表大会常务委员会(办公室)</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例行节约。</w:t>
      </w:r>
    </w:p>
    <w:p w14:paraId="33F64C4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354971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乐山市金口河区人民代表大会常务委员会(办公室)</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06CAB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10006B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乐山市金口河区人民代表大会常务委员会(办公室)</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A6BE6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43C39C8">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eastAsia="楷体_GB2312" w:cs="楷体_GB2312"/>
          <w:b/>
          <w:sz w:val="32"/>
          <w:szCs w:val="32"/>
          <w:lang w:val="en-US" w:eastAsia="zh-CN"/>
        </w:rPr>
      </w:pPr>
      <w:r>
        <w:rPr>
          <w:rFonts w:hint="eastAsia" w:eastAsia="楷体_GB2312" w:cs="楷体_GB2312"/>
          <w:b/>
          <w:sz w:val="32"/>
          <w:szCs w:val="32"/>
          <w:lang w:val="en-US" w:eastAsia="zh-CN"/>
        </w:rPr>
        <w:t>1.预决算编制情况</w:t>
      </w:r>
    </w:p>
    <w:p w14:paraId="7C91E5E9">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14:paraId="6AC997D7">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14:paraId="284DC5CE">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我</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14:paraId="6748A26B">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14:paraId="3DA3112D">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1</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按照区财政局关于单位预算、决算、政府采购、绩效等信息公开的时间，在规定时间内完成本单位的相关信息公开，做到及时、真实、不弄虚作假。</w:t>
      </w:r>
    </w:p>
    <w:p w14:paraId="17A36B48">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2</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我</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14:paraId="39941B1B">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内所有资产必须实现资产归口管理和明确使用责任，细化到人，每半年对资产进行清查盘点，对账实不符的情况及时进行处理；严格按照规定处置资产。</w:t>
      </w:r>
    </w:p>
    <w:p w14:paraId="6650A0E4">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4.</w:t>
      </w:r>
      <w:r>
        <w:rPr>
          <w:rFonts w:hint="eastAsia" w:ascii="仿宋" w:hAnsi="仿宋" w:eastAsia="仿宋" w:cs="仿宋"/>
          <w:b/>
          <w:bCs/>
          <w:color w:val="auto"/>
          <w:sz w:val="32"/>
          <w:szCs w:val="32"/>
          <w:shd w:val="clear" w:color="auto" w:fill="FFFFFF"/>
          <w:lang w:eastAsia="zh-CN"/>
        </w:rPr>
        <w:t>整体绩效</w:t>
      </w:r>
    </w:p>
    <w:p w14:paraId="6FD39BD5">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① </w:t>
      </w:r>
      <w:r>
        <w:rPr>
          <w:rFonts w:hint="eastAsia" w:ascii="仿宋" w:hAnsi="仿宋" w:eastAsia="仿宋" w:cs="仿宋"/>
          <w:b/>
          <w:bCs/>
          <w:color w:val="auto"/>
          <w:sz w:val="32"/>
          <w:szCs w:val="32"/>
          <w:shd w:val="clear" w:color="auto" w:fill="FFFFFF"/>
          <w:lang w:eastAsia="zh-CN"/>
        </w:rPr>
        <w:t>资金绩效分配情况</w:t>
      </w:r>
    </w:p>
    <w:p w14:paraId="73479EBF">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认真贯彻执行《四川省省级财政专项资金绩效分配管理暂行办法》实施绩效分配。资金分配科学合理，分配过程符合相关规定。建立健全专项资金绩效分配机制，实现了财政资金资源有效配置。</w:t>
      </w:r>
    </w:p>
    <w:p w14:paraId="4D65C895">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② </w:t>
      </w:r>
      <w:r>
        <w:rPr>
          <w:rFonts w:hint="eastAsia" w:ascii="仿宋" w:hAnsi="仿宋" w:eastAsia="仿宋" w:cs="仿宋"/>
          <w:b/>
          <w:bCs/>
          <w:color w:val="auto"/>
          <w:sz w:val="32"/>
          <w:szCs w:val="32"/>
          <w:shd w:val="clear" w:color="auto" w:fill="FFFFFF"/>
          <w:lang w:eastAsia="zh-CN"/>
        </w:rPr>
        <w:t>项目资金管理情况</w:t>
      </w:r>
    </w:p>
    <w:p w14:paraId="7044FBCD">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加强对项目资金的管理，严格按照资金的使用范围专款专用，支付有依据，严格开支标准。无截留、挤占、挪用专项资金和虚列资金及大额度现金支出现象。</w:t>
      </w:r>
    </w:p>
    <w:p w14:paraId="080880F4">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③ </w:t>
      </w:r>
      <w:r>
        <w:rPr>
          <w:rFonts w:hint="eastAsia" w:ascii="仿宋" w:hAnsi="仿宋" w:eastAsia="仿宋" w:cs="仿宋"/>
          <w:b/>
          <w:bCs/>
          <w:color w:val="auto"/>
          <w:sz w:val="32"/>
          <w:szCs w:val="32"/>
          <w:shd w:val="clear" w:color="auto" w:fill="FFFFFF"/>
          <w:lang w:eastAsia="zh-CN"/>
        </w:rPr>
        <w:t>绩效目标完成情况</w:t>
      </w:r>
    </w:p>
    <w:p w14:paraId="37BC1E60">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14:paraId="494A3F15">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5.</w:t>
      </w:r>
      <w:r>
        <w:rPr>
          <w:rFonts w:hint="eastAsia" w:ascii="仿宋" w:hAnsi="仿宋" w:eastAsia="仿宋" w:cs="仿宋"/>
          <w:b/>
          <w:bCs/>
          <w:color w:val="auto"/>
          <w:sz w:val="32"/>
          <w:szCs w:val="32"/>
          <w:shd w:val="clear" w:color="auto" w:fill="FFFFFF"/>
          <w:lang w:eastAsia="zh-CN"/>
        </w:rPr>
        <w:t>改进建议</w:t>
      </w:r>
    </w:p>
    <w:p w14:paraId="0E0D3A44">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14:paraId="67E1E262">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color w:val="auto"/>
        </w:rPr>
      </w:pPr>
      <w:r>
        <w:rPr>
          <w:rFonts w:hint="eastAsia" w:ascii="仿宋" w:hAnsi="仿宋" w:eastAsia="仿宋" w:cs="仿宋"/>
          <w:color w:val="auto"/>
          <w:sz w:val="32"/>
          <w:szCs w:val="32"/>
          <w:shd w:val="clear" w:color="auto" w:fill="FFFFFF"/>
          <w:lang w:eastAsia="zh-CN"/>
        </w:rPr>
        <w:t>今后工作中在预算编制的准确性上下功夫，通过积极组织、认真论证、领导决策等程序，确保做实预算，保证预算与实际需要基本相符；对项目实施有科学规划，依据项目年内可完成进度分年度下达预算指标，当年预算才能全部执行，提高预算管理质量。</w:t>
      </w:r>
    </w:p>
    <w:p w14:paraId="728DFA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D3A4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4BED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ACDF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847D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04033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61483A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83B4ACF">
      <w:pPr>
        <w:spacing w:line="600" w:lineRule="exact"/>
        <w:jc w:val="left"/>
        <w:rPr>
          <w:rFonts w:ascii="Times New Roman" w:hAnsi="Times New Roman"/>
          <w:b/>
          <w:color w:val="auto"/>
          <w:sz w:val="44"/>
          <w:szCs w:val="44"/>
          <w:highlight w:val="none"/>
        </w:rPr>
      </w:pPr>
    </w:p>
    <w:p w14:paraId="7519F2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56988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6675AF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FB861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6EC5A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BF0D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68173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CECB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3519EE93">
      <w:pPr>
        <w:keepNext w:val="0"/>
        <w:keepLines w:val="0"/>
        <w:widowControl/>
        <w:suppressLineNumbers w:val="0"/>
        <w:ind w:firstLine="640" w:firstLineChars="200"/>
        <w:jc w:val="left"/>
      </w:pPr>
      <w:r>
        <w:rPr>
          <w:rFonts w:hint="eastAsia" w:ascii="Times New Roman" w:hAnsi="Times New Roman" w:eastAsia="仿宋_GB2312" w:cs="仿宋_GB2312"/>
          <w:color w:val="auto"/>
          <w:kern w:val="2"/>
          <w:sz w:val="32"/>
          <w:szCs w:val="32"/>
          <w:highlight w:val="none"/>
          <w:lang w:val="en-US" w:eastAsia="zh-CN" w:bidi="ar-SA"/>
        </w:rPr>
        <w:t>9.</w:t>
      </w:r>
      <w:r>
        <w:rPr>
          <w:rFonts w:ascii="仿宋_GB2312" w:hAnsi="仿宋_GB2312" w:eastAsia="仿宋_GB2312" w:cs="仿宋_GB2312"/>
          <w:color w:val="000000"/>
          <w:kern w:val="0"/>
          <w:sz w:val="31"/>
          <w:szCs w:val="31"/>
          <w:lang w:val="en-US" w:eastAsia="zh-CN" w:bidi="ar"/>
        </w:rPr>
        <w:t xml:space="preserve">一般公共服务（类）人大事务（款）行政运行（项）： </w:t>
      </w:r>
    </w:p>
    <w:p w14:paraId="34F1DF07">
      <w:pPr>
        <w:keepNext w:val="0"/>
        <w:keepLines w:val="0"/>
        <w:widowControl/>
        <w:suppressLineNumbers w:val="0"/>
        <w:ind w:left="638" w:hanging="620" w:hanging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指行政单位（包括实行公务员管理的事业单位）的基本支出</w:t>
      </w:r>
    </w:p>
    <w:p w14:paraId="1F00CA03">
      <w:pPr>
        <w:keepNext w:val="0"/>
        <w:keepLines w:val="0"/>
        <w:widowControl/>
        <w:numPr>
          <w:ilvl w:val="0"/>
          <w:numId w:val="3"/>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一般公共服务（类）人大事务（款）一般行政管理事务（项）： 指行政单位（包括实行公务员管理的事业单位）未单独设置 项级科目的其他项目支出；</w:t>
      </w:r>
    </w:p>
    <w:p w14:paraId="3B3C91B6">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11.</w:t>
      </w:r>
      <w:r>
        <w:rPr>
          <w:rFonts w:ascii="仿宋_GB2312" w:hAnsi="仿宋_GB2312" w:eastAsia="仿宋_GB2312" w:cs="仿宋_GB2312"/>
          <w:color w:val="000000"/>
          <w:kern w:val="0"/>
          <w:sz w:val="31"/>
          <w:szCs w:val="31"/>
          <w:lang w:val="en-US" w:eastAsia="zh-CN" w:bidi="ar"/>
        </w:rPr>
        <w:t>一般公共服务（类）人大事务（款）人大会议（项）：指反映各级人大召开人民代表大会等专门会议的支出；</w:t>
      </w:r>
    </w:p>
    <w:p w14:paraId="59D09FC9">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12.</w:t>
      </w:r>
      <w:r>
        <w:rPr>
          <w:rFonts w:ascii="仿宋_GB2312" w:hAnsi="仿宋_GB2312" w:eastAsia="仿宋_GB2312" w:cs="仿宋_GB2312"/>
          <w:color w:val="000000"/>
          <w:kern w:val="0"/>
          <w:sz w:val="31"/>
          <w:szCs w:val="31"/>
          <w:lang w:val="en-US" w:eastAsia="zh-CN" w:bidi="ar"/>
        </w:rPr>
        <w:t>一般公共服务（类）人大事务（款）人大监督（项）：指反映各级人大开展监督工作的支出；</w:t>
      </w:r>
    </w:p>
    <w:p w14:paraId="6B218520">
      <w:pPr>
        <w:keepNext w:val="0"/>
        <w:keepLines w:val="0"/>
        <w:widowControl/>
        <w:numPr>
          <w:ilvl w:val="0"/>
          <w:numId w:val="0"/>
        </w:numPr>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13.</w:t>
      </w:r>
      <w:r>
        <w:rPr>
          <w:rFonts w:ascii="仿宋_GB2312" w:hAnsi="仿宋_GB2312" w:eastAsia="仿宋_GB2312" w:cs="仿宋_GB2312"/>
          <w:color w:val="000000"/>
          <w:kern w:val="0"/>
          <w:sz w:val="31"/>
          <w:szCs w:val="31"/>
          <w:lang w:val="en-US" w:eastAsia="zh-CN" w:bidi="ar"/>
        </w:rPr>
        <w:t>一般公共服务（类）人大事务（款）代表工作（项）：指反映人大代表开展各类视察等方面的支出</w:t>
      </w:r>
      <w:r>
        <w:rPr>
          <w:rFonts w:hint="eastAsia" w:ascii="仿宋_GB2312" w:hAnsi="仿宋_GB2312" w:eastAsia="仿宋_GB2312" w:cs="仿宋_GB2312"/>
          <w:color w:val="000000"/>
          <w:kern w:val="0"/>
          <w:sz w:val="31"/>
          <w:szCs w:val="31"/>
          <w:lang w:val="en-US" w:eastAsia="zh-CN" w:bidi="ar"/>
        </w:rPr>
        <w:t>；</w:t>
      </w:r>
    </w:p>
    <w:p w14:paraId="5C1E5101">
      <w:pPr>
        <w:keepNext w:val="0"/>
        <w:keepLines w:val="0"/>
        <w:widowControl/>
        <w:suppressLineNumbers w:val="0"/>
        <w:ind w:firstLine="640" w:firstLineChars="200"/>
        <w:jc w:val="left"/>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ascii="仿宋_GB2312" w:hAnsi="仿宋_GB2312" w:eastAsia="仿宋_GB2312" w:cs="仿宋_GB2312"/>
          <w:color w:val="000000"/>
          <w:kern w:val="0"/>
          <w:sz w:val="31"/>
          <w:szCs w:val="31"/>
          <w:lang w:val="en-US" w:eastAsia="zh-CN" w:bidi="ar"/>
        </w:rPr>
        <w:t xml:space="preserve">社会保障和就业（类）行政事业单位养老支出（款） </w:t>
      </w:r>
    </w:p>
    <w:p w14:paraId="02FAFF3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机关事业单位基本养老保险缴费支出（项）：指机关事业单 </w:t>
      </w:r>
    </w:p>
    <w:p w14:paraId="18BE0A8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位实施养老保险制度由单位缴纳的基本养老保险支出。</w:t>
      </w:r>
    </w:p>
    <w:p w14:paraId="5F4FFE8B">
      <w:pPr>
        <w:keepNext w:val="0"/>
        <w:keepLines w:val="0"/>
        <w:widowControl/>
        <w:numPr>
          <w:ilvl w:val="0"/>
          <w:numId w:val="4"/>
        </w:numPr>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社会保障和就业（类）行政事业单位养老支出（款）机关事业单位职业年金缴费支出（项）：指机关事业单位实施养老保险制度由单位缴纳的职业年金支出</w:t>
      </w:r>
      <w:r>
        <w:rPr>
          <w:rFonts w:hint="eastAsia" w:ascii="仿宋_GB2312" w:hAnsi="仿宋_GB2312" w:eastAsia="仿宋_GB2312" w:cs="仿宋_GB2312"/>
          <w:color w:val="000000"/>
          <w:kern w:val="0"/>
          <w:sz w:val="31"/>
          <w:szCs w:val="31"/>
          <w:lang w:val="en-US" w:eastAsia="zh-CN" w:bidi="ar"/>
        </w:rPr>
        <w:t>；</w:t>
      </w:r>
    </w:p>
    <w:p w14:paraId="56A57086">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16.</w:t>
      </w:r>
      <w:r>
        <w:rPr>
          <w:rFonts w:ascii="仿宋_GB2312" w:hAnsi="仿宋_GB2312" w:eastAsia="仿宋_GB2312" w:cs="仿宋_GB2312"/>
          <w:color w:val="000000"/>
          <w:kern w:val="0"/>
          <w:sz w:val="31"/>
          <w:szCs w:val="31"/>
          <w:lang w:val="en-US" w:eastAsia="zh-CN" w:bidi="ar"/>
        </w:rPr>
        <w:t>社会保障和就业（类）行政事业单位养老支出（款）其他行政事业单位养老支出（项）：指反映除上述项目以外其他用于行政事业单位养老方面的支出。</w:t>
      </w:r>
    </w:p>
    <w:p w14:paraId="16E5521D">
      <w:pPr>
        <w:keepNext w:val="0"/>
        <w:keepLines w:val="0"/>
        <w:widowControl/>
        <w:numPr>
          <w:ilvl w:val="0"/>
          <w:numId w:val="0"/>
        </w:numPr>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17.</w:t>
      </w:r>
      <w:r>
        <w:rPr>
          <w:rFonts w:ascii="仿宋_GB2312" w:hAnsi="仿宋_GB2312" w:eastAsia="仿宋_GB2312" w:cs="仿宋_GB2312"/>
          <w:color w:val="000000"/>
          <w:kern w:val="0"/>
          <w:sz w:val="31"/>
          <w:szCs w:val="31"/>
          <w:lang w:val="en-US" w:eastAsia="zh-CN" w:bidi="ar"/>
        </w:rPr>
        <w:t xml:space="preserve">社会保障和就业（类）抚恤（款）死亡抚恤（项）： </w:t>
      </w:r>
    </w:p>
    <w:p w14:paraId="0F9FAF6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指按规定用于烈士和牺牲、病故人员家属的一次性和定期抚 </w:t>
      </w:r>
    </w:p>
    <w:p w14:paraId="41D14CD1">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恤金以及丧葬补助费</w:t>
      </w:r>
      <w:r>
        <w:rPr>
          <w:rFonts w:hint="eastAsia" w:ascii="仿宋_GB2312" w:hAnsi="仿宋_GB2312" w:eastAsia="仿宋_GB2312" w:cs="仿宋_GB2312"/>
          <w:color w:val="000000"/>
          <w:kern w:val="0"/>
          <w:sz w:val="31"/>
          <w:szCs w:val="31"/>
          <w:lang w:val="en-US" w:eastAsia="zh-CN" w:bidi="ar"/>
        </w:rPr>
        <w:t>；</w:t>
      </w:r>
    </w:p>
    <w:p w14:paraId="6739620F">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18.</w:t>
      </w:r>
      <w:r>
        <w:rPr>
          <w:rFonts w:ascii="仿宋_GB2312" w:hAnsi="仿宋_GB2312" w:eastAsia="仿宋_GB2312" w:cs="仿宋_GB2312"/>
          <w:color w:val="000000"/>
          <w:kern w:val="0"/>
          <w:sz w:val="31"/>
          <w:szCs w:val="31"/>
          <w:lang w:val="en-US" w:eastAsia="zh-CN" w:bidi="ar"/>
        </w:rPr>
        <w:t>社会保障和就业（类）其他社会保障和就业支出（款）其他社会保障和就业支出（项）：指反映除上述项目以外其他用于社会保障和就业方面的支出。</w:t>
      </w:r>
    </w:p>
    <w:p w14:paraId="768A684E">
      <w:pPr>
        <w:keepNext w:val="0"/>
        <w:keepLines w:val="0"/>
        <w:widowControl/>
        <w:suppressLineNumbers w:val="0"/>
        <w:ind w:firstLine="640" w:firstLineChars="200"/>
        <w:jc w:val="left"/>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ascii="仿宋_GB2312" w:hAnsi="仿宋_GB2312" w:eastAsia="仿宋_GB2312" w:cs="仿宋_GB2312"/>
          <w:color w:val="000000"/>
          <w:kern w:val="0"/>
          <w:sz w:val="31"/>
          <w:szCs w:val="31"/>
          <w:lang w:val="en-US" w:eastAsia="zh-CN" w:bidi="ar"/>
        </w:rPr>
        <w:t xml:space="preserve">卫生健康支出（类）行政事业单位医疗（款）行政 </w:t>
      </w:r>
    </w:p>
    <w:p w14:paraId="1C2B2C8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单位医疗（项）：指财政部门安排的行政单位（包括实行公 </w:t>
      </w:r>
    </w:p>
    <w:p w14:paraId="1738083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务员管理的事业单位，下同）基本医疗保险缴费经费，未参 </w:t>
      </w:r>
    </w:p>
    <w:p w14:paraId="5CA97F7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加医疗保险的行政单位的公费医疗经费，按国家规定享受离 </w:t>
      </w:r>
    </w:p>
    <w:p w14:paraId="4DAE6BC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休人员、红军老战士待遇人员的医疗经费。</w:t>
      </w:r>
    </w:p>
    <w:p w14:paraId="115E4828">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val="en-US" w:eastAsia="zh-CN" w:bidi="ar"/>
        </w:rPr>
        <w:t>.农林水支出（类）</w:t>
      </w:r>
      <w:r>
        <w:rPr>
          <w:rFonts w:hint="eastAsia" w:ascii="仿宋_GB2312" w:hAnsi="仿宋_GB2312" w:eastAsia="仿宋_GB2312" w:cs="仿宋_GB2312"/>
          <w:color w:val="000000"/>
          <w:kern w:val="0"/>
          <w:sz w:val="31"/>
          <w:szCs w:val="31"/>
          <w:lang w:val="en-US" w:eastAsia="zh-CN" w:bidi="ar"/>
        </w:rPr>
        <w:t>巩固脱贫攻坚成果衔接乡村振兴支出</w:t>
      </w:r>
      <w:r>
        <w:rPr>
          <w:rFonts w:ascii="仿宋_GB2312" w:hAnsi="仿宋_GB2312" w:eastAsia="仿宋_GB2312" w:cs="仿宋_GB2312"/>
          <w:color w:val="000000"/>
          <w:kern w:val="0"/>
          <w:sz w:val="31"/>
          <w:szCs w:val="31"/>
          <w:lang w:val="en-US" w:eastAsia="zh-CN" w:bidi="ar"/>
        </w:rPr>
        <w:t>（款）</w:t>
      </w:r>
      <w:r>
        <w:rPr>
          <w:rFonts w:hint="eastAsia" w:ascii="仿宋_GB2312" w:hAnsi="仿宋_GB2312" w:eastAsia="仿宋_GB2312" w:cs="仿宋_GB2312"/>
          <w:color w:val="000000"/>
          <w:kern w:val="0"/>
          <w:sz w:val="31"/>
          <w:szCs w:val="31"/>
          <w:lang w:val="en-US" w:eastAsia="zh-CN" w:bidi="ar"/>
        </w:rPr>
        <w:t>其他巩固脱贫攻坚成果衔接乡村振兴支出</w:t>
      </w:r>
      <w:r>
        <w:rPr>
          <w:rFonts w:ascii="仿宋_GB2312" w:hAnsi="仿宋_GB2312" w:eastAsia="仿宋_GB2312" w:cs="仿宋_GB2312"/>
          <w:color w:val="000000"/>
          <w:kern w:val="0"/>
          <w:sz w:val="31"/>
          <w:szCs w:val="31"/>
          <w:lang w:val="en-US" w:eastAsia="zh-CN" w:bidi="ar"/>
        </w:rPr>
        <w:t xml:space="preserve">（项）： </w:t>
      </w:r>
    </w:p>
    <w:p w14:paraId="345A3E6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指其他用于</w:t>
      </w:r>
      <w:r>
        <w:rPr>
          <w:rFonts w:hint="eastAsia" w:ascii="仿宋_GB2312" w:hAnsi="仿宋_GB2312" w:eastAsia="仿宋_GB2312" w:cs="仿宋_GB2312"/>
          <w:color w:val="000000"/>
          <w:kern w:val="0"/>
          <w:sz w:val="31"/>
          <w:szCs w:val="31"/>
          <w:lang w:val="en-US" w:eastAsia="zh-CN" w:bidi="ar"/>
        </w:rPr>
        <w:t>脱贫攻坚</w:t>
      </w:r>
      <w:r>
        <w:rPr>
          <w:rFonts w:ascii="仿宋_GB2312" w:hAnsi="仿宋_GB2312" w:eastAsia="仿宋_GB2312" w:cs="仿宋_GB2312"/>
          <w:color w:val="000000"/>
          <w:kern w:val="0"/>
          <w:sz w:val="31"/>
          <w:szCs w:val="31"/>
          <w:lang w:val="en-US" w:eastAsia="zh-CN" w:bidi="ar"/>
        </w:rPr>
        <w:t xml:space="preserve">方面的支出。 </w:t>
      </w:r>
    </w:p>
    <w:p w14:paraId="3AAD6F81">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21</w:t>
      </w:r>
      <w:r>
        <w:rPr>
          <w:rFonts w:ascii="仿宋_GB2312" w:hAnsi="仿宋_GB2312" w:eastAsia="仿宋_GB2312" w:cs="仿宋_GB2312"/>
          <w:color w:val="000000"/>
          <w:kern w:val="0"/>
          <w:sz w:val="31"/>
          <w:szCs w:val="31"/>
          <w:lang w:val="en-US" w:eastAsia="zh-CN" w:bidi="ar"/>
        </w:rPr>
        <w:t xml:space="preserve">. 住房保障支出（类）住房改革支出（款）住房公积 </w:t>
      </w:r>
    </w:p>
    <w:p w14:paraId="71FE3E3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金（项）：指行政事业单位按人力资源和社会保障部、财政 </w:t>
      </w:r>
    </w:p>
    <w:p w14:paraId="7B063E0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部规定的基本工资和津贴补贴以及规定比例为职工缴纳的住房公积金。</w:t>
      </w:r>
    </w:p>
    <w:p w14:paraId="23498B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0FE13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62170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04D4EB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2B78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3EEE1A">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179D087A">
      <w:pPr>
        <w:spacing w:line="600" w:lineRule="exact"/>
        <w:jc w:val="center"/>
        <w:rPr>
          <w:rFonts w:hint="eastAsia" w:ascii="Times New Roman" w:hAnsi="Times New Roman" w:eastAsia="黑体"/>
          <w:color w:val="auto"/>
          <w:sz w:val="44"/>
          <w:szCs w:val="44"/>
          <w:highlight w:val="none"/>
        </w:rPr>
      </w:pPr>
    </w:p>
    <w:p w14:paraId="2FA98F6A">
      <w:pPr>
        <w:spacing w:line="600" w:lineRule="exact"/>
        <w:jc w:val="center"/>
        <w:rPr>
          <w:rFonts w:hint="eastAsia" w:ascii="Times New Roman" w:hAnsi="Times New Roman" w:eastAsia="黑体"/>
          <w:color w:val="auto"/>
          <w:sz w:val="44"/>
          <w:szCs w:val="44"/>
          <w:highlight w:val="none"/>
        </w:rPr>
      </w:pPr>
    </w:p>
    <w:p w14:paraId="0B9D4BB5">
      <w:pPr>
        <w:spacing w:line="600" w:lineRule="exact"/>
        <w:jc w:val="center"/>
        <w:rPr>
          <w:rFonts w:hint="eastAsia" w:ascii="Times New Roman" w:hAnsi="Times New Roman" w:eastAsia="黑体"/>
          <w:color w:val="auto"/>
          <w:sz w:val="44"/>
          <w:szCs w:val="44"/>
          <w:highlight w:val="none"/>
        </w:rPr>
      </w:pPr>
    </w:p>
    <w:p w14:paraId="1E5E2C68">
      <w:pPr>
        <w:spacing w:line="600" w:lineRule="exact"/>
        <w:jc w:val="center"/>
        <w:rPr>
          <w:rFonts w:hint="eastAsia" w:ascii="Times New Roman" w:hAnsi="Times New Roman" w:eastAsia="黑体"/>
          <w:color w:val="auto"/>
          <w:sz w:val="44"/>
          <w:szCs w:val="44"/>
          <w:highlight w:val="none"/>
        </w:rPr>
      </w:pPr>
    </w:p>
    <w:p w14:paraId="0BBD4286">
      <w:pPr>
        <w:spacing w:line="600" w:lineRule="exact"/>
        <w:jc w:val="center"/>
        <w:rPr>
          <w:rFonts w:hint="eastAsia" w:ascii="Times New Roman" w:hAnsi="Times New Roman" w:eastAsia="黑体"/>
          <w:color w:val="auto"/>
          <w:sz w:val="44"/>
          <w:szCs w:val="44"/>
          <w:highlight w:val="none"/>
        </w:rPr>
      </w:pPr>
    </w:p>
    <w:p w14:paraId="25FBCFB7">
      <w:pPr>
        <w:spacing w:line="600" w:lineRule="exact"/>
        <w:jc w:val="center"/>
        <w:rPr>
          <w:rFonts w:hint="eastAsia" w:ascii="Times New Roman" w:hAnsi="Times New Roman" w:eastAsia="黑体"/>
          <w:color w:val="auto"/>
          <w:sz w:val="44"/>
          <w:szCs w:val="44"/>
          <w:highlight w:val="none"/>
        </w:rPr>
      </w:pPr>
    </w:p>
    <w:p w14:paraId="24AD6777">
      <w:pPr>
        <w:spacing w:line="600" w:lineRule="exact"/>
        <w:jc w:val="center"/>
        <w:rPr>
          <w:rFonts w:hint="eastAsia" w:ascii="Times New Roman" w:hAnsi="Times New Roman" w:eastAsia="黑体"/>
          <w:color w:val="auto"/>
          <w:sz w:val="44"/>
          <w:szCs w:val="44"/>
          <w:highlight w:val="none"/>
        </w:rPr>
      </w:pPr>
    </w:p>
    <w:p w14:paraId="5FABEF32">
      <w:pPr>
        <w:spacing w:line="600" w:lineRule="exact"/>
        <w:jc w:val="center"/>
        <w:rPr>
          <w:rFonts w:hint="eastAsia" w:ascii="Times New Roman" w:hAnsi="Times New Roman" w:eastAsia="黑体"/>
          <w:color w:val="auto"/>
          <w:sz w:val="44"/>
          <w:szCs w:val="44"/>
          <w:highlight w:val="none"/>
        </w:rPr>
      </w:pPr>
    </w:p>
    <w:p w14:paraId="74AC984B">
      <w:pPr>
        <w:spacing w:line="600" w:lineRule="exact"/>
        <w:jc w:val="center"/>
        <w:rPr>
          <w:rFonts w:hint="eastAsia" w:ascii="Times New Roman" w:hAnsi="Times New Roman" w:eastAsia="黑体"/>
          <w:color w:val="auto"/>
          <w:sz w:val="44"/>
          <w:szCs w:val="44"/>
          <w:highlight w:val="none"/>
        </w:rPr>
      </w:pPr>
    </w:p>
    <w:p w14:paraId="41EE3821">
      <w:pPr>
        <w:spacing w:line="600" w:lineRule="exact"/>
        <w:jc w:val="center"/>
        <w:rPr>
          <w:rFonts w:hint="eastAsia" w:ascii="Times New Roman" w:hAnsi="Times New Roman" w:eastAsia="黑体"/>
          <w:color w:val="auto"/>
          <w:sz w:val="44"/>
          <w:szCs w:val="44"/>
          <w:highlight w:val="none"/>
        </w:rPr>
      </w:pPr>
    </w:p>
    <w:p w14:paraId="00ACCA74">
      <w:pPr>
        <w:spacing w:line="600" w:lineRule="exact"/>
        <w:jc w:val="center"/>
        <w:rPr>
          <w:rFonts w:hint="eastAsia" w:ascii="Times New Roman" w:hAnsi="Times New Roman" w:eastAsia="黑体"/>
          <w:color w:val="auto"/>
          <w:sz w:val="44"/>
          <w:szCs w:val="44"/>
          <w:highlight w:val="none"/>
        </w:rPr>
      </w:pPr>
    </w:p>
    <w:p w14:paraId="2A0630F3">
      <w:pPr>
        <w:spacing w:line="600" w:lineRule="exact"/>
        <w:jc w:val="center"/>
        <w:rPr>
          <w:rFonts w:hint="eastAsia" w:ascii="Times New Roman" w:hAnsi="Times New Roman" w:eastAsia="黑体"/>
          <w:color w:val="auto"/>
          <w:sz w:val="44"/>
          <w:szCs w:val="44"/>
          <w:highlight w:val="none"/>
        </w:rPr>
      </w:pPr>
    </w:p>
    <w:p w14:paraId="1B60513F">
      <w:pPr>
        <w:spacing w:line="600" w:lineRule="exact"/>
        <w:jc w:val="both"/>
        <w:rPr>
          <w:rFonts w:hint="eastAsia" w:ascii="Times New Roman" w:hAnsi="Times New Roman" w:eastAsia="黑体"/>
          <w:color w:val="auto"/>
          <w:sz w:val="44"/>
          <w:szCs w:val="44"/>
          <w:highlight w:val="none"/>
        </w:rPr>
      </w:pPr>
    </w:p>
    <w:p w14:paraId="377640D8">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2CAF1B00">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000000"/>
          <w:kern w:val="0"/>
          <w:sz w:val="24"/>
          <w:szCs w:val="32"/>
          <w:highlight w:val="none"/>
          <w:shd w:val="clear" w:color="auto" w:fill="FFFFFF"/>
        </w:rPr>
      </w:pPr>
    </w:p>
    <w:p w14:paraId="3A06560A">
      <w:pPr>
        <w:spacing w:line="600" w:lineRule="exact"/>
        <w:jc w:val="center"/>
        <w:outlineLvl w:val="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部门预算项目支出绩效自评表（2024年度）</w:t>
      </w:r>
    </w:p>
    <w:p w14:paraId="4B72CDDA">
      <w:pPr>
        <w:pStyle w:val="2"/>
        <w:rPr>
          <w:rFonts w:hint="eastAsia" w:ascii="Times New Roman" w:hAnsi="Times New Roman" w:eastAsia="黑体"/>
          <w:color w:val="auto"/>
          <w:sz w:val="44"/>
          <w:szCs w:val="44"/>
          <w:highlight w:val="none"/>
        </w:rPr>
      </w:pPr>
      <w:bookmarkStart w:id="53" w:name="_Toc15396618"/>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0"/>
        <w:gridCol w:w="665"/>
        <w:gridCol w:w="667"/>
        <w:gridCol w:w="1877"/>
        <w:gridCol w:w="988"/>
        <w:gridCol w:w="988"/>
        <w:gridCol w:w="972"/>
        <w:gridCol w:w="483"/>
        <w:gridCol w:w="634"/>
      </w:tblGrid>
      <w:tr w14:paraId="7913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292404A0">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区级项目支出绩效自评表</w:t>
            </w:r>
          </w:p>
        </w:tc>
      </w:tr>
      <w:tr w14:paraId="094C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2C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E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区人大代表活动费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6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88F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r>
      <w:tr w14:paraId="751C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AF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F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乐山市金口河区人大常务委员会办公室</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030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3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乐山市金口河区人大常务委员会办公室</w:t>
            </w:r>
          </w:p>
        </w:tc>
      </w:tr>
      <w:tr w14:paraId="5E7B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F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r>
      <w:tr w14:paraId="01C9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nil"/>
            </w:tcBorders>
            <w:shd w:val="clear" w:color="auto" w:fill="auto"/>
            <w:noWrap/>
            <w:vAlign w:val="center"/>
          </w:tcPr>
          <w:p w14:paraId="6DC38F4E">
            <w:pPr>
              <w:snapToGrid w:val="0"/>
              <w:jc w:val="center"/>
              <w:rPr>
                <w:rFonts w:hint="eastAsia" w:ascii="宋体" w:hAnsi="宋体" w:eastAsia="宋体" w:cs="宋体"/>
                <w:i w:val="0"/>
                <w:iCs w:val="0"/>
                <w:color w:val="000000"/>
                <w:sz w:val="18"/>
                <w:szCs w:val="18"/>
                <w:u w:val="none"/>
              </w:rPr>
            </w:pP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DE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DE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67F3">
            <w:pPr>
              <w:keepNext w:val="0"/>
              <w:keepLines w:val="0"/>
              <w:widowControl/>
              <w:suppressLineNumbers w:val="0"/>
              <w:tabs>
                <w:tab w:val="left" w:pos="3780"/>
                <w:tab w:val="left" w:pos="3990"/>
              </w:tabs>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r>
      <w:tr w14:paraId="06FA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D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8F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F4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0B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BCE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78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8A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9F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C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B93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6F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5B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0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DC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#DIV/0!</w:t>
            </w:r>
          </w:p>
        </w:tc>
      </w:tr>
      <w:tr w14:paraId="79C7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778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5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A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C5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346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4EB">
            <w:pPr>
              <w:snapToGrid w:val="0"/>
              <w:jc w:val="left"/>
              <w:rPr>
                <w:rFonts w:hint="eastAsia" w:ascii="宋体" w:hAnsi="宋体" w:eastAsia="宋体" w:cs="宋体"/>
                <w:i w:val="0"/>
                <w:iCs w:val="0"/>
                <w:color w:val="000000"/>
                <w:sz w:val="18"/>
                <w:szCs w:val="18"/>
                <w:u w:val="none"/>
              </w:rPr>
            </w:pPr>
          </w:p>
        </w:tc>
        <w:tc>
          <w:tcPr>
            <w:tcW w:w="2556" w:type="pct"/>
            <w:gridSpan w:val="4"/>
            <w:tcBorders>
              <w:top w:val="single" w:color="000000" w:sz="4" w:space="0"/>
              <w:left w:val="single" w:color="000000" w:sz="4" w:space="0"/>
              <w:bottom w:val="nil"/>
              <w:right w:val="single" w:color="000000" w:sz="4" w:space="0"/>
            </w:tcBorders>
            <w:shd w:val="clear" w:color="auto" w:fill="auto"/>
            <w:noWrap/>
            <w:vAlign w:val="center"/>
          </w:tcPr>
          <w:p w14:paraId="01FBF9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组织区人大代表开展活动</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F6F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5550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D6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91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99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2B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E0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9A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CADDA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EA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205A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1C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67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A2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E266">
            <w:pPr>
              <w:snapToGrid w:val="0"/>
              <w:jc w:val="center"/>
              <w:rPr>
                <w:rFonts w:hint="eastAsia" w:ascii="宋体" w:hAnsi="宋体" w:eastAsia="宋体" w:cs="宋体"/>
                <w:i w:val="0"/>
                <w:iCs w:val="0"/>
                <w:color w:val="000000"/>
                <w:sz w:val="18"/>
                <w:szCs w:val="18"/>
                <w:u w:val="none"/>
              </w:rPr>
            </w:pPr>
          </w:p>
        </w:tc>
      </w:tr>
      <w:tr w14:paraId="5999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C48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9134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619D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5C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8C3E1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283D">
            <w:pPr>
              <w:snapToGrid w:val="0"/>
              <w:rPr>
                <w:rFonts w:hint="eastAsia" w:ascii="宋体" w:hAnsi="宋体" w:eastAsia="宋体" w:cs="宋体"/>
                <w:i w:val="0"/>
                <w:iCs w:val="0"/>
                <w:color w:val="000000"/>
                <w:sz w:val="18"/>
                <w:szCs w:val="18"/>
                <w:u w:val="none"/>
              </w:rPr>
            </w:pPr>
          </w:p>
        </w:tc>
      </w:tr>
      <w:tr w14:paraId="7C26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C23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045C68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3DD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代表开展活动</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15B1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≥25次</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4D1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25次</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56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63E17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32A8">
            <w:pPr>
              <w:snapToGrid w:val="0"/>
              <w:rPr>
                <w:rFonts w:hint="eastAsia" w:ascii="宋体" w:hAnsi="宋体" w:eastAsia="宋体" w:cs="宋体"/>
                <w:i w:val="0"/>
                <w:iCs w:val="0"/>
                <w:color w:val="000000"/>
                <w:sz w:val="18"/>
                <w:szCs w:val="18"/>
                <w:u w:val="none"/>
              </w:rPr>
            </w:pPr>
          </w:p>
        </w:tc>
      </w:tr>
      <w:tr w14:paraId="5771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EF19">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002AF95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A9D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高质量完成履职工作</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80C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1A58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AE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F21F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3FCD">
            <w:pPr>
              <w:snapToGrid w:val="0"/>
              <w:rPr>
                <w:rFonts w:hint="eastAsia" w:ascii="宋体" w:hAnsi="宋体" w:eastAsia="宋体" w:cs="宋体"/>
                <w:i w:val="0"/>
                <w:iCs w:val="0"/>
                <w:color w:val="000000"/>
                <w:sz w:val="18"/>
                <w:szCs w:val="18"/>
                <w:u w:val="none"/>
              </w:rPr>
            </w:pPr>
          </w:p>
        </w:tc>
      </w:tr>
      <w:tr w14:paraId="0184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8FBD">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427E7C7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3CAE6">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E0A0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9336E">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8CC7">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9A0CBB5">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B3B8">
            <w:pPr>
              <w:snapToGrid w:val="0"/>
              <w:rPr>
                <w:rFonts w:hint="eastAsia" w:ascii="宋体" w:hAnsi="宋体" w:eastAsia="宋体" w:cs="宋体"/>
                <w:i w:val="0"/>
                <w:iCs w:val="0"/>
                <w:color w:val="000000"/>
                <w:sz w:val="18"/>
                <w:szCs w:val="18"/>
                <w:u w:val="none"/>
              </w:rPr>
            </w:pPr>
          </w:p>
        </w:tc>
      </w:tr>
      <w:tr w14:paraId="3BC2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10F1">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39F52EB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139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代表活动经费</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9D3F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4.5万元</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3B9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4.5万元</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BA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0CB6E4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AA99">
            <w:pPr>
              <w:snapToGrid w:val="0"/>
              <w:rPr>
                <w:rFonts w:hint="eastAsia" w:ascii="宋体" w:hAnsi="宋体" w:eastAsia="宋体" w:cs="宋体"/>
                <w:i w:val="0"/>
                <w:iCs w:val="0"/>
                <w:color w:val="000000"/>
                <w:sz w:val="18"/>
                <w:szCs w:val="18"/>
                <w:u w:val="none"/>
              </w:rPr>
            </w:pPr>
          </w:p>
        </w:tc>
      </w:tr>
      <w:tr w14:paraId="1C2C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419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A315A6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671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5E1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A815">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DA07">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343F8918">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3C9F">
            <w:pPr>
              <w:snapToGrid w:val="0"/>
              <w:rPr>
                <w:rFonts w:hint="eastAsia" w:ascii="宋体" w:hAnsi="宋体" w:eastAsia="宋体" w:cs="宋体"/>
                <w:i w:val="0"/>
                <w:iCs w:val="0"/>
                <w:color w:val="000000"/>
                <w:sz w:val="18"/>
                <w:szCs w:val="18"/>
                <w:u w:val="none"/>
              </w:rPr>
            </w:pPr>
          </w:p>
        </w:tc>
      </w:tr>
      <w:tr w14:paraId="1A7A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0B072">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0899D12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91E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充分发挥代表主体作用</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44CD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B174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FC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83957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2268">
            <w:pPr>
              <w:snapToGrid w:val="0"/>
              <w:rPr>
                <w:rFonts w:hint="eastAsia" w:ascii="宋体" w:hAnsi="宋体" w:eastAsia="宋体" w:cs="宋体"/>
                <w:i w:val="0"/>
                <w:iCs w:val="0"/>
                <w:color w:val="000000"/>
                <w:sz w:val="18"/>
                <w:szCs w:val="18"/>
                <w:u w:val="none"/>
              </w:rPr>
            </w:pPr>
          </w:p>
        </w:tc>
      </w:tr>
      <w:tr w14:paraId="6ED2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5752">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3CFB20E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92C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1B65">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7A73">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BD9">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27E2AB7">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C434">
            <w:pPr>
              <w:snapToGrid w:val="0"/>
              <w:rPr>
                <w:rFonts w:hint="eastAsia" w:ascii="宋体" w:hAnsi="宋体" w:eastAsia="宋体" w:cs="宋体"/>
                <w:i w:val="0"/>
                <w:iCs w:val="0"/>
                <w:color w:val="000000"/>
                <w:sz w:val="18"/>
                <w:szCs w:val="18"/>
                <w:u w:val="none"/>
              </w:rPr>
            </w:pPr>
          </w:p>
        </w:tc>
      </w:tr>
      <w:tr w14:paraId="3B1C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3003">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C2BC7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17B1">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3015">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E0D8A">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E4EC">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B1BD0DD">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273F">
            <w:pPr>
              <w:snapToGrid w:val="0"/>
              <w:rPr>
                <w:rFonts w:hint="eastAsia" w:ascii="宋体" w:hAnsi="宋体" w:eastAsia="宋体" w:cs="宋体"/>
                <w:i w:val="0"/>
                <w:iCs w:val="0"/>
                <w:color w:val="000000"/>
                <w:sz w:val="18"/>
                <w:szCs w:val="18"/>
                <w:u w:val="none"/>
              </w:rPr>
            </w:pPr>
          </w:p>
        </w:tc>
      </w:tr>
      <w:tr w14:paraId="5D28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734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B4F737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351D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B728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F9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3A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27874E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EEB4">
            <w:pPr>
              <w:snapToGrid w:val="0"/>
              <w:rPr>
                <w:rFonts w:hint="eastAsia" w:ascii="宋体" w:hAnsi="宋体" w:eastAsia="宋体" w:cs="宋体"/>
                <w:i w:val="0"/>
                <w:iCs w:val="0"/>
                <w:color w:val="000000"/>
                <w:sz w:val="18"/>
                <w:szCs w:val="18"/>
                <w:u w:val="none"/>
              </w:rPr>
            </w:pPr>
          </w:p>
        </w:tc>
      </w:tr>
    </w:tbl>
    <w:p w14:paraId="2EDE5BCF">
      <w:pPr>
        <w:widowControl/>
        <w:jc w:val="center"/>
        <w:rPr>
          <w:rFonts w:hint="eastAsia" w:ascii="Times New Roman" w:hAnsi="Times New Roman" w:eastAsia="黑体"/>
          <w:color w:val="auto"/>
          <w:sz w:val="44"/>
          <w:szCs w:val="44"/>
          <w:highlight w:val="none"/>
        </w:rPr>
      </w:pPr>
    </w:p>
    <w:p w14:paraId="25CA25EB">
      <w:pPr>
        <w:pStyle w:val="2"/>
        <w:rPr>
          <w:rFonts w:hint="eastAsia" w:ascii="Times New Roman" w:hAnsi="Times New Roman" w:eastAsia="黑体"/>
          <w:color w:val="auto"/>
          <w:sz w:val="44"/>
          <w:szCs w:val="44"/>
          <w:highlight w:val="none"/>
        </w:rPr>
      </w:pPr>
    </w:p>
    <w:p w14:paraId="2F229C67">
      <w:pPr>
        <w:pStyle w:val="3"/>
        <w:rPr>
          <w:rFonts w:hint="eastAsia" w:ascii="Times New Roman" w:hAnsi="Times New Roman" w:eastAsia="黑体"/>
          <w:color w:val="auto"/>
          <w:sz w:val="44"/>
          <w:szCs w:val="44"/>
          <w:highlight w:val="none"/>
        </w:rPr>
      </w:pPr>
    </w:p>
    <w:p w14:paraId="4C49AF41">
      <w:pPr>
        <w:rPr>
          <w:rFonts w:hint="eastAsia" w:ascii="Times New Roman" w:hAnsi="Times New Roman" w:eastAsia="黑体"/>
          <w:color w:val="auto"/>
          <w:sz w:val="44"/>
          <w:szCs w:val="44"/>
          <w:highlight w:val="none"/>
        </w:rPr>
      </w:pPr>
    </w:p>
    <w:p w14:paraId="4348DD61">
      <w:pPr>
        <w:pStyle w:val="2"/>
        <w:rPr>
          <w:rFonts w:hint="eastAsia" w:ascii="Times New Roman" w:hAnsi="Times New Roman" w:eastAsia="黑体"/>
          <w:color w:val="auto"/>
          <w:sz w:val="44"/>
          <w:szCs w:val="44"/>
          <w:highlight w:val="none"/>
        </w:rPr>
      </w:pPr>
    </w:p>
    <w:p w14:paraId="57E39A6E">
      <w:pPr>
        <w:pStyle w:val="3"/>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7"/>
        <w:gridCol w:w="1344"/>
        <w:gridCol w:w="1344"/>
        <w:gridCol w:w="871"/>
        <w:gridCol w:w="2654"/>
        <w:gridCol w:w="396"/>
        <w:gridCol w:w="396"/>
        <w:gridCol w:w="262"/>
      </w:tblGrid>
      <w:tr w14:paraId="506D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3"/>
          <w:wAfter w:w="1054" w:type="dxa"/>
          <w:trHeight w:val="0" w:hRule="atLeast"/>
          <w:jc w:val="center"/>
        </w:trPr>
        <w:tc>
          <w:tcPr>
            <w:tcW w:w="5000" w:type="pct"/>
            <w:gridSpan w:val="5"/>
            <w:tcBorders>
              <w:top w:val="nil"/>
              <w:left w:val="nil"/>
              <w:bottom w:val="nil"/>
              <w:right w:val="nil"/>
            </w:tcBorders>
            <w:shd w:val="clear" w:color="auto" w:fill="auto"/>
            <w:noWrap/>
            <w:vAlign w:val="center"/>
          </w:tcPr>
          <w:p w14:paraId="755F695D">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6D5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92C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9AC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县级领导基金费用</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FD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470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3FFC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C6A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4B0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50B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2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0147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FF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8F3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nil"/>
            </w:tcBorders>
            <w:shd w:val="clear" w:color="auto" w:fill="auto"/>
            <w:noWrap/>
            <w:vAlign w:val="center"/>
          </w:tcPr>
          <w:p w14:paraId="1340D24E">
            <w:pPr>
              <w:snapToGrid w:val="0"/>
              <w:jc w:val="center"/>
              <w:rPr>
                <w:rFonts w:hint="eastAsia" w:ascii="宋体" w:hAnsi="宋体" w:eastAsia="宋体" w:cs="宋体"/>
                <w:i w:val="0"/>
                <w:iCs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C9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73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B5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4A92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41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FC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AD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8C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A0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65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4E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FF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6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7A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CE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10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05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AB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7599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2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C3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2D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9AF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2141">
            <w:pPr>
              <w:snapToGrid w:val="0"/>
              <w:jc w:val="left"/>
              <w:rPr>
                <w:rFonts w:hint="eastAsia" w:ascii="宋体" w:hAnsi="宋体" w:eastAsia="宋体" w:cs="宋体"/>
                <w:i w:val="0"/>
                <w:iCs w:val="0"/>
                <w:color w:val="000000"/>
                <w:sz w:val="20"/>
                <w:szCs w:val="20"/>
                <w:u w:val="none"/>
              </w:rPr>
            </w:pPr>
          </w:p>
        </w:tc>
        <w:tc>
          <w:tcPr>
            <w:tcW w:w="2830" w:type="pct"/>
            <w:gridSpan w:val="3"/>
            <w:tcBorders>
              <w:top w:val="single" w:color="000000" w:sz="4" w:space="0"/>
              <w:left w:val="single" w:color="000000" w:sz="4" w:space="0"/>
              <w:bottom w:val="nil"/>
              <w:right w:val="single" w:color="000000" w:sz="4" w:space="0"/>
            </w:tcBorders>
            <w:shd w:val="clear" w:color="auto" w:fill="auto"/>
            <w:vAlign w:val="center"/>
          </w:tcPr>
          <w:p w14:paraId="052E42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对困难群众、几天给与帮助，解决实际困难。巩固脱贫成果，推动乡村振兴，提升联系村基层治理能力</w:t>
            </w:r>
          </w:p>
        </w:tc>
        <w:tc>
          <w:tcPr>
            <w:tcW w:w="2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900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解决联系村的急难险重任务，群众实际困难，巩固脱贫成果，推动乡村振兴，提升联系村基层治理能力</w:t>
            </w:r>
          </w:p>
        </w:tc>
      </w:tr>
      <w:tr w14:paraId="43B8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33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4F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31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13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B3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091C0F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64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786B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658" w:type="dxa"/>
          <w:trHeight w:val="0" w:hRule="atLeast"/>
          <w:jc w:val="center"/>
        </w:trPr>
        <w:tc>
          <w:tcPr>
            <w:tcW w:w="2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05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D4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FF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302F">
            <w:pPr>
              <w:snapToGrid w:val="0"/>
              <w:jc w:val="center"/>
              <w:rPr>
                <w:rFonts w:hint="eastAsia" w:ascii="宋体" w:hAnsi="宋体" w:eastAsia="宋体" w:cs="宋体"/>
                <w:i w:val="0"/>
                <w:iCs w:val="0"/>
                <w:color w:val="000000"/>
                <w:sz w:val="18"/>
                <w:szCs w:val="18"/>
                <w:u w:val="none"/>
              </w:rPr>
            </w:pPr>
          </w:p>
        </w:tc>
      </w:tr>
      <w:tr w14:paraId="5AE4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62" w:type="dxa"/>
          <w:trHeight w:val="0" w:hRule="atLeast"/>
          <w:jc w:val="center"/>
        </w:trPr>
        <w:tc>
          <w:tcPr>
            <w:tcW w:w="21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297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0B23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207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D5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49B59A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C64E">
            <w:pPr>
              <w:snapToGrid w:val="0"/>
              <w:rPr>
                <w:rFonts w:hint="eastAsia" w:ascii="宋体" w:hAnsi="宋体" w:eastAsia="宋体" w:cs="宋体"/>
                <w:i w:val="0"/>
                <w:iCs w:val="0"/>
                <w:color w:val="000000"/>
                <w:sz w:val="18"/>
                <w:szCs w:val="18"/>
                <w:u w:val="none"/>
              </w:rPr>
            </w:pPr>
          </w:p>
        </w:tc>
      </w:tr>
      <w:tr w14:paraId="3311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FD9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3A6D105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838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帮助解决问题</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88E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＞5次</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605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35次</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76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67FC95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85D2">
            <w:pPr>
              <w:snapToGrid w:val="0"/>
              <w:rPr>
                <w:rFonts w:hint="eastAsia" w:ascii="宋体" w:hAnsi="宋体" w:eastAsia="宋体" w:cs="宋体"/>
                <w:i w:val="0"/>
                <w:iCs w:val="0"/>
                <w:color w:val="000000"/>
                <w:sz w:val="18"/>
                <w:szCs w:val="18"/>
                <w:u w:val="none"/>
              </w:rPr>
            </w:pPr>
          </w:p>
        </w:tc>
      </w:tr>
      <w:tr w14:paraId="2130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B34A">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2E3AAA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85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及时高质量解决问题</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E49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E5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4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7A9A66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EAB6">
            <w:pPr>
              <w:snapToGrid w:val="0"/>
              <w:rPr>
                <w:rFonts w:hint="eastAsia" w:ascii="宋体" w:hAnsi="宋体" w:eastAsia="宋体" w:cs="宋体"/>
                <w:i w:val="0"/>
                <w:iCs w:val="0"/>
                <w:color w:val="000000"/>
                <w:sz w:val="18"/>
                <w:szCs w:val="18"/>
                <w:u w:val="none"/>
              </w:rPr>
            </w:pPr>
          </w:p>
        </w:tc>
      </w:tr>
      <w:tr w14:paraId="26A0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5F67F">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4C1074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28AC5">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88DE">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A8829">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806B">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3A9A27C5">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F530">
            <w:pPr>
              <w:snapToGrid w:val="0"/>
              <w:rPr>
                <w:rFonts w:hint="eastAsia" w:ascii="宋体" w:hAnsi="宋体" w:eastAsia="宋体" w:cs="宋体"/>
                <w:i w:val="0"/>
                <w:iCs w:val="0"/>
                <w:color w:val="000000"/>
                <w:sz w:val="18"/>
                <w:szCs w:val="18"/>
                <w:u w:val="none"/>
              </w:rPr>
            </w:pPr>
          </w:p>
        </w:tc>
      </w:tr>
      <w:tr w14:paraId="53DB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771D9">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0670547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D38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解决困难执行支出</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55B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25万元</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099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25万元</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50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1E858C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1E44">
            <w:pPr>
              <w:snapToGrid w:val="0"/>
              <w:rPr>
                <w:rFonts w:hint="eastAsia" w:ascii="宋体" w:hAnsi="宋体" w:eastAsia="宋体" w:cs="宋体"/>
                <w:i w:val="0"/>
                <w:iCs w:val="0"/>
                <w:color w:val="000000"/>
                <w:sz w:val="18"/>
                <w:szCs w:val="18"/>
                <w:u w:val="none"/>
              </w:rPr>
            </w:pPr>
          </w:p>
        </w:tc>
      </w:tr>
      <w:tr w14:paraId="33A6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746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455B7B3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BE7F">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7FB1">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2EE1">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EF92">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49B4FF3D">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30C">
            <w:pPr>
              <w:snapToGrid w:val="0"/>
              <w:rPr>
                <w:rFonts w:hint="eastAsia" w:ascii="宋体" w:hAnsi="宋体" w:eastAsia="宋体" w:cs="宋体"/>
                <w:i w:val="0"/>
                <w:iCs w:val="0"/>
                <w:color w:val="000000"/>
                <w:sz w:val="18"/>
                <w:szCs w:val="18"/>
                <w:u w:val="none"/>
              </w:rPr>
            </w:pPr>
          </w:p>
        </w:tc>
      </w:tr>
      <w:tr w14:paraId="654F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E0893">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26DB903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CF13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有效解决问题</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A75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55D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26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6049E3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7AC8">
            <w:pPr>
              <w:snapToGrid w:val="0"/>
              <w:rPr>
                <w:rFonts w:hint="eastAsia" w:ascii="宋体" w:hAnsi="宋体" w:eastAsia="宋体" w:cs="宋体"/>
                <w:i w:val="0"/>
                <w:iCs w:val="0"/>
                <w:color w:val="000000"/>
                <w:sz w:val="18"/>
                <w:szCs w:val="18"/>
                <w:u w:val="none"/>
              </w:rPr>
            </w:pPr>
          </w:p>
        </w:tc>
      </w:tr>
      <w:tr w14:paraId="4BBC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36868">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1A6235B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826E">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8360">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7B96">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A242">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1A64DCEC">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F240">
            <w:pPr>
              <w:snapToGrid w:val="0"/>
              <w:rPr>
                <w:rFonts w:hint="eastAsia" w:ascii="宋体" w:hAnsi="宋体" w:eastAsia="宋体" w:cs="宋体"/>
                <w:i w:val="0"/>
                <w:iCs w:val="0"/>
                <w:color w:val="000000"/>
                <w:sz w:val="18"/>
                <w:szCs w:val="18"/>
                <w:u w:val="none"/>
              </w:rPr>
            </w:pPr>
          </w:p>
        </w:tc>
      </w:tr>
      <w:tr w14:paraId="0A15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20E3">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3A02347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8986">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6D5CB">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1546">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1FFE">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60FF06A8">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3DC5">
            <w:pPr>
              <w:snapToGrid w:val="0"/>
              <w:rPr>
                <w:rFonts w:hint="eastAsia" w:ascii="宋体" w:hAnsi="宋体" w:eastAsia="宋体" w:cs="宋体"/>
                <w:i w:val="0"/>
                <w:iCs w:val="0"/>
                <w:color w:val="000000"/>
                <w:sz w:val="18"/>
                <w:szCs w:val="18"/>
                <w:u w:val="none"/>
              </w:rPr>
            </w:pPr>
          </w:p>
        </w:tc>
      </w:tr>
      <w:tr w14:paraId="7BCD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556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2CD38E3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66F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A2A6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800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7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3707A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D698">
            <w:pPr>
              <w:snapToGrid w:val="0"/>
              <w:rPr>
                <w:rFonts w:hint="eastAsia" w:ascii="宋体" w:hAnsi="宋体" w:eastAsia="宋体" w:cs="宋体"/>
                <w:i w:val="0"/>
                <w:iCs w:val="0"/>
                <w:color w:val="000000"/>
                <w:sz w:val="18"/>
                <w:szCs w:val="18"/>
                <w:u w:val="none"/>
              </w:rPr>
            </w:pPr>
          </w:p>
        </w:tc>
      </w:tr>
    </w:tbl>
    <w:p w14:paraId="434B2E5F">
      <w:pPr>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18A0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A6F538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5A55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29B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7E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区人代会经费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C7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77A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D10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9C1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5D1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133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39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462D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3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7EA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7AC5278B">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2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66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5B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25BE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25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88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97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CD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20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C0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11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FA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CB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43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2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4C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4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BC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48C0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D0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B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C2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1BC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D17F">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6B5B566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按时召开区十一届人代会</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98D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7C03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D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A2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EB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62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3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85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0629D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4B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420F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6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1A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3F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F633">
            <w:pPr>
              <w:snapToGrid w:val="0"/>
              <w:jc w:val="center"/>
              <w:rPr>
                <w:rFonts w:hint="eastAsia" w:ascii="宋体" w:hAnsi="宋体" w:eastAsia="宋体" w:cs="宋体"/>
                <w:i w:val="0"/>
                <w:iCs w:val="0"/>
                <w:color w:val="000000"/>
                <w:sz w:val="18"/>
                <w:szCs w:val="18"/>
                <w:u w:val="none"/>
              </w:rPr>
            </w:pPr>
          </w:p>
        </w:tc>
      </w:tr>
      <w:tr w14:paraId="100A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3DE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CE6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71C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3B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D6BA7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5FB">
            <w:pPr>
              <w:snapToGrid w:val="0"/>
              <w:rPr>
                <w:rFonts w:hint="eastAsia" w:ascii="宋体" w:hAnsi="宋体" w:eastAsia="宋体" w:cs="宋体"/>
                <w:i w:val="0"/>
                <w:iCs w:val="0"/>
                <w:color w:val="000000"/>
                <w:sz w:val="18"/>
                <w:szCs w:val="18"/>
                <w:u w:val="none"/>
              </w:rPr>
            </w:pPr>
          </w:p>
        </w:tc>
      </w:tr>
      <w:tr w14:paraId="2196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967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C2267A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2CE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召开区十一届人代会</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A7B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96E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12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2D97E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2297">
            <w:pPr>
              <w:snapToGrid w:val="0"/>
              <w:rPr>
                <w:rFonts w:hint="eastAsia" w:ascii="宋体" w:hAnsi="宋体" w:eastAsia="宋体" w:cs="宋体"/>
                <w:i w:val="0"/>
                <w:iCs w:val="0"/>
                <w:color w:val="000000"/>
                <w:sz w:val="18"/>
                <w:szCs w:val="18"/>
                <w:u w:val="none"/>
              </w:rPr>
            </w:pPr>
          </w:p>
        </w:tc>
      </w:tr>
      <w:tr w14:paraId="64F4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EA105">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3C44A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B0E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完成会议各项议程</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1C5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7FA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3C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FF844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20C7">
            <w:pPr>
              <w:snapToGrid w:val="0"/>
              <w:rPr>
                <w:rFonts w:hint="eastAsia" w:ascii="宋体" w:hAnsi="宋体" w:eastAsia="宋体" w:cs="宋体"/>
                <w:i w:val="0"/>
                <w:iCs w:val="0"/>
                <w:color w:val="000000"/>
                <w:sz w:val="18"/>
                <w:szCs w:val="18"/>
                <w:u w:val="none"/>
              </w:rPr>
            </w:pPr>
          </w:p>
        </w:tc>
      </w:tr>
      <w:tr w14:paraId="21DE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32227">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C30CB3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3342">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6B78">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39CD7">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639C">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E2C866C">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91E">
            <w:pPr>
              <w:snapToGrid w:val="0"/>
              <w:rPr>
                <w:rFonts w:hint="eastAsia" w:ascii="宋体" w:hAnsi="宋体" w:eastAsia="宋体" w:cs="宋体"/>
                <w:i w:val="0"/>
                <w:iCs w:val="0"/>
                <w:color w:val="000000"/>
                <w:sz w:val="18"/>
                <w:szCs w:val="18"/>
                <w:u w:val="none"/>
              </w:rPr>
            </w:pPr>
          </w:p>
        </w:tc>
      </w:tr>
      <w:tr w14:paraId="119C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B34F4">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6F89A4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685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召开会议成本支出</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D39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62F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76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E0EF6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8ACB">
            <w:pPr>
              <w:snapToGrid w:val="0"/>
              <w:rPr>
                <w:rFonts w:hint="eastAsia" w:ascii="宋体" w:hAnsi="宋体" w:eastAsia="宋体" w:cs="宋体"/>
                <w:i w:val="0"/>
                <w:iCs w:val="0"/>
                <w:color w:val="000000"/>
                <w:sz w:val="18"/>
                <w:szCs w:val="18"/>
                <w:u w:val="none"/>
              </w:rPr>
            </w:pPr>
          </w:p>
        </w:tc>
      </w:tr>
      <w:tr w14:paraId="4B8B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C91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F1EBB0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B14DB">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3603">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906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9A2D">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C95DC24">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E7E1">
            <w:pPr>
              <w:snapToGrid w:val="0"/>
              <w:rPr>
                <w:rFonts w:hint="eastAsia" w:ascii="宋体" w:hAnsi="宋体" w:eastAsia="宋体" w:cs="宋体"/>
                <w:i w:val="0"/>
                <w:iCs w:val="0"/>
                <w:color w:val="000000"/>
                <w:sz w:val="18"/>
                <w:szCs w:val="18"/>
                <w:u w:val="none"/>
              </w:rPr>
            </w:pPr>
          </w:p>
        </w:tc>
      </w:tr>
      <w:tr w14:paraId="4AE8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682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AF283D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6A9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代表交办意见建议</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674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34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B0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01A3C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4E12">
            <w:pPr>
              <w:snapToGrid w:val="0"/>
              <w:rPr>
                <w:rFonts w:hint="eastAsia" w:ascii="宋体" w:hAnsi="宋体" w:eastAsia="宋体" w:cs="宋体"/>
                <w:i w:val="0"/>
                <w:iCs w:val="0"/>
                <w:color w:val="000000"/>
                <w:sz w:val="18"/>
                <w:szCs w:val="18"/>
                <w:u w:val="none"/>
              </w:rPr>
            </w:pPr>
          </w:p>
        </w:tc>
      </w:tr>
      <w:tr w14:paraId="3D79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52BBD">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EBF951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99CE">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1325">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A356">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9DF1">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A4DFE82">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8C95">
            <w:pPr>
              <w:snapToGrid w:val="0"/>
              <w:rPr>
                <w:rFonts w:hint="eastAsia" w:ascii="宋体" w:hAnsi="宋体" w:eastAsia="宋体" w:cs="宋体"/>
                <w:i w:val="0"/>
                <w:iCs w:val="0"/>
                <w:color w:val="000000"/>
                <w:sz w:val="18"/>
                <w:szCs w:val="18"/>
                <w:u w:val="none"/>
              </w:rPr>
            </w:pPr>
          </w:p>
        </w:tc>
      </w:tr>
      <w:tr w14:paraId="37FA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9566">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7AFC77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BA06">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B631E">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2085">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B9B7">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8DB8EF1">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A195">
            <w:pPr>
              <w:snapToGrid w:val="0"/>
              <w:rPr>
                <w:rFonts w:hint="eastAsia" w:ascii="宋体" w:hAnsi="宋体" w:eastAsia="宋体" w:cs="宋体"/>
                <w:i w:val="0"/>
                <w:iCs w:val="0"/>
                <w:color w:val="000000"/>
                <w:sz w:val="18"/>
                <w:szCs w:val="18"/>
                <w:u w:val="none"/>
              </w:rPr>
            </w:pPr>
          </w:p>
        </w:tc>
      </w:tr>
      <w:tr w14:paraId="40D8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25C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4DB27F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B31C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F29C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AB3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D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32004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8F0E">
            <w:pPr>
              <w:snapToGrid w:val="0"/>
              <w:rPr>
                <w:rFonts w:hint="eastAsia" w:ascii="宋体" w:hAnsi="宋体" w:eastAsia="宋体" w:cs="宋体"/>
                <w:i w:val="0"/>
                <w:iCs w:val="0"/>
                <w:color w:val="000000"/>
                <w:sz w:val="18"/>
                <w:szCs w:val="18"/>
                <w:u w:val="none"/>
              </w:rPr>
            </w:pPr>
          </w:p>
        </w:tc>
      </w:tr>
    </w:tbl>
    <w:p w14:paraId="5064939D">
      <w:pPr>
        <w:pStyle w:val="2"/>
        <w:rPr>
          <w:rFonts w:hint="eastAsia" w:ascii="Times New Roman" w:hAnsi="Times New Roman" w:eastAsia="黑体"/>
          <w:color w:val="auto"/>
          <w:sz w:val="44"/>
          <w:szCs w:val="44"/>
          <w:highlight w:val="none"/>
        </w:rPr>
      </w:pPr>
    </w:p>
    <w:p w14:paraId="50112C16">
      <w:pPr>
        <w:pStyle w:val="3"/>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6"/>
        <w:gridCol w:w="607"/>
        <w:gridCol w:w="602"/>
        <w:gridCol w:w="1980"/>
        <w:gridCol w:w="985"/>
        <w:gridCol w:w="900"/>
        <w:gridCol w:w="883"/>
        <w:gridCol w:w="459"/>
        <w:gridCol w:w="862"/>
      </w:tblGrid>
      <w:tr w14:paraId="4573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7F735264">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48FB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DA5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60F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预算审查监督管理费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563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8A0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13E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16B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52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80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BF9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42DB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A3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ED6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55098D92">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01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2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6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7070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DB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29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F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A5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B93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4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C7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60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5A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20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20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4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EF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84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00E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CE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97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8C9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091D">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1340FC4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开展预算审查和监督工作</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4C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6DB5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0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BE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B0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CF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5A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36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12E0D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61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3942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9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57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3C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D200">
            <w:pPr>
              <w:snapToGrid w:val="0"/>
              <w:jc w:val="center"/>
              <w:rPr>
                <w:rFonts w:hint="eastAsia" w:ascii="宋体" w:hAnsi="宋体" w:eastAsia="宋体" w:cs="宋体"/>
                <w:i w:val="0"/>
                <w:iCs w:val="0"/>
                <w:color w:val="000000"/>
                <w:sz w:val="18"/>
                <w:szCs w:val="18"/>
                <w:u w:val="none"/>
              </w:rPr>
            </w:pPr>
          </w:p>
        </w:tc>
      </w:tr>
      <w:tr w14:paraId="286C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C8C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9A42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D7A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5A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FD787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0B25">
            <w:pPr>
              <w:snapToGrid w:val="0"/>
              <w:rPr>
                <w:rFonts w:hint="eastAsia" w:ascii="宋体" w:hAnsi="宋体" w:eastAsia="宋体" w:cs="宋体"/>
                <w:i w:val="0"/>
                <w:iCs w:val="0"/>
                <w:color w:val="000000"/>
                <w:sz w:val="18"/>
                <w:szCs w:val="18"/>
                <w:u w:val="none"/>
              </w:rPr>
            </w:pPr>
          </w:p>
        </w:tc>
      </w:tr>
      <w:tr w14:paraId="47AA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60A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459719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317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开展审查和监督工作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706C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0DD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76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F34A6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E5A7">
            <w:pPr>
              <w:snapToGrid w:val="0"/>
              <w:rPr>
                <w:rFonts w:hint="eastAsia" w:ascii="宋体" w:hAnsi="宋体" w:eastAsia="宋体" w:cs="宋体"/>
                <w:i w:val="0"/>
                <w:iCs w:val="0"/>
                <w:color w:val="000000"/>
                <w:sz w:val="18"/>
                <w:szCs w:val="18"/>
                <w:u w:val="none"/>
              </w:rPr>
            </w:pPr>
          </w:p>
        </w:tc>
      </w:tr>
      <w:tr w14:paraId="302F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A59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9F8127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9DE3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审查和监督工作符合实际</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451D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1B0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D878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6BE9">
            <w:pPr>
              <w:snapToGrid w:val="0"/>
              <w:rPr>
                <w:rFonts w:hint="eastAsia" w:ascii="宋体" w:hAnsi="宋体" w:eastAsia="宋体" w:cs="宋体"/>
                <w:i w:val="0"/>
                <w:iCs w:val="0"/>
                <w:color w:val="000000"/>
                <w:sz w:val="18"/>
                <w:szCs w:val="18"/>
                <w:u w:val="none"/>
              </w:rPr>
            </w:pPr>
          </w:p>
        </w:tc>
      </w:tr>
      <w:tr w14:paraId="14A0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254B">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F364C2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F8380">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BF074">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12B3D">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C189">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65DA1F3">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4A3F">
            <w:pPr>
              <w:snapToGrid w:val="0"/>
              <w:rPr>
                <w:rFonts w:hint="eastAsia" w:ascii="宋体" w:hAnsi="宋体" w:eastAsia="宋体" w:cs="宋体"/>
                <w:i w:val="0"/>
                <w:iCs w:val="0"/>
                <w:color w:val="000000"/>
                <w:sz w:val="18"/>
                <w:szCs w:val="18"/>
                <w:u w:val="none"/>
              </w:rPr>
            </w:pPr>
          </w:p>
        </w:tc>
      </w:tr>
      <w:tr w14:paraId="01DE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B39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9042A7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BB2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审查和监督工作相关费用</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E33E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9D5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8E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2A3AC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86EC">
            <w:pPr>
              <w:snapToGrid w:val="0"/>
              <w:rPr>
                <w:rFonts w:hint="eastAsia" w:ascii="宋体" w:hAnsi="宋体" w:eastAsia="宋体" w:cs="宋体"/>
                <w:i w:val="0"/>
                <w:iCs w:val="0"/>
                <w:color w:val="000000"/>
                <w:sz w:val="18"/>
                <w:szCs w:val="18"/>
                <w:u w:val="none"/>
              </w:rPr>
            </w:pPr>
          </w:p>
        </w:tc>
      </w:tr>
      <w:tr w14:paraId="3425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502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088A05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97F8">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A362">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9D22">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472">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C831BF">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C363">
            <w:pPr>
              <w:snapToGrid w:val="0"/>
              <w:rPr>
                <w:rFonts w:hint="eastAsia" w:ascii="宋体" w:hAnsi="宋体" w:eastAsia="宋体" w:cs="宋体"/>
                <w:i w:val="0"/>
                <w:iCs w:val="0"/>
                <w:color w:val="000000"/>
                <w:sz w:val="18"/>
                <w:szCs w:val="18"/>
                <w:u w:val="none"/>
              </w:rPr>
            </w:pPr>
          </w:p>
        </w:tc>
      </w:tr>
      <w:tr w14:paraId="193D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06D9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F19B90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9580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高质量完成审查和监督工作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D60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F5E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33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4A3F9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8DD6">
            <w:pPr>
              <w:snapToGrid w:val="0"/>
              <w:rPr>
                <w:rFonts w:hint="eastAsia" w:ascii="宋体" w:hAnsi="宋体" w:eastAsia="宋体" w:cs="宋体"/>
                <w:i w:val="0"/>
                <w:iCs w:val="0"/>
                <w:color w:val="000000"/>
                <w:sz w:val="18"/>
                <w:szCs w:val="18"/>
                <w:u w:val="none"/>
              </w:rPr>
            </w:pPr>
          </w:p>
        </w:tc>
      </w:tr>
      <w:tr w14:paraId="3FFA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C3F3">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BDEDBA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A42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8BAE">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B0FC">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6FFC">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025F4D6">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73E9">
            <w:pPr>
              <w:snapToGrid w:val="0"/>
              <w:rPr>
                <w:rFonts w:hint="eastAsia" w:ascii="宋体" w:hAnsi="宋体" w:eastAsia="宋体" w:cs="宋体"/>
                <w:i w:val="0"/>
                <w:iCs w:val="0"/>
                <w:color w:val="000000"/>
                <w:sz w:val="18"/>
                <w:szCs w:val="18"/>
                <w:u w:val="none"/>
              </w:rPr>
            </w:pPr>
          </w:p>
        </w:tc>
      </w:tr>
      <w:tr w14:paraId="7D2C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B0C2">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A70AA9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316A">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E764C">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AEBE6">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4B4D">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1BE1FF6">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0B8A">
            <w:pPr>
              <w:snapToGrid w:val="0"/>
              <w:rPr>
                <w:rFonts w:hint="eastAsia" w:ascii="宋体" w:hAnsi="宋体" w:eastAsia="宋体" w:cs="宋体"/>
                <w:i w:val="0"/>
                <w:iCs w:val="0"/>
                <w:color w:val="000000"/>
                <w:sz w:val="18"/>
                <w:szCs w:val="18"/>
                <w:u w:val="none"/>
              </w:rPr>
            </w:pPr>
          </w:p>
        </w:tc>
      </w:tr>
      <w:tr w14:paraId="3726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8A4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0D0AB0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BE6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F221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434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59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0C877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C113">
            <w:pPr>
              <w:snapToGrid w:val="0"/>
              <w:rPr>
                <w:rFonts w:hint="eastAsia" w:ascii="宋体" w:hAnsi="宋体" w:eastAsia="宋体" w:cs="宋体"/>
                <w:i w:val="0"/>
                <w:iCs w:val="0"/>
                <w:color w:val="000000"/>
                <w:sz w:val="18"/>
                <w:szCs w:val="18"/>
                <w:u w:val="none"/>
              </w:rPr>
            </w:pPr>
          </w:p>
        </w:tc>
      </w:tr>
    </w:tbl>
    <w:p w14:paraId="05878239">
      <w:pPr>
        <w:rPr>
          <w:rFonts w:hint="eastAsia" w:ascii="Times New Roman" w:hAnsi="Times New Roman" w:eastAsia="黑体"/>
          <w:color w:val="auto"/>
          <w:sz w:val="44"/>
          <w:szCs w:val="44"/>
          <w:highlight w:val="none"/>
        </w:rPr>
      </w:pPr>
    </w:p>
    <w:p w14:paraId="4BA19122">
      <w:pPr>
        <w:pStyle w:val="2"/>
        <w:rPr>
          <w:rFonts w:hint="eastAsia" w:ascii="Times New Roman" w:hAnsi="Times New Roman" w:eastAsia="黑体"/>
          <w:color w:val="auto"/>
          <w:sz w:val="44"/>
          <w:szCs w:val="44"/>
          <w:highlight w:val="none"/>
        </w:rPr>
      </w:pPr>
    </w:p>
    <w:p w14:paraId="171386B9">
      <w:pPr>
        <w:pStyle w:val="3"/>
        <w:rPr>
          <w:rFonts w:hint="eastAsia" w:ascii="Times New Roman" w:hAnsi="Times New Roman" w:eastAsia="黑体"/>
          <w:color w:val="auto"/>
          <w:sz w:val="44"/>
          <w:szCs w:val="44"/>
          <w:highlight w:val="none"/>
        </w:rPr>
      </w:pPr>
    </w:p>
    <w:p w14:paraId="2D4E232A">
      <w:pPr>
        <w:rPr>
          <w:rFonts w:hint="eastAsia" w:ascii="Times New Roman" w:hAnsi="Times New Roman" w:eastAsia="黑体"/>
          <w:color w:val="auto"/>
          <w:sz w:val="44"/>
          <w:szCs w:val="44"/>
          <w:highlight w:val="none"/>
        </w:rPr>
      </w:pPr>
    </w:p>
    <w:p w14:paraId="3FDC88E5">
      <w:pPr>
        <w:pStyle w:val="2"/>
        <w:rPr>
          <w:rFonts w:hint="eastAsia" w:ascii="Times New Roman" w:hAnsi="Times New Roman" w:eastAsia="黑体"/>
          <w:color w:val="auto"/>
          <w:sz w:val="44"/>
          <w:szCs w:val="44"/>
          <w:highlight w:val="none"/>
        </w:rPr>
      </w:pPr>
    </w:p>
    <w:p w14:paraId="19EC7D35">
      <w:pPr>
        <w:pStyle w:val="3"/>
        <w:rPr>
          <w:rFonts w:hint="eastAsia"/>
        </w:rPr>
      </w:pPr>
    </w:p>
    <w:p w14:paraId="5FACB28D">
      <w:pPr>
        <w:pStyle w:val="2"/>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2613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2C1D715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45C5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D6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9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驻村工作队员工作经费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EAC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1CA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244B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9B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1BF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C4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C8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7172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CE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334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5DF983A4">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73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1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B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EB5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94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A6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2C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71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E9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32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6A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67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FC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A3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01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41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C9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2485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332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B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0B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6EF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424F">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558C60A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驻村工作补助</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928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57B2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C8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91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E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C6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DB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BDF5F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51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30C5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46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36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23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FC07">
            <w:pPr>
              <w:snapToGrid w:val="0"/>
              <w:jc w:val="center"/>
              <w:rPr>
                <w:rFonts w:hint="eastAsia" w:ascii="宋体" w:hAnsi="宋体" w:eastAsia="宋体" w:cs="宋体"/>
                <w:i w:val="0"/>
                <w:iCs w:val="0"/>
                <w:color w:val="000000"/>
                <w:sz w:val="18"/>
                <w:szCs w:val="18"/>
                <w:u w:val="none"/>
              </w:rPr>
            </w:pPr>
          </w:p>
        </w:tc>
      </w:tr>
      <w:tr w14:paraId="2B9B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818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0FB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A12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09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FD96B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7929">
            <w:pPr>
              <w:snapToGrid w:val="0"/>
              <w:rPr>
                <w:rFonts w:hint="eastAsia" w:ascii="宋体" w:hAnsi="宋体" w:eastAsia="宋体" w:cs="宋体"/>
                <w:i w:val="0"/>
                <w:iCs w:val="0"/>
                <w:color w:val="000000"/>
                <w:sz w:val="18"/>
                <w:szCs w:val="18"/>
                <w:u w:val="none"/>
              </w:rPr>
            </w:pPr>
          </w:p>
        </w:tc>
      </w:tr>
      <w:tr w14:paraId="4EBC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4F5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32002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4FA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驻村工作队员人数</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BF2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1人</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83E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C7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D59E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E470">
            <w:pPr>
              <w:snapToGrid w:val="0"/>
              <w:rPr>
                <w:rFonts w:hint="eastAsia" w:ascii="宋体" w:hAnsi="宋体" w:eastAsia="宋体" w:cs="宋体"/>
                <w:i w:val="0"/>
                <w:iCs w:val="0"/>
                <w:color w:val="000000"/>
                <w:sz w:val="18"/>
                <w:szCs w:val="18"/>
                <w:u w:val="none"/>
              </w:rPr>
            </w:pPr>
          </w:p>
        </w:tc>
      </w:tr>
      <w:tr w14:paraId="7D44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CD9B">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ABBBDA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59F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高质量完成帮扶工作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245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BDAC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A8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890C4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982A">
            <w:pPr>
              <w:snapToGrid w:val="0"/>
              <w:rPr>
                <w:rFonts w:hint="eastAsia" w:ascii="宋体" w:hAnsi="宋体" w:eastAsia="宋体" w:cs="宋体"/>
                <w:i w:val="0"/>
                <w:iCs w:val="0"/>
                <w:color w:val="000000"/>
                <w:sz w:val="18"/>
                <w:szCs w:val="18"/>
                <w:u w:val="none"/>
              </w:rPr>
            </w:pPr>
          </w:p>
        </w:tc>
      </w:tr>
      <w:tr w14:paraId="2B07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38CA9">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7E4817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1CB89">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C417">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E3B87">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B505">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B2CBD6B">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4FF0">
            <w:pPr>
              <w:snapToGrid w:val="0"/>
              <w:rPr>
                <w:rFonts w:hint="eastAsia" w:ascii="宋体" w:hAnsi="宋体" w:eastAsia="宋体" w:cs="宋体"/>
                <w:i w:val="0"/>
                <w:iCs w:val="0"/>
                <w:color w:val="000000"/>
                <w:sz w:val="18"/>
                <w:szCs w:val="18"/>
                <w:u w:val="none"/>
              </w:rPr>
            </w:pPr>
          </w:p>
        </w:tc>
      </w:tr>
      <w:tr w14:paraId="4ADC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027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4A3D1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194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驻村补助</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CD2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50元/天</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275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50元/天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19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6CD7C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C5B2">
            <w:pPr>
              <w:snapToGrid w:val="0"/>
              <w:rPr>
                <w:rFonts w:hint="eastAsia" w:ascii="宋体" w:hAnsi="宋体" w:eastAsia="宋体" w:cs="宋体"/>
                <w:i w:val="0"/>
                <w:iCs w:val="0"/>
                <w:color w:val="000000"/>
                <w:sz w:val="18"/>
                <w:szCs w:val="18"/>
                <w:u w:val="none"/>
              </w:rPr>
            </w:pPr>
          </w:p>
        </w:tc>
      </w:tr>
      <w:tr w14:paraId="6572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3F4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16A3F6E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081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DA43">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1EA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6C4">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64B6210">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EB54">
            <w:pPr>
              <w:snapToGrid w:val="0"/>
              <w:rPr>
                <w:rFonts w:hint="eastAsia" w:ascii="宋体" w:hAnsi="宋体" w:eastAsia="宋体" w:cs="宋体"/>
                <w:i w:val="0"/>
                <w:iCs w:val="0"/>
                <w:color w:val="000000"/>
                <w:sz w:val="18"/>
                <w:szCs w:val="18"/>
                <w:u w:val="none"/>
              </w:rPr>
            </w:pPr>
          </w:p>
        </w:tc>
      </w:tr>
      <w:tr w14:paraId="4189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4A81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587D21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04AD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脱贫成果得到巩固</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F5FF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A5D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85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6865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8D15">
            <w:pPr>
              <w:snapToGrid w:val="0"/>
              <w:rPr>
                <w:rFonts w:hint="eastAsia" w:ascii="宋体" w:hAnsi="宋体" w:eastAsia="宋体" w:cs="宋体"/>
                <w:i w:val="0"/>
                <w:iCs w:val="0"/>
                <w:color w:val="000000"/>
                <w:sz w:val="18"/>
                <w:szCs w:val="18"/>
                <w:u w:val="none"/>
              </w:rPr>
            </w:pPr>
          </w:p>
        </w:tc>
      </w:tr>
      <w:tr w14:paraId="7D7D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2C32">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765FB8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89325">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24BF">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BD505">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9B8">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90D6B50">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B5A3">
            <w:pPr>
              <w:snapToGrid w:val="0"/>
              <w:rPr>
                <w:rFonts w:hint="eastAsia" w:ascii="宋体" w:hAnsi="宋体" w:eastAsia="宋体" w:cs="宋体"/>
                <w:i w:val="0"/>
                <w:iCs w:val="0"/>
                <w:color w:val="000000"/>
                <w:sz w:val="18"/>
                <w:szCs w:val="18"/>
                <w:u w:val="none"/>
              </w:rPr>
            </w:pPr>
          </w:p>
        </w:tc>
      </w:tr>
      <w:tr w14:paraId="7787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7BA7">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4A6C90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AF6A">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D005">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8C68">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2496">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88C8F96">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FF15">
            <w:pPr>
              <w:snapToGrid w:val="0"/>
              <w:rPr>
                <w:rFonts w:hint="eastAsia" w:ascii="宋体" w:hAnsi="宋体" w:eastAsia="宋体" w:cs="宋体"/>
                <w:i w:val="0"/>
                <w:iCs w:val="0"/>
                <w:color w:val="000000"/>
                <w:sz w:val="18"/>
                <w:szCs w:val="18"/>
                <w:u w:val="none"/>
              </w:rPr>
            </w:pPr>
          </w:p>
        </w:tc>
      </w:tr>
      <w:tr w14:paraId="3175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B5F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69B134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B28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AAB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666B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9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22953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908F">
            <w:pPr>
              <w:snapToGrid w:val="0"/>
              <w:rPr>
                <w:rFonts w:hint="eastAsia" w:ascii="宋体" w:hAnsi="宋体" w:eastAsia="宋体" w:cs="宋体"/>
                <w:i w:val="0"/>
                <w:iCs w:val="0"/>
                <w:color w:val="000000"/>
                <w:sz w:val="18"/>
                <w:szCs w:val="18"/>
                <w:u w:val="none"/>
              </w:rPr>
            </w:pPr>
          </w:p>
        </w:tc>
      </w:tr>
    </w:tbl>
    <w:p w14:paraId="387091F0">
      <w:pPr>
        <w:pStyle w:val="3"/>
        <w:rPr>
          <w:rFonts w:hint="eastAsia" w:ascii="Times New Roman" w:hAnsi="Times New Roman" w:eastAsia="黑体"/>
          <w:color w:val="auto"/>
          <w:sz w:val="44"/>
          <w:szCs w:val="44"/>
          <w:highlight w:val="none"/>
        </w:rPr>
      </w:pPr>
    </w:p>
    <w:p w14:paraId="59AEA2C8">
      <w:pPr>
        <w:rPr>
          <w:rFonts w:hint="eastAsia" w:ascii="Times New Roman" w:hAnsi="Times New Roman" w:eastAsia="黑体"/>
          <w:color w:val="auto"/>
          <w:sz w:val="44"/>
          <w:szCs w:val="44"/>
          <w:highlight w:val="none"/>
        </w:rPr>
      </w:pPr>
    </w:p>
    <w:p w14:paraId="415A635F">
      <w:pPr>
        <w:pStyle w:val="2"/>
        <w:rPr>
          <w:rFonts w:hint="eastAsia" w:ascii="Times New Roman" w:hAnsi="Times New Roman" w:eastAsia="黑体"/>
          <w:color w:val="auto"/>
          <w:sz w:val="44"/>
          <w:szCs w:val="44"/>
          <w:highlight w:val="none"/>
        </w:rPr>
      </w:pPr>
    </w:p>
    <w:p w14:paraId="2CF6FA25">
      <w:pPr>
        <w:pStyle w:val="3"/>
        <w:rPr>
          <w:rFonts w:hint="eastAsia" w:ascii="Times New Roman" w:hAnsi="Times New Roman" w:eastAsia="黑体"/>
          <w:color w:val="auto"/>
          <w:sz w:val="44"/>
          <w:szCs w:val="44"/>
          <w:highlight w:val="none"/>
        </w:rPr>
      </w:pPr>
    </w:p>
    <w:p w14:paraId="20DCDAAB">
      <w:pPr>
        <w:rPr>
          <w:rFonts w:hint="eastAsia" w:ascii="Times New Roman" w:hAnsi="Times New Roman" w:eastAsia="黑体"/>
          <w:color w:val="auto"/>
          <w:sz w:val="44"/>
          <w:szCs w:val="44"/>
          <w:highlight w:val="none"/>
        </w:rPr>
      </w:pPr>
    </w:p>
    <w:p w14:paraId="13938DE5">
      <w:pPr>
        <w:pStyle w:val="2"/>
        <w:rPr>
          <w:rFonts w:hint="eastAsia" w:ascii="Times New Roman" w:hAnsi="Times New Roman" w:eastAsia="黑体"/>
          <w:color w:val="auto"/>
          <w:sz w:val="44"/>
          <w:szCs w:val="44"/>
          <w:highlight w:val="none"/>
        </w:rPr>
      </w:pPr>
    </w:p>
    <w:p w14:paraId="14E5C80D">
      <w:pPr>
        <w:pStyle w:val="3"/>
        <w:rPr>
          <w:rFonts w:hint="eastAsia" w:ascii="Times New Roman" w:hAnsi="Times New Roman" w:eastAsia="黑体"/>
          <w:color w:val="auto"/>
          <w:sz w:val="44"/>
          <w:szCs w:val="44"/>
          <w:highlight w:val="none"/>
        </w:rPr>
      </w:pPr>
    </w:p>
    <w:p w14:paraId="07446170">
      <w:pPr>
        <w:rPr>
          <w:rFonts w:hint="eastAsia" w:ascii="Times New Roman" w:hAnsi="Times New Roman" w:eastAsia="黑体"/>
          <w:color w:val="auto"/>
          <w:sz w:val="44"/>
          <w:szCs w:val="44"/>
          <w:highlight w:val="none"/>
        </w:rPr>
      </w:pPr>
    </w:p>
    <w:p w14:paraId="55FCFE8A">
      <w:pPr>
        <w:pStyle w:val="2"/>
        <w:rPr>
          <w:rFonts w:hint="eastAsia"/>
        </w:rPr>
      </w:pPr>
    </w:p>
    <w:p w14:paraId="2468D687">
      <w:pPr>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7241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D46231E">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034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0D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D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人大视察与调研</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EC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97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A5E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989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F71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35F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B2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0D72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6F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F3B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5554D921">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E7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AD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F2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377F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80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6D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29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7.4314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7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0.550474074</w:t>
            </w:r>
          </w:p>
        </w:tc>
      </w:tr>
      <w:tr w14:paraId="787A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25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B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78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7.4314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2A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0.550474074</w:t>
            </w:r>
          </w:p>
        </w:tc>
      </w:tr>
      <w:tr w14:paraId="5154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8C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C9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74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F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5D93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77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1F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2D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30D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E583">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0472CF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人大视察与调研</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907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1177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8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C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A5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FF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A6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56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CBC9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D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2366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F2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F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FF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4705">
            <w:pPr>
              <w:snapToGrid w:val="0"/>
              <w:jc w:val="center"/>
              <w:rPr>
                <w:rFonts w:hint="eastAsia" w:ascii="宋体" w:hAnsi="宋体" w:eastAsia="宋体" w:cs="宋体"/>
                <w:i w:val="0"/>
                <w:iCs w:val="0"/>
                <w:color w:val="000000"/>
                <w:sz w:val="18"/>
                <w:szCs w:val="18"/>
                <w:u w:val="none"/>
              </w:rPr>
            </w:pPr>
          </w:p>
        </w:tc>
      </w:tr>
      <w:tr w14:paraId="2A5E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9794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F4E7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6D3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25.88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CB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CDA41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495E">
            <w:pPr>
              <w:snapToGrid w:val="0"/>
              <w:rPr>
                <w:rFonts w:hint="eastAsia" w:ascii="宋体" w:hAnsi="宋体" w:eastAsia="宋体" w:cs="宋体"/>
                <w:i w:val="0"/>
                <w:iCs w:val="0"/>
                <w:color w:val="000000"/>
                <w:sz w:val="18"/>
                <w:szCs w:val="18"/>
                <w:u w:val="none"/>
              </w:rPr>
            </w:pPr>
          </w:p>
        </w:tc>
      </w:tr>
      <w:tr w14:paraId="3A27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21B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6C62EA7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07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开展视察调研工作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A29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46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2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E7BBE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5D47">
            <w:pPr>
              <w:snapToGrid w:val="0"/>
              <w:rPr>
                <w:rFonts w:hint="eastAsia" w:ascii="宋体" w:hAnsi="宋体" w:eastAsia="宋体" w:cs="宋体"/>
                <w:i w:val="0"/>
                <w:iCs w:val="0"/>
                <w:color w:val="000000"/>
                <w:sz w:val="18"/>
                <w:szCs w:val="18"/>
                <w:u w:val="none"/>
              </w:rPr>
            </w:pPr>
          </w:p>
        </w:tc>
      </w:tr>
      <w:tr w14:paraId="390C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4AA42">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76993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102B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视察调研工作符合实际</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6572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8C9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3A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DA4B6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F590">
            <w:pPr>
              <w:snapToGrid w:val="0"/>
              <w:rPr>
                <w:rFonts w:hint="eastAsia" w:ascii="宋体" w:hAnsi="宋体" w:eastAsia="宋体" w:cs="宋体"/>
                <w:i w:val="0"/>
                <w:iCs w:val="0"/>
                <w:color w:val="000000"/>
                <w:sz w:val="18"/>
                <w:szCs w:val="18"/>
                <w:u w:val="none"/>
              </w:rPr>
            </w:pPr>
          </w:p>
        </w:tc>
      </w:tr>
      <w:tr w14:paraId="4172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B2E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F7CD46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36FE">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30AF">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B43C4">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F1A">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EB74F23">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57EE">
            <w:pPr>
              <w:snapToGrid w:val="0"/>
              <w:rPr>
                <w:rFonts w:hint="eastAsia" w:ascii="宋体" w:hAnsi="宋体" w:eastAsia="宋体" w:cs="宋体"/>
                <w:i w:val="0"/>
                <w:iCs w:val="0"/>
                <w:color w:val="000000"/>
                <w:sz w:val="18"/>
                <w:szCs w:val="18"/>
                <w:u w:val="none"/>
              </w:rPr>
            </w:pPr>
          </w:p>
        </w:tc>
      </w:tr>
      <w:tr w14:paraId="72ED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3B0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701EC5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EA0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视察调研相关经费</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F00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17万元</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539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7.43万元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C1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210FA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C4B5">
            <w:pPr>
              <w:snapToGrid w:val="0"/>
              <w:rPr>
                <w:rFonts w:hint="eastAsia" w:ascii="宋体" w:hAnsi="宋体" w:eastAsia="宋体" w:cs="宋体"/>
                <w:i w:val="0"/>
                <w:iCs w:val="0"/>
                <w:color w:val="000000"/>
                <w:sz w:val="18"/>
                <w:szCs w:val="18"/>
                <w:u w:val="none"/>
              </w:rPr>
            </w:pPr>
          </w:p>
        </w:tc>
      </w:tr>
      <w:tr w14:paraId="4760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B1B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2D50C8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A42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FCADB">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682E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1075">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B442034">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3F9E">
            <w:pPr>
              <w:snapToGrid w:val="0"/>
              <w:rPr>
                <w:rFonts w:hint="eastAsia" w:ascii="宋体" w:hAnsi="宋体" w:eastAsia="宋体" w:cs="宋体"/>
                <w:i w:val="0"/>
                <w:iCs w:val="0"/>
                <w:color w:val="000000"/>
                <w:sz w:val="18"/>
                <w:szCs w:val="18"/>
                <w:u w:val="none"/>
              </w:rPr>
            </w:pPr>
          </w:p>
        </w:tc>
      </w:tr>
      <w:tr w14:paraId="19B3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52C3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31E499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6976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充分发挥代表主体作用</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994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453B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E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5496B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78C3">
            <w:pPr>
              <w:snapToGrid w:val="0"/>
              <w:rPr>
                <w:rFonts w:hint="eastAsia" w:ascii="宋体" w:hAnsi="宋体" w:eastAsia="宋体" w:cs="宋体"/>
                <w:i w:val="0"/>
                <w:iCs w:val="0"/>
                <w:color w:val="000000"/>
                <w:sz w:val="18"/>
                <w:szCs w:val="18"/>
                <w:u w:val="none"/>
              </w:rPr>
            </w:pPr>
          </w:p>
        </w:tc>
      </w:tr>
      <w:tr w14:paraId="050D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DE79B">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8C33B6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779B">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15F4">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19AC">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45AE">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0ECA21A">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F104">
            <w:pPr>
              <w:snapToGrid w:val="0"/>
              <w:rPr>
                <w:rFonts w:hint="eastAsia" w:ascii="宋体" w:hAnsi="宋体" w:eastAsia="宋体" w:cs="宋体"/>
                <w:i w:val="0"/>
                <w:iCs w:val="0"/>
                <w:color w:val="000000"/>
                <w:sz w:val="18"/>
                <w:szCs w:val="18"/>
                <w:u w:val="none"/>
              </w:rPr>
            </w:pPr>
          </w:p>
        </w:tc>
      </w:tr>
      <w:tr w14:paraId="7CC3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FD773">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D9534E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2FA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2F39">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D1AD">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B10">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12CA871">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30AB">
            <w:pPr>
              <w:snapToGrid w:val="0"/>
              <w:rPr>
                <w:rFonts w:hint="eastAsia" w:ascii="宋体" w:hAnsi="宋体" w:eastAsia="宋体" w:cs="宋体"/>
                <w:i w:val="0"/>
                <w:iCs w:val="0"/>
                <w:color w:val="000000"/>
                <w:sz w:val="18"/>
                <w:szCs w:val="18"/>
                <w:u w:val="none"/>
              </w:rPr>
            </w:pPr>
          </w:p>
        </w:tc>
      </w:tr>
      <w:tr w14:paraId="2EB1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24DB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3F8CB8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B75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BF4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3E0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D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FE66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6CD4">
            <w:pPr>
              <w:snapToGrid w:val="0"/>
              <w:rPr>
                <w:rFonts w:hint="eastAsia" w:ascii="宋体" w:hAnsi="宋体" w:eastAsia="宋体" w:cs="宋体"/>
                <w:i w:val="0"/>
                <w:iCs w:val="0"/>
                <w:color w:val="000000"/>
                <w:sz w:val="18"/>
                <w:szCs w:val="18"/>
                <w:u w:val="none"/>
              </w:rPr>
            </w:pPr>
          </w:p>
        </w:tc>
      </w:tr>
    </w:tbl>
    <w:p w14:paraId="3D85E59D">
      <w:pPr>
        <w:pStyle w:val="2"/>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243D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16A2B186">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14BA71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466A602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4633BD6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3E37AC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F895AE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FF909C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1E5B438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2CD0F124">
            <w:pPr>
              <w:keepNext w:val="0"/>
              <w:keepLines w:val="0"/>
              <w:widowControl/>
              <w:suppressLineNumbers w:val="0"/>
              <w:snapToGrid w:val="0"/>
              <w:ind w:firstLine="2530" w:firstLineChars="7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6981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66F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E7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区人大代表培训费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0D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374EA">
            <w:pPr>
              <w:keepNext w:val="0"/>
              <w:keepLines w:val="0"/>
              <w:widowControl/>
              <w:suppressLineNumbers w:val="0"/>
              <w:snapToGrid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w:t>
            </w:r>
          </w:p>
        </w:tc>
      </w:tr>
      <w:tr w14:paraId="52B7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0CE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6DB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A8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2F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70F4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C1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112D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6D6FD4A0">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2A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22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7C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410E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52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9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0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C6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69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EC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D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92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65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0A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2C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90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4E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02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4578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A5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E8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2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01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7B33">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6EC5416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开展人大代表培训工作</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A3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5D15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21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41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FC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1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8B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59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6041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55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0016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D3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F6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4B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0252">
            <w:pPr>
              <w:snapToGrid w:val="0"/>
              <w:jc w:val="center"/>
              <w:rPr>
                <w:rFonts w:hint="eastAsia" w:ascii="宋体" w:hAnsi="宋体" w:eastAsia="宋体" w:cs="宋体"/>
                <w:i w:val="0"/>
                <w:iCs w:val="0"/>
                <w:color w:val="000000"/>
                <w:sz w:val="18"/>
                <w:szCs w:val="18"/>
                <w:u w:val="none"/>
              </w:rPr>
            </w:pPr>
          </w:p>
        </w:tc>
      </w:tr>
      <w:tr w14:paraId="77D7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F8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A38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476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61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8393D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8981">
            <w:pPr>
              <w:snapToGrid w:val="0"/>
              <w:rPr>
                <w:rFonts w:hint="eastAsia" w:ascii="宋体" w:hAnsi="宋体" w:eastAsia="宋体" w:cs="宋体"/>
                <w:i w:val="0"/>
                <w:iCs w:val="0"/>
                <w:color w:val="000000"/>
                <w:sz w:val="18"/>
                <w:szCs w:val="18"/>
                <w:u w:val="none"/>
              </w:rPr>
            </w:pPr>
          </w:p>
        </w:tc>
      </w:tr>
      <w:tr w14:paraId="48C5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5DBD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F76165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70A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开展人大代表培训</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30EF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73C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90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C7BEE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9C34">
            <w:pPr>
              <w:snapToGrid w:val="0"/>
              <w:rPr>
                <w:rFonts w:hint="eastAsia" w:ascii="宋体" w:hAnsi="宋体" w:eastAsia="宋体" w:cs="宋体"/>
                <w:i w:val="0"/>
                <w:iCs w:val="0"/>
                <w:color w:val="000000"/>
                <w:sz w:val="18"/>
                <w:szCs w:val="18"/>
                <w:u w:val="none"/>
              </w:rPr>
            </w:pPr>
          </w:p>
        </w:tc>
      </w:tr>
      <w:tr w14:paraId="1C2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E69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D09DE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87B6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培训人数</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C92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141人</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0C3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D1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8600E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4C26">
            <w:pPr>
              <w:snapToGrid w:val="0"/>
              <w:rPr>
                <w:rFonts w:hint="eastAsia" w:ascii="宋体" w:hAnsi="宋体" w:eastAsia="宋体" w:cs="宋体"/>
                <w:i w:val="0"/>
                <w:iCs w:val="0"/>
                <w:color w:val="000000"/>
                <w:sz w:val="18"/>
                <w:szCs w:val="18"/>
                <w:u w:val="none"/>
              </w:rPr>
            </w:pPr>
          </w:p>
        </w:tc>
      </w:tr>
      <w:tr w14:paraId="19B8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50E7">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C98655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668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培训内容符合</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C1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0922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C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90992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37AB">
            <w:pPr>
              <w:snapToGrid w:val="0"/>
              <w:rPr>
                <w:rFonts w:hint="eastAsia" w:ascii="宋体" w:hAnsi="宋体" w:eastAsia="宋体" w:cs="宋体"/>
                <w:i w:val="0"/>
                <w:iCs w:val="0"/>
                <w:color w:val="000000"/>
                <w:sz w:val="18"/>
                <w:szCs w:val="18"/>
                <w:u w:val="none"/>
              </w:rPr>
            </w:pPr>
          </w:p>
        </w:tc>
      </w:tr>
      <w:tr w14:paraId="0007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4ACE1">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7B8143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B5CF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E02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0D9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3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AB161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7268">
            <w:pPr>
              <w:snapToGrid w:val="0"/>
              <w:rPr>
                <w:rFonts w:hint="eastAsia" w:ascii="宋体" w:hAnsi="宋体" w:eastAsia="宋体" w:cs="宋体"/>
                <w:i w:val="0"/>
                <w:iCs w:val="0"/>
                <w:color w:val="000000"/>
                <w:sz w:val="18"/>
                <w:szCs w:val="18"/>
                <w:u w:val="none"/>
              </w:rPr>
            </w:pPr>
          </w:p>
        </w:tc>
      </w:tr>
      <w:tr w14:paraId="4451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7E2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CECCB3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9C3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代表培训经费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D18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A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E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03F8B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7F7E">
            <w:pPr>
              <w:snapToGrid w:val="0"/>
              <w:rPr>
                <w:rFonts w:hint="eastAsia" w:ascii="宋体" w:hAnsi="宋体" w:eastAsia="宋体" w:cs="宋体"/>
                <w:i w:val="0"/>
                <w:iCs w:val="0"/>
                <w:color w:val="000000"/>
                <w:sz w:val="18"/>
                <w:szCs w:val="18"/>
                <w:u w:val="none"/>
              </w:rPr>
            </w:pPr>
          </w:p>
        </w:tc>
      </w:tr>
      <w:tr w14:paraId="118A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A8E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1CEC40F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3DC5">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F3E1">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DDF4">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5F73">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599F64F">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7274">
            <w:pPr>
              <w:snapToGrid w:val="0"/>
              <w:rPr>
                <w:rFonts w:hint="eastAsia" w:ascii="宋体" w:hAnsi="宋体" w:eastAsia="宋体" w:cs="宋体"/>
                <w:i w:val="0"/>
                <w:iCs w:val="0"/>
                <w:color w:val="000000"/>
                <w:sz w:val="18"/>
                <w:szCs w:val="18"/>
                <w:u w:val="none"/>
              </w:rPr>
            </w:pPr>
          </w:p>
        </w:tc>
      </w:tr>
      <w:tr w14:paraId="38C1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56B4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4873FC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908A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提高代表履职能力</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D6E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52D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90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A301A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2003">
            <w:pPr>
              <w:snapToGrid w:val="0"/>
              <w:rPr>
                <w:rFonts w:hint="eastAsia" w:ascii="宋体" w:hAnsi="宋体" w:eastAsia="宋体" w:cs="宋体"/>
                <w:i w:val="0"/>
                <w:iCs w:val="0"/>
                <w:color w:val="000000"/>
                <w:sz w:val="18"/>
                <w:szCs w:val="18"/>
                <w:u w:val="none"/>
              </w:rPr>
            </w:pPr>
          </w:p>
        </w:tc>
      </w:tr>
      <w:tr w14:paraId="5877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7050D">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C87135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98E7">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8253">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0103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1F3A">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D1FC463">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5F7F">
            <w:pPr>
              <w:snapToGrid w:val="0"/>
              <w:rPr>
                <w:rFonts w:hint="eastAsia" w:ascii="宋体" w:hAnsi="宋体" w:eastAsia="宋体" w:cs="宋体"/>
                <w:i w:val="0"/>
                <w:iCs w:val="0"/>
                <w:color w:val="000000"/>
                <w:sz w:val="18"/>
                <w:szCs w:val="18"/>
                <w:u w:val="none"/>
              </w:rPr>
            </w:pPr>
          </w:p>
        </w:tc>
      </w:tr>
      <w:tr w14:paraId="5276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17649">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F09617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506F7">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480C">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9240">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15D">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D3C1142">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260A">
            <w:pPr>
              <w:snapToGrid w:val="0"/>
              <w:rPr>
                <w:rFonts w:hint="eastAsia" w:ascii="宋体" w:hAnsi="宋体" w:eastAsia="宋体" w:cs="宋体"/>
                <w:i w:val="0"/>
                <w:iCs w:val="0"/>
                <w:color w:val="000000"/>
                <w:sz w:val="18"/>
                <w:szCs w:val="18"/>
                <w:u w:val="none"/>
              </w:rPr>
            </w:pPr>
          </w:p>
        </w:tc>
      </w:tr>
      <w:tr w14:paraId="088C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9AD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6F110A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7C2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22F1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897F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C6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A27A6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42F3">
            <w:pPr>
              <w:snapToGrid w:val="0"/>
              <w:rPr>
                <w:rFonts w:hint="eastAsia" w:ascii="宋体" w:hAnsi="宋体" w:eastAsia="宋体" w:cs="宋体"/>
                <w:i w:val="0"/>
                <w:iCs w:val="0"/>
                <w:color w:val="000000"/>
                <w:sz w:val="18"/>
                <w:szCs w:val="18"/>
                <w:u w:val="none"/>
              </w:rPr>
            </w:pPr>
          </w:p>
        </w:tc>
      </w:tr>
    </w:tbl>
    <w:p w14:paraId="40FE66F1">
      <w:pPr>
        <w:pStyle w:val="3"/>
        <w:rPr>
          <w:rFonts w:hint="eastAsia" w:ascii="Times New Roman" w:hAnsi="Times New Roman" w:eastAsia="黑体"/>
          <w:color w:val="auto"/>
          <w:sz w:val="44"/>
          <w:szCs w:val="44"/>
          <w:highlight w:val="none"/>
        </w:rPr>
      </w:pPr>
    </w:p>
    <w:p w14:paraId="39AD071A">
      <w:pPr>
        <w:rPr>
          <w:rFonts w:hint="eastAsia" w:ascii="Times New Roman" w:hAnsi="Times New Roman" w:eastAsia="黑体"/>
          <w:color w:val="auto"/>
          <w:sz w:val="44"/>
          <w:szCs w:val="44"/>
          <w:highlight w:val="none"/>
        </w:rPr>
      </w:pPr>
    </w:p>
    <w:p w14:paraId="61480A82">
      <w:pPr>
        <w:pStyle w:val="2"/>
        <w:rPr>
          <w:rFonts w:hint="eastAsia" w:ascii="Times New Roman" w:hAnsi="Times New Roman" w:eastAsia="黑体"/>
          <w:color w:val="auto"/>
          <w:sz w:val="44"/>
          <w:szCs w:val="44"/>
          <w:highlight w:val="none"/>
        </w:rPr>
      </w:pPr>
    </w:p>
    <w:p w14:paraId="5F9AE127">
      <w:pPr>
        <w:pStyle w:val="3"/>
        <w:rPr>
          <w:rFonts w:hint="eastAsia" w:ascii="Times New Roman" w:hAnsi="Times New Roman" w:eastAsia="黑体"/>
          <w:color w:val="auto"/>
          <w:sz w:val="44"/>
          <w:szCs w:val="44"/>
          <w:highlight w:val="none"/>
        </w:rPr>
      </w:pPr>
    </w:p>
    <w:p w14:paraId="1CCAE0EB">
      <w:pPr>
        <w:rPr>
          <w:rFonts w:hint="eastAsia" w:ascii="Times New Roman" w:hAnsi="Times New Roman" w:eastAsia="黑体"/>
          <w:color w:val="auto"/>
          <w:sz w:val="44"/>
          <w:szCs w:val="44"/>
          <w:highlight w:val="none"/>
        </w:rPr>
      </w:pPr>
    </w:p>
    <w:p w14:paraId="1D733003">
      <w:pPr>
        <w:pStyle w:val="2"/>
        <w:rPr>
          <w:rFonts w:hint="eastAsia"/>
        </w:rPr>
      </w:pPr>
    </w:p>
    <w:p w14:paraId="222FF84F">
      <w:pPr>
        <w:pStyle w:val="3"/>
        <w:rPr>
          <w:rFonts w:hint="eastAsia" w:ascii="Times New Roman" w:hAnsi="Times New Roman" w:eastAsia="黑体"/>
          <w:color w:val="auto"/>
          <w:sz w:val="44"/>
          <w:szCs w:val="44"/>
          <w:highlight w:val="none"/>
        </w:rPr>
      </w:pPr>
    </w:p>
    <w:p w14:paraId="7558987C">
      <w:pPr>
        <w:rPr>
          <w:rFonts w:hint="eastAsia" w:ascii="Times New Roman" w:hAnsi="Times New Roman" w:eastAsia="黑体"/>
          <w:color w:val="auto"/>
          <w:sz w:val="44"/>
          <w:szCs w:val="44"/>
          <w:highlight w:val="none"/>
        </w:rPr>
      </w:pPr>
    </w:p>
    <w:p w14:paraId="1971BEF9">
      <w:pPr>
        <w:pStyle w:val="2"/>
        <w:rPr>
          <w:rFonts w:hint="eastAsia" w:ascii="Times New Roman" w:hAnsi="Times New Roman" w:eastAsia="黑体"/>
          <w:color w:val="auto"/>
          <w:sz w:val="44"/>
          <w:szCs w:val="44"/>
          <w:highlight w:val="none"/>
        </w:rPr>
      </w:pPr>
    </w:p>
    <w:p w14:paraId="757404E8">
      <w:pPr>
        <w:pStyle w:val="3"/>
        <w:rPr>
          <w:rFonts w:hint="eastAsia" w:ascii="Times New Roman" w:hAnsi="Times New Roman" w:eastAsia="黑体"/>
          <w:color w:val="auto"/>
          <w:sz w:val="44"/>
          <w:szCs w:val="44"/>
          <w:highlight w:val="none"/>
        </w:rPr>
      </w:pPr>
    </w:p>
    <w:p w14:paraId="4772C2BE">
      <w:pPr>
        <w:rPr>
          <w:rFonts w:hint="eastAsia"/>
        </w:rPr>
      </w:pPr>
    </w:p>
    <w:p w14:paraId="734502B0">
      <w:pPr>
        <w:widowControl/>
        <w:jc w:val="center"/>
        <w:rPr>
          <w:rFonts w:hint="eastAsia" w:ascii="Times New Roman" w:hAnsi="Times New Roman" w:eastAsia="黑体"/>
          <w:color w:val="auto"/>
          <w:sz w:val="44"/>
          <w:szCs w:val="44"/>
          <w:highlight w:val="none"/>
        </w:rPr>
      </w:pPr>
    </w:p>
    <w:p w14:paraId="79B7FB12">
      <w:pPr>
        <w:widowControl/>
        <w:jc w:val="center"/>
        <w:rPr>
          <w:rFonts w:hint="eastAsia" w:ascii="Times New Roman" w:hAnsi="Times New Roman" w:eastAsia="黑体"/>
          <w:color w:val="auto"/>
          <w:sz w:val="44"/>
          <w:szCs w:val="44"/>
          <w:highlight w:val="none"/>
        </w:rPr>
      </w:pPr>
    </w:p>
    <w:p w14:paraId="05E980A1">
      <w:pPr>
        <w:widowControl/>
        <w:jc w:val="center"/>
        <w:rPr>
          <w:rFonts w:hint="eastAsia" w:ascii="Times New Roman" w:hAnsi="Times New Roman" w:eastAsia="黑体"/>
          <w:color w:val="auto"/>
          <w:sz w:val="44"/>
          <w:szCs w:val="44"/>
          <w:highlight w:val="none"/>
        </w:rPr>
      </w:pPr>
    </w:p>
    <w:p w14:paraId="762C106C">
      <w:pPr>
        <w:widowControl/>
        <w:jc w:val="center"/>
        <w:rPr>
          <w:rFonts w:hint="eastAsia" w:ascii="Times New Roman" w:hAnsi="Times New Roman" w:eastAsia="黑体"/>
          <w:color w:val="auto"/>
          <w:sz w:val="44"/>
          <w:szCs w:val="44"/>
          <w:highlight w:val="none"/>
        </w:rPr>
      </w:pPr>
    </w:p>
    <w:p w14:paraId="42B00AF6">
      <w:pPr>
        <w:widowControl/>
        <w:jc w:val="center"/>
        <w:rPr>
          <w:rFonts w:hint="eastAsia" w:ascii="Times New Roman" w:hAnsi="Times New Roman" w:eastAsia="黑体"/>
          <w:color w:val="auto"/>
          <w:sz w:val="44"/>
          <w:szCs w:val="44"/>
          <w:highlight w:val="none"/>
        </w:rPr>
      </w:pPr>
    </w:p>
    <w:p w14:paraId="71117965">
      <w:pPr>
        <w:widowControl/>
        <w:jc w:val="center"/>
        <w:rPr>
          <w:rFonts w:hint="eastAsia" w:ascii="Times New Roman" w:hAnsi="Times New Roman" w:eastAsia="黑体"/>
          <w:color w:val="auto"/>
          <w:sz w:val="44"/>
          <w:szCs w:val="44"/>
          <w:highlight w:val="none"/>
        </w:rPr>
      </w:pPr>
    </w:p>
    <w:p w14:paraId="6B66EBA8">
      <w:pPr>
        <w:widowControl/>
        <w:jc w:val="center"/>
        <w:rPr>
          <w:rFonts w:hint="eastAsia" w:ascii="Times New Roman" w:hAnsi="Times New Roman" w:eastAsia="黑体"/>
          <w:color w:val="auto"/>
          <w:sz w:val="44"/>
          <w:szCs w:val="44"/>
          <w:highlight w:val="none"/>
        </w:rPr>
      </w:pPr>
    </w:p>
    <w:p w14:paraId="7B6386C8">
      <w:pPr>
        <w:widowControl/>
        <w:jc w:val="center"/>
        <w:rPr>
          <w:rFonts w:hint="eastAsia" w:ascii="Times New Roman" w:hAnsi="Times New Roman" w:eastAsia="黑体"/>
          <w:color w:val="auto"/>
          <w:sz w:val="44"/>
          <w:szCs w:val="44"/>
          <w:highlight w:val="none"/>
        </w:rPr>
      </w:pPr>
    </w:p>
    <w:p w14:paraId="20C6F00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2"/>
      <w:bookmarkEnd w:id="53"/>
      <w:bookmarkStart w:id="54" w:name="_Toc15396619"/>
    </w:p>
    <w:p w14:paraId="3650C4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AE5F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621388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5AB89F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05C3511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0DFB108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39B8365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7514C14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156E9E1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1AAF0F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7E1D17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2B671DC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D89C09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1EEB16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2AAADDCE">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C699">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7005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97005B">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70E8234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95E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9ABB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C9ABB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9A2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354B0"/>
    <w:multiLevelType w:val="singleLevel"/>
    <w:tmpl w:val="FE1354B0"/>
    <w:lvl w:ilvl="0" w:tentative="0">
      <w:start w:val="10"/>
      <w:numFmt w:val="decimal"/>
      <w:lvlText w:val="%1."/>
      <w:lvlJc w:val="left"/>
      <w:pPr>
        <w:tabs>
          <w:tab w:val="left" w:pos="312"/>
        </w:tabs>
      </w:pPr>
    </w:lvl>
  </w:abstractNum>
  <w:abstractNum w:abstractNumId="1">
    <w:nsid w:val="2DDCA5F5"/>
    <w:multiLevelType w:val="singleLevel"/>
    <w:tmpl w:val="2DDCA5F5"/>
    <w:lvl w:ilvl="0" w:tentative="0">
      <w:start w:val="1"/>
      <w:numFmt w:val="chineseCounting"/>
      <w:suff w:val="nothing"/>
      <w:lvlText w:val="%1、"/>
      <w:lvlJc w:val="left"/>
      <w:rPr>
        <w:rFonts w:hint="eastAsia"/>
      </w:rPr>
    </w:lvl>
  </w:abstractNum>
  <w:abstractNum w:abstractNumId="2">
    <w:nsid w:val="3B0A3B94"/>
    <w:multiLevelType w:val="singleLevel"/>
    <w:tmpl w:val="3B0A3B94"/>
    <w:lvl w:ilvl="0" w:tentative="0">
      <w:start w:val="15"/>
      <w:numFmt w:val="decimal"/>
      <w:lvlText w:val="%1."/>
      <w:lvlJc w:val="left"/>
      <w:pPr>
        <w:tabs>
          <w:tab w:val="left" w:pos="312"/>
        </w:tabs>
      </w:pPr>
    </w:lvl>
  </w:abstractNum>
  <w:abstractNum w:abstractNumId="3">
    <w:nsid w:val="4E11E0A3"/>
    <w:multiLevelType w:val="singleLevel"/>
    <w:tmpl w:val="4E11E0A3"/>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A46519"/>
    <w:rsid w:val="02FEBE30"/>
    <w:rsid w:val="04916F1E"/>
    <w:rsid w:val="04C9495C"/>
    <w:rsid w:val="061E35DE"/>
    <w:rsid w:val="066E0107"/>
    <w:rsid w:val="07996F6E"/>
    <w:rsid w:val="07DFD8BA"/>
    <w:rsid w:val="09867E8F"/>
    <w:rsid w:val="0A2032A3"/>
    <w:rsid w:val="0ACB616E"/>
    <w:rsid w:val="0CA8290A"/>
    <w:rsid w:val="0D35B1ED"/>
    <w:rsid w:val="0D4741AE"/>
    <w:rsid w:val="0D791F72"/>
    <w:rsid w:val="0E254B6B"/>
    <w:rsid w:val="0F98263C"/>
    <w:rsid w:val="0FA77648"/>
    <w:rsid w:val="101860EC"/>
    <w:rsid w:val="101F47CC"/>
    <w:rsid w:val="10C055FF"/>
    <w:rsid w:val="11694EBD"/>
    <w:rsid w:val="11772AA4"/>
    <w:rsid w:val="118107EC"/>
    <w:rsid w:val="120714C1"/>
    <w:rsid w:val="12E24EE2"/>
    <w:rsid w:val="13D50BC4"/>
    <w:rsid w:val="13D50C41"/>
    <w:rsid w:val="14B17F78"/>
    <w:rsid w:val="15475B55"/>
    <w:rsid w:val="165E0673"/>
    <w:rsid w:val="16B831D5"/>
    <w:rsid w:val="16BB723D"/>
    <w:rsid w:val="17B31280"/>
    <w:rsid w:val="17E50567"/>
    <w:rsid w:val="181B0BD3"/>
    <w:rsid w:val="186504BB"/>
    <w:rsid w:val="19A445FC"/>
    <w:rsid w:val="1B4072CF"/>
    <w:rsid w:val="1BE8440E"/>
    <w:rsid w:val="1C361078"/>
    <w:rsid w:val="1D155CEE"/>
    <w:rsid w:val="1D1638FE"/>
    <w:rsid w:val="1E0565AE"/>
    <w:rsid w:val="1E312DEB"/>
    <w:rsid w:val="1E740ACF"/>
    <w:rsid w:val="1FF35744"/>
    <w:rsid w:val="1FF6BC77"/>
    <w:rsid w:val="202D76F6"/>
    <w:rsid w:val="2186353C"/>
    <w:rsid w:val="230E4B9A"/>
    <w:rsid w:val="23860B96"/>
    <w:rsid w:val="240371BF"/>
    <w:rsid w:val="24156E1F"/>
    <w:rsid w:val="244F3473"/>
    <w:rsid w:val="24C97D99"/>
    <w:rsid w:val="25A718F0"/>
    <w:rsid w:val="25BB59F6"/>
    <w:rsid w:val="260F557C"/>
    <w:rsid w:val="26970054"/>
    <w:rsid w:val="281408E2"/>
    <w:rsid w:val="292A511A"/>
    <w:rsid w:val="299B6018"/>
    <w:rsid w:val="29A42BB7"/>
    <w:rsid w:val="29FD04D3"/>
    <w:rsid w:val="2A191C1A"/>
    <w:rsid w:val="2B182F87"/>
    <w:rsid w:val="2BFF7BC6"/>
    <w:rsid w:val="2C8A61B5"/>
    <w:rsid w:val="2D574004"/>
    <w:rsid w:val="2DF04E50"/>
    <w:rsid w:val="2E586DFA"/>
    <w:rsid w:val="2EF53AD4"/>
    <w:rsid w:val="2F040D46"/>
    <w:rsid w:val="2F6B035B"/>
    <w:rsid w:val="2FAA0D63"/>
    <w:rsid w:val="2FAE5751"/>
    <w:rsid w:val="2FB1A395"/>
    <w:rsid w:val="2FD9A7D8"/>
    <w:rsid w:val="2FDBF714"/>
    <w:rsid w:val="30AB6865"/>
    <w:rsid w:val="319F7F4E"/>
    <w:rsid w:val="32863641"/>
    <w:rsid w:val="32BD1EF1"/>
    <w:rsid w:val="3304709D"/>
    <w:rsid w:val="33A773CB"/>
    <w:rsid w:val="34670FD0"/>
    <w:rsid w:val="349D6851"/>
    <w:rsid w:val="36AA5135"/>
    <w:rsid w:val="36BE0DA7"/>
    <w:rsid w:val="376B6AA6"/>
    <w:rsid w:val="376D39B2"/>
    <w:rsid w:val="37E16F03"/>
    <w:rsid w:val="37F53A3B"/>
    <w:rsid w:val="38613F89"/>
    <w:rsid w:val="389B6C89"/>
    <w:rsid w:val="38D469F0"/>
    <w:rsid w:val="39627CCD"/>
    <w:rsid w:val="397BAF1F"/>
    <w:rsid w:val="3AB79AF3"/>
    <w:rsid w:val="3AE834C0"/>
    <w:rsid w:val="3B7EF35A"/>
    <w:rsid w:val="3B9FDB6C"/>
    <w:rsid w:val="3BF5BC2F"/>
    <w:rsid w:val="3C2D0D52"/>
    <w:rsid w:val="3CEBA265"/>
    <w:rsid w:val="3D98207C"/>
    <w:rsid w:val="3DEE7CF3"/>
    <w:rsid w:val="3E740A63"/>
    <w:rsid w:val="3E78745D"/>
    <w:rsid w:val="3EE17838"/>
    <w:rsid w:val="3F0A4A61"/>
    <w:rsid w:val="3F55381A"/>
    <w:rsid w:val="3F7F7599"/>
    <w:rsid w:val="3FF4CAE0"/>
    <w:rsid w:val="3FF7B227"/>
    <w:rsid w:val="431D1AA8"/>
    <w:rsid w:val="43421586"/>
    <w:rsid w:val="44AA0726"/>
    <w:rsid w:val="44E268DA"/>
    <w:rsid w:val="450D13D7"/>
    <w:rsid w:val="45506656"/>
    <w:rsid w:val="486A6C7A"/>
    <w:rsid w:val="49D469DB"/>
    <w:rsid w:val="4A627F82"/>
    <w:rsid w:val="4B0E749A"/>
    <w:rsid w:val="4B2477C4"/>
    <w:rsid w:val="4B4F25DA"/>
    <w:rsid w:val="4BE068DB"/>
    <w:rsid w:val="4D1A4ED3"/>
    <w:rsid w:val="4D577224"/>
    <w:rsid w:val="4DBF1CEB"/>
    <w:rsid w:val="4DF0007C"/>
    <w:rsid w:val="4EAB630A"/>
    <w:rsid w:val="4ECE2238"/>
    <w:rsid w:val="4F833267"/>
    <w:rsid w:val="4FE9BD67"/>
    <w:rsid w:val="4FFB052F"/>
    <w:rsid w:val="537E6D0A"/>
    <w:rsid w:val="53F74C96"/>
    <w:rsid w:val="55170BA8"/>
    <w:rsid w:val="553218C9"/>
    <w:rsid w:val="55E2361D"/>
    <w:rsid w:val="567E1AA5"/>
    <w:rsid w:val="56E47B74"/>
    <w:rsid w:val="57175D52"/>
    <w:rsid w:val="57BD3DD4"/>
    <w:rsid w:val="57EA58F1"/>
    <w:rsid w:val="58B56AC5"/>
    <w:rsid w:val="5AAC3332"/>
    <w:rsid w:val="5AF6393C"/>
    <w:rsid w:val="5AF92295"/>
    <w:rsid w:val="5B1F1D55"/>
    <w:rsid w:val="5B250254"/>
    <w:rsid w:val="5BC56459"/>
    <w:rsid w:val="5BDD79E6"/>
    <w:rsid w:val="5BF561CA"/>
    <w:rsid w:val="5BFF5DFC"/>
    <w:rsid w:val="5CD71FC4"/>
    <w:rsid w:val="5D1F11B5"/>
    <w:rsid w:val="5D695134"/>
    <w:rsid w:val="5DAE1B18"/>
    <w:rsid w:val="5DE7D9E5"/>
    <w:rsid w:val="5ECEC941"/>
    <w:rsid w:val="5FBF9FF3"/>
    <w:rsid w:val="5FCD4E2C"/>
    <w:rsid w:val="5FEF394A"/>
    <w:rsid w:val="5FF67715"/>
    <w:rsid w:val="60F564B1"/>
    <w:rsid w:val="614E0C9F"/>
    <w:rsid w:val="62BE1E54"/>
    <w:rsid w:val="62BF3928"/>
    <w:rsid w:val="630006BE"/>
    <w:rsid w:val="63B3701E"/>
    <w:rsid w:val="647F5392"/>
    <w:rsid w:val="65E66580"/>
    <w:rsid w:val="664B1D71"/>
    <w:rsid w:val="664B4E8E"/>
    <w:rsid w:val="665E55C9"/>
    <w:rsid w:val="67277B67"/>
    <w:rsid w:val="67AA3209"/>
    <w:rsid w:val="689C2314"/>
    <w:rsid w:val="689C6793"/>
    <w:rsid w:val="68ED4A3F"/>
    <w:rsid w:val="68F14D31"/>
    <w:rsid w:val="698D0931"/>
    <w:rsid w:val="6A7FE5F3"/>
    <w:rsid w:val="6B053271"/>
    <w:rsid w:val="6BDD78B3"/>
    <w:rsid w:val="6C186A79"/>
    <w:rsid w:val="6C4A05C8"/>
    <w:rsid w:val="6C8742B8"/>
    <w:rsid w:val="6CCF0E0C"/>
    <w:rsid w:val="6DBF5E93"/>
    <w:rsid w:val="6DFF077E"/>
    <w:rsid w:val="6E714EF0"/>
    <w:rsid w:val="6E7E3605"/>
    <w:rsid w:val="6E7FDCC7"/>
    <w:rsid w:val="6ED6A62E"/>
    <w:rsid w:val="6EE00B15"/>
    <w:rsid w:val="6F6FB3EB"/>
    <w:rsid w:val="6F8731EA"/>
    <w:rsid w:val="6F8A3840"/>
    <w:rsid w:val="6FCE6052"/>
    <w:rsid w:val="6FD57C00"/>
    <w:rsid w:val="6FEFFFD8"/>
    <w:rsid w:val="6FF5CC65"/>
    <w:rsid w:val="6FFB47EC"/>
    <w:rsid w:val="6FFF034A"/>
    <w:rsid w:val="700A6768"/>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486D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87930"/>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53FCE"/>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cs="Courier New"/>
      <w:color w:val="000000"/>
      <w:spacing w:val="20"/>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7">
    <w:name w:val="Title"/>
    <w:basedOn w:val="1"/>
    <w:next w:val="1"/>
    <w:qFormat/>
    <w:uiPriority w:val="10"/>
    <w:pPr>
      <w:spacing w:line="700" w:lineRule="exact"/>
      <w:jc w:val="center"/>
    </w:pPr>
    <w:rPr>
      <w:rFonts w:eastAsia="方正小标宋简体"/>
      <w:color w:val="000000"/>
      <w:kern w:val="0"/>
      <w:sz w:val="44"/>
      <w:szCs w:val="4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manualLayout>
          <c:layoutTarget val="inner"/>
          <c:xMode val="edge"/>
          <c:yMode val="edge"/>
          <c:x val="0.0708684210526316"/>
          <c:y val="0.172916666666667"/>
          <c:w val="0.900184210526316"/>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[图表.xlsx]Sheet1!$F$76:$F$77</c:f>
              <c:strCache>
                <c:ptCount val="2"/>
                <c:pt idx="0">
                  <c:v>2023年收支总计</c:v>
                </c:pt>
                <c:pt idx="1">
                  <c:v>2024年收支总计</c:v>
                </c:pt>
              </c:strCache>
            </c:strRef>
          </c:cat>
          <c:val>
            <c:numRef>
              <c:f>[图表.xlsx]Sheet1!$G$76:$G$77</c:f>
              <c:numCache>
                <c:formatCode>General</c:formatCode>
                <c:ptCount val="2"/>
                <c:pt idx="0">
                  <c:v>860.42</c:v>
                </c:pt>
                <c:pt idx="1">
                  <c:v>673.2</c:v>
                </c:pt>
              </c:numCache>
            </c:numRef>
          </c:val>
        </c:ser>
        <c:dLbls>
          <c:showLegendKey val="0"/>
          <c:showVal val="1"/>
          <c:showCatName val="0"/>
          <c:showSerName val="0"/>
          <c:showPercent val="0"/>
          <c:showBubbleSize val="0"/>
        </c:dLbls>
        <c:gapWidth val="246"/>
        <c:overlap val="-28"/>
        <c:axId val="911860159"/>
        <c:axId val="332249765"/>
      </c:barChart>
      <c:catAx>
        <c:axId val="911860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49765"/>
        <c:crosses val="autoZero"/>
        <c:auto val="1"/>
        <c:lblAlgn val="ctr"/>
        <c:lblOffset val="100"/>
        <c:noMultiLvlLbl val="0"/>
      </c:catAx>
      <c:valAx>
        <c:axId val="3322497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860159"/>
        <c:crosses val="autoZero"/>
        <c:crossBetween val="between"/>
      </c:valAx>
      <c:spPr>
        <a:noFill/>
        <a:ln>
          <a:noFill/>
        </a:ln>
        <a:effectLst/>
      </c:spPr>
    </c:plotArea>
    <c:plotVisOnly val="1"/>
    <c:dispBlanksAs val="gap"/>
    <c:showDLblsOverMax val="0"/>
    <c:extLst>
      <c:ext uri="{0b15fc19-7d7d-44ad-8c2d-2c3a37ce22c3}">
        <chartProps xmlns="https://web.wps.cn/et/2018/main" chartId="{36399d7c-5fc8-44d9-a51d-63e4832483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[图表.xlsx]Sheet2!$B$22:$B$29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[图表.xlsx]Sheet2!$C$22:$C$29</c:f>
              <c:numCache>
                <c:formatCode>0.00%</c:formatCode>
                <c:ptCount val="8"/>
                <c:pt idx="0">
                  <c:v>0.9999</c:v>
                </c:pt>
                <c:pt idx="7">
                  <c:v>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a878d2-9bd0-4c5f-83ab-5d8ce44030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[图表.xlsx]Sheet2!$B$49:$B$53</c:f>
              <c:strCache>
                <c:ptCount val="5"/>
                <c:pt idx="0">
                  <c:v>基本支出</c:v>
                </c:pt>
                <c:pt idx="1">
                  <c:v>项目支出</c:v>
                </c:pt>
                <c:pt idx="2">
                  <c:v>上缴上级支出</c:v>
                </c:pt>
                <c:pt idx="3">
                  <c:v>经营支出</c:v>
                </c:pt>
                <c:pt idx="4">
                  <c:v>对附属单位补助支出</c:v>
                </c:pt>
              </c:strCache>
            </c:strRef>
          </c:cat>
          <c:val>
            <c:numRef>
              <c:f>[图表.xlsx]Sheet2!$C$49:$C$53</c:f>
              <c:numCache>
                <c:formatCode>0.00%</c:formatCode>
                <c:ptCount val="5"/>
                <c:pt idx="0">
                  <c:v>0.8438</c:v>
                </c:pt>
                <c:pt idx="1">
                  <c:v>0.1562</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56ff0a-9276-4666-8d53-0b84325773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[图表.xlsx]Sheet2!$B$74:$B$75</c:f>
              <c:strCache>
                <c:ptCount val="2"/>
                <c:pt idx="0">
                  <c:v>2023年财政收支总计</c:v>
                </c:pt>
                <c:pt idx="1">
                  <c:v>2024年财政收支总计</c:v>
                </c:pt>
              </c:strCache>
            </c:strRef>
          </c:cat>
          <c:val>
            <c:numRef>
              <c:f>[图表.xlsx]Sheet2!$C$74:$C$75</c:f>
              <c:numCache>
                <c:formatCode>General</c:formatCode>
                <c:ptCount val="2"/>
                <c:pt idx="0">
                  <c:v>860.23</c:v>
                </c:pt>
                <c:pt idx="1">
                  <c:v>673.01</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e86a8f69-dcf3-4790-b2bc-f44ee2d726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[图表.xlsx]Sheet2!$B$98:$B$99</c:f>
              <c:strCache>
                <c:ptCount val="2"/>
                <c:pt idx="0">
                  <c:v>2023年一般公共预算财政拨款支出</c:v>
                </c:pt>
                <c:pt idx="1">
                  <c:v>2024年一般公共预算财政拨款支出</c:v>
                </c:pt>
              </c:strCache>
            </c:strRef>
          </c:cat>
          <c:val>
            <c:numRef>
              <c:f>[图表.xlsx]Sheet2!$C$98:$C$99</c:f>
              <c:numCache>
                <c:formatCode>General</c:formatCode>
                <c:ptCount val="2"/>
                <c:pt idx="0">
                  <c:v>860</c:v>
                </c:pt>
                <c:pt idx="1">
                  <c:v>672.98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fe7f0275-acb4-4f07-ae85-e8e487ad50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[图表.xlsx]Sheet2!$B$119:$B$123</c:f>
              <c:strCache>
                <c:ptCount val="5"/>
                <c:pt idx="0">
                  <c:v>一般公共服务支出</c:v>
                </c:pt>
                <c:pt idx="1">
                  <c:v>社会保障和就业支出</c:v>
                </c:pt>
                <c:pt idx="2">
                  <c:v>卫生健康支出</c:v>
                </c:pt>
                <c:pt idx="3">
                  <c:v>住房保障支出</c:v>
                </c:pt>
                <c:pt idx="4">
                  <c:v>农林水支出</c:v>
                </c:pt>
              </c:strCache>
            </c:strRef>
          </c:cat>
          <c:val>
            <c:numRef>
              <c:f>[图表.xlsx]Sheet2!$C$119:$C$123</c:f>
              <c:numCache>
                <c:formatCode>0.00%</c:formatCode>
                <c:ptCount val="5"/>
                <c:pt idx="0">
                  <c:v>0.769</c:v>
                </c:pt>
                <c:pt idx="1">
                  <c:v>0.1531</c:v>
                </c:pt>
                <c:pt idx="2">
                  <c:v>0.0208</c:v>
                </c:pt>
                <c:pt idx="3">
                  <c:v>0.0553</c:v>
                </c:pt>
                <c:pt idx="4">
                  <c:v>0.0018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5741ed-e00a-427c-b7e7-8d587795425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经费支出结构图</a:t>
            </a:r>
            <a:endParaRPr lang="en-US" altLang="zh-CN"/>
          </a:p>
        </c:rich>
      </c:tx>
      <c:layout>
        <c:manualLayout>
          <c:xMode val="edge"/>
          <c:yMode val="edge"/>
          <c:x val="0.333552631578947"/>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[图表.xlsx]Sheet1!$S$71:$S$73</c:f>
              <c:strCache>
                <c:ptCount val="3"/>
                <c:pt idx="0">
                  <c:v>因公出国（境）费支出</c:v>
                </c:pt>
                <c:pt idx="1">
                  <c:v>公务用车购置及运行维护费支出</c:v>
                </c:pt>
                <c:pt idx="2">
                  <c:v>公务接待费支出</c:v>
                </c:pt>
              </c:strCache>
            </c:strRef>
          </c:cat>
          <c:val>
            <c:numRef>
              <c:f>[图表.xlsx]Sheet1!$T$71:$T$73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fe60d9-492d-407a-98cf-e773505d2b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7057</Words>
  <Characters>7642</Characters>
  <Lines>61</Lines>
  <Paragraphs>17</Paragraphs>
  <TotalTime>0</TotalTime>
  <ScaleCrop>false</ScaleCrop>
  <LinksUpToDate>false</LinksUpToDate>
  <CharactersWithSpaces>7731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王峰</cp:lastModifiedBy>
  <cp:lastPrinted>2025-08-06T17:34:00Z</cp:lastPrinted>
  <dcterms:modified xsi:type="dcterms:W3CDTF">2025-10-15T08:54:41Z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04787F2533EB45DC91BCDE4AB213247F</vt:lpwstr>
  </property>
  <property fmtid="{D5CDD505-2E9C-101B-9397-08002B2CF9AE}" pid="4" name="KSOTemplateDocerSaveRecord">
    <vt:lpwstr>eyJoZGlkIjoiYzM5N2NmNjFiMGEwOWRiOGNkNTNhN2Y0NTFhODc3ZmIiLCJ1c2VySWQiOiI0OTA2MDYwMjQifQ==</vt:lpwstr>
  </property>
</Properties>
</file>