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78441"/>
      <w:bookmarkStart w:id="2" w:name="_Toc15306267"/>
      <w:bookmarkStart w:id="3" w:name="_Toc15377425"/>
      <w:bookmarkStart w:id="4" w:name="_Toc15396597"/>
      <w:bookmarkStart w:id="5" w:name="_Toc15396475"/>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方正小标宋简体" w:cs="Times New Roman"/>
          <w:color w:val="auto"/>
          <w:kern w:val="2"/>
          <w:sz w:val="44"/>
          <w:szCs w:val="44"/>
          <w:highlight w:val="none"/>
          <w:lang w:val="en-US" w:eastAsia="zh-CN" w:bidi="ar-SA"/>
        </w:rPr>
        <w:t>2024年度中共乐山市金口河区委社会工作部</w:t>
      </w:r>
      <w:r>
        <w:rPr>
          <w:rFonts w:hint="eastAsia" w:ascii="Times New Roman" w:eastAsia="方正小标宋简体" w:cs="Times New Roman"/>
          <w:color w:val="auto"/>
          <w:kern w:val="2"/>
          <w:sz w:val="44"/>
          <w:szCs w:val="44"/>
          <w:highlight w:val="none"/>
          <w:lang w:val="en-US" w:eastAsia="zh-CN" w:bidi="ar-SA"/>
        </w:rPr>
        <w:t>部门</w:t>
      </w:r>
      <w:r>
        <w:rPr>
          <w:rFonts w:hint="eastAsia" w:ascii="Times New Roman" w:hAnsi="Times New Roman" w:eastAsia="方正小标宋简体" w:cs="Times New Roman"/>
          <w:color w:val="auto"/>
          <w:kern w:val="2"/>
          <w:sz w:val="44"/>
          <w:szCs w:val="44"/>
          <w:highlight w:val="none"/>
          <w:lang w:val="en-US" w:eastAsia="zh-CN" w:bidi="ar-SA"/>
        </w:rPr>
        <w:t>决算公开</w:t>
      </w:r>
      <w:r>
        <w:rPr>
          <w:rFonts w:hint="eastAsia" w:ascii="Times New Roman" w:eastAsia="方正小标宋简体" w:cs="Times New Roman"/>
          <w:color w:val="auto"/>
          <w:kern w:val="2"/>
          <w:sz w:val="44"/>
          <w:szCs w:val="44"/>
          <w:highlight w:val="none"/>
          <w:lang w:val="en-US" w:eastAsia="zh-CN" w:bidi="ar-SA"/>
        </w:rPr>
        <w:t>编制</w:t>
      </w:r>
      <w:r>
        <w:rPr>
          <w:rFonts w:hint="eastAsia" w:ascii="Times New Roman" w:hAnsi="Times New Roman" w:eastAsia="方正小标宋简体" w:cs="Times New Roman"/>
          <w:color w:val="auto"/>
          <w:kern w:val="2"/>
          <w:sz w:val="44"/>
          <w:szCs w:val="44"/>
          <w:highlight w:val="none"/>
          <w:lang w:val="en-US" w:eastAsia="zh-CN" w:bidi="ar-SA"/>
        </w:rPr>
        <w:t>说明</w:t>
      </w:r>
    </w:p>
    <w:p>
      <w:pPr>
        <w:pStyle w:val="8"/>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pPr>
        <w:pStyle w:val="13"/>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30 </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3"/>
        <w:tabs>
          <w:tab w:val="right" w:leader="dot" w:pos="8306"/>
          <w:tab w:val="clear" w:pos="8296"/>
        </w:tabs>
      </w:pPr>
      <w:r>
        <w:rPr>
          <w:rFonts w:hint="eastAsia" w:ascii="Times New Roman" w:hAnsi="Times New Roman" w:eastAsia="仿宋_GB2312" w:cs="仿宋_GB2312"/>
          <w:b/>
          <w:bCs/>
          <w:color w:val="auto"/>
          <w:sz w:val="32"/>
          <w:szCs w:val="32"/>
          <w:highlight w:val="none"/>
          <w:lang w:eastAsia="zh-CN"/>
        </w:rPr>
        <w:fldChar w:fldCharType="begin"/>
      </w:r>
      <w:r>
        <w:rPr>
          <w:rFonts w:hint="eastAsia" w:ascii="Times New Roman" w:hAnsi="Times New Roman" w:eastAsia="仿宋_GB2312" w:cs="仿宋_GB2312"/>
          <w:b/>
          <w:bCs/>
          <w:color w:val="auto"/>
          <w:sz w:val="32"/>
          <w:szCs w:val="32"/>
          <w:highlight w:val="none"/>
          <w:lang w:eastAsia="zh-CN"/>
        </w:rPr>
        <w:instrText xml:space="preserve">TOC \o "1-2" \h \u </w:instrText>
      </w:r>
      <w:r>
        <w:rPr>
          <w:rFonts w:hint="eastAsia" w:ascii="Times New Roman" w:hAnsi="Times New Roman" w:eastAsia="仿宋_GB2312" w:cs="仿宋_GB2312"/>
          <w:b/>
          <w:bCs/>
          <w:color w:val="auto"/>
          <w:sz w:val="32"/>
          <w:szCs w:val="32"/>
          <w:highlight w:val="none"/>
          <w:lang w:eastAsia="zh-CN"/>
        </w:rPr>
        <w:fldChar w:fldCharType="separate"/>
      </w: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_Toc30748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fldChar w:fldCharType="begin"/>
      </w:r>
      <w:r>
        <w:instrText xml:space="preserve"> PAGEREF _Toc30748 \h </w:instrText>
      </w:r>
      <w:r>
        <w:fldChar w:fldCharType="separate"/>
      </w:r>
      <w:r>
        <w:t>1</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_Toc14654 </w:instrText>
      </w:r>
      <w:r>
        <w:rPr>
          <w:rFonts w:hint="eastAsia" w:ascii="Times New Roman" w:hAnsi="Times New Roman" w:eastAsia="仿宋_GB2312" w:cs="仿宋_GB2312"/>
          <w:bCs/>
          <w:szCs w:val="32"/>
          <w:highlight w:val="none"/>
          <w:lang w:eastAsia="zh-CN"/>
        </w:rPr>
        <w:fldChar w:fldCharType="separate"/>
      </w:r>
      <w:r>
        <w:rPr>
          <w:rFonts w:hint="eastAsia"/>
          <w:lang w:eastAsia="zh-CN"/>
        </w:rPr>
        <w:t xml:space="preserve">一、 </w:t>
      </w:r>
      <w:r>
        <w:rPr>
          <w:rFonts w:hint="eastAsia" w:ascii="Times New Roman" w:hAnsi="Times New Roman" w:eastAsia="黑体"/>
          <w:highlight w:val="none"/>
          <w:lang w:eastAsia="zh-CN"/>
        </w:rPr>
        <w:t>部门职责</w:t>
      </w:r>
      <w:r>
        <w:tab/>
      </w:r>
      <w:r>
        <w:fldChar w:fldCharType="begin"/>
      </w:r>
      <w:r>
        <w:instrText xml:space="preserve"> PAGEREF _Toc14654 \h </w:instrText>
      </w:r>
      <w:r>
        <w:fldChar w:fldCharType="separate"/>
      </w:r>
      <w:r>
        <w:t>1</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_Toc11383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_Toc11383 \h </w:instrText>
      </w:r>
      <w:r>
        <w:fldChar w:fldCharType="separate"/>
      </w:r>
      <w:r>
        <w:t>2</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3"/>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_Toc8613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_Toc8613 \h </w:instrText>
      </w:r>
      <w:r>
        <w:fldChar w:fldCharType="separate"/>
      </w:r>
      <w:r>
        <w:t>3</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_Toc15743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_Toc15743 \h </w:instrText>
      </w:r>
      <w:r>
        <w:fldChar w:fldCharType="separate"/>
      </w:r>
      <w:r>
        <w:t>3</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_Toc32756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_Toc32756 \h </w:instrText>
      </w:r>
      <w:r>
        <w:fldChar w:fldCharType="separate"/>
      </w:r>
      <w:r>
        <w:t>3</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_Toc7676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_Toc7676 \h </w:instrText>
      </w:r>
      <w:r>
        <w:fldChar w:fldCharType="separate"/>
      </w:r>
      <w:r>
        <w:t>4</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_Toc13743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_Toc13743 \h </w:instrText>
      </w:r>
      <w:r>
        <w:fldChar w:fldCharType="separate"/>
      </w:r>
      <w:r>
        <w:t>5</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_Toc127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_Toc127 \h </w:instrText>
      </w:r>
      <w:r>
        <w:fldChar w:fldCharType="separate"/>
      </w:r>
      <w:r>
        <w:t>6</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_Toc8011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_Toc8011 \h </w:instrText>
      </w:r>
      <w:r>
        <w:fldChar w:fldCharType="separate"/>
      </w:r>
      <w:r>
        <w:t>8</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_Toc5600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_Toc5600 \h </w:instrText>
      </w:r>
      <w:r>
        <w:fldChar w:fldCharType="separate"/>
      </w:r>
      <w:r>
        <w:t>9</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_Toc1826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_Toc1826 \h </w:instrText>
      </w:r>
      <w:r>
        <w:fldChar w:fldCharType="separate"/>
      </w:r>
      <w:r>
        <w:t>11</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_Toc2702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_Toc2702 \h </w:instrText>
      </w:r>
      <w:r>
        <w:fldChar w:fldCharType="separate"/>
      </w:r>
      <w:r>
        <w:t>11</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_Toc14375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_Toc14375 \h </w:instrText>
      </w:r>
      <w:r>
        <w:fldChar w:fldCharType="separate"/>
      </w:r>
      <w:r>
        <w:t>11</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3"/>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_Toc3952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_Toc3952 \h </w:instrText>
      </w:r>
      <w:r>
        <w:fldChar w:fldCharType="separate"/>
      </w:r>
      <w:r>
        <w:t>13</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3"/>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_Toc4678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44"/>
          <w:highlight w:val="none"/>
        </w:rPr>
        <w:t>第</w:t>
      </w:r>
      <w:r>
        <w:rPr>
          <w:rFonts w:hint="eastAsia" w:ascii="Times New Roman" w:hAnsi="Times New Roman" w:eastAsia="黑体"/>
          <w:highlight w:val="none"/>
        </w:rPr>
        <w:t>五部分 附表</w:t>
      </w:r>
      <w:r>
        <w:tab/>
      </w:r>
      <w:r>
        <w:fldChar w:fldCharType="begin"/>
      </w:r>
      <w:r>
        <w:instrText xml:space="preserve"> PAGEREF _Toc4678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_Toc13541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一、收入支出决算总表</w:t>
      </w:r>
      <w:r>
        <w:tab/>
      </w:r>
      <w:r>
        <w:fldChar w:fldCharType="begin"/>
      </w:r>
      <w:r>
        <w:instrText xml:space="preserve"> PAGEREF _Toc13541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_Toc15381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二、收入决算表</w:t>
      </w:r>
      <w:r>
        <w:tab/>
      </w:r>
      <w:r>
        <w:fldChar w:fldCharType="begin"/>
      </w:r>
      <w:r>
        <w:instrText xml:space="preserve"> PAGEREF _Toc15381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_Toc18449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三、支出决算表</w:t>
      </w:r>
      <w:r>
        <w:tab/>
      </w:r>
      <w:r>
        <w:fldChar w:fldCharType="begin"/>
      </w:r>
      <w:r>
        <w:instrText xml:space="preserve"> PAGEREF _Toc18449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_Toc13160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四、财政拨款收入支出决算总表</w:t>
      </w:r>
      <w:r>
        <w:tab/>
      </w:r>
      <w:r>
        <w:fldChar w:fldCharType="begin"/>
      </w:r>
      <w:r>
        <w:instrText xml:space="preserve"> PAGEREF _Toc13160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_Toc10159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五、财政拨款支出决算明细表</w:t>
      </w:r>
      <w:r>
        <w:tab/>
      </w:r>
      <w:r>
        <w:fldChar w:fldCharType="begin"/>
      </w:r>
      <w:r>
        <w:instrText xml:space="preserve"> PAGEREF _Toc10159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_Toc15200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六、一般公共预算财政拨款支出决算表</w:t>
      </w:r>
      <w:r>
        <w:tab/>
      </w:r>
      <w:r>
        <w:fldChar w:fldCharType="begin"/>
      </w:r>
      <w:r>
        <w:instrText xml:space="preserve"> PAGEREF _Toc15200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_Toc13422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七、一般公共预算财政拨款支出决算明细表</w:t>
      </w:r>
      <w:r>
        <w:tab/>
      </w:r>
      <w:r>
        <w:fldChar w:fldCharType="begin"/>
      </w:r>
      <w:r>
        <w:instrText xml:space="preserve"> PAGEREF _Toc13422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_Toc23510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八、一般公共预算财政拨款基本支出决算表</w:t>
      </w:r>
      <w:r>
        <w:tab/>
      </w:r>
      <w:r>
        <w:fldChar w:fldCharType="begin"/>
      </w:r>
      <w:r>
        <w:instrText xml:space="preserve"> PAGEREF _Toc23510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_Toc24854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九、一般公共预算财政拨款项目支出决算表</w:t>
      </w:r>
      <w:r>
        <w:tab/>
      </w:r>
      <w:r>
        <w:fldChar w:fldCharType="begin"/>
      </w:r>
      <w:r>
        <w:instrText xml:space="preserve"> PAGEREF _Toc24854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_Toc1375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十、政府性基金预算财政拨款收入支出决算表</w:t>
      </w:r>
      <w:r>
        <w:tab/>
      </w:r>
      <w:r>
        <w:fldChar w:fldCharType="begin"/>
      </w:r>
      <w:r>
        <w:instrText xml:space="preserve"> PAGEREF _Toc1375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_Toc18706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十一、国有资本经营预算</w:t>
      </w:r>
      <w:r>
        <w:rPr>
          <w:rFonts w:hint="eastAsia" w:ascii="Times New Roman" w:hAnsi="Times New Roman" w:eastAsia="仿宋_GB2312" w:cs="仿宋_GB2312"/>
          <w:szCs w:val="32"/>
          <w:highlight w:val="none"/>
          <w:lang w:eastAsia="zh-CN"/>
        </w:rPr>
        <w:t>财政拨款收入</w:t>
      </w:r>
      <w:r>
        <w:rPr>
          <w:rFonts w:hint="eastAsia" w:ascii="Times New Roman" w:hAnsi="Times New Roman" w:eastAsia="仿宋_GB2312" w:cs="仿宋_GB2312"/>
          <w:szCs w:val="32"/>
          <w:highlight w:val="none"/>
        </w:rPr>
        <w:t>支出决算表</w:t>
      </w:r>
      <w:r>
        <w:tab/>
      </w:r>
      <w:r>
        <w:fldChar w:fldCharType="begin"/>
      </w:r>
      <w:r>
        <w:instrText xml:space="preserve"> PAGEREF _Toc18706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_Toc17984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十二、</w:t>
      </w:r>
      <w:r>
        <w:rPr>
          <w:rFonts w:hint="eastAsia" w:ascii="Times New Roman" w:hAnsi="Times New Roman" w:eastAsia="仿宋_GB2312" w:cs="仿宋_GB2312"/>
          <w:szCs w:val="32"/>
          <w:highlight w:val="none"/>
          <w:lang w:eastAsia="zh-CN"/>
        </w:rPr>
        <w:t>国有资本经营预算财政拨款支出决算表</w:t>
      </w:r>
      <w:r>
        <w:tab/>
      </w:r>
      <w:r>
        <w:fldChar w:fldCharType="begin"/>
      </w:r>
      <w:r>
        <w:instrText xml:space="preserve"> PAGEREF _Toc17984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_Toc10258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十三、</w:t>
      </w:r>
      <w:r>
        <w:rPr>
          <w:rFonts w:hint="eastAsia" w:ascii="Times New Roman" w:hAnsi="Times New Roman" w:eastAsia="仿宋_GB2312" w:cs="仿宋_GB2312"/>
          <w:szCs w:val="32"/>
          <w:highlight w:val="none"/>
          <w:lang w:eastAsia="zh-CN"/>
        </w:rPr>
        <w:t>财政拨款“三公”经费支出决算表</w:t>
      </w:r>
      <w:r>
        <w:tab/>
      </w:r>
      <w:r>
        <w:fldChar w:fldCharType="begin"/>
      </w:r>
      <w:r>
        <w:instrText xml:space="preserve"> PAGEREF _Toc10258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Cs/>
          <w:color w:val="auto"/>
          <w:szCs w:val="32"/>
          <w:highlight w:val="none"/>
          <w:lang w:eastAsia="zh-CN"/>
        </w:rPr>
        <w:fldChar w:fldCharType="end"/>
      </w:r>
    </w:p>
    <w:p>
      <w:pPr>
        <w:pStyle w:val="5"/>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6" w:name="_Toc15377196"/>
      <w:bookmarkStart w:id="7" w:name="_Toc15396599"/>
    </w:p>
    <w:p>
      <w:pPr>
        <w:pStyle w:val="5"/>
        <w:jc w:val="center"/>
        <w:rPr>
          <w:rFonts w:ascii="Times New Roman" w:hAnsi="Times New Roman" w:eastAsia="黑体"/>
          <w:color w:val="auto"/>
          <w:sz w:val="32"/>
          <w:szCs w:val="32"/>
          <w:highlight w:val="none"/>
        </w:rPr>
      </w:pPr>
      <w:bookmarkStart w:id="8" w:name="_Toc30748"/>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bookmarkEnd w:id="8"/>
    </w:p>
    <w:p>
      <w:pPr>
        <w:pStyle w:val="6"/>
        <w:numPr>
          <w:ilvl w:val="0"/>
          <w:numId w:val="1"/>
        </w:numPr>
        <w:rPr>
          <w:rFonts w:hint="eastAsia"/>
          <w:lang w:eastAsia="zh-CN"/>
        </w:rPr>
      </w:pPr>
      <w:bookmarkStart w:id="9" w:name="_Toc14654"/>
      <w:r>
        <w:rPr>
          <w:rFonts w:hint="eastAsia" w:ascii="Times New Roman" w:hAnsi="Times New Roman" w:eastAsia="黑体"/>
          <w:b w:val="0"/>
          <w:color w:val="auto"/>
          <w:highlight w:val="none"/>
          <w:lang w:eastAsia="zh-CN"/>
        </w:rPr>
        <w:t>部门职责</w:t>
      </w:r>
      <w:bookmarkEnd w:id="9"/>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kern w:val="0"/>
          <w:sz w:val="32"/>
          <w:szCs w:val="32"/>
          <w:lang w:val="en-US" w:eastAsia="zh-CN"/>
        </w:rPr>
      </w:pPr>
      <w:bookmarkStart w:id="10" w:name="_Toc15396601"/>
      <w:bookmarkStart w:id="11" w:name="_Toc15377200"/>
      <w:r>
        <w:rPr>
          <w:rFonts w:hint="eastAsia" w:ascii="仿宋_GB2312" w:hAnsi="仿宋_GB2312" w:eastAsia="仿宋_GB2312" w:cs="仿宋_GB2312"/>
          <w:kern w:val="0"/>
          <w:sz w:val="32"/>
          <w:szCs w:val="32"/>
          <w:lang w:val="en-US" w:eastAsia="zh-CN"/>
        </w:rPr>
        <w:t>1.研究相关理论、政策和规划，起草相关文件并组织实施。</w:t>
      </w:r>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default" w:ascii="仿宋_GB2312" w:hAnsi="仿宋_GB2312" w:eastAsia="仿宋_GB2312" w:cs="仿宋_GB2312"/>
          <w:kern w:val="0"/>
          <w:sz w:val="32"/>
          <w:szCs w:val="32"/>
        </w:rPr>
        <w:t>统筹指导人民信访工作</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‌指导人民建议征集工作</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收集和处理人民群众的建议和意见，为决策提供参考。</w:t>
      </w:r>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default" w:ascii="仿宋_GB2312" w:hAnsi="仿宋_GB2312" w:eastAsia="仿宋_GB2312" w:cs="仿宋_GB2312"/>
          <w:kern w:val="0"/>
          <w:sz w:val="32"/>
          <w:szCs w:val="32"/>
        </w:rPr>
        <w:t>‌统筹推进党建引领基层治理和基层政权建设</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协调推进城乡社区治理体系、服务体系和治理能力建设，</w:t>
      </w:r>
      <w:r>
        <w:rPr>
          <w:rFonts w:hint="default" w:ascii="仿宋_GB2312" w:hAnsi="仿宋_GB2312" w:eastAsia="仿宋_GB2312" w:cs="仿宋_GB2312"/>
          <w:kern w:val="0"/>
          <w:sz w:val="32"/>
          <w:szCs w:val="32"/>
        </w:rPr>
        <w:t>推动基层</w:t>
      </w:r>
      <w:r>
        <w:rPr>
          <w:rFonts w:hint="eastAsia" w:ascii="仿宋_GB2312" w:hAnsi="仿宋_GB2312" w:eastAsia="仿宋_GB2312" w:cs="仿宋_GB2312"/>
          <w:kern w:val="0"/>
          <w:sz w:val="32"/>
          <w:szCs w:val="32"/>
          <w:lang w:val="en-US" w:eastAsia="zh-CN"/>
        </w:rPr>
        <w:t>民主政治建设，指导监督基层群众自治制度的有效实施，健全基层群众自治机制</w:t>
      </w:r>
      <w:r>
        <w:rPr>
          <w:rFonts w:hint="default" w:ascii="仿宋_GB2312" w:hAnsi="仿宋_GB2312" w:eastAsia="仿宋_GB2312" w:cs="仿宋_GB2312"/>
          <w:kern w:val="0"/>
          <w:sz w:val="32"/>
          <w:szCs w:val="32"/>
        </w:rPr>
        <w:t>，提升基层治理水平。</w:t>
      </w:r>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default" w:ascii="仿宋_GB2312" w:hAnsi="仿宋_GB2312" w:eastAsia="仿宋_GB2312" w:cs="仿宋_GB2312"/>
          <w:kern w:val="0"/>
          <w:sz w:val="32"/>
          <w:szCs w:val="32"/>
        </w:rPr>
        <w:t>‌统一领导全</w:t>
      </w:r>
      <w:r>
        <w:rPr>
          <w:rFonts w:hint="eastAsia" w:ascii="仿宋_GB2312" w:hAnsi="仿宋_GB2312" w:eastAsia="仿宋_GB2312" w:cs="仿宋_GB2312"/>
          <w:kern w:val="0"/>
          <w:sz w:val="32"/>
          <w:szCs w:val="32"/>
          <w:lang w:val="en-US" w:eastAsia="zh-CN"/>
        </w:rPr>
        <w:t>区</w:t>
      </w:r>
      <w:r>
        <w:rPr>
          <w:rFonts w:hint="default" w:ascii="仿宋_GB2312" w:hAnsi="仿宋_GB2312" w:eastAsia="仿宋_GB2312" w:cs="仿宋_GB2312"/>
          <w:kern w:val="0"/>
          <w:sz w:val="32"/>
          <w:szCs w:val="32"/>
        </w:rPr>
        <w:t>性</w:t>
      </w:r>
      <w:r>
        <w:rPr>
          <w:rFonts w:hint="eastAsia" w:ascii="仿宋_GB2312" w:hAnsi="仿宋_GB2312" w:eastAsia="仿宋_GB2312" w:cs="仿宋_GB2312"/>
          <w:kern w:val="0"/>
          <w:sz w:val="32"/>
          <w:szCs w:val="32"/>
          <w:lang w:val="en-US" w:eastAsia="zh-CN"/>
        </w:rPr>
        <w:t>社会组织党建</w:t>
      </w:r>
      <w:r>
        <w:rPr>
          <w:rFonts w:hint="default" w:ascii="仿宋_GB2312" w:hAnsi="仿宋_GB2312" w:eastAsia="仿宋_GB2312" w:cs="仿宋_GB2312"/>
          <w:kern w:val="0"/>
          <w:sz w:val="32"/>
          <w:szCs w:val="32"/>
        </w:rPr>
        <w:t>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统一领导全区性行业协会商会党的工作，</w:t>
      </w:r>
      <w:r>
        <w:rPr>
          <w:rFonts w:hint="default" w:ascii="仿宋_GB2312" w:hAnsi="仿宋_GB2312" w:eastAsia="仿宋_GB2312" w:cs="仿宋_GB2312"/>
          <w:kern w:val="0"/>
          <w:sz w:val="32"/>
          <w:szCs w:val="32"/>
        </w:rPr>
        <w:t>协调推动行业协会商会的改革和转型发展，确保其在经济社会发展中的积极作用。</w:t>
      </w:r>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default" w:ascii="仿宋_GB2312" w:hAnsi="仿宋_GB2312" w:eastAsia="仿宋_GB2312" w:cs="仿宋_GB2312"/>
          <w:kern w:val="0"/>
          <w:sz w:val="32"/>
          <w:szCs w:val="32"/>
        </w:rPr>
        <w:t>‌指导</w:t>
      </w:r>
      <w:r>
        <w:rPr>
          <w:rFonts w:hint="eastAsia" w:ascii="仿宋_GB2312" w:hAnsi="仿宋_GB2312" w:eastAsia="仿宋_GB2312" w:cs="仿宋_GB2312"/>
          <w:kern w:val="0"/>
          <w:sz w:val="32"/>
          <w:szCs w:val="32"/>
          <w:lang w:val="en-US" w:eastAsia="zh-CN"/>
        </w:rPr>
        <w:t>全区</w:t>
      </w:r>
      <w:r>
        <w:rPr>
          <w:rFonts w:hint="default" w:ascii="仿宋_GB2312" w:hAnsi="仿宋_GB2312" w:eastAsia="仿宋_GB2312" w:cs="仿宋_GB2312"/>
          <w:kern w:val="0"/>
          <w:sz w:val="32"/>
          <w:szCs w:val="32"/>
        </w:rPr>
        <w:t>混合所有制企业、非公有制企业和新经济组织、新社会组织、新就业群体</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两企三新</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党建工作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指导协调相关企业单位、社会组织、就业群体中党员的教育、管理、监督和服务工作，研究完善相关领域群众利益协调机制</w:t>
      </w:r>
      <w:r>
        <w:rPr>
          <w:rFonts w:hint="default" w:ascii="仿宋_GB2312" w:hAnsi="仿宋_GB2312" w:eastAsia="仿宋_GB2312" w:cs="仿宋_GB2312"/>
          <w:kern w:val="0"/>
          <w:sz w:val="32"/>
          <w:szCs w:val="32"/>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default" w:ascii="仿宋_GB2312" w:hAnsi="仿宋_GB2312" w:eastAsia="仿宋_GB2312" w:cs="仿宋_GB2312"/>
          <w:kern w:val="0"/>
          <w:sz w:val="32"/>
          <w:szCs w:val="32"/>
        </w:rPr>
        <w:t>‌负责</w:t>
      </w:r>
      <w:r>
        <w:rPr>
          <w:rFonts w:hint="eastAsia" w:ascii="仿宋_GB2312" w:hAnsi="仿宋_GB2312" w:eastAsia="仿宋_GB2312" w:cs="仿宋_GB2312"/>
          <w:kern w:val="0"/>
          <w:sz w:val="32"/>
          <w:szCs w:val="32"/>
          <w:lang w:val="en-US" w:eastAsia="zh-CN"/>
        </w:rPr>
        <w:t>全区</w:t>
      </w:r>
      <w:r>
        <w:rPr>
          <w:rFonts w:hint="default" w:ascii="仿宋_GB2312" w:hAnsi="仿宋_GB2312" w:eastAsia="仿宋_GB2312" w:cs="仿宋_GB2312"/>
          <w:kern w:val="0"/>
          <w:sz w:val="32"/>
          <w:szCs w:val="32"/>
        </w:rPr>
        <w:t>志愿服务工作的统筹规划、协调指导和督促检查</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‌指导社会工作人才队伍建设</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志愿服务人才队伍建设和阵地建设，</w:t>
      </w:r>
      <w:r>
        <w:rPr>
          <w:rFonts w:hint="default" w:ascii="仿宋_GB2312" w:hAnsi="仿宋_GB2312" w:eastAsia="仿宋_GB2312" w:cs="仿宋_GB2312"/>
          <w:kern w:val="0"/>
          <w:sz w:val="32"/>
          <w:szCs w:val="32"/>
        </w:rPr>
        <w:t>推动</w:t>
      </w:r>
      <w:r>
        <w:rPr>
          <w:rFonts w:hint="eastAsia" w:ascii="仿宋_GB2312" w:hAnsi="仿宋_GB2312" w:eastAsia="仿宋_GB2312" w:cs="仿宋_GB2312"/>
          <w:kern w:val="0"/>
          <w:sz w:val="32"/>
          <w:szCs w:val="32"/>
          <w:lang w:val="en-US" w:eastAsia="zh-CN"/>
        </w:rPr>
        <w:t>全区</w:t>
      </w:r>
      <w:r>
        <w:rPr>
          <w:rFonts w:hint="default" w:ascii="仿宋_GB2312" w:hAnsi="仿宋_GB2312" w:eastAsia="仿宋_GB2312" w:cs="仿宋_GB2312"/>
          <w:kern w:val="0"/>
          <w:sz w:val="32"/>
          <w:szCs w:val="32"/>
        </w:rPr>
        <w:t>志愿服务事业的发展。</w:t>
      </w:r>
    </w:p>
    <w:p>
      <w:pPr>
        <w:pageBreakBefore w:val="0"/>
        <w:widowControl w:val="0"/>
        <w:kinsoku/>
        <w:wordWrap/>
        <w:overflowPunct/>
        <w:topLinePunct w:val="0"/>
        <w:autoSpaceDE/>
        <w:autoSpaceDN/>
        <w:bidi w:val="0"/>
        <w:adjustRightInd/>
        <w:snapToGrid/>
        <w:ind w:firstLine="640" w:firstLineChars="200"/>
        <w:textAlignment w:val="auto"/>
        <w:outlineLvl w:val="9"/>
        <w:rPr>
          <w:rFonts w:hint="eastAsia" w:ascii="Times New Roman" w:hAnsi="Times New Roman" w:eastAsia="黑体"/>
          <w:b w:val="0"/>
          <w:bCs w:val="0"/>
          <w:color w:val="auto"/>
          <w:highlight w:val="none"/>
        </w:rPr>
      </w:pPr>
      <w:r>
        <w:rPr>
          <w:rFonts w:hint="eastAsia" w:ascii="仿宋_GB2312" w:hAnsi="仿宋_GB2312" w:eastAsia="仿宋_GB2312" w:cs="仿宋_GB2312"/>
          <w:b w:val="0"/>
          <w:bCs w:val="0"/>
          <w:kern w:val="0"/>
          <w:sz w:val="32"/>
          <w:szCs w:val="32"/>
          <w:lang w:val="en-US" w:eastAsia="zh-CN"/>
        </w:rPr>
        <w:t>7.完成区委交办的其他任务</w:t>
      </w:r>
      <w:r>
        <w:rPr>
          <w:rFonts w:hint="default" w:ascii="仿宋_GB2312" w:hAnsi="仿宋_GB2312" w:eastAsia="仿宋_GB2312" w:cs="仿宋_GB2312"/>
          <w:b w:val="0"/>
          <w:bCs w:val="0"/>
          <w:kern w:val="0"/>
          <w:sz w:val="32"/>
          <w:szCs w:val="32"/>
        </w:rPr>
        <w:t>。</w:t>
      </w:r>
    </w:p>
    <w:p>
      <w:pPr>
        <w:pStyle w:val="6"/>
        <w:rPr>
          <w:rStyle w:val="29"/>
          <w:rFonts w:ascii="Times New Roman" w:hAnsi="Times New Roman"/>
          <w:b w:val="0"/>
          <w:bCs w:val="0"/>
          <w:color w:val="auto"/>
          <w:highlight w:val="none"/>
        </w:rPr>
      </w:pPr>
      <w:bookmarkStart w:id="12" w:name="_Toc11383"/>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bookmarkEnd w:id="12"/>
    </w:p>
    <w:p>
      <w:pPr>
        <w:pStyle w:val="8"/>
        <w:adjustRightInd w:val="0"/>
        <w:snapToGrid w:val="0"/>
        <w:spacing w:before="93" w:line="600" w:lineRule="exact"/>
        <w:ind w:firstLine="1120" w:firstLineChars="350"/>
        <w:rPr>
          <w:rFonts w:hint="eastAsia" w:ascii="Times New Roman" w:hAnsi="Times New Roman"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中共乐山市金口河区委社会工作部</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r>
        <w:rPr>
          <w:rFonts w:hint="eastAsia" w:ascii="Times New Roman" w:cs="仿宋_GB2312"/>
          <w:color w:val="auto"/>
          <w:sz w:val="32"/>
          <w:szCs w:val="32"/>
          <w:highlight w:val="none"/>
          <w:lang w:eastAsia="zh-CN"/>
        </w:rPr>
        <w:t>。</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5"/>
        <w:jc w:val="center"/>
        <w:rPr>
          <w:rFonts w:hint="eastAsia" w:ascii="Times New Roman" w:hAnsi="Times New Roman" w:eastAsia="方正小标宋简体" w:cs="方正小标宋简体"/>
          <w:b w:val="0"/>
          <w:color w:val="auto"/>
          <w:highlight w:val="none"/>
        </w:rPr>
      </w:pPr>
      <w:bookmarkStart w:id="13" w:name="_Toc15377204"/>
      <w:bookmarkStart w:id="14" w:name="_Toc15396602"/>
      <w:bookmarkStart w:id="15" w:name="_Toc8613"/>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3"/>
      <w:bookmarkEnd w:id="14"/>
      <w:bookmarkEnd w:id="15"/>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96603"/>
      <w:bookmarkStart w:id="17" w:name="_Toc15377205"/>
      <w:bookmarkStart w:id="18" w:name="_Toc1574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6"/>
      <w:bookmarkEnd w:id="17"/>
      <w:bookmarkEnd w:id="18"/>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102.92</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2023年无数据，主要原因是本单位是2024年新成立部门。</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9"/>
        <w:rPr>
          <w:rFonts w:hint="default" w:eastAsia="仿宋_GB2312" w:cs="仿宋_GB2312"/>
          <w:color w:val="auto"/>
          <w:sz w:val="32"/>
          <w:szCs w:val="32"/>
          <w:highlight w:val="none"/>
          <w:lang w:val="en-US" w:eastAsia="zh-CN"/>
        </w:rPr>
      </w:pPr>
      <w:r>
        <w:drawing>
          <wp:anchor distT="0" distB="0" distL="114300" distR="114300" simplePos="0" relativeHeight="251660288" behindDoc="0" locked="0" layoutInCell="1" allowOverlap="1">
            <wp:simplePos x="0" y="0"/>
            <wp:positionH relativeFrom="column">
              <wp:posOffset>128270</wp:posOffset>
            </wp:positionH>
            <wp:positionV relativeFrom="paragraph">
              <wp:posOffset>338455</wp:posOffset>
            </wp:positionV>
            <wp:extent cx="4838700" cy="2959100"/>
            <wp:effectExtent l="4445" t="4445" r="14605" b="825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9" w:name="_Toc32756"/>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19"/>
      <w:bookmarkEnd w:id="20"/>
      <w:bookmarkEnd w:id="2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102.92万元，其中：一般公共预算财政拨款收入102.92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drawing>
          <wp:anchor distT="0" distB="0" distL="114300" distR="114300" simplePos="0" relativeHeight="251661312" behindDoc="0" locked="0" layoutInCell="1" allowOverlap="1">
            <wp:simplePos x="0" y="0"/>
            <wp:positionH relativeFrom="column">
              <wp:posOffset>252095</wp:posOffset>
            </wp:positionH>
            <wp:positionV relativeFrom="paragraph">
              <wp:posOffset>1395095</wp:posOffset>
            </wp:positionV>
            <wp:extent cx="4714875" cy="2967990"/>
            <wp:effectExtent l="5080" t="4445" r="4445" b="1841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77207"/>
      <w:bookmarkStart w:id="23" w:name="_Toc7676"/>
      <w:bookmarkStart w:id="24"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bookmarkEnd w:id="24"/>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102.92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85.72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83.28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17.2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16.71</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bookmarkStart w:id="90" w:name="_GoBack"/>
      <w:bookmarkEnd w:id="90"/>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Times New Roman" w:hAnsi="Times New Roman" w:eastAsia="仿宋_GB2312" w:cs="仿宋_GB2312"/>
          <w:b/>
          <w:bCs/>
          <w:color w:val="auto"/>
          <w:sz w:val="32"/>
          <w:szCs w:val="32"/>
          <w:highlight w:val="none"/>
          <w:lang w:eastAsia="zh-CN"/>
        </w:rPr>
      </w:pPr>
      <w:r>
        <w:drawing>
          <wp:anchor distT="0" distB="0" distL="114300" distR="114300" simplePos="0" relativeHeight="251662336" behindDoc="0" locked="0" layoutInCell="1" allowOverlap="1">
            <wp:simplePos x="0" y="0"/>
            <wp:positionH relativeFrom="column">
              <wp:posOffset>309245</wp:posOffset>
            </wp:positionH>
            <wp:positionV relativeFrom="paragraph">
              <wp:posOffset>318770</wp:posOffset>
            </wp:positionV>
            <wp:extent cx="4572000" cy="2749550"/>
            <wp:effectExtent l="4445" t="4445" r="14605" b="825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spacing w:line="600" w:lineRule="exact"/>
        <w:ind w:firstLine="640" w:firstLineChars="200"/>
        <w:outlineLvl w:val="1"/>
        <w:rPr>
          <w:rStyle w:val="29"/>
          <w:rFonts w:ascii="Times New Roman" w:hAnsi="Times New Roman" w:eastAsia="黑体"/>
          <w:b w:val="0"/>
          <w:color w:val="auto"/>
          <w:highlight w:val="none"/>
        </w:rPr>
      </w:pPr>
      <w:bookmarkStart w:id="25" w:name="_Toc15396606"/>
      <w:bookmarkStart w:id="26" w:name="_Toc13743"/>
      <w:bookmarkStart w:id="27"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5"/>
      <w:bookmarkEnd w:id="26"/>
      <w:bookmarkEnd w:id="2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102.92</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sz w:val="32"/>
          <w:szCs w:val="32"/>
          <w:highlight w:val="none"/>
          <w:lang w:val="en-US" w:eastAsia="zh-CN"/>
        </w:rPr>
        <w:t>2023年无数据，主要原因是本单位是2024年新成立部门。</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287020</wp:posOffset>
            </wp:positionH>
            <wp:positionV relativeFrom="paragraph">
              <wp:posOffset>269875</wp:posOffset>
            </wp:positionV>
            <wp:extent cx="4572000" cy="2749550"/>
            <wp:effectExtent l="4445" t="4445" r="14605" b="8255"/>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29"/>
          <w:rFonts w:ascii="Times New Roman" w:hAnsi="Times New Roman" w:eastAsia="黑体"/>
          <w:b w:val="0"/>
          <w:color w:val="auto"/>
          <w:highlight w:val="none"/>
        </w:rPr>
      </w:pPr>
      <w:bookmarkStart w:id="28" w:name="_Toc15377209"/>
      <w:bookmarkStart w:id="29" w:name="_Toc15396607"/>
      <w:bookmarkStart w:id="30" w:name="_Toc12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3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102.92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2023年无数据，主要原因是本单位是2024年新成立部门。</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4384" behindDoc="0" locked="0" layoutInCell="1" allowOverlap="1">
            <wp:simplePos x="0" y="0"/>
            <wp:positionH relativeFrom="column">
              <wp:posOffset>252095</wp:posOffset>
            </wp:positionH>
            <wp:positionV relativeFrom="paragraph">
              <wp:posOffset>159385</wp:posOffset>
            </wp:positionV>
            <wp:extent cx="4572000" cy="2749550"/>
            <wp:effectExtent l="4445" t="4445" r="14605" b="8255"/>
            <wp:wrapTopAndBottom/>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3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2"/>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102.92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63.53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61.73</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33.64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32.68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1.39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1.35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4.35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4.24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5408" behindDoc="0" locked="0" layoutInCell="1" allowOverlap="1">
            <wp:simplePos x="0" y="0"/>
            <wp:positionH relativeFrom="column">
              <wp:posOffset>467995</wp:posOffset>
            </wp:positionH>
            <wp:positionV relativeFrom="paragraph">
              <wp:posOffset>375920</wp:posOffset>
            </wp:positionV>
            <wp:extent cx="4572000" cy="2743200"/>
            <wp:effectExtent l="4445" t="4445" r="14605" b="14605"/>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3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3"/>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34" w:name="_Toc15377213"/>
      <w:bookmarkStart w:id="35" w:name="_Toc15377444"/>
      <w:bookmarkStart w:id="36"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102.92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4"/>
      <w:bookmarkEnd w:id="35"/>
      <w:bookmarkEnd w:id="36"/>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29.06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17.28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pBdr>
          <w:top w:val="single" w:color="FFFFFF" w:sz="4" w:space="4"/>
          <w:left w:val="single" w:color="FFFFFF" w:sz="4" w:space="31"/>
          <w:bottom w:val="single" w:color="FFFFFF" w:sz="4" w:space="31"/>
          <w:right w:val="single" w:color="FFFFFF" w:sz="4" w:space="31"/>
        </w:pBdr>
        <w:kinsoku/>
        <w:wordWrap/>
        <w:overflowPunct/>
        <w:topLinePunct w:val="0"/>
        <w:autoSpaceDE/>
        <w:autoSpaceDN/>
        <w:bidi w:val="0"/>
        <w:adjustRightInd/>
        <w:snapToGrid/>
        <w:spacing w:line="560" w:lineRule="exact"/>
        <w:ind w:firstLine="640" w:firstLineChars="200"/>
        <w:textAlignment w:val="auto"/>
        <w:outlineLvl w:val="9"/>
        <w:rPr>
          <w:rStyle w:val="17"/>
          <w:rFonts w:hint="eastAsia" w:ascii="仿宋" w:hAnsi="仿宋" w:eastAsia="仿宋"/>
          <w:b w:val="0"/>
          <w:bCs w:val="0"/>
          <w:color w:val="auto"/>
          <w:sz w:val="32"/>
          <w:szCs w:val="32"/>
          <w:highlight w:val="none"/>
        </w:rPr>
      </w:pPr>
      <w:r>
        <w:rPr>
          <w:rStyle w:val="17"/>
          <w:rFonts w:hint="eastAsia" w:ascii="仿宋" w:hAnsi="仿宋" w:eastAsia="仿宋"/>
          <w:b w:val="0"/>
          <w:bCs w:val="0"/>
          <w:color w:val="auto"/>
          <w:sz w:val="32"/>
          <w:szCs w:val="32"/>
          <w:highlight w:val="none"/>
          <w:lang w:val="en-US" w:eastAsia="zh-CN"/>
        </w:rPr>
        <w:t>4</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sz w:val="32"/>
          <w:szCs w:val="32"/>
          <w:lang w:val="en-US" w:eastAsia="zh-CN"/>
        </w:rPr>
        <w:t>社会保障和就业支出（类）行政事业单位养老支出（款）</w:t>
      </w:r>
      <w:r>
        <w:rPr>
          <w:rStyle w:val="17"/>
          <w:rFonts w:hint="eastAsia" w:ascii="仿宋" w:hAnsi="仿宋" w:eastAsia="仿宋"/>
          <w:b w:val="0"/>
          <w:bCs w:val="0"/>
          <w:color w:val="auto"/>
          <w:sz w:val="32"/>
          <w:szCs w:val="32"/>
          <w:highlight w:val="none"/>
          <w:lang w:val="en-US" w:eastAsia="zh-CN"/>
        </w:rPr>
        <w:t>机关事业单位基本养老保险缴费支出（项）</w:t>
      </w:r>
      <w:r>
        <w:rPr>
          <w:rStyle w:val="17"/>
          <w:rFonts w:ascii="仿宋" w:hAnsi="仿宋" w:eastAsia="仿宋"/>
          <w:b w:val="0"/>
          <w:bCs w:val="0"/>
          <w:color w:val="auto"/>
          <w:sz w:val="32"/>
          <w:szCs w:val="32"/>
          <w:highlight w:val="none"/>
        </w:rPr>
        <w:t xml:space="preserve">: </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5.03</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w:t>
      </w:r>
    </w:p>
    <w:p>
      <w:pPr>
        <w:keepNext w:val="0"/>
        <w:keepLines w:val="0"/>
        <w:pageBreakBefore w:val="0"/>
        <w:widowControl w:val="0"/>
        <w:numPr>
          <w:ilvl w:val="0"/>
          <w:numId w:val="0"/>
        </w:numPr>
        <w:pBdr>
          <w:top w:val="single" w:color="FFFFFF" w:sz="4" w:space="4"/>
          <w:left w:val="single" w:color="FFFFFF" w:sz="4" w:space="31"/>
          <w:bottom w:val="single" w:color="FFFFFF" w:sz="4" w:space="31"/>
          <w:right w:val="single" w:color="FFFFFF" w:sz="4" w:space="31"/>
        </w:pBdr>
        <w:kinsoku/>
        <w:wordWrap/>
        <w:overflowPunct/>
        <w:topLinePunct w:val="0"/>
        <w:autoSpaceDE/>
        <w:autoSpaceDN/>
        <w:bidi w:val="0"/>
        <w:adjustRightInd/>
        <w:snapToGrid/>
        <w:spacing w:line="560" w:lineRule="exact"/>
        <w:ind w:firstLine="640" w:firstLineChars="200"/>
        <w:textAlignment w:val="auto"/>
        <w:outlineLvl w:val="9"/>
        <w:rPr>
          <w:rStyle w:val="17"/>
          <w:rFonts w:hint="eastAsia" w:ascii="仿宋" w:hAnsi="仿宋" w:eastAsia="仿宋"/>
          <w:b w:val="0"/>
          <w:bCs w:val="0"/>
          <w:color w:val="auto"/>
          <w:sz w:val="32"/>
          <w:szCs w:val="32"/>
          <w:highlight w:val="none"/>
        </w:rPr>
      </w:pPr>
      <w:r>
        <w:rPr>
          <w:rStyle w:val="17"/>
          <w:rFonts w:hint="eastAsia" w:ascii="仿宋" w:hAnsi="仿宋" w:eastAsia="仿宋"/>
          <w:b w:val="0"/>
          <w:bCs w:val="0"/>
          <w:color w:val="auto"/>
          <w:sz w:val="32"/>
          <w:szCs w:val="32"/>
          <w:highlight w:val="none"/>
          <w:lang w:val="en-US" w:eastAsia="zh-CN"/>
        </w:rPr>
        <w:t>5</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sz w:val="32"/>
          <w:szCs w:val="32"/>
          <w:lang w:val="en-US" w:eastAsia="zh-CN"/>
        </w:rPr>
        <w:t>社会保障和就业支出（类）行政事业单位养老支出（款）</w:t>
      </w:r>
      <w:r>
        <w:rPr>
          <w:rStyle w:val="17"/>
          <w:rFonts w:hint="eastAsia" w:ascii="仿宋" w:hAnsi="仿宋" w:eastAsia="仿宋"/>
          <w:b w:val="0"/>
          <w:bCs w:val="0"/>
          <w:color w:val="auto"/>
          <w:sz w:val="32"/>
          <w:szCs w:val="32"/>
          <w:highlight w:val="none"/>
        </w:rPr>
        <w:t>机关事业单位职业年金缴费支出</w:t>
      </w:r>
      <w:r>
        <w:rPr>
          <w:rStyle w:val="17"/>
          <w:rFonts w:hint="eastAsia" w:ascii="仿宋" w:hAnsi="仿宋" w:eastAsia="仿宋"/>
          <w:b w:val="0"/>
          <w:bCs w:val="0"/>
          <w:color w:val="auto"/>
          <w:sz w:val="32"/>
          <w:szCs w:val="32"/>
          <w:highlight w:val="none"/>
          <w:lang w:eastAsia="zh-CN"/>
        </w:rPr>
        <w:t>（</w:t>
      </w:r>
      <w:r>
        <w:rPr>
          <w:rStyle w:val="17"/>
          <w:rFonts w:hint="eastAsia" w:ascii="仿宋" w:hAnsi="仿宋" w:eastAsia="仿宋"/>
          <w:b w:val="0"/>
          <w:bCs w:val="0"/>
          <w:color w:val="auto"/>
          <w:sz w:val="32"/>
          <w:szCs w:val="32"/>
          <w:highlight w:val="none"/>
          <w:lang w:val="en-US" w:eastAsia="zh-CN"/>
        </w:rPr>
        <w:t>项</w:t>
      </w:r>
      <w:r>
        <w:rPr>
          <w:rStyle w:val="17"/>
          <w:rFonts w:hint="eastAsia" w:ascii="仿宋" w:hAnsi="仿宋" w:eastAsia="仿宋"/>
          <w:b w:val="0"/>
          <w:bCs w:val="0"/>
          <w:color w:val="auto"/>
          <w:sz w:val="32"/>
          <w:szCs w:val="32"/>
          <w:highlight w:val="none"/>
          <w:lang w:eastAsia="zh-CN"/>
        </w:rPr>
        <w:t>）</w:t>
      </w:r>
      <w:r>
        <w:rPr>
          <w:rStyle w:val="17"/>
          <w:rFonts w:ascii="仿宋" w:hAnsi="仿宋" w:eastAsia="仿宋"/>
          <w:b w:val="0"/>
          <w:bCs w:val="0"/>
          <w:color w:val="auto"/>
          <w:sz w:val="32"/>
          <w:szCs w:val="32"/>
          <w:highlight w:val="none"/>
        </w:rPr>
        <w:t xml:space="preserve">: </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2.51</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w:t>
      </w:r>
    </w:p>
    <w:p>
      <w:pPr>
        <w:keepNext w:val="0"/>
        <w:keepLines w:val="0"/>
        <w:pageBreakBefore w:val="0"/>
        <w:widowControl w:val="0"/>
        <w:numPr>
          <w:ilvl w:val="0"/>
          <w:numId w:val="0"/>
        </w:numPr>
        <w:pBdr>
          <w:top w:val="single" w:color="FFFFFF" w:sz="4" w:space="4"/>
          <w:left w:val="single" w:color="FFFFFF" w:sz="4" w:space="31"/>
          <w:bottom w:val="single" w:color="FFFFFF" w:sz="4" w:space="31"/>
          <w:right w:val="single" w:color="FFFFFF" w:sz="4" w:space="31"/>
        </w:pBdr>
        <w:kinsoku/>
        <w:wordWrap/>
        <w:overflowPunct/>
        <w:topLinePunct w:val="0"/>
        <w:autoSpaceDE/>
        <w:autoSpaceDN/>
        <w:bidi w:val="0"/>
        <w:adjustRightInd/>
        <w:snapToGrid/>
        <w:spacing w:line="560" w:lineRule="exact"/>
        <w:ind w:firstLine="640" w:firstLineChars="200"/>
        <w:textAlignment w:val="auto"/>
        <w:outlineLvl w:val="9"/>
        <w:rPr>
          <w:rStyle w:val="17"/>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val="en-US" w:eastAsia="zh-CN"/>
        </w:rPr>
        <w:t>6</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sz w:val="32"/>
          <w:szCs w:val="32"/>
          <w:lang w:val="en-US" w:eastAsia="zh-CN"/>
        </w:rPr>
        <w:t>社会保障和就业支出（类）</w:t>
      </w:r>
      <w:r>
        <w:rPr>
          <w:rStyle w:val="17"/>
          <w:rFonts w:hint="eastAsia" w:ascii="仿宋" w:hAnsi="仿宋" w:eastAsia="仿宋"/>
          <w:b w:val="0"/>
          <w:bCs w:val="0"/>
          <w:color w:val="auto"/>
          <w:sz w:val="32"/>
          <w:szCs w:val="32"/>
          <w:highlight w:val="none"/>
          <w:lang w:val="en-US" w:eastAsia="zh-CN"/>
        </w:rPr>
        <w:t>其他社会保障和就业支出（款）其他社会保障和就业支出（项）：</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26.1</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w:t>
      </w:r>
    </w:p>
    <w:p>
      <w:pPr>
        <w:keepNext w:val="0"/>
        <w:keepLines w:val="0"/>
        <w:pageBreakBefore w:val="0"/>
        <w:widowControl w:val="0"/>
        <w:numPr>
          <w:ilvl w:val="0"/>
          <w:numId w:val="0"/>
        </w:numPr>
        <w:pBdr>
          <w:top w:val="single" w:color="FFFFFF" w:sz="4" w:space="4"/>
          <w:left w:val="single" w:color="FFFFFF" w:sz="4" w:space="31"/>
          <w:bottom w:val="single" w:color="FFFFFF" w:sz="4" w:space="31"/>
          <w:right w:val="single" w:color="FFFFFF" w:sz="4" w:space="31"/>
        </w:pBd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仿宋" w:hAnsi="仿宋" w:eastAsia="仿宋"/>
          <w:b w:val="0"/>
          <w:bCs w:val="0"/>
          <w:color w:val="auto"/>
          <w:sz w:val="32"/>
          <w:szCs w:val="32"/>
          <w:highlight w:val="none"/>
          <w:lang w:val="en-US" w:eastAsia="zh-CN"/>
        </w:rPr>
        <w:t>7</w:t>
      </w:r>
      <w:r>
        <w:rPr>
          <w:rStyle w:val="17"/>
          <w:rFonts w:ascii="仿宋" w:hAnsi="仿宋" w:eastAsia="仿宋"/>
          <w:b w:val="0"/>
          <w:bCs w:val="0"/>
          <w:color w:val="auto"/>
          <w:sz w:val="32"/>
          <w:szCs w:val="32"/>
          <w:highlight w:val="none"/>
        </w:rPr>
        <w:t>.</w:t>
      </w:r>
      <w:r>
        <w:rPr>
          <w:rStyle w:val="17"/>
          <w:rFonts w:hint="eastAsia" w:ascii="仿宋" w:hAnsi="仿宋" w:eastAsia="仿宋" w:cstheme="minorBidi"/>
          <w:b w:val="0"/>
          <w:bCs w:val="0"/>
          <w:color w:val="auto"/>
          <w:sz w:val="32"/>
          <w:szCs w:val="32"/>
          <w:highlight w:val="none"/>
          <w:lang w:val="en-US" w:eastAsia="zh-CN"/>
        </w:rPr>
        <w:t>卫生健康支出（类）行政事业单位（款）行政单位医疗（项）</w:t>
      </w:r>
      <w:r>
        <w:rPr>
          <w:rStyle w:val="17"/>
          <w:rFonts w:hint="eastAsia" w:ascii="仿宋" w:hAnsi="仿宋" w:eastAsia="仿宋"/>
          <w:b w:val="0"/>
          <w:bCs w:val="0"/>
          <w:color w:val="auto"/>
          <w:sz w:val="32"/>
          <w:szCs w:val="32"/>
          <w:highlight w:val="none"/>
          <w:lang w:val="en-US" w:eastAsia="zh-CN"/>
        </w:rPr>
        <w:t>：</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0.77</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w:t>
      </w:r>
    </w:p>
    <w:p>
      <w:pPr>
        <w:keepNext w:val="0"/>
        <w:keepLines w:val="0"/>
        <w:pageBreakBefore w:val="0"/>
        <w:widowControl w:val="0"/>
        <w:numPr>
          <w:ilvl w:val="0"/>
          <w:numId w:val="0"/>
        </w:numPr>
        <w:pBdr>
          <w:top w:val="single" w:color="FFFFFF" w:sz="4" w:space="4"/>
          <w:left w:val="single" w:color="FFFFFF" w:sz="4" w:space="31"/>
          <w:bottom w:val="single" w:color="FFFFFF" w:sz="4" w:space="31"/>
          <w:right w:val="single" w:color="FFFFFF" w:sz="4" w:space="31"/>
        </w:pBdr>
        <w:kinsoku/>
        <w:wordWrap/>
        <w:overflowPunct/>
        <w:topLinePunct w:val="0"/>
        <w:autoSpaceDE/>
        <w:autoSpaceDN/>
        <w:bidi w:val="0"/>
        <w:adjustRightInd/>
        <w:snapToGrid/>
        <w:spacing w:line="560" w:lineRule="exact"/>
        <w:ind w:firstLine="640" w:firstLineChars="200"/>
        <w:textAlignment w:val="auto"/>
        <w:outlineLvl w:val="9"/>
        <w:rPr>
          <w:rFonts w:hint="eastAsia"/>
          <w:b w:val="0"/>
          <w:bCs w:val="0"/>
          <w:lang w:val="en-US" w:eastAsia="zh-CN"/>
        </w:rPr>
      </w:pPr>
      <w:r>
        <w:rPr>
          <w:rFonts w:hint="eastAsia" w:ascii="仿宋" w:hAnsi="仿宋" w:eastAsia="仿宋"/>
          <w:b w:val="0"/>
          <w:bCs w:val="0"/>
          <w:color w:val="auto"/>
          <w:sz w:val="32"/>
          <w:szCs w:val="32"/>
          <w:highlight w:val="none"/>
          <w:lang w:val="en-US" w:eastAsia="zh-CN"/>
        </w:rPr>
        <w:t>8</w:t>
      </w:r>
      <w:r>
        <w:rPr>
          <w:rStyle w:val="17"/>
          <w:rFonts w:ascii="仿宋" w:hAnsi="仿宋" w:eastAsia="仿宋"/>
          <w:b w:val="0"/>
          <w:bCs w:val="0"/>
          <w:color w:val="auto"/>
          <w:sz w:val="32"/>
          <w:szCs w:val="32"/>
          <w:highlight w:val="none"/>
        </w:rPr>
        <w:t>.</w:t>
      </w:r>
      <w:r>
        <w:rPr>
          <w:rStyle w:val="17"/>
          <w:rFonts w:hint="eastAsia" w:ascii="仿宋" w:hAnsi="仿宋" w:eastAsia="仿宋" w:cstheme="minorBidi"/>
          <w:b w:val="0"/>
          <w:bCs w:val="0"/>
          <w:color w:val="auto"/>
          <w:sz w:val="32"/>
          <w:szCs w:val="32"/>
          <w:highlight w:val="none"/>
          <w:lang w:val="en-US" w:eastAsia="zh-CN"/>
        </w:rPr>
        <w:t>卫生健康支出（类）行政事业单位（款）事业单位医疗（项）</w:t>
      </w:r>
      <w:r>
        <w:rPr>
          <w:rStyle w:val="17"/>
          <w:rFonts w:hint="eastAsia" w:ascii="仿宋" w:hAnsi="仿宋" w:eastAsia="仿宋"/>
          <w:b w:val="0"/>
          <w:bCs w:val="0"/>
          <w:color w:val="auto"/>
          <w:sz w:val="32"/>
          <w:szCs w:val="32"/>
          <w:highlight w:val="none"/>
          <w:lang w:val="en-US" w:eastAsia="zh-CN"/>
        </w:rPr>
        <w:t>：</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0.62</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w:t>
      </w:r>
    </w:p>
    <w:p>
      <w:pPr>
        <w:keepNext w:val="0"/>
        <w:keepLines w:val="0"/>
        <w:pageBreakBefore w:val="0"/>
        <w:widowControl w:val="0"/>
        <w:numPr>
          <w:ilvl w:val="0"/>
          <w:numId w:val="0"/>
        </w:numPr>
        <w:pBdr>
          <w:top w:val="single" w:color="FFFFFF" w:sz="4" w:space="4"/>
          <w:left w:val="single" w:color="FFFFFF" w:sz="4" w:space="31"/>
          <w:bottom w:val="single" w:color="FFFFFF" w:sz="4" w:space="31"/>
          <w:right w:val="single" w:color="FFFFFF" w:sz="4" w:space="31"/>
        </w:pBdr>
        <w:kinsoku/>
        <w:wordWrap/>
        <w:overflowPunct/>
        <w:topLinePunct w:val="0"/>
        <w:autoSpaceDE/>
        <w:autoSpaceDN/>
        <w:bidi w:val="0"/>
        <w:adjustRightInd/>
        <w:snapToGrid/>
        <w:spacing w:line="560" w:lineRule="exact"/>
        <w:ind w:firstLine="640" w:firstLineChars="200"/>
        <w:textAlignment w:val="auto"/>
        <w:outlineLvl w:val="9"/>
        <w:rPr>
          <w:rStyle w:val="17"/>
          <w:rFonts w:hint="eastAsia" w:ascii="仿宋" w:hAnsi="仿宋" w:eastAsia="仿宋"/>
          <w:b w:val="0"/>
          <w:bCs/>
          <w:color w:val="auto"/>
          <w:sz w:val="32"/>
          <w:szCs w:val="32"/>
          <w:highlight w:val="none"/>
        </w:rPr>
      </w:pPr>
      <w:r>
        <w:rPr>
          <w:rStyle w:val="17"/>
          <w:rFonts w:hint="eastAsia" w:ascii="仿宋" w:hAnsi="仿宋" w:eastAsia="仿宋" w:cstheme="minorBidi"/>
          <w:b w:val="0"/>
          <w:bCs w:val="0"/>
          <w:color w:val="auto"/>
          <w:sz w:val="32"/>
          <w:szCs w:val="32"/>
          <w:highlight w:val="none"/>
          <w:lang w:val="en-US" w:eastAsia="zh-CN"/>
        </w:rPr>
        <w:t>9.住房保障支出（类）住房改革（款）住房公积金（项）</w:t>
      </w:r>
      <w:r>
        <w:rPr>
          <w:rStyle w:val="17"/>
          <w:rFonts w:hint="eastAsia" w:ascii="仿宋" w:hAnsi="仿宋" w:eastAsia="仿宋"/>
          <w:b w:val="0"/>
          <w:bCs w:val="0"/>
          <w:color w:val="auto"/>
          <w:sz w:val="32"/>
          <w:szCs w:val="32"/>
          <w:highlight w:val="none"/>
          <w:lang w:val="en-US"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4.35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（注：仅罗列本部门涉及的全部功能分类科目，至项级。上述“预算”口径为全年预算数。增减变动原因为决算数&lt;项级&gt;和全年预算数&lt;项级&gt;比较，与预算数持平可以不写原因）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9"/>
          <w:rFonts w:ascii="Times New Roman" w:hAnsi="Times New Roman"/>
          <w:color w:val="auto"/>
          <w:highlight w:val="none"/>
        </w:rPr>
      </w:pPr>
      <w:bookmarkStart w:id="37" w:name="_Toc15396608"/>
      <w:bookmarkStart w:id="38" w:name="_Toc8011"/>
      <w:bookmarkStart w:id="3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7"/>
      <w:bookmarkEnd w:id="38"/>
      <w:bookmarkEnd w:id="39"/>
      <w:r>
        <w:rPr>
          <w:rStyle w:val="29"/>
          <w:rFonts w:ascii="Times New Roman" w:hAnsi="Times New Roman"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85.72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52.25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33.47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9"/>
          <w:rFonts w:ascii="Times New Roman" w:hAnsi="Times New Roman" w:eastAsia="黑体"/>
          <w:b w:val="0"/>
          <w:color w:val="auto"/>
          <w:highlight w:val="none"/>
        </w:rPr>
      </w:pPr>
      <w:bookmarkStart w:id="40" w:name="_Toc15377215"/>
      <w:bookmarkStart w:id="41" w:name="_Toc15396609"/>
      <w:bookmarkStart w:id="42" w:name="_Toc5600"/>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40"/>
      <w:bookmarkEnd w:id="41"/>
      <w:bookmarkEnd w:id="42"/>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4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0.28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26.65</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2023年无数据，主要原因是本单位是2024年新成立部门。</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4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4"/>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0.28</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pStyle w:val="2"/>
        <w:rPr>
          <w:rFonts w:hint="eastAsia"/>
          <w:lang w:val="en-US" w:eastAsia="zh-CN"/>
        </w:rPr>
      </w:pPr>
      <w:r>
        <w:drawing>
          <wp:inline distT="0" distB="0" distL="114300" distR="114300">
            <wp:extent cx="4857750" cy="287655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0.28万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26.65</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2023年无数据，主要原因是本单位是2024年新成立部门。</w:t>
      </w:r>
      <w:r>
        <w:rPr>
          <w:rFonts w:hint="eastAsia" w:ascii="Times New Roman" w:hAnsi="Times New Roman" w:eastAsia="仿宋_GB2312" w:cs="仿宋_GB2312"/>
          <w:color w:val="auto"/>
          <w:kern w:val="2"/>
          <w:sz w:val="32"/>
          <w:szCs w:val="32"/>
          <w:highlight w:val="none"/>
          <w:lang w:val="en-US" w:eastAsia="zh-CN" w:bidi="ar-SA"/>
        </w:rPr>
        <w:t>其中：</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0.28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5</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28</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0.28</w:t>
      </w:r>
      <w:r>
        <w:rPr>
          <w:rFonts w:hint="eastAsia" w:ascii="Times New Roman" w:hAnsi="Times New Roman" w:eastAsia="仿宋_GB2312" w:cs="仿宋_GB2312"/>
          <w:color w:val="auto"/>
          <w:kern w:val="2"/>
          <w:sz w:val="32"/>
          <w:szCs w:val="32"/>
          <w:highlight w:val="none"/>
          <w:lang w:val="en-US" w:eastAsia="zh-CN" w:bidi="ar-SA"/>
        </w:rPr>
        <w:t>万元，具体内容包括：执行公务、开展业务活动开支的交通费、住宿费、用餐费等。</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45" w:name="_Toc15396610"/>
      <w:bookmarkStart w:id="46" w:name="_Toc15377218"/>
    </w:p>
    <w:p>
      <w:pPr>
        <w:spacing w:line="600" w:lineRule="exact"/>
        <w:ind w:firstLine="640"/>
        <w:outlineLvl w:val="1"/>
        <w:rPr>
          <w:rStyle w:val="29"/>
          <w:rFonts w:ascii="Times New Roman" w:hAnsi="Times New Roman" w:eastAsia="黑体"/>
          <w:color w:val="auto"/>
          <w:highlight w:val="none"/>
        </w:rPr>
      </w:pPr>
      <w:bookmarkStart w:id="47" w:name="_Toc1826"/>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5"/>
      <w:bookmarkEnd w:id="46"/>
      <w:bookmarkEnd w:id="4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8" w:name="_Toc2702"/>
      <w:bookmarkStart w:id="49" w:name="_Toc15377219"/>
      <w:bookmarkStart w:id="50"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8"/>
      <w:bookmarkEnd w:id="49"/>
      <w:bookmarkEnd w:id="5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51" w:name="_Toc15396612"/>
      <w:bookmarkStart w:id="52" w:name="_Toc14375"/>
      <w:bookmarkStart w:id="53"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54" w:name="_Toc15377222"/>
      <w:r>
        <w:rPr>
          <w:rFonts w:hint="eastAsia" w:ascii="Times New Roman" w:hAnsi="Times New Roman" w:eastAsia="楷体_GB2312" w:cs="楷体_GB2312"/>
          <w:b/>
          <w:color w:val="auto"/>
          <w:sz w:val="32"/>
          <w:szCs w:val="32"/>
          <w:highlight w:val="none"/>
        </w:rPr>
        <w:t>（一）机关运行经费支出情况</w:t>
      </w:r>
      <w:bookmarkEnd w:id="54"/>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中共乐山市金口河区委社会工作部</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33.47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sz w:val="32"/>
          <w:szCs w:val="32"/>
          <w:highlight w:val="none"/>
          <w:lang w:val="en-US" w:eastAsia="zh-CN"/>
        </w:rPr>
        <w:t>2023年无数据，主要原因是本单位是2024年新成立部门。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55" w:name="_Toc15377223"/>
      <w:r>
        <w:rPr>
          <w:rFonts w:hint="eastAsia" w:ascii="Times New Roman" w:hAnsi="Times New Roman" w:eastAsia="楷体_GB2312" w:cs="楷体_GB2312"/>
          <w:b/>
          <w:color w:val="auto"/>
          <w:sz w:val="32"/>
          <w:szCs w:val="32"/>
          <w:highlight w:val="none"/>
        </w:rPr>
        <w:t>（二）政府采购支出情况</w:t>
      </w:r>
      <w:bookmarkEnd w:id="55"/>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中共乐山市金口河区委社会工作部</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56" w:name="_Toc15377224"/>
      <w:r>
        <w:rPr>
          <w:rFonts w:hint="eastAsia" w:ascii="Times New Roman" w:hAnsi="Times New Roman" w:eastAsia="楷体_GB2312" w:cs="楷体_GB2312"/>
          <w:b/>
          <w:color w:val="auto"/>
          <w:sz w:val="32"/>
          <w:szCs w:val="32"/>
          <w:highlight w:val="none"/>
        </w:rPr>
        <w:t>（三）国有资产占有使用情况</w:t>
      </w:r>
      <w:bookmarkEnd w:id="56"/>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中共乐山市金口河区委社会工作部</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我单位为2024年下半年新成立部门。</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如不涉及，可根据实际修改表述。）</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7" w:name="_Toc15396613"/>
      <w:bookmarkStart w:id="58" w:name="_Toc15377225"/>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3"/>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3"/>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3"/>
        <w:rPr>
          <w:rFonts w:hint="eastAsia" w:ascii="Times New Roman" w:hAnsi="Times New Roman" w:eastAsia="黑体"/>
          <w:color w:val="auto"/>
          <w:sz w:val="44"/>
          <w:szCs w:val="44"/>
          <w:highlight w:val="none"/>
        </w:rPr>
      </w:pPr>
    </w:p>
    <w:p>
      <w:pPr>
        <w:rPr>
          <w:rFonts w:hint="eastAsi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9" w:name="_Toc3952"/>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7"/>
      <w:bookmarkEnd w:id="58"/>
      <w:bookmarkEnd w:id="59"/>
    </w:p>
    <w:p>
      <w:pPr>
        <w:spacing w:line="600" w:lineRule="exact"/>
        <w:jc w:val="left"/>
        <w:rPr>
          <w:rFonts w:ascii="Times New Roman" w:hAnsi="Times New Roman"/>
          <w:b/>
          <w:color w:val="auto"/>
          <w:sz w:val="44"/>
          <w:szCs w:val="44"/>
          <w:highlight w:val="none"/>
        </w:rPr>
      </w:pP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.年末结转和结余：指单位按有关规定结转到下年或以后年度继续使用的资金。</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color w:val="auto"/>
          <w:sz w:val="32"/>
          <w:szCs w:val="32"/>
          <w:highlight w:val="none"/>
          <w:lang w:val="en-US" w:eastAsia="zh-CN"/>
        </w:rPr>
        <w:t>社会保障和就业支出（类）行政事业单位养老支出（款）机关事业单位基本养老保险缴费支出（项）：反映机关事业单位实施养老保险制度由单位缴纳的基本养老保险费的支出</w:t>
      </w:r>
      <w:r>
        <w:rPr>
          <w:rFonts w:hint="eastAsia" w:ascii="仿宋_GB2312" w:eastAsia="仿宋_GB2312"/>
          <w:color w:val="auto"/>
          <w:sz w:val="32"/>
          <w:szCs w:val="32"/>
        </w:rPr>
        <w:t>。</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6.社会保障和就业支出（类）行政事业单位养老支出（款）机关事业单位职业年金缴费支出（项）：反映机关事业单位实施养老保险制度由单位实际缴纳的职业年金支出。</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7.社会保障和就业支出（类）行政事业单位养老支出（款）其他行政事业单位基本养老支出（项）：反映除上述项目以外其他用于行政事业单位养老方面的支出。</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8.社会保障和就业支出（类）其他社会保障和就业支出（款）其他社会保障和就业支出（项）：反映除上述项目以外其他用于社会保障和就业方面的支出。</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9.卫生健康支出（类）其他卫生健康支出（款）其他卫生健康支出</w:t>
      </w:r>
      <w:r>
        <w:rPr>
          <w:rFonts w:hint="default" w:ascii="仿宋_GB2312" w:eastAsia="仿宋_GB2312"/>
          <w:color w:val="auto"/>
          <w:sz w:val="32"/>
          <w:szCs w:val="32"/>
          <w:lang w:val="en-US" w:eastAsia="zh-CN"/>
        </w:rPr>
        <w:t>（项）</w:t>
      </w:r>
      <w:r>
        <w:rPr>
          <w:rFonts w:hint="eastAsia" w:ascii="仿宋_GB2312" w:eastAsia="仿宋_GB2312"/>
          <w:color w:val="auto"/>
          <w:sz w:val="32"/>
          <w:szCs w:val="32"/>
          <w:lang w:val="en-US" w:eastAsia="zh-CN"/>
        </w:rPr>
        <w:t>：指用于其他卫生健康方面的支出。</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b/>
          <w:sz w:val="32"/>
          <w:szCs w:val="32"/>
        </w:rPr>
      </w:pPr>
      <w:r>
        <w:rPr>
          <w:rFonts w:hint="eastAsia" w:ascii="仿宋_GB2312" w:eastAsia="仿宋_GB2312"/>
          <w:color w:val="auto"/>
          <w:sz w:val="32"/>
          <w:szCs w:val="32"/>
          <w:lang w:val="en-US" w:eastAsia="zh-CN"/>
        </w:rPr>
        <w:t>10.</w:t>
      </w:r>
      <w:r>
        <w:rPr>
          <w:rFonts w:hint="default" w:ascii="仿宋_GB2312" w:eastAsia="仿宋_GB2312"/>
          <w:color w:val="auto"/>
          <w:sz w:val="32"/>
          <w:szCs w:val="32"/>
          <w:lang w:val="en-US" w:eastAsia="zh-CN"/>
        </w:rPr>
        <w:t>住房保障支出（类）住房改革支出（款）住房公积金（项）:指由单位及其在职职工按规定缴存的住房公积金支出</w:t>
      </w:r>
      <w:r>
        <w:rPr>
          <w:rFonts w:hint="eastAsia" w:ascii="仿宋_GB2312" w:eastAsia="仿宋_GB2312"/>
          <w:color w:val="auto"/>
          <w:sz w:val="32"/>
          <w:szCs w:val="32"/>
          <w:lang w:val="en-US" w:eastAsia="zh-CN"/>
        </w:rPr>
        <w:t>。</w:t>
      </w:r>
    </w:p>
    <w:p>
      <w:pPr>
        <w:keepNext w:val="0"/>
        <w:keepLines w:val="0"/>
        <w:pageBreakBefore w:val="0"/>
        <w:widowControl w:val="0"/>
        <w:kinsoku/>
        <w:wordWrap/>
        <w:overflowPunct/>
        <w:topLinePunct w:val="0"/>
        <w:bidi w:val="0"/>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pPr>
        <w:keepNext w:val="0"/>
        <w:keepLines w:val="0"/>
        <w:pageBreakBefore w:val="0"/>
        <w:widowControl w:val="0"/>
        <w:kinsoku/>
        <w:wordWrap/>
        <w:overflowPunct/>
        <w:topLinePunct w:val="0"/>
        <w:bidi w:val="0"/>
        <w:snapToGrid/>
        <w:spacing w:line="600" w:lineRule="exact"/>
        <w:jc w:val="center"/>
        <w:textAlignment w:val="auto"/>
        <w:outlineLvl w:val="9"/>
        <w:rPr>
          <w:rStyle w:val="28"/>
          <w:rFonts w:hint="eastAsia" w:ascii="Times New Roman" w:hAnsi="Times New Roman" w:eastAsia="黑体"/>
          <w:b w:val="0"/>
          <w:color w:val="auto"/>
          <w:highlight w:val="none"/>
          <w:lang w:eastAsia="zh-CN"/>
        </w:rPr>
      </w:pPr>
      <w:bookmarkStart w:id="60"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61"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1"/>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lang w:eastAsia="zh-CN"/>
        </w:rPr>
      </w:pPr>
      <w:bookmarkStart w:id="62" w:name="_Toc15396618"/>
      <w:r>
        <w:rPr>
          <w:rFonts w:hint="eastAsia" w:hAnsi="Calibri" w:eastAsia="仿宋_GB2312" w:cs="仿宋"/>
          <w:sz w:val="32"/>
          <w:lang w:eastAsia="zh-CN"/>
        </w:rPr>
        <w:t>备注：我</w:t>
      </w:r>
      <w:r>
        <w:rPr>
          <w:rFonts w:hint="eastAsia" w:ascii="Times New Roman" w:hAnsi="Calibri" w:eastAsia="仿宋_GB2312" w:cs="仿宋"/>
          <w:sz w:val="32"/>
          <w:lang w:eastAsia="zh-CN"/>
        </w:rPr>
        <w:t>单位为</w:t>
      </w:r>
      <w:r>
        <w:rPr>
          <w:rFonts w:hint="eastAsia" w:ascii="Times New Roman" w:hAnsi="Calibri" w:eastAsia="仿宋_GB2312" w:cs="仿宋"/>
          <w:sz w:val="32"/>
          <w:lang w:val="en-US" w:eastAsia="zh-CN"/>
        </w:rPr>
        <w:t>2024年新成立部门，未填报</w:t>
      </w:r>
      <w:r>
        <w:rPr>
          <w:rFonts w:hint="default" w:ascii="Times New Roman" w:hAnsi="Calibri" w:eastAsia="仿宋_GB2312" w:cs="仿宋"/>
          <w:sz w:val="32"/>
          <w:lang w:eastAsia="zh-CN"/>
        </w:rPr>
        <w:t>部门预算绩效</w:t>
      </w:r>
      <w:r>
        <w:rPr>
          <w:rFonts w:hint="eastAsia" w:ascii="Times New Roman" w:hAnsi="Calibri" w:eastAsia="仿宋_GB2312" w:cs="仿宋"/>
          <w:sz w:val="32"/>
          <w:lang w:eastAsia="zh-CN"/>
        </w:rPr>
        <w:t>评价</w:t>
      </w:r>
      <w:r>
        <w:rPr>
          <w:rFonts w:hint="default" w:ascii="Times New Roman" w:hAnsi="Calibri" w:eastAsia="仿宋_GB2312" w:cs="仿宋"/>
          <w:sz w:val="32"/>
          <w:lang w:eastAsia="zh-CN"/>
        </w:rPr>
        <w:t>报告</w:t>
      </w:r>
      <w:r>
        <w:rPr>
          <w:rFonts w:hint="eastAsia" w:ascii="Times New Roman" w:hAnsi="Calibri" w:eastAsia="仿宋_GB2312" w:cs="仿宋"/>
          <w:sz w:val="32"/>
          <w:lang w:eastAsia="zh-CN"/>
        </w:rPr>
        <w:t>。</w:t>
      </w:r>
      <w:r>
        <w:rPr>
          <w:rFonts w:hint="eastAsia" w:hAnsi="Calibri" w:eastAsia="仿宋_GB2312" w:cs="仿宋"/>
          <w:sz w:val="32"/>
        </w:rPr>
        <w:t>部门预算项目支出绩效自评表（</w:t>
      </w:r>
      <w:r>
        <w:rPr>
          <w:rFonts w:hint="eastAsia" w:hAnsi="Calibri" w:eastAsia="仿宋_GB2312" w:cs="仿宋"/>
          <w:sz w:val="32"/>
          <w:lang w:eastAsia="zh-CN"/>
        </w:rPr>
        <w:t>2024</w:t>
      </w:r>
      <w:r>
        <w:rPr>
          <w:rFonts w:hint="eastAsia" w:hAnsi="Calibri" w:eastAsia="仿宋_GB2312" w:cs="仿宋"/>
          <w:sz w:val="32"/>
        </w:rPr>
        <w:t>年度）</w:t>
      </w:r>
      <w:r>
        <w:rPr>
          <w:rFonts w:hint="eastAsia" w:hAnsi="Calibri" w:eastAsia="仿宋_GB2312" w:cs="仿宋"/>
          <w:sz w:val="32"/>
          <w:lang w:eastAsia="zh-CN"/>
        </w:rPr>
        <w:t>，</w:t>
      </w:r>
      <w:r>
        <w:rPr>
          <w:rFonts w:hint="eastAsia" w:hAnsi="Calibri" w:eastAsia="仿宋_GB2312" w:cs="仿宋"/>
          <w:sz w:val="32"/>
        </w:rPr>
        <w:t>该表格作为附件予以公开</w:t>
      </w:r>
      <w:r>
        <w:rPr>
          <w:rFonts w:hint="eastAsia" w:hAnsi="Calibri" w:eastAsia="仿宋_GB2312" w:cs="仿宋"/>
          <w:sz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outlineLvl w:val="0"/>
        <w:rPr>
          <w:rFonts w:hint="eastAsia" w:ascii="Times New Roman" w:hAnsi="Times New Roman" w:eastAsia="仿宋"/>
          <w:b w:val="0"/>
          <w:color w:val="auto"/>
          <w:highlight w:val="none"/>
        </w:rPr>
      </w:pPr>
      <w:bookmarkStart w:id="63" w:name="_Toc467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60"/>
      <w:bookmarkEnd w:id="62"/>
      <w:bookmarkEnd w:id="63"/>
      <w:bookmarkStart w:id="64"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65" w:name="_Toc13541"/>
      <w:r>
        <w:rPr>
          <w:rFonts w:hint="eastAsia" w:ascii="Times New Roman" w:hAnsi="Times New Roman" w:eastAsia="仿宋_GB2312" w:cs="仿宋_GB2312"/>
          <w:color w:val="auto"/>
          <w:sz w:val="32"/>
          <w:szCs w:val="32"/>
          <w:highlight w:val="none"/>
        </w:rPr>
        <w:t>一、收入支出决算总表</w:t>
      </w:r>
      <w:bookmarkEnd w:id="64"/>
      <w:bookmarkEnd w:id="65"/>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66" w:name="_Toc15396620"/>
      <w:bookmarkStart w:id="67" w:name="_Toc15381"/>
      <w:r>
        <w:rPr>
          <w:rFonts w:hint="eastAsia" w:ascii="Times New Roman" w:hAnsi="Times New Roman" w:eastAsia="仿宋_GB2312" w:cs="仿宋_GB2312"/>
          <w:color w:val="auto"/>
          <w:sz w:val="32"/>
          <w:szCs w:val="32"/>
          <w:highlight w:val="none"/>
        </w:rPr>
        <w:t>二、收入决算表</w:t>
      </w:r>
      <w:bookmarkEnd w:id="66"/>
      <w:bookmarkEnd w:id="67"/>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68" w:name="_Toc18449"/>
      <w:bookmarkStart w:id="69" w:name="_Toc15396621"/>
      <w:r>
        <w:rPr>
          <w:rFonts w:hint="eastAsia" w:ascii="Times New Roman" w:hAnsi="Times New Roman" w:eastAsia="仿宋_GB2312" w:cs="仿宋_GB2312"/>
          <w:color w:val="auto"/>
          <w:sz w:val="32"/>
          <w:szCs w:val="32"/>
          <w:highlight w:val="none"/>
        </w:rPr>
        <w:t>三、支出决算表</w:t>
      </w:r>
      <w:bookmarkEnd w:id="68"/>
      <w:bookmarkEnd w:id="69"/>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0" w:name="_Toc15396622"/>
      <w:bookmarkStart w:id="71" w:name="_Toc13160"/>
      <w:r>
        <w:rPr>
          <w:rFonts w:hint="eastAsia" w:ascii="Times New Roman" w:hAnsi="Times New Roman" w:eastAsia="仿宋_GB2312" w:cs="仿宋_GB2312"/>
          <w:color w:val="auto"/>
          <w:sz w:val="32"/>
          <w:szCs w:val="32"/>
          <w:highlight w:val="none"/>
        </w:rPr>
        <w:t>四、财政拨款收入支出决算总表</w:t>
      </w:r>
      <w:bookmarkEnd w:id="70"/>
      <w:bookmarkEnd w:id="71"/>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2" w:name="_Toc10159"/>
      <w:bookmarkStart w:id="73" w:name="_Toc15396623"/>
      <w:r>
        <w:rPr>
          <w:rFonts w:hint="eastAsia" w:ascii="Times New Roman" w:hAnsi="Times New Roman" w:eastAsia="仿宋_GB2312" w:cs="仿宋_GB2312"/>
          <w:color w:val="auto"/>
          <w:sz w:val="32"/>
          <w:szCs w:val="32"/>
          <w:highlight w:val="none"/>
        </w:rPr>
        <w:t>五、财政拨款支出决算明细表</w:t>
      </w:r>
      <w:bookmarkEnd w:id="72"/>
      <w:bookmarkEnd w:id="73"/>
      <w:bookmarkStart w:id="74" w:name="_Toc15396624"/>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5" w:name="_Toc15200"/>
      <w:r>
        <w:rPr>
          <w:rFonts w:hint="eastAsia" w:ascii="Times New Roman" w:hAnsi="Times New Roman" w:eastAsia="仿宋_GB2312" w:cs="仿宋_GB2312"/>
          <w:color w:val="auto"/>
          <w:sz w:val="32"/>
          <w:szCs w:val="32"/>
          <w:highlight w:val="none"/>
        </w:rPr>
        <w:t>六、一般公共预算财政拨款支出决算表</w:t>
      </w:r>
      <w:bookmarkEnd w:id="74"/>
      <w:bookmarkEnd w:id="75"/>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6" w:name="_Toc13422"/>
      <w:bookmarkStart w:id="77" w:name="_Toc15396625"/>
      <w:r>
        <w:rPr>
          <w:rFonts w:hint="eastAsia" w:ascii="Times New Roman" w:hAnsi="Times New Roman" w:eastAsia="仿宋_GB2312" w:cs="仿宋_GB2312"/>
          <w:color w:val="auto"/>
          <w:sz w:val="32"/>
          <w:szCs w:val="32"/>
          <w:highlight w:val="none"/>
        </w:rPr>
        <w:t>七、一般公共预算财政拨款支出决算明细表</w:t>
      </w:r>
      <w:bookmarkEnd w:id="76"/>
      <w:bookmarkEnd w:id="77"/>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8" w:name="_Toc23510"/>
      <w:bookmarkStart w:id="79" w:name="_Toc15396626"/>
      <w:r>
        <w:rPr>
          <w:rFonts w:hint="eastAsia" w:ascii="Times New Roman" w:hAnsi="Times New Roman" w:eastAsia="仿宋_GB2312" w:cs="仿宋_GB2312"/>
          <w:color w:val="auto"/>
          <w:sz w:val="32"/>
          <w:szCs w:val="32"/>
          <w:highlight w:val="none"/>
        </w:rPr>
        <w:t>八、一般公共预算财政拨款基本支出决算表</w:t>
      </w:r>
      <w:bookmarkEnd w:id="78"/>
      <w:bookmarkEnd w:id="79"/>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0" w:name="_Toc15396627"/>
      <w:bookmarkStart w:id="81" w:name="_Toc24854"/>
      <w:r>
        <w:rPr>
          <w:rFonts w:hint="eastAsia" w:ascii="Times New Roman" w:hAnsi="Times New Roman" w:eastAsia="仿宋_GB2312" w:cs="仿宋_GB2312"/>
          <w:color w:val="auto"/>
          <w:sz w:val="32"/>
          <w:szCs w:val="32"/>
          <w:highlight w:val="none"/>
        </w:rPr>
        <w:t>九、一般公共预算财政拨款项目支出决算表</w:t>
      </w:r>
      <w:bookmarkEnd w:id="80"/>
      <w:bookmarkEnd w:id="81"/>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2" w:name="_Toc15396628"/>
      <w:bookmarkStart w:id="83" w:name="_Toc1375"/>
      <w:r>
        <w:rPr>
          <w:rFonts w:hint="eastAsia" w:ascii="Times New Roman" w:hAnsi="Times New Roman" w:eastAsia="仿宋_GB2312" w:cs="仿宋_GB2312"/>
          <w:color w:val="auto"/>
          <w:sz w:val="32"/>
          <w:szCs w:val="32"/>
          <w:highlight w:val="none"/>
        </w:rPr>
        <w:t>十、</w:t>
      </w:r>
      <w:bookmarkEnd w:id="82"/>
      <w:r>
        <w:rPr>
          <w:rFonts w:hint="eastAsia" w:ascii="Times New Roman" w:hAnsi="Times New Roman" w:eastAsia="仿宋_GB2312" w:cs="仿宋_GB2312"/>
          <w:color w:val="auto"/>
          <w:sz w:val="32"/>
          <w:szCs w:val="32"/>
          <w:highlight w:val="none"/>
        </w:rPr>
        <w:t>政府性基金预算财政拨款收入支出决算表</w:t>
      </w:r>
      <w:bookmarkEnd w:id="83"/>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4" w:name="_Toc15396629"/>
      <w:bookmarkStart w:id="85" w:name="_Toc18706"/>
      <w:r>
        <w:rPr>
          <w:rFonts w:hint="eastAsia" w:ascii="Times New Roman" w:hAnsi="Times New Roman" w:eastAsia="仿宋_GB2312" w:cs="仿宋_GB2312"/>
          <w:color w:val="auto"/>
          <w:sz w:val="32"/>
          <w:szCs w:val="32"/>
          <w:highlight w:val="none"/>
        </w:rPr>
        <w:t>十一、</w:t>
      </w:r>
      <w:bookmarkEnd w:id="8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85"/>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6" w:name="_Toc15396630"/>
      <w:bookmarkStart w:id="87" w:name="_Toc17984"/>
      <w:r>
        <w:rPr>
          <w:rFonts w:hint="eastAsia" w:ascii="Times New Roman" w:hAnsi="Times New Roman" w:eastAsia="仿宋_GB2312" w:cs="仿宋_GB2312"/>
          <w:color w:val="auto"/>
          <w:sz w:val="32"/>
          <w:szCs w:val="32"/>
          <w:highlight w:val="none"/>
        </w:rPr>
        <w:t>十二、</w:t>
      </w:r>
      <w:bookmarkEnd w:id="86"/>
      <w:r>
        <w:rPr>
          <w:rFonts w:hint="eastAsia" w:ascii="Times New Roman" w:hAnsi="Times New Roman" w:eastAsia="仿宋_GB2312" w:cs="仿宋_GB2312"/>
          <w:color w:val="auto"/>
          <w:sz w:val="32"/>
          <w:szCs w:val="32"/>
          <w:highlight w:val="none"/>
          <w:lang w:eastAsia="zh-CN"/>
        </w:rPr>
        <w:t>国有资本经营预算财政拨款支出决算表</w:t>
      </w:r>
      <w:bookmarkEnd w:id="87"/>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lang w:eastAsia="zh-CN"/>
        </w:rPr>
      </w:pPr>
      <w:bookmarkStart w:id="88" w:name="_Toc15396631"/>
      <w:bookmarkStart w:id="89" w:name="_Toc10258"/>
      <w:r>
        <w:rPr>
          <w:rFonts w:hint="eastAsia" w:ascii="Times New Roman" w:hAnsi="Times New Roman" w:eastAsia="仿宋_GB2312" w:cs="仿宋_GB2312"/>
          <w:color w:val="auto"/>
          <w:sz w:val="32"/>
          <w:szCs w:val="32"/>
          <w:highlight w:val="none"/>
        </w:rPr>
        <w:t>十三、</w:t>
      </w:r>
      <w:bookmarkEnd w:id="88"/>
      <w:r>
        <w:rPr>
          <w:rFonts w:hint="eastAsia" w:ascii="Times New Roman" w:hAnsi="Times New Roman" w:eastAsia="仿宋_GB2312" w:cs="仿宋_GB2312"/>
          <w:color w:val="auto"/>
          <w:sz w:val="32"/>
          <w:szCs w:val="32"/>
          <w:highlight w:val="none"/>
          <w:lang w:eastAsia="zh-CN"/>
        </w:rPr>
        <w:t>财政拨款“三公”经费支出决算表</w:t>
      </w:r>
      <w:bookmarkEnd w:id="89"/>
    </w:p>
    <w:p>
      <w:pPr>
        <w:keepNext w:val="0"/>
        <w:keepLines w:val="0"/>
        <w:pageBreakBefore w:val="0"/>
        <w:widowControl w:val="0"/>
        <w:kinsoku/>
        <w:wordWrap/>
        <w:overflowPunct/>
        <w:topLinePunct w:val="0"/>
        <w:autoSpaceDE/>
        <w:autoSpaceDN/>
        <w:bidi w:val="0"/>
        <w:textAlignment w:val="auto"/>
        <w:outlineLvl w:val="1"/>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2073B"/>
    <w:multiLevelType w:val="singleLevel"/>
    <w:tmpl w:val="C922073B"/>
    <w:lvl w:ilvl="0" w:tentative="0">
      <w:start w:val="1"/>
      <w:numFmt w:val="chineseCounting"/>
      <w:suff w:val="nothing"/>
      <w:lvlText w:val="%1、"/>
      <w:lvlJc w:val="left"/>
      <w:rPr>
        <w:rFonts w:hint="eastAsia"/>
      </w:rPr>
    </w:lvl>
  </w:abstractNum>
  <w:abstractNum w:abstractNumId="1">
    <w:nsid w:val="E9F8D028"/>
    <w:multiLevelType w:val="singleLevel"/>
    <w:tmpl w:val="E9F8D02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A10AA2"/>
    <w:rsid w:val="02FEBE30"/>
    <w:rsid w:val="04916F1E"/>
    <w:rsid w:val="058A0B59"/>
    <w:rsid w:val="061E35DE"/>
    <w:rsid w:val="066E0107"/>
    <w:rsid w:val="07996F6E"/>
    <w:rsid w:val="07DFD8BA"/>
    <w:rsid w:val="09867E8F"/>
    <w:rsid w:val="0A2032A3"/>
    <w:rsid w:val="0A6777E7"/>
    <w:rsid w:val="0CA8290A"/>
    <w:rsid w:val="0D35B1ED"/>
    <w:rsid w:val="0E254B6B"/>
    <w:rsid w:val="0F374EA3"/>
    <w:rsid w:val="0F98263C"/>
    <w:rsid w:val="101860EC"/>
    <w:rsid w:val="101F47CC"/>
    <w:rsid w:val="10C055FF"/>
    <w:rsid w:val="11504E55"/>
    <w:rsid w:val="11694EBD"/>
    <w:rsid w:val="11772AA4"/>
    <w:rsid w:val="118107EC"/>
    <w:rsid w:val="12E24EE2"/>
    <w:rsid w:val="13D50BC4"/>
    <w:rsid w:val="14B17F78"/>
    <w:rsid w:val="15493645"/>
    <w:rsid w:val="165E0673"/>
    <w:rsid w:val="16B831D5"/>
    <w:rsid w:val="16BB723D"/>
    <w:rsid w:val="17E50567"/>
    <w:rsid w:val="186504BB"/>
    <w:rsid w:val="18FD542D"/>
    <w:rsid w:val="19A445FC"/>
    <w:rsid w:val="1BE8440E"/>
    <w:rsid w:val="1D155CEE"/>
    <w:rsid w:val="1D1638FE"/>
    <w:rsid w:val="1E312DEB"/>
    <w:rsid w:val="1E740ACF"/>
    <w:rsid w:val="1FF35744"/>
    <w:rsid w:val="1FF6BC77"/>
    <w:rsid w:val="2186353C"/>
    <w:rsid w:val="23791632"/>
    <w:rsid w:val="23860B96"/>
    <w:rsid w:val="240371BF"/>
    <w:rsid w:val="244F3473"/>
    <w:rsid w:val="24C97D99"/>
    <w:rsid w:val="25A718F0"/>
    <w:rsid w:val="25BB59F6"/>
    <w:rsid w:val="260F557C"/>
    <w:rsid w:val="26970054"/>
    <w:rsid w:val="281408E2"/>
    <w:rsid w:val="29FD04D3"/>
    <w:rsid w:val="2BFF7BC6"/>
    <w:rsid w:val="2C8A61B5"/>
    <w:rsid w:val="2CEC1AF9"/>
    <w:rsid w:val="2DF04E50"/>
    <w:rsid w:val="2E586DFA"/>
    <w:rsid w:val="2F040D46"/>
    <w:rsid w:val="2F6B035B"/>
    <w:rsid w:val="2FAE5751"/>
    <w:rsid w:val="2FB1A395"/>
    <w:rsid w:val="2FD9A7D8"/>
    <w:rsid w:val="2FDBF714"/>
    <w:rsid w:val="30AB6865"/>
    <w:rsid w:val="30FA07C1"/>
    <w:rsid w:val="319F7F4E"/>
    <w:rsid w:val="32BD1EF1"/>
    <w:rsid w:val="3304709D"/>
    <w:rsid w:val="330B16E3"/>
    <w:rsid w:val="33A773CB"/>
    <w:rsid w:val="347905FB"/>
    <w:rsid w:val="349D6851"/>
    <w:rsid w:val="36AA5135"/>
    <w:rsid w:val="36BE0DA7"/>
    <w:rsid w:val="376B6AA6"/>
    <w:rsid w:val="376D39B2"/>
    <w:rsid w:val="37E16F03"/>
    <w:rsid w:val="37F53A3B"/>
    <w:rsid w:val="389B6C89"/>
    <w:rsid w:val="38D469F0"/>
    <w:rsid w:val="39627CCD"/>
    <w:rsid w:val="397BAF1F"/>
    <w:rsid w:val="3A9E4E77"/>
    <w:rsid w:val="3AB79AF3"/>
    <w:rsid w:val="3AE834C0"/>
    <w:rsid w:val="3B7EF35A"/>
    <w:rsid w:val="3B9FDB6C"/>
    <w:rsid w:val="3BF5BC2F"/>
    <w:rsid w:val="3CEBA265"/>
    <w:rsid w:val="3D98207C"/>
    <w:rsid w:val="3DA70638"/>
    <w:rsid w:val="3DBC7E0C"/>
    <w:rsid w:val="3DEE7CF3"/>
    <w:rsid w:val="3E740A63"/>
    <w:rsid w:val="3E78745D"/>
    <w:rsid w:val="3EE17838"/>
    <w:rsid w:val="3F55381A"/>
    <w:rsid w:val="3F7F7599"/>
    <w:rsid w:val="3FDB58C4"/>
    <w:rsid w:val="3FF4CAE0"/>
    <w:rsid w:val="3FF7B227"/>
    <w:rsid w:val="433366DA"/>
    <w:rsid w:val="43425BD6"/>
    <w:rsid w:val="441C71FF"/>
    <w:rsid w:val="44E268DA"/>
    <w:rsid w:val="450D13D7"/>
    <w:rsid w:val="45506656"/>
    <w:rsid w:val="486A6C7A"/>
    <w:rsid w:val="4A627F82"/>
    <w:rsid w:val="4B0603AA"/>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4A50E3"/>
    <w:rsid w:val="567E1AA5"/>
    <w:rsid w:val="56E47B74"/>
    <w:rsid w:val="57175D52"/>
    <w:rsid w:val="57655055"/>
    <w:rsid w:val="57BD3DD4"/>
    <w:rsid w:val="5A6275B4"/>
    <w:rsid w:val="5AF92295"/>
    <w:rsid w:val="5B250254"/>
    <w:rsid w:val="5BDD79E6"/>
    <w:rsid w:val="5BF561CA"/>
    <w:rsid w:val="5BFF5DFC"/>
    <w:rsid w:val="5CD71FC4"/>
    <w:rsid w:val="5CE2679E"/>
    <w:rsid w:val="5D1F11B5"/>
    <w:rsid w:val="5D695134"/>
    <w:rsid w:val="5DAE1B18"/>
    <w:rsid w:val="5DE7D9E5"/>
    <w:rsid w:val="5ECEC941"/>
    <w:rsid w:val="5F18241F"/>
    <w:rsid w:val="5FBF9FF3"/>
    <w:rsid w:val="5FCD4E2C"/>
    <w:rsid w:val="5FEF394A"/>
    <w:rsid w:val="5FF67715"/>
    <w:rsid w:val="62BF3928"/>
    <w:rsid w:val="63B3701E"/>
    <w:rsid w:val="647F5392"/>
    <w:rsid w:val="65E66580"/>
    <w:rsid w:val="664B1D71"/>
    <w:rsid w:val="664B4E8E"/>
    <w:rsid w:val="67277B67"/>
    <w:rsid w:val="67AA3209"/>
    <w:rsid w:val="698D0931"/>
    <w:rsid w:val="6A7FE5F3"/>
    <w:rsid w:val="6ABA48CD"/>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EA5E9F"/>
    <w:rsid w:val="783E271A"/>
    <w:rsid w:val="78616DE9"/>
    <w:rsid w:val="78E875D7"/>
    <w:rsid w:val="78FD05E8"/>
    <w:rsid w:val="79086DAD"/>
    <w:rsid w:val="79D7FD79"/>
    <w:rsid w:val="79EE5BA4"/>
    <w:rsid w:val="7A894339"/>
    <w:rsid w:val="7AD284E8"/>
    <w:rsid w:val="7AFF7572"/>
    <w:rsid w:val="7B6C7DFB"/>
    <w:rsid w:val="7BBC785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9F5A42"/>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4180;&#20915;&#31639;&#20844;&#24320;1\&#22270;&#2925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4&#24180;&#20915;&#31639;&#20844;&#24320;1\&#22270;&#2925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4&#24180;&#20915;&#31639;&#20844;&#24320;1\&#22270;&#2925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4&#24180;&#20915;&#31639;&#20844;&#24320;1\&#22270;&#2925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4&#24180;&#20915;&#31639;&#20844;&#24320;1\&#22270;&#2925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4180;&#20915;&#31639;&#20844;&#24320;1\&#22270;&#29255;.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4&#24180;&#20915;&#31639;&#20844;&#24320;1\&#22270;&#292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[图片.xlsx]Sheet1!$B$2</c:f>
              <c:strCache>
                <c:ptCount val="1"/>
                <c:pt idx="0">
                  <c:v>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[图片.xlsx]Sheet1!$A$3:$A$4</c:f>
              <c:strCache>
                <c:ptCount val="2"/>
                <c:pt idx="0">
                  <c:v>2023年决算数</c:v>
                </c:pt>
                <c:pt idx="1">
                  <c:v>2024年决算数</c:v>
                </c:pt>
              </c:strCache>
            </c:strRef>
          </c:cat>
          <c:val>
            <c:numRef>
              <c:f>[图片.xlsx]Sheet1!$B$3:$B$4</c:f>
              <c:numCache>
                <c:formatCode>General</c:formatCode>
                <c:ptCount val="2"/>
                <c:pt idx="0">
                  <c:v>0</c:v>
                </c:pt>
                <c:pt idx="1">
                  <c:v>102.92</c:v>
                </c:pt>
              </c:numCache>
            </c:numRef>
          </c:val>
        </c:ser>
        <c:dLbls>
          <c:showLegendKey val="0"/>
          <c:showVal val="1"/>
          <c:showCatName val="0"/>
          <c:showSerName val="0"/>
          <c:showPercent val="0"/>
          <c:showBubbleSize val="0"/>
        </c:dLbls>
        <c:gapWidth val="150"/>
        <c:overlap val="0"/>
        <c:axId val="334548587"/>
        <c:axId val="903851460"/>
      </c:barChart>
      <c:catAx>
        <c:axId val="3345485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3851460"/>
        <c:crosses val="autoZero"/>
        <c:auto val="1"/>
        <c:lblAlgn val="ctr"/>
        <c:lblOffset val="100"/>
        <c:noMultiLvlLbl val="0"/>
      </c:catAx>
      <c:valAx>
        <c:axId val="9038514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4548587"/>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92222222222222"/>
          <c:y val="0.8125"/>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[图片.xlsx]Sheet1!$A$9</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[图片.xlsx]Sheet1!$B$9</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manualLayout>
          <c:xMode val="edge"/>
          <c:yMode val="edge"/>
          <c:x val="0.410277777777778"/>
          <c:y val="0.041666666666666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[图片.xlsx]Sheet1!$A$20:$A$21</c:f>
              <c:strCache>
                <c:ptCount val="2"/>
                <c:pt idx="0">
                  <c:v>基本支出</c:v>
                </c:pt>
                <c:pt idx="1">
                  <c:v>项目支出</c:v>
                </c:pt>
              </c:strCache>
            </c:strRef>
          </c:cat>
          <c:val>
            <c:numRef>
              <c:f>[图片.xlsx]Sheet1!$B$20:$B$21</c:f>
              <c:numCache>
                <c:formatCode>General</c:formatCode>
                <c:ptCount val="2"/>
                <c:pt idx="0">
                  <c:v>85.72</c:v>
                </c:pt>
                <c:pt idx="1">
                  <c:v>17.2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146388888888889"/>
          <c:y val="0.0623556581986143"/>
        </c:manualLayout>
      </c:layout>
      <c:overlay val="0"/>
      <c:spPr>
        <a:noFill/>
        <a:ln>
          <a:noFill/>
        </a:ln>
        <a:effectLst/>
      </c:spPr>
    </c:title>
    <c:autoTitleDeleted val="0"/>
    <c:plotArea>
      <c:layout/>
      <c:barChart>
        <c:barDir val="col"/>
        <c:grouping val="clustered"/>
        <c:varyColors val="0"/>
        <c:ser>
          <c:idx val="0"/>
          <c:order val="0"/>
          <c:tx>
            <c:strRef>
              <c:f>[图片.xlsx]Sheet1!$B$25</c:f>
              <c:strCache>
                <c:ptCount val="1"/>
                <c:pt idx="0">
                  <c:v>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[图片.xlsx]Sheet1!$A$26:$A$27</c:f>
              <c:strCache>
                <c:ptCount val="2"/>
                <c:pt idx="0">
                  <c:v>2023年决算数</c:v>
                </c:pt>
                <c:pt idx="1">
                  <c:v>2024年决算数</c:v>
                </c:pt>
              </c:strCache>
            </c:strRef>
          </c:cat>
          <c:val>
            <c:numRef>
              <c:f>[图片.xlsx]Sheet1!$B$26:$B$27</c:f>
              <c:numCache>
                <c:formatCode>General</c:formatCode>
                <c:ptCount val="2"/>
                <c:pt idx="0">
                  <c:v>0</c:v>
                </c:pt>
                <c:pt idx="1">
                  <c:v>102.92</c:v>
                </c:pt>
              </c:numCache>
            </c:numRef>
          </c:val>
        </c:ser>
        <c:dLbls>
          <c:showLegendKey val="0"/>
          <c:showVal val="1"/>
          <c:showCatName val="0"/>
          <c:showSerName val="0"/>
          <c:showPercent val="0"/>
          <c:showBubbleSize val="0"/>
        </c:dLbls>
        <c:gapWidth val="150"/>
        <c:overlap val="0"/>
        <c:axId val="37962602"/>
        <c:axId val="609641732"/>
      </c:barChart>
      <c:catAx>
        <c:axId val="379626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9641732"/>
        <c:crosses val="autoZero"/>
        <c:auto val="1"/>
        <c:lblAlgn val="ctr"/>
        <c:lblOffset val="100"/>
        <c:noMultiLvlLbl val="0"/>
      </c:catAx>
      <c:valAx>
        <c:axId val="6096417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6260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0859722222222222"/>
          <c:y val="0.0364896073903002"/>
        </c:manualLayout>
      </c:layout>
      <c:overlay val="0"/>
      <c:spPr>
        <a:noFill/>
        <a:ln>
          <a:noFill/>
        </a:ln>
        <a:effectLst/>
      </c:spPr>
    </c:title>
    <c:autoTitleDeleted val="0"/>
    <c:plotArea>
      <c:layout/>
      <c:barChart>
        <c:barDir val="col"/>
        <c:grouping val="clustered"/>
        <c:varyColors val="0"/>
        <c:ser>
          <c:idx val="0"/>
          <c:order val="0"/>
          <c:tx>
            <c:strRef>
              <c:f>[图片.xlsx]Sheet1!$B$25</c:f>
              <c:strCache>
                <c:ptCount val="1"/>
                <c:pt idx="0">
                  <c:v>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[图片.xlsx]Sheet1!$A$26:$A$27</c:f>
              <c:strCache>
                <c:ptCount val="2"/>
                <c:pt idx="0">
                  <c:v>2023年决算数</c:v>
                </c:pt>
                <c:pt idx="1">
                  <c:v>2024年决算数</c:v>
                </c:pt>
              </c:strCache>
            </c:strRef>
          </c:cat>
          <c:val>
            <c:numRef>
              <c:f>[图片.xlsx]Sheet1!$B$26:$B$27</c:f>
              <c:numCache>
                <c:formatCode>General</c:formatCode>
                <c:ptCount val="2"/>
                <c:pt idx="0">
                  <c:v>0</c:v>
                </c:pt>
                <c:pt idx="1">
                  <c:v>102.92</c:v>
                </c:pt>
              </c:numCache>
            </c:numRef>
          </c:val>
        </c:ser>
        <c:dLbls>
          <c:showLegendKey val="0"/>
          <c:showVal val="1"/>
          <c:showCatName val="0"/>
          <c:showSerName val="0"/>
          <c:showPercent val="0"/>
          <c:showBubbleSize val="0"/>
        </c:dLbls>
        <c:gapWidth val="150"/>
        <c:overlap val="0"/>
        <c:axId val="37962602"/>
        <c:axId val="609641732"/>
      </c:barChart>
      <c:catAx>
        <c:axId val="379626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9641732"/>
        <c:crosses val="autoZero"/>
        <c:auto val="1"/>
        <c:lblAlgn val="ctr"/>
        <c:lblOffset val="100"/>
        <c:noMultiLvlLbl val="0"/>
      </c:catAx>
      <c:valAx>
        <c:axId val="6096417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6260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432969173267205"/>
                  <c:y val="0.16890720377784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[图片.xlsx]Sheet1!$A$38:$A$41</c:f>
              <c:strCache>
                <c:ptCount val="4"/>
                <c:pt idx="0">
                  <c:v>一般公共服务支出</c:v>
                </c:pt>
                <c:pt idx="1">
                  <c:v>社会保障和就业支出</c:v>
                </c:pt>
                <c:pt idx="2">
                  <c:v>卫生健康支出</c:v>
                </c:pt>
                <c:pt idx="3">
                  <c:v>住房保障支出</c:v>
                </c:pt>
              </c:strCache>
            </c:strRef>
          </c:cat>
          <c:val>
            <c:numRef>
              <c:f>[图片.xlsx]Sheet1!$B$38:$B$41</c:f>
              <c:numCache>
                <c:formatCode>General</c:formatCode>
                <c:ptCount val="4"/>
                <c:pt idx="0">
                  <c:v>63.53</c:v>
                </c:pt>
                <c:pt idx="1">
                  <c:v>33.64</c:v>
                </c:pt>
                <c:pt idx="2">
                  <c:v>1.39</c:v>
                </c:pt>
                <c:pt idx="3">
                  <c:v>4.35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0138888888889"/>
          <c:y val="0.826388888888889"/>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[图片.xlsx]Sheet1!$A$45</c:f>
              <c:strCache>
                <c:ptCount val="1"/>
                <c:pt idx="0">
                  <c:v>公务接待费支出决算</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[图片.xlsx]Sheet1!$B$45</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1299</Words>
  <Characters>7410</Characters>
  <Lines>61</Lines>
  <Paragraphs>17</Paragraphs>
  <TotalTime>0</TotalTime>
  <ScaleCrop>false</ScaleCrop>
  <LinksUpToDate>false</LinksUpToDate>
  <CharactersWithSpaces>8692</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孙思路</cp:lastModifiedBy>
  <cp:lastPrinted>2025-08-07T01:34:00Z</cp:lastPrinted>
  <dcterms:modified xsi:type="dcterms:W3CDTF">2025-09-30T07:46:31Z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04787F2533EB45DC91BCDE4AB213247F</vt:lpwstr>
  </property>
</Properties>
</file>