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bookmarkStart w:id="1" w:name="_GoBack"/>
      <w:bookmarkEnd w:id="1"/>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val="en-US" w:eastAsia="zh-CN"/>
        </w:rPr>
        <w:t>区</w:t>
      </w:r>
      <w:r>
        <w:rPr>
          <w:rFonts w:hint="eastAsia" w:ascii="方正小标宋简体" w:hAnsi="宋体" w:eastAsia="方正小标宋简体"/>
          <w:sz w:val="44"/>
          <w:szCs w:val="44"/>
          <w:shd w:val="clear" w:color="auto" w:fill="FFFFFF"/>
        </w:rPr>
        <w:t>级部门整体绩效自评报告</w:t>
      </w:r>
    </w:p>
    <w:p>
      <w:pPr>
        <w:widowControl/>
        <w:spacing w:line="580" w:lineRule="exact"/>
        <w:contextualSpacing/>
        <w:jc w:val="center"/>
        <w:rPr>
          <w:rFonts w:ascii="方正小标宋简体" w:eastAsia="方正小标宋简体"/>
          <w:sz w:val="44"/>
          <w:szCs w:val="44"/>
          <w:shd w:val="clear" w:color="auto" w:fill="FFFFFF"/>
        </w:rPr>
      </w:pPr>
      <w:r>
        <w:rPr>
          <w:rFonts w:hint="eastAsia" w:ascii="仿宋_GB2312" w:hAnsi="宋体" w:eastAsia="仿宋_GB2312"/>
          <w:szCs w:val="32"/>
          <w:shd w:val="clear" w:color="auto" w:fill="FFFFFF"/>
        </w:rPr>
        <w:t>（报告范围包括机关和下属单位）</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仿宋" w:eastAsia="仿宋_GB2312" w:cs="Times New Roman"/>
          <w:kern w:val="2"/>
          <w:sz w:val="32"/>
          <w:szCs w:val="32"/>
          <w:lang w:val="en-US" w:eastAsia="zh-CN" w:bidi="ar-SA"/>
        </w:rPr>
        <w:t>中共乐山市金口河区委宣传部属独立核算的一级预算单位，执行行政单位会计制度，内设办公室、理论科、新闻科等3个科室。挂乐山市金口河区精神文明建设活动办公室、乐山市金口河区社会科学联合会、乐山市金口河区新闻网站（网络舆情中心）、金口河区互联网信息办公室、区委对外宣传办公室、区人民政府新闻办公室等牌子。</w:t>
      </w:r>
    </w:p>
    <w:p>
      <w:pPr>
        <w:widowControl/>
        <w:numPr>
          <w:ilvl w:val="0"/>
          <w:numId w:val="1"/>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机构职能和人员概况。</w:t>
      </w:r>
    </w:p>
    <w:p>
      <w:pPr>
        <w:pStyle w:val="6"/>
        <w:spacing w:before="0" w:beforeAutospacing="0" w:after="0" w:afterAutospacing="0" w:line="560" w:lineRule="exact"/>
        <w:ind w:firstLine="640" w:firstLineChars="200"/>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（1）负责组织、引导全区的理论研究、理论学习和理论宣传工作。</w:t>
      </w:r>
    </w:p>
    <w:p>
      <w:pPr>
        <w:pStyle w:val="6"/>
        <w:spacing w:before="0" w:beforeAutospacing="0" w:after="0" w:afterAutospacing="0" w:line="560" w:lineRule="exact"/>
        <w:ind w:firstLine="640" w:firstLineChars="200"/>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（2）负责引导社会舆论，指导、协调全区新闻宣传工作，对区广电宣传中心的工作实施政治方向、方针、政策的指导。</w:t>
      </w:r>
    </w:p>
    <w:p>
      <w:pPr>
        <w:pStyle w:val="6"/>
        <w:spacing w:before="0" w:beforeAutospacing="0" w:after="0" w:afterAutospacing="0" w:line="560" w:lineRule="exact"/>
        <w:ind w:firstLine="640" w:firstLineChars="200"/>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（3）负责规划、部署全局性的思想政治工作任务。配合区委组织部做好党员教育工作，会同有关部门研究和改进群众思想教育工作。</w:t>
      </w:r>
    </w:p>
    <w:p>
      <w:pPr>
        <w:pStyle w:val="6"/>
        <w:spacing w:before="0" w:beforeAutospacing="0" w:after="0" w:afterAutospacing="0" w:line="560" w:lineRule="exact"/>
        <w:ind w:firstLine="640" w:firstLineChars="200"/>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（4）负责全区群众性精神文明创建工作的规划和组织实施，协调、指导和监督全区文明单位、行业、村镇、社区、未成年人思想道德建设等各类群众性精神文明创建活动。</w:t>
      </w:r>
    </w:p>
    <w:p>
      <w:pPr>
        <w:pStyle w:val="6"/>
        <w:spacing w:before="0" w:beforeAutospacing="0" w:after="0" w:afterAutospacing="0" w:line="560" w:lineRule="exact"/>
        <w:ind w:firstLine="640" w:firstLineChars="200"/>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（5）负责指导精神产品的生产和文化市场的管理。对区文广新局的工作实施宏观指导与协调。</w:t>
      </w:r>
    </w:p>
    <w:p>
      <w:pPr>
        <w:pStyle w:val="6"/>
        <w:spacing w:before="0" w:beforeAutospacing="0" w:after="0" w:afterAutospacing="0" w:line="560" w:lineRule="exact"/>
        <w:ind w:firstLine="640" w:firstLineChars="200"/>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（6）负责从宏观上指导全区中小学校的德育、政治理论课教学和思想政治工作。</w:t>
      </w:r>
    </w:p>
    <w:p>
      <w:pPr>
        <w:pStyle w:val="6"/>
        <w:spacing w:before="0" w:beforeAutospacing="0" w:after="0" w:afterAutospacing="0" w:line="560" w:lineRule="exact"/>
        <w:ind w:firstLine="640" w:firstLineChars="200"/>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（7）负责全区对外宣传工作的总体规划，组织协调，指导和管理全区的外宣工作。</w:t>
      </w:r>
    </w:p>
    <w:p>
      <w:pPr>
        <w:pStyle w:val="6"/>
        <w:spacing w:before="0" w:beforeAutospacing="0" w:after="0" w:afterAutospacing="0" w:line="560" w:lineRule="exact"/>
        <w:ind w:firstLine="640" w:firstLineChars="200"/>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（8）负责制定全区宣传干部的培训规划并组织实施。</w:t>
      </w:r>
    </w:p>
    <w:p>
      <w:pPr>
        <w:pStyle w:val="6"/>
        <w:spacing w:before="0" w:beforeAutospacing="0" w:after="0" w:afterAutospacing="0" w:line="560" w:lineRule="exact"/>
        <w:ind w:firstLine="640" w:firstLineChars="200"/>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（9）负责提出宣传思想文化事业发展的指导意见，指导文化系统制定政策、法规，按照区委的工作部署，对宣传文化系统各部门之间的工作进行协调。</w:t>
      </w:r>
    </w:p>
    <w:p>
      <w:pPr>
        <w:widowControl/>
        <w:numPr>
          <w:numId w:val="0"/>
        </w:numPr>
        <w:adjustRightInd w:val="0"/>
        <w:snapToGrid w:val="0"/>
        <w:spacing w:line="580" w:lineRule="exact"/>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仿宋" w:eastAsia="仿宋_GB2312" w:cs="Times New Roman"/>
          <w:kern w:val="2"/>
          <w:sz w:val="32"/>
          <w:szCs w:val="32"/>
          <w:lang w:val="en-US" w:eastAsia="zh-CN" w:bidi="ar-SA"/>
        </w:rPr>
        <w:t>（10）完成区委和市委宣传部交办的其他任务。</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（三）年度主要工作任务。</w:t>
      </w:r>
    </w:p>
    <w:p>
      <w:pPr>
        <w:keepNext w:val="0"/>
        <w:keepLines w:val="0"/>
        <w:pageBreakBefore w:val="0"/>
        <w:widowControl w:val="0"/>
        <w:kinsoku/>
        <w:wordWrap/>
        <w:overflowPunct/>
        <w:topLinePunct w:val="0"/>
        <w:autoSpaceDE/>
        <w:autoSpaceDN/>
        <w:bidi w:val="0"/>
        <w:adjustRightInd/>
        <w:snapToGrid/>
        <w:spacing w:line="600" w:lineRule="exact"/>
        <w:ind w:right="0" w:firstLine="640" w:firstLineChars="20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1、高扬思想旗帜，理论武装入脑入心。</w:t>
      </w:r>
    </w:p>
    <w:p>
      <w:pPr>
        <w:keepNext w:val="0"/>
        <w:keepLines w:val="0"/>
        <w:pageBreakBefore w:val="0"/>
        <w:widowControl w:val="0"/>
        <w:kinsoku/>
        <w:wordWrap/>
        <w:overflowPunct/>
        <w:topLinePunct w:val="0"/>
        <w:autoSpaceDE/>
        <w:autoSpaceDN/>
        <w:bidi w:val="0"/>
        <w:adjustRightInd/>
        <w:snapToGrid/>
        <w:spacing w:line="600" w:lineRule="exact"/>
        <w:ind w:leftChars="0" w:right="0" w:firstLine="640" w:firstLineChars="200"/>
        <w:jc w:val="both"/>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紧紧围绕习近平新时代中国特色社会主义思想，结合当前中心工作和党纪学习教育、党的二十届三中全会精神、省委、市委重要会议精神等，采取个人自学、集体研讨和专家辅导相结合的方式，扎实开展区委理论学习中心组学习20次，其中，集体学习研讨11次，举办读书班3次，专题辅导6次，走出去学1次。示范带动全区各级党委（党组）开展理论学习中心组学习360余次。同时，加强对全区各级党委（党组）理论学习中心组的督促指导，对教育局、区政协等单位开展列席旁听15次，查找发现问题15个，并制发学习情况通报。按要求征订《习近平经济思想》《习近平文化思想学习纲要》《中国共产党纪律处分条例》学习解读等理论读物220本。成立乐山市“鸽鸽讲堂”工作室，新吸纳8名宣讲骨干，充实宣讲队伍，进一步打响乐山市“鸽鸽讲堂”宣讲队品牌。围绕党的方针政策和会议精神、民族团结、文明新风、法律宣传等开展宣讲300余场，覆盖群众1.8万余人次，让党的创新理论入脑入心。由的莫鸽鸽主讲的短视频《城乡互哺“云端”新生》被理响巴蜀平台采用，在四川新闻网播出。</w:t>
      </w:r>
    </w:p>
    <w:p>
      <w:pPr>
        <w:keepNext w:val="0"/>
        <w:keepLines w:val="0"/>
        <w:pageBreakBefore w:val="0"/>
        <w:widowControl w:val="0"/>
        <w:numPr>
          <w:numId w:val="0"/>
        </w:numPr>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color w:val="000000"/>
          <w:sz w:val="32"/>
          <w:szCs w:val="32"/>
          <w:lang w:val="en-US" w:eastAsia="zh-CN"/>
        </w:rPr>
      </w:pPr>
      <w:r>
        <w:rPr>
          <w:rFonts w:hint="eastAsia" w:ascii="楷体_GB2312" w:hAnsi="楷体_GB2312" w:eastAsia="楷体_GB2312" w:cs="楷体_GB2312"/>
          <w:color w:val="000000"/>
          <w:sz w:val="32"/>
          <w:szCs w:val="32"/>
          <w:lang w:val="en-US" w:eastAsia="zh-CN"/>
        </w:rPr>
        <w:t>2、强抓阵地管理，安全屏障筑实筑牢。</w:t>
      </w:r>
    </w:p>
    <w:p>
      <w:pPr>
        <w:keepNext w:val="0"/>
        <w:keepLines w:val="0"/>
        <w:pageBreakBefore w:val="0"/>
        <w:widowControl w:val="0"/>
        <w:kinsoku/>
        <w:wordWrap/>
        <w:overflowPunct/>
        <w:topLinePunct w:val="0"/>
        <w:autoSpaceDE/>
        <w:autoSpaceDN/>
        <w:bidi w:val="0"/>
        <w:adjustRightInd/>
        <w:snapToGrid/>
        <w:spacing w:line="600" w:lineRule="exact"/>
        <w:ind w:leftChars="0" w:right="0" w:firstLine="640" w:firstLineChars="200"/>
        <w:jc w:val="both"/>
        <w:textAlignment w:val="auto"/>
        <w:rPr>
          <w:rFonts w:hint="eastAsia"/>
          <w:color w:val="000000"/>
          <w:lang w:val="en-US" w:eastAsia="zh-CN"/>
        </w:rPr>
      </w:pPr>
      <w:r>
        <w:rPr>
          <w:rFonts w:hint="eastAsia" w:ascii="仿宋_GB2312" w:hAnsi="仿宋_GB2312" w:eastAsia="仿宋_GB2312" w:cs="仿宋_GB2312"/>
          <w:color w:val="000000"/>
          <w:sz w:val="32"/>
          <w:szCs w:val="32"/>
          <w:lang w:val="en-US" w:eastAsia="zh-CN"/>
        </w:rPr>
        <w:t>全面贯彻落实意识形态工作责任制，完成省委巡视问题整改10个，召开意识形态专题培训会5次，向区委常委会专题汇报意识形态工作3次，召开季度意识形态领域形势分析预判4次，印发《当前我区意识形态领域形势的通报》。常态化参与2轮区委巡察，查找发现问题45个，并提出整改要求。对全区50余个部门开展意识形态全覆盖督查，发现问题96个，并制发督查通报。开展扫黄打非各项执法检查12次，出动执法人员70人次，检查打字复印店、文具店、快递站等49家，完成简报12期，维护文化市场安全。开展全区软件正版化检查1次，完成2025年全区党政机关正版软件采购工作。做好农村公益电影放映工作，加强线上线下审核监督，全年完成492场放映任务。深入拓展“入群进圈”，举办新媒体、网络大V人士座谈会，利用“网红”力量壮大全区发展声势。邀请省、市专家到金口河区开展网络安全主题辅导，进一步提升广大干部与群众管网、用网、治网水平。凝心聚力打造“e+鸽鸽讲堂”网信品牌，转发中央、省市主流媒体重要稿件200余篇，利用微信、微博、视频号、抖音平台刊发自采稿件500余条，深入宣传金口河贯彻落实党的二十届三中全会精神和省委、市委决策部署的生动实践。全面加强舆情处置和网络舆情联报机制，“点对点”转发《网络安全风险预警》《网络安全风险提示函》39期，编发《金口河舆情月报》12 期，舆情专报2期，全年共处置各类小微舆情3个，全区舆情总体平稳有序。加强舆情信息报送和不良信息举报工作，上报舆情信息被市委宣传部采用703条，被中宣部采用127条，全年完成省网信应急举报5643条，四川互联网违法和不良信息举报1346条，辟谣日榜推送142条，不断引领网络舆论“风向标”。扎实走好新时代网上群众路线，持续用好“海棠社区”“麻辣社区”“问政四川”网络平台回应民生诉求，全区在线服务平台政务服务事项全程网办达到100％，即办率达96.15％。深入开展“指尖上的形式主义”专项整治工作，通过运用规范、解散、整合等方式，共编发工作提示函2期，规范工作群193个，清理阶段性微信群67个、QQ 群13个，停用“瓦山青松”“金河之声”公众号2个。</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rPr>
          <w:rFonts w:hint="eastAsia" w:ascii="楷体_GB2312" w:hAnsi="楷体_GB2312" w:eastAsia="楷体_GB2312" w:cs="楷体_GB2312"/>
          <w:color w:val="000000"/>
          <w:sz w:val="32"/>
          <w:szCs w:val="32"/>
          <w:lang w:val="en-US" w:eastAsia="zh-CN"/>
        </w:rPr>
      </w:pPr>
      <w:bookmarkStart w:id="0" w:name="OLE_LINK4"/>
      <w:r>
        <w:rPr>
          <w:rFonts w:hint="eastAsia" w:ascii="楷体_GB2312" w:hAnsi="楷体_GB2312" w:eastAsia="楷体_GB2312" w:cs="楷体_GB2312"/>
          <w:color w:val="000000"/>
          <w:sz w:val="32"/>
          <w:szCs w:val="32"/>
          <w:lang w:val="en-US" w:eastAsia="zh-CN"/>
        </w:rPr>
        <w:t>3、围绕主流舆论，</w:t>
      </w:r>
      <w:bookmarkEnd w:id="0"/>
      <w:r>
        <w:rPr>
          <w:rFonts w:hint="eastAsia" w:ascii="楷体_GB2312" w:hAnsi="楷体_GB2312" w:eastAsia="楷体_GB2312" w:cs="楷体_GB2312"/>
          <w:color w:val="000000"/>
          <w:sz w:val="32"/>
          <w:szCs w:val="32"/>
          <w:lang w:val="en-US" w:eastAsia="zh-CN"/>
        </w:rPr>
        <w:t>宣传工作有声有色。</w:t>
      </w:r>
    </w:p>
    <w:p>
      <w:pPr>
        <w:keepNext w:val="0"/>
        <w:keepLines w:val="0"/>
        <w:pageBreakBefore w:val="0"/>
        <w:widowControl w:val="0"/>
        <w:kinsoku/>
        <w:wordWrap/>
        <w:overflowPunct/>
        <w:topLinePunct w:val="0"/>
        <w:autoSpaceDE/>
        <w:autoSpaceDN/>
        <w:bidi w:val="0"/>
        <w:adjustRightInd/>
        <w:snapToGrid/>
        <w:spacing w:line="600" w:lineRule="exact"/>
        <w:ind w:leftChars="0" w:right="0" w:firstLine="640" w:firstLineChars="200"/>
        <w:jc w:val="both"/>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聚焦区委、区政府重点工作，围绕乡村振兴、经济社会发展等相关内容开展新闻宣传，全年外宣稿件在中央、省、市级媒体刊登600余（篇），其中《满船清梦压星河 来大瓦山共赏古诗词里的无垠星空》《四川：游客自驾路上偶遇野生大熊猫》等60余（篇）稿件登上人民日报、央视等国家级主流媒体；《节约粮食》等4条被学习强国全国平台采用；《乐山金口河：风光“变现” 山水“生金”》《解开“四好”乐山的“留量”密码》》等150余条在省级媒体刊发；《金口河：振兴工业城 建设文旅区 拼出精气神 实现新作为》《金口河新河村农旅综合体项目跑起来》等400余条在市级媒体刊发。《苦黄连“种”出甜日子！四川乐山走出农旅融合致富路》在央视财经频道“乡村振兴中国行”栏目播出；创意宣传短视频《【“金”色视线】创文进行时——这一箭射中你的心脏了吗？》，一经播出全网点击率超10万。《金口河：谱“金虞良缘”幸福新篇》《四川首家！广期所在金口河区设立工业硅期货指定交割库》获四川省县级融媒新闻奖三等奖；《【新质生产力】大渡河沙坪一级水电站胶结砂砾石筑坝技术获权威机构新技术认可》获评宣传乐山“好新闻”；短视频《盛世华诞 喜迎篇章》在第十八届小康电视节目工程四川地区评审中荣获“年度优秀短视频”；2024年在乐山电视台各栏目上稿270条，在区(市)县发稿综合排名第一；沈文旭荣获2024年乐山市新闻工作成绩突出个人。全面完成中心媒资系统提档升级工作，研究制定《金口河区融媒体中心媒资存储管理办法》，对“金口融媒”APP进行提档升级，新增“慢直播”服务板块，嵌入大瓦山、大峡谷、鹿儿坪等区级重点旅游点位实况，进一步提升与用户的粘合度。创新工作思路，开设自制栏目，新增3个自制栏目《主播说》《江杨大道》《“金”色视线》，利用“家乡话”讲述家乡事，目前已播出6期。在“金口融媒”APP融媒直播栏目实现首次自主户外直播6场次，共吸引观众观看直播超10万人次。积极开展“金口融媒”APP线下宣传活动，目前,APP下载用户3.3万人次，达到了全区常驻人口的87%，下载量和日活率突破新高。邀请14家中央、省、市主流媒体，召开乐山市推进高质量发展主题新闻发布会——金口河区专场发布会，全面宣传金口河区文旅发展情况和未来规划，拍摄金口河城市形象宣传片《金生遇见 河山有爱》并在区属主流媒体发布，浏览量达20万+。</w:t>
      </w:r>
    </w:p>
    <w:p>
      <w:pPr>
        <w:keepNext w:val="0"/>
        <w:keepLines w:val="0"/>
        <w:pageBreakBefore w:val="0"/>
        <w:widowControl w:val="0"/>
        <w:kinsoku/>
        <w:wordWrap/>
        <w:overflowPunct/>
        <w:topLinePunct w:val="0"/>
        <w:autoSpaceDE/>
        <w:autoSpaceDN/>
        <w:bidi w:val="0"/>
        <w:adjustRightInd/>
        <w:snapToGrid/>
        <w:spacing w:line="600" w:lineRule="exact"/>
        <w:ind w:right="0" w:firstLine="640" w:firstLineChars="200"/>
        <w:textAlignment w:val="auto"/>
        <w:rPr>
          <w:rFonts w:hint="eastAsia" w:ascii="楷体_GB2312" w:hAnsi="楷体_GB2312" w:eastAsia="楷体_GB2312" w:cs="楷体_GB2312"/>
          <w:color w:val="000000"/>
          <w:sz w:val="32"/>
          <w:szCs w:val="32"/>
          <w:lang w:val="en-US" w:eastAsia="zh-CN"/>
        </w:rPr>
      </w:pPr>
      <w:r>
        <w:rPr>
          <w:rFonts w:hint="eastAsia" w:ascii="楷体_GB2312" w:hAnsi="楷体_GB2312" w:eastAsia="楷体_GB2312" w:cs="楷体_GB2312"/>
          <w:color w:val="000000"/>
          <w:sz w:val="32"/>
          <w:szCs w:val="32"/>
          <w:lang w:val="en-US" w:eastAsia="zh-CN"/>
        </w:rPr>
        <w:t>4、厚植精神沃土，文明实践激发动力。</w:t>
      </w:r>
    </w:p>
    <w:p>
      <w:pPr>
        <w:keepNext w:val="0"/>
        <w:keepLines w:val="0"/>
        <w:pageBreakBefore w:val="0"/>
        <w:widowControl w:val="0"/>
        <w:kinsoku/>
        <w:wordWrap/>
        <w:overflowPunct/>
        <w:topLinePunct w:val="0"/>
        <w:autoSpaceDE/>
        <w:autoSpaceDN/>
        <w:bidi w:val="0"/>
        <w:adjustRightInd/>
        <w:snapToGrid/>
        <w:spacing w:line="600" w:lineRule="exact"/>
        <w:ind w:leftChars="0" w:right="0" w:firstLine="640" w:firstLineChars="200"/>
        <w:jc w:val="both"/>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积极推荐申报“乐山好人”“四川好人”，王琦入选一季度“中国好人”候选人，张国娥、陈洪友两人分别入选一季度和二季度“乐山好人”，小凉山拉吉时不工作室被授予四川省“学雷锋先进集体”称号。以绣花功夫推进文明城市创建，聚集我区实地暗访5类和调取视频监控10类点位指标，点面结合抓好升级打造，各创文相关部门制定针对各自牵头的点位制定工作措施，加强对不文明养犬、乱停乱放、占道经营等问题的整治；全员参与创建局势初步形成，印发《金口河区文明城市创建部门联动工作方案》，区级各部门定期深入联系小区楼栋开展敲门行动、坝坝会、趣味游戏等活动，向群众宣传创文知识，招募培训11名文明劝导员与党员干部共同上路对城区6条主次干道进行文明劝导；营造浓厚创建氛围，在高速路出口、城区设置大型公益广告牌5个，新增公益广告景观小品2处，更新宣传展板100余处，印发《金口河市民文明手册》1万册，制作布袋、扇子、杯子等创文主题宣传小礼品1万余份。开设《金口河曝光台》和《创文进行时》专栏，滚动刊播公益广告30余条，自编自导制作文明素养创意短视频10余个。投入资金10余万元对全区35个所站进行提档升级，围绕文明实践五大任务，开展“文明实践我是行动者 文明创建我是参与者”“大手拉小手 共创文明城”系列文明实践活动25场次，充分发挥“鸽鸽讲堂”“小凉山拉吉时不工作室”先进典型引领作用，开展《乐山市文明行为促进条例》宣讲30场次，全年各新时代文明实践阵地累计开展活动1000余场次。始终坚持培育和践行社会主义核心价值观，积极推动中小学深入开展理想信念教育、爱国主义教育、中华优秀传统文化教育等系列活动100余次，帮助中小学生“扣好人生的第一粒扣子”，进一步加强乡村学校少年宫规范化管理。延风中学谢孟慈老师在“文化传承强国有我”四川省第三届青少年书画传习大会中获书画教学课例评选二等奖。</w:t>
      </w:r>
    </w:p>
    <w:p>
      <w:pPr>
        <w:keepNext w:val="0"/>
        <w:keepLines w:val="0"/>
        <w:pageBreakBefore w:val="0"/>
        <w:widowControl w:val="0"/>
        <w:kinsoku/>
        <w:wordWrap/>
        <w:overflowPunct/>
        <w:topLinePunct w:val="0"/>
        <w:autoSpaceDE/>
        <w:autoSpaceDN/>
        <w:bidi w:val="0"/>
        <w:adjustRightInd/>
        <w:snapToGrid/>
        <w:spacing w:line="600" w:lineRule="exact"/>
        <w:ind w:right="0" w:firstLine="640" w:firstLineChars="200"/>
        <w:textAlignment w:val="auto"/>
        <w:rPr>
          <w:rFonts w:hint="eastAsia" w:ascii="楷体_GB2312" w:hAnsi="楷体_GB2312" w:eastAsia="楷体_GB2312" w:cs="楷体_GB2312"/>
          <w:color w:val="000000"/>
          <w:sz w:val="32"/>
          <w:szCs w:val="32"/>
          <w:lang w:val="en-US" w:eastAsia="zh-CN"/>
        </w:rPr>
      </w:pPr>
      <w:r>
        <w:rPr>
          <w:rFonts w:hint="eastAsia" w:ascii="楷体_GB2312" w:hAnsi="楷体_GB2312" w:eastAsia="楷体_GB2312" w:cs="楷体_GB2312"/>
          <w:color w:val="000000"/>
          <w:sz w:val="32"/>
          <w:szCs w:val="32"/>
          <w:lang w:val="en-US" w:eastAsia="zh-CN"/>
        </w:rPr>
        <w:t>5、聚力文化惠民，精神文化不断丰富。</w:t>
      </w:r>
    </w:p>
    <w:p>
      <w:pPr>
        <w:pStyle w:val="18"/>
        <w:keepNext w:val="0"/>
        <w:keepLines w:val="0"/>
        <w:pageBreakBefore w:val="0"/>
        <w:widowControl w:val="0"/>
        <w:kinsoku/>
        <w:wordWrap/>
        <w:overflowPunct/>
        <w:topLinePunct w:val="0"/>
        <w:bidi w:val="0"/>
        <w:snapToGrid/>
        <w:spacing w:line="600" w:lineRule="exact"/>
        <w:ind w:right="0" w:firstLine="640" w:firstLineChars="200"/>
        <w:textAlignment w:val="auto"/>
        <w:rPr>
          <w:rFonts w:hint="eastAsia" w:ascii="黑体" w:hAnsi="黑体" w:eastAsia="黑体"/>
          <w:sz w:val="32"/>
          <w:szCs w:val="32"/>
          <w:highlight w:val="none"/>
        </w:rPr>
      </w:pPr>
      <w:r>
        <w:rPr>
          <w:rFonts w:hint="eastAsia" w:ascii="仿宋_GB2312" w:hAnsi="仿宋_GB2312" w:eastAsia="仿宋_GB2312" w:cs="仿宋_GB2312"/>
          <w:b w:val="0"/>
          <w:bCs w:val="0"/>
          <w:color w:val="000000"/>
          <w:kern w:val="2"/>
          <w:sz w:val="32"/>
          <w:szCs w:val="32"/>
          <w:lang w:val="en-US" w:eastAsia="zh-CN" w:bidi="ar-SA"/>
        </w:rPr>
        <w:t>持续推进三馆一站免费开放工作，丰富群众文化活动，举办2024年全国全民健身大拜年暨金口河区迎新年环城跑、百姓文化村超“蜀乡村歌好声音·乐山非遗传承秀”金口河赛区决赛、“金口河区2024年彝历新年庆祝晚会”等文化惠民</w:t>
      </w:r>
      <w:r>
        <w:rPr>
          <w:rFonts w:hint="eastAsia" w:ascii="仿宋_GB2312" w:hAnsi="仿宋_GB2312" w:eastAsia="仿宋_GB2312" w:cs="仿宋_GB2312"/>
          <w:b w:val="0"/>
          <w:bCs w:val="0"/>
          <w:color w:val="000000"/>
          <w:kern w:val="2"/>
          <w:sz w:val="32"/>
          <w:szCs w:val="32"/>
          <w:lang w:val="zh-TW" w:eastAsia="zh-CN" w:bidi="ar-SA"/>
        </w:rPr>
        <w:t>线上线下活动</w:t>
      </w:r>
      <w:r>
        <w:rPr>
          <w:rFonts w:hint="eastAsia" w:ascii="仿宋_GB2312" w:hAnsi="仿宋_GB2312" w:eastAsia="仿宋_GB2312" w:cs="仿宋_GB2312"/>
          <w:b w:val="0"/>
          <w:bCs w:val="0"/>
          <w:color w:val="000000"/>
          <w:kern w:val="2"/>
          <w:sz w:val="32"/>
          <w:szCs w:val="32"/>
          <w:lang w:val="en-US" w:eastAsia="zh-CN" w:bidi="ar-SA"/>
        </w:rPr>
        <w:t>80余场次</w:t>
      </w:r>
      <w:r>
        <w:rPr>
          <w:rFonts w:hint="eastAsia" w:ascii="仿宋_GB2312" w:hAnsi="仿宋_GB2312" w:eastAsia="仿宋_GB2312" w:cs="仿宋_GB2312"/>
          <w:b w:val="0"/>
          <w:bCs w:val="0"/>
          <w:color w:val="000000"/>
          <w:kern w:val="2"/>
          <w:sz w:val="32"/>
          <w:szCs w:val="32"/>
          <w:lang w:val="zh-TW" w:eastAsia="zh-CN" w:bidi="ar-SA"/>
        </w:rPr>
        <w:t>，送出礼品</w:t>
      </w:r>
      <w:r>
        <w:rPr>
          <w:rFonts w:hint="eastAsia" w:ascii="仿宋_GB2312" w:hAnsi="仿宋_GB2312" w:eastAsia="仿宋_GB2312" w:cs="仿宋_GB2312"/>
          <w:b w:val="0"/>
          <w:bCs w:val="0"/>
          <w:color w:val="000000"/>
          <w:kern w:val="2"/>
          <w:sz w:val="32"/>
          <w:szCs w:val="32"/>
          <w:lang w:val="en-US" w:eastAsia="zh-CN" w:bidi="ar-SA"/>
        </w:rPr>
        <w:t>1万</w:t>
      </w:r>
      <w:r>
        <w:rPr>
          <w:rFonts w:hint="eastAsia" w:ascii="仿宋_GB2312" w:hAnsi="仿宋_GB2312" w:eastAsia="仿宋_GB2312" w:cs="仿宋_GB2312"/>
          <w:b w:val="0"/>
          <w:bCs w:val="0"/>
          <w:color w:val="000000"/>
          <w:kern w:val="2"/>
          <w:sz w:val="32"/>
          <w:szCs w:val="32"/>
          <w:lang w:val="zh-TW" w:eastAsia="zh-CN" w:bidi="ar-SA"/>
        </w:rPr>
        <w:t>余份，活动</w:t>
      </w:r>
      <w:r>
        <w:rPr>
          <w:rFonts w:hint="default" w:ascii="仿宋_GB2312" w:hAnsi="仿宋_GB2312" w:eastAsia="仿宋_GB2312" w:cs="仿宋_GB2312"/>
          <w:b w:val="0"/>
          <w:bCs w:val="0"/>
          <w:color w:val="000000"/>
          <w:kern w:val="2"/>
          <w:sz w:val="32"/>
          <w:szCs w:val="32"/>
          <w:lang w:val="zh-TW" w:eastAsia="zh-CN" w:bidi="ar-SA"/>
        </w:rPr>
        <w:t>参与人数近</w:t>
      </w:r>
      <w:r>
        <w:rPr>
          <w:rFonts w:hint="eastAsia" w:ascii="仿宋_GB2312" w:hAnsi="仿宋_GB2312" w:eastAsia="仿宋_GB2312" w:cs="仿宋_GB2312"/>
          <w:b w:val="0"/>
          <w:bCs w:val="0"/>
          <w:color w:val="000000"/>
          <w:kern w:val="2"/>
          <w:sz w:val="32"/>
          <w:szCs w:val="32"/>
          <w:lang w:val="en-US" w:eastAsia="zh-CN" w:bidi="ar-SA"/>
        </w:rPr>
        <w:t>2.5万余</w:t>
      </w:r>
      <w:r>
        <w:rPr>
          <w:rFonts w:hint="default" w:ascii="仿宋_GB2312" w:hAnsi="仿宋_GB2312" w:eastAsia="仿宋_GB2312" w:cs="仿宋_GB2312"/>
          <w:b w:val="0"/>
          <w:bCs w:val="0"/>
          <w:color w:val="000000"/>
          <w:kern w:val="2"/>
          <w:sz w:val="32"/>
          <w:szCs w:val="32"/>
          <w:lang w:val="zh-TW" w:eastAsia="zh-CN" w:bidi="ar-SA"/>
        </w:rPr>
        <w:t>人次</w:t>
      </w:r>
      <w:r>
        <w:rPr>
          <w:rFonts w:hint="eastAsia" w:ascii="仿宋_GB2312" w:hAnsi="仿宋_GB2312" w:eastAsia="仿宋_GB2312" w:cs="仿宋_GB2312"/>
          <w:b w:val="0"/>
          <w:bCs w:val="0"/>
          <w:color w:val="000000"/>
          <w:kern w:val="2"/>
          <w:sz w:val="32"/>
          <w:szCs w:val="32"/>
          <w:lang w:val="zh-TW" w:eastAsia="zh-CN" w:bidi="ar-SA"/>
        </w:rPr>
        <w:t>。</w:t>
      </w:r>
      <w:r>
        <w:rPr>
          <w:rFonts w:hint="eastAsia" w:ascii="仿宋_GB2312" w:hAnsi="仿宋_GB2312" w:eastAsia="仿宋_GB2312" w:cs="仿宋_GB2312"/>
          <w:b w:val="0"/>
          <w:bCs w:val="0"/>
          <w:color w:val="000000"/>
          <w:kern w:val="2"/>
          <w:sz w:val="32"/>
          <w:szCs w:val="32"/>
          <w:lang w:val="en-US" w:eastAsia="zh-CN" w:bidi="ar-SA"/>
        </w:rPr>
        <w:t>成功举办“5·18国际博物馆日”乐山市主会场启动仪式暨铁道兵博物馆全面开馆仪式，实现红色剧目《转转花开》的3场本地展演。成立全国第一个专门研究铁道兵文化的研究协会——金口河区铁道兵文化研究协会，邀请行业内专家学者召开铁道兵文化研究座谈会。金口河区省级非遗项目“三雄夺魁”登上2024国庆乐山非遗展演系列活动，非遗项目——永胜腊肉、老鹰茶亮相央视《欢乐赶大集》节目，多渠道、多维度展示了金口河区非遗传承文化，在四川省第四届乡村文化振兴魅力竞演乐山选拔赛中永和镇的《花开转转》荣获一等奖。特色文学多点开花，印刷出版《大瓦山》两期，结集出版《金口四季》；在乐山市第六届“沫若杯”全民阅读有奖征文中邹燕、时天云荣获一等奖；中国作协会员罗旭峰获2024郭沫若文学艺术奖“新人新作奖”；区摄影协会联合其它摄影协会开展10余次摄影采风、知识讲座、评片赏片等交流活动，5幅作品入选省级以上影展，80余幅作品用于铁道兵博物馆扩建装修；邀请巴金文学院、省内外作家到金口河开展“寻访最美乐山·书写山河之春”采风活动。</w:t>
      </w:r>
    </w:p>
    <w:p>
      <w:pPr>
        <w:pStyle w:val="2"/>
        <w:rPr>
          <w:lang w:val="zh-CN"/>
        </w:rPr>
      </w:pP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（四）部门整体支出绩效目标。</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lang w:val="zh-CN"/>
        </w:rPr>
      </w:pPr>
      <w:r>
        <w:rPr>
          <w:rFonts w:hint="eastAsia" w:ascii="仿宋_GB2312" w:hAnsi="仿宋" w:eastAsia="仿宋_GB2312"/>
          <w:sz w:val="32"/>
          <w:szCs w:val="32"/>
        </w:rPr>
        <w:t>本年收入总额</w:t>
      </w:r>
      <w:r>
        <w:rPr>
          <w:rFonts w:hint="eastAsia" w:ascii="仿宋_GB2312" w:hAnsi="仿宋" w:eastAsia="仿宋_GB2312"/>
          <w:sz w:val="32"/>
          <w:szCs w:val="32"/>
          <w:lang w:val="en-US" w:eastAsia="zh-CN"/>
        </w:rPr>
        <w:t>1351.68</w:t>
      </w:r>
      <w:r>
        <w:rPr>
          <w:rFonts w:hint="eastAsia" w:ascii="仿宋_GB2312" w:hAnsi="仿宋" w:eastAsia="仿宋_GB2312"/>
          <w:sz w:val="32"/>
          <w:szCs w:val="32"/>
        </w:rPr>
        <w:t>万元</w:t>
      </w:r>
      <w:r>
        <w:rPr>
          <w:rFonts w:hint="eastAsia" w:ascii="仿宋_GB2312" w:hAnsi="仿宋" w:eastAsia="仿宋_GB2312" w:cs="Times New Roman"/>
          <w:color w:val="000000" w:themeColor="text1"/>
          <w:kern w:val="2"/>
          <w:sz w:val="32"/>
          <w:szCs w:val="32"/>
          <w:lang w:val="en-US" w:eastAsia="zh-CN" w:bidi="ar-SA"/>
        </w:rPr>
        <w:t>，其中财政拨款收入为</w:t>
      </w:r>
      <w:r>
        <w:rPr>
          <w:rFonts w:hint="eastAsia" w:ascii="仿宋_GB2312" w:hAnsi="仿宋" w:eastAsia="仿宋_GB2312"/>
          <w:sz w:val="32"/>
          <w:szCs w:val="32"/>
          <w:lang w:val="en-US" w:eastAsia="zh-CN"/>
        </w:rPr>
        <w:t>1351.68</w:t>
      </w:r>
      <w:r>
        <w:rPr>
          <w:rFonts w:hint="eastAsia" w:ascii="仿宋_GB2312" w:hAnsi="仿宋" w:eastAsia="仿宋_GB2312" w:cs="Times New Roman"/>
          <w:color w:val="000000" w:themeColor="text1"/>
          <w:kern w:val="2"/>
          <w:sz w:val="32"/>
          <w:szCs w:val="32"/>
          <w:lang w:val="en-US" w:eastAsia="zh-CN" w:bidi="ar-SA"/>
        </w:rPr>
        <w:t>万元，占本年收入总额为100%。</w:t>
      </w:r>
    </w:p>
    <w:p>
      <w:pPr>
        <w:widowControl/>
        <w:numPr>
          <w:ilvl w:val="0"/>
          <w:numId w:val="1"/>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部门财政资金支出情况。</w:t>
      </w:r>
    </w:p>
    <w:p>
      <w:pPr>
        <w:pStyle w:val="2"/>
        <w:keepNext w:val="0"/>
        <w:keepLines w:val="0"/>
        <w:pageBreakBefore w:val="0"/>
        <w:widowControl w:val="0"/>
        <w:numPr>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b w:val="0"/>
          <w:bCs w:val="0"/>
          <w:color w:val="000000"/>
          <w:kern w:val="2"/>
          <w:sz w:val="32"/>
          <w:szCs w:val="32"/>
          <w:lang w:val="zh-CN" w:eastAsia="zh-CN" w:bidi="ar-SA"/>
        </w:rPr>
      </w:pPr>
      <w:r>
        <w:rPr>
          <w:rFonts w:hint="eastAsia" w:ascii="仿宋_GB2312" w:hAnsi="仿宋_GB2312" w:eastAsia="仿宋_GB2312" w:cs="仿宋_GB2312"/>
          <w:b w:val="0"/>
          <w:bCs w:val="0"/>
          <w:color w:val="000000"/>
          <w:kern w:val="2"/>
          <w:sz w:val="32"/>
          <w:szCs w:val="32"/>
          <w:lang w:val="zh-CN" w:eastAsia="zh-CN" w:bidi="ar-SA"/>
        </w:rPr>
        <w:t>本年支出总额1351.68万元，其中基本支出501.65万元，占总支出37.11%，基本支出中人员支出415.13万元，公用支出86.51万元；项目支出850.03万元，占总支出62.89%。</w:t>
      </w:r>
    </w:p>
    <w:p>
      <w:pPr>
        <w:keepNext w:val="0"/>
        <w:keepLines w:val="0"/>
        <w:pageBreakBefore w:val="0"/>
        <w:widowControl/>
        <w:numPr>
          <w:ilvl w:val="0"/>
          <w:numId w:val="1"/>
        </w:numPr>
        <w:kinsoku/>
        <w:wordWrap/>
        <w:overflowPunct/>
        <w:topLinePunct w:val="0"/>
        <w:autoSpaceDE/>
        <w:autoSpaceDN/>
        <w:bidi w:val="0"/>
        <w:adjustRightInd w:val="0"/>
        <w:snapToGrid w:val="0"/>
        <w:spacing w:line="600" w:lineRule="exact"/>
        <w:ind w:left="0" w:leftChars="0" w:firstLine="640" w:firstLineChars="200"/>
        <w:contextualSpacing/>
        <w:jc w:val="left"/>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部门财政资金结转结余情况。</w:t>
      </w:r>
    </w:p>
    <w:p>
      <w:pPr>
        <w:pStyle w:val="2"/>
        <w:keepNext w:val="0"/>
        <w:keepLines w:val="0"/>
        <w:pageBreakBefore w:val="0"/>
        <w:numPr>
          <w:numId w:val="0"/>
        </w:numPr>
        <w:kinsoku/>
        <w:wordWrap/>
        <w:overflowPunct/>
        <w:topLinePunct w:val="0"/>
        <w:autoSpaceDE/>
        <w:autoSpaceDN/>
        <w:bidi w:val="0"/>
        <w:snapToGrid w:val="0"/>
        <w:spacing w:line="600" w:lineRule="exact"/>
        <w:ind w:leftChars="200"/>
        <w:textAlignment w:val="auto"/>
        <w:rPr>
          <w:lang w:val="zh-CN"/>
        </w:rPr>
      </w:pPr>
      <w:r>
        <w:rPr>
          <w:rFonts w:hint="eastAsia" w:ascii="仿宋_GB2312" w:hAnsi="仿宋" w:eastAsia="仿宋_GB2312" w:cs="Times New Roman"/>
          <w:sz w:val="32"/>
          <w:szCs w:val="32"/>
          <w:highlight w:val="none"/>
        </w:rPr>
        <w:t>年未结转0.92万元，全部为自有资金结余。</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仿宋_GB2312" w:hAnsi="仿宋" w:eastAsia="仿宋_GB2312" w:cs="Times New Roman"/>
          <w:color w:val="000000" w:themeColor="text1"/>
          <w:kern w:val="2"/>
          <w:sz w:val="32"/>
          <w:szCs w:val="32"/>
          <w:lang w:val="zh-CN" w:eastAsia="zh-CN" w:bidi="ar-SA"/>
        </w:rPr>
      </w:pPr>
      <w:r>
        <w:rPr>
          <w:rFonts w:hint="eastAsia" w:ascii="仿宋_GB2312" w:hAnsi="仿宋" w:eastAsia="仿宋_GB2312" w:cs="Times New Roman"/>
          <w:color w:val="000000" w:themeColor="text1"/>
          <w:kern w:val="2"/>
          <w:sz w:val="32"/>
          <w:szCs w:val="32"/>
          <w:lang w:val="zh-CN" w:eastAsia="zh-CN" w:bidi="ar-SA"/>
        </w:rPr>
        <w:t>围绕部门整体绩效目标完成情况和部门履职情况进行绩效分析。宣传部部门目标围绕全区宣传重点中心工作，按照区委、区政府目标制定、主要目标是为了传达中央省市重要指示精神和宣传金口河，预算编制准确、支出在八项规定下严格控制，杜绝浪费，在区财政局财评中心和我部监督职能的控制下更好的完成了项目的目标。</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包括项目绩效目标制定、目标实现、支出控制、及时处置、执行进度、预算完成情况、资金结余率（低效无效率）和违规记录等情况。</w:t>
      </w:r>
    </w:p>
    <w:p>
      <w:pPr>
        <w:widowControl/>
        <w:numPr>
          <w:ilvl w:val="0"/>
          <w:numId w:val="2"/>
        </w:numPr>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整体情况</w:t>
      </w:r>
    </w:p>
    <w:p>
      <w:pPr>
        <w:pStyle w:val="2"/>
        <w:keepNext w:val="0"/>
        <w:keepLines w:val="0"/>
        <w:pageBreakBefore w:val="0"/>
        <w:widowControl w:val="0"/>
        <w:numPr>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 w:eastAsia="仿宋_GB2312" w:cs="Times New Roman"/>
          <w:color w:val="000000" w:themeColor="text1"/>
          <w:kern w:val="2"/>
          <w:sz w:val="32"/>
          <w:szCs w:val="32"/>
          <w:lang w:val="zh-CN" w:eastAsia="zh-CN" w:bidi="ar-SA"/>
        </w:rPr>
      </w:pPr>
      <w:r>
        <w:rPr>
          <w:rFonts w:hint="eastAsia" w:ascii="仿宋_GB2312" w:hAnsi="仿宋" w:eastAsia="仿宋_GB2312" w:cs="Times New Roman"/>
          <w:color w:val="000000" w:themeColor="text1"/>
          <w:kern w:val="2"/>
          <w:sz w:val="32"/>
          <w:szCs w:val="32"/>
          <w:lang w:val="zh-CN" w:eastAsia="zh-CN" w:bidi="ar-SA"/>
        </w:rPr>
        <w:t>项目绩效目标根据年度工作进行制定、在年末时更按照年初制定目标实现、按照财政支出进度和比例进行支付，完成预算安排情况，年度预算内资金无结余，本年度未发生违规违纪等情况。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2.</w:t>
      </w:r>
      <w:r>
        <w:rPr>
          <w:rFonts w:hint="eastAsia" w:ascii="仿宋_GB2312" w:hAnsi="宋体" w:eastAsia="仿宋_GB2312" w:cs="宋体"/>
          <w:color w:val="000000"/>
          <w:kern w:val="0"/>
          <w:szCs w:val="32"/>
          <w:shd w:val="clear" w:color="auto" w:fill="FFFFFF"/>
          <w:lang w:val="en-US" w:eastAsia="zh-CN"/>
        </w:rPr>
        <w:t>50</w:t>
      </w:r>
      <w:r>
        <w:rPr>
          <w:rFonts w:hint="eastAsia" w:ascii="仿宋_GB2312" w:hAnsi="宋体" w:eastAsia="仿宋_GB2312" w:cs="宋体"/>
          <w:color w:val="000000"/>
          <w:kern w:val="0"/>
          <w:szCs w:val="32"/>
          <w:shd w:val="clear" w:color="auto" w:fill="FFFFFF"/>
          <w:lang w:val="zh-CN"/>
        </w:rPr>
        <w:t>万以上项目：</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 xml:space="preserve">项目1：无 </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宣传部绩效自评公开、评价结果整改和应用结果反馈等情况良好。</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eastAsia="zh-CN" w:bidi="ar-SA"/>
        </w:rPr>
        <w:t>财政预算资金支付情况按照支付比例完成，项目目标年度绩效按期完成。</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（二）存在问题。</w:t>
      </w:r>
    </w:p>
    <w:p>
      <w:pPr>
        <w:pStyle w:val="2"/>
        <w:ind w:firstLine="640" w:firstLineChars="200"/>
        <w:rPr>
          <w:rFonts w:hint="eastAsia" w:ascii="仿宋_GB2312" w:hAnsi="宋体" w:eastAsia="仿宋_GB2312" w:cs="宋体"/>
          <w:color w:val="000000"/>
          <w:kern w:val="0"/>
          <w:sz w:val="32"/>
          <w:szCs w:val="32"/>
          <w:shd w:val="clear" w:color="auto" w:fill="FFFFFF"/>
          <w:lang w:val="zh-CN" w:eastAsia="zh-CN" w:bidi="ar-SA"/>
        </w:rPr>
      </w:pPr>
      <w:r>
        <w:rPr>
          <w:rFonts w:hint="eastAsia" w:ascii="仿宋_GB2312" w:hAnsi="宋体" w:eastAsia="仿宋_GB2312" w:cs="宋体"/>
          <w:color w:val="000000"/>
          <w:kern w:val="0"/>
          <w:sz w:val="32"/>
          <w:szCs w:val="32"/>
          <w:shd w:val="clear" w:color="auto" w:fill="FFFFFF"/>
          <w:lang w:val="zh-CN" w:eastAsia="zh-CN" w:bidi="ar-SA"/>
        </w:rPr>
        <w:t>无</w:t>
      </w:r>
    </w:p>
    <w:p>
      <w:pPr>
        <w:widowControl/>
        <w:numPr>
          <w:ilvl w:val="0"/>
          <w:numId w:val="3"/>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改进建议。</w:t>
      </w:r>
    </w:p>
    <w:p>
      <w:pPr>
        <w:pStyle w:val="2"/>
        <w:ind w:firstLine="640" w:firstLineChars="200"/>
        <w:rPr>
          <w:rFonts w:hint="eastAsia" w:ascii="仿宋_GB2312" w:hAnsi="宋体" w:eastAsia="仿宋_GB2312" w:cs="宋体"/>
          <w:color w:val="000000"/>
          <w:kern w:val="0"/>
          <w:sz w:val="32"/>
          <w:szCs w:val="32"/>
          <w:shd w:val="clear" w:color="auto" w:fill="FFFFFF"/>
          <w:lang w:val="zh-CN" w:eastAsia="zh-CN" w:bidi="ar-SA"/>
        </w:rPr>
      </w:pPr>
      <w:r>
        <w:rPr>
          <w:rFonts w:hint="eastAsia" w:ascii="仿宋_GB2312" w:hAnsi="宋体" w:eastAsia="仿宋_GB2312" w:cs="宋体"/>
          <w:color w:val="000000"/>
          <w:kern w:val="0"/>
          <w:sz w:val="32"/>
          <w:szCs w:val="32"/>
          <w:shd w:val="clear" w:color="auto" w:fill="FFFFFF"/>
          <w:lang w:val="zh-CN" w:eastAsia="zh-CN" w:bidi="ar-SA"/>
        </w:rPr>
        <w:t>无</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82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2"/>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FBA8F4"/>
    <w:multiLevelType w:val="singleLevel"/>
    <w:tmpl w:val="BDFBA8F4"/>
    <w:lvl w:ilvl="0" w:tentative="0">
      <w:start w:val="2"/>
      <w:numFmt w:val="chineseCounting"/>
      <w:suff w:val="nothing"/>
      <w:lvlText w:val="（%1）"/>
      <w:lvlJc w:val="left"/>
      <w:rPr>
        <w:rFonts w:hint="eastAsia"/>
      </w:rPr>
    </w:lvl>
  </w:abstractNum>
  <w:abstractNum w:abstractNumId="1">
    <w:nsid w:val="D5BFE793"/>
    <w:multiLevelType w:val="singleLevel"/>
    <w:tmpl w:val="D5BFE793"/>
    <w:lvl w:ilvl="0" w:tentative="0">
      <w:start w:val="3"/>
      <w:numFmt w:val="chineseCounting"/>
      <w:suff w:val="nothing"/>
      <w:lvlText w:val="（%1）"/>
      <w:lvlJc w:val="left"/>
      <w:rPr>
        <w:rFonts w:hint="eastAsia"/>
      </w:rPr>
    </w:lvl>
  </w:abstractNum>
  <w:abstractNum w:abstractNumId="2">
    <w:nsid w:val="E07DA17E"/>
    <w:multiLevelType w:val="singleLevel"/>
    <w:tmpl w:val="E07DA17E"/>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9927F78"/>
    <w:rsid w:val="21AE59D8"/>
    <w:rsid w:val="286F56EA"/>
    <w:rsid w:val="2C231B78"/>
    <w:rsid w:val="2D527252"/>
    <w:rsid w:val="329102D6"/>
    <w:rsid w:val="3A9520B3"/>
    <w:rsid w:val="3DE562B7"/>
    <w:rsid w:val="3E6507EA"/>
    <w:rsid w:val="4087208A"/>
    <w:rsid w:val="47550EBA"/>
    <w:rsid w:val="4D5D1570"/>
    <w:rsid w:val="4DBA5CB4"/>
    <w:rsid w:val="50BB3388"/>
    <w:rsid w:val="5DE16A92"/>
    <w:rsid w:val="6636451A"/>
    <w:rsid w:val="69D54C56"/>
    <w:rsid w:val="6BE94116"/>
    <w:rsid w:val="78916378"/>
    <w:rsid w:val="7BC20073"/>
    <w:rsid w:val="7C631402"/>
    <w:rsid w:val="7DCC0F6E"/>
    <w:rsid w:val="7E140770"/>
    <w:rsid w:val="7E765458"/>
    <w:rsid w:val="7F7704AE"/>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13"/>
    <w:qFormat/>
    <w:uiPriority w:val="99"/>
    <w:pPr>
      <w:tabs>
        <w:tab w:val="center" w:pos="4153"/>
        <w:tab w:val="right" w:pos="8306"/>
      </w:tabs>
      <w:snapToGrid w:val="0"/>
      <w:jc w:val="left"/>
    </w:pPr>
    <w:rPr>
      <w:sz w:val="18"/>
      <w:szCs w:val="18"/>
    </w:rPr>
  </w:style>
  <w:style w:type="paragraph" w:styleId="3">
    <w:name w:val="Document Map"/>
    <w:basedOn w:val="1"/>
    <w:link w:val="11"/>
    <w:qFormat/>
    <w:uiPriority w:val="99"/>
    <w:rPr>
      <w:rFonts w:ascii="宋体"/>
      <w:sz w:val="18"/>
      <w:szCs w:val="18"/>
    </w:rPr>
  </w:style>
  <w:style w:type="paragraph" w:styleId="4">
    <w:name w:val="Balloon Text"/>
    <w:basedOn w:val="1"/>
    <w:link w:val="12"/>
    <w:semiHidden/>
    <w:qFormat/>
    <w:uiPriority w:val="99"/>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locked/>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qFormat/>
    <w:uiPriority w:val="99"/>
    <w:rPr>
      <w:rFonts w:cs="Times New Roman"/>
    </w:rPr>
  </w:style>
  <w:style w:type="character" w:customStyle="1" w:styleId="11">
    <w:name w:val="文档结构图 Char"/>
    <w:link w:val="3"/>
    <w:qFormat/>
    <w:locked/>
    <w:uiPriority w:val="99"/>
    <w:rPr>
      <w:rFonts w:ascii="宋体" w:cs="Times New Roman"/>
      <w:kern w:val="2"/>
      <w:sz w:val="18"/>
      <w:szCs w:val="18"/>
    </w:rPr>
  </w:style>
  <w:style w:type="character" w:customStyle="1" w:styleId="12">
    <w:name w:val="批注框文本 Char"/>
    <w:link w:val="4"/>
    <w:semiHidden/>
    <w:qFormat/>
    <w:locked/>
    <w:uiPriority w:val="99"/>
    <w:rPr>
      <w:rFonts w:cs="Times New Roman"/>
      <w:sz w:val="2"/>
    </w:rPr>
  </w:style>
  <w:style w:type="character" w:customStyle="1" w:styleId="13">
    <w:name w:val="页脚 Char"/>
    <w:link w:val="2"/>
    <w:qFormat/>
    <w:locked/>
    <w:uiPriority w:val="99"/>
    <w:rPr>
      <w:rFonts w:cs="Times New Roman"/>
      <w:kern w:val="2"/>
      <w:sz w:val="18"/>
      <w:szCs w:val="18"/>
    </w:rPr>
  </w:style>
  <w:style w:type="character" w:customStyle="1" w:styleId="14">
    <w:name w:val="页眉 Char"/>
    <w:link w:val="5"/>
    <w:semiHidden/>
    <w:qFormat/>
    <w:locked/>
    <w:uiPriority w:val="99"/>
    <w:rPr>
      <w:rFonts w:cs="Times New Roman"/>
      <w:sz w:val="18"/>
      <w:szCs w:val="18"/>
    </w:rPr>
  </w:style>
  <w:style w:type="paragraph" w:customStyle="1" w:styleId="15">
    <w:name w:val="四号正文"/>
    <w:basedOn w:val="1"/>
    <w:link w:val="16"/>
    <w:qFormat/>
    <w:uiPriority w:val="99"/>
    <w:pPr>
      <w:spacing w:line="360" w:lineRule="auto"/>
    </w:pPr>
    <w:rPr>
      <w:rFonts w:ascii="??" w:hAnsi="??" w:cs="宋体"/>
      <w:color w:val="000000"/>
      <w:kern w:val="0"/>
      <w:sz w:val="28"/>
      <w:szCs w:val="21"/>
    </w:rPr>
  </w:style>
  <w:style w:type="character" w:customStyle="1" w:styleId="16">
    <w:name w:val="四号正文 Char"/>
    <w:link w:val="15"/>
    <w:qFormat/>
    <w:locked/>
    <w:uiPriority w:val="99"/>
    <w:rPr>
      <w:rFonts w:ascii="??" w:hAnsi="??" w:eastAsia="宋体" w:cs="宋体"/>
      <w:color w:val="000000"/>
      <w:sz w:val="21"/>
      <w:szCs w:val="21"/>
      <w:lang w:val="en-US" w:eastAsia="zh-CN" w:bidi="ar-SA"/>
    </w:rPr>
  </w:style>
  <w:style w:type="paragraph" w:customStyle="1" w:styleId="17">
    <w:name w:val="a"/>
    <w:basedOn w:val="1"/>
    <w:qFormat/>
    <w:uiPriority w:val="99"/>
    <w:pPr>
      <w:widowControl/>
      <w:spacing w:before="100" w:beforeAutospacing="1" w:after="100" w:afterAutospacing="1"/>
      <w:jc w:val="left"/>
    </w:pPr>
    <w:rPr>
      <w:rFonts w:ascii="宋体" w:hAnsi="宋体" w:cs="宋体"/>
      <w:kern w:val="0"/>
      <w:sz w:val="24"/>
    </w:rPr>
  </w:style>
  <w:style w:type="paragraph" w:customStyle="1" w:styleId="18">
    <w:name w:val="Default"/>
    <w:qFormat/>
    <w:uiPriority w:val="99"/>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1</TotalTime>
  <ScaleCrop>false</ScaleCrop>
  <LinksUpToDate>false</LinksUpToDate>
  <CharactersWithSpaces>423</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帅洪丹</cp:lastModifiedBy>
  <cp:lastPrinted>2022-03-15T02:17:00Z</cp:lastPrinted>
  <dcterms:modified xsi:type="dcterms:W3CDTF">2025-04-09T01:56:09Z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440E1478956F477E81D277E986D41BB6</vt:lpwstr>
  </property>
</Properties>
</file>