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Times New Roman" w:hAnsi="Times New Roman" w:eastAsia="方正小标宋简体" w:cs="Times New Roman"/>
          <w:color w:val="auto"/>
          <w:kern w:val="2"/>
          <w:sz w:val="72"/>
          <w:szCs w:val="72"/>
          <w:highlight w:val="none"/>
          <w:lang w:val="en-US" w:eastAsia="zh-CN" w:bidi="ar-SA"/>
        </w:rPr>
      </w:pPr>
      <w:bookmarkStart w:id="0" w:name="_Toc15396597"/>
      <w:bookmarkStart w:id="1" w:name="_Toc15396475"/>
      <w:bookmarkStart w:id="2" w:name="_Toc15306267"/>
      <w:bookmarkStart w:id="3" w:name="_Toc15377425"/>
      <w:bookmarkStart w:id="4" w:name="_Toc15378441"/>
      <w:bookmarkStart w:id="5" w:name="_Toc15377193"/>
    </w:p>
    <w:p>
      <w:pPr>
        <w:pStyle w:val="6"/>
        <w:rPr>
          <w:rFonts w:hint="eastAsia" w:ascii="Times New Roman" w:hAnsi="Times New Roman" w:eastAsia="方正小标宋简体" w:cs="Times New Roman"/>
          <w:color w:val="auto"/>
          <w:kern w:val="2"/>
          <w:sz w:val="72"/>
          <w:szCs w:val="72"/>
          <w:highlight w:val="none"/>
          <w:lang w:val="en-US" w:eastAsia="zh-CN" w:bidi="ar-SA"/>
        </w:rPr>
      </w:pPr>
    </w:p>
    <w:p>
      <w:pPr>
        <w:pStyle w:val="6"/>
        <w:rPr>
          <w:rFonts w:hint="eastAsia" w:ascii="Times New Roman" w:hAnsi="Times New Roman" w:eastAsia="方正小标宋简体" w:cs="Times New Roman"/>
          <w:color w:val="auto"/>
          <w:kern w:val="2"/>
          <w:sz w:val="72"/>
          <w:szCs w:val="72"/>
          <w:highlight w:val="none"/>
          <w:lang w:val="en-US" w:eastAsia="zh-CN" w:bidi="ar-SA"/>
        </w:rPr>
      </w:pPr>
    </w:p>
    <w:p>
      <w:pPr>
        <w:pStyle w:val="6"/>
        <w:jc w:val="center"/>
        <w:rPr>
          <w:rFonts w:hint="eastAsia" w:ascii="方正小标宋简体" w:hAnsi="宋体" w:eastAsia="方正小标宋简体" w:cs="Times New Roman"/>
          <w:color w:val="auto"/>
          <w:kern w:val="2"/>
          <w:sz w:val="44"/>
          <w:szCs w:val="44"/>
          <w:highlight w:val="none"/>
          <w:lang w:val="en-US" w:eastAsia="zh-CN" w:bidi="ar-SA"/>
        </w:rPr>
      </w:pPr>
      <w:r>
        <w:rPr>
          <w:rFonts w:hint="eastAsia" w:ascii="方正小标宋简体" w:hAnsi="宋体" w:eastAsia="方正小标宋简体" w:cs="Times New Roman"/>
          <w:color w:val="auto"/>
          <w:kern w:val="2"/>
          <w:sz w:val="44"/>
          <w:szCs w:val="44"/>
          <w:highlight w:val="none"/>
          <w:lang w:val="en-US" w:eastAsia="zh-CN" w:bidi="ar-SA"/>
        </w:rPr>
        <w:t>2024年度</w:t>
      </w:r>
    </w:p>
    <w:p>
      <w:pPr>
        <w:pStyle w:val="6"/>
        <w:jc w:val="center"/>
        <w:rPr>
          <w:rFonts w:hint="eastAsia" w:ascii="方正小标宋简体" w:hAnsi="宋体" w:eastAsia="方正小标宋简体" w:cs="Times New Roman"/>
          <w:color w:val="auto"/>
          <w:kern w:val="2"/>
          <w:sz w:val="44"/>
          <w:szCs w:val="44"/>
          <w:highlight w:val="none"/>
          <w:lang w:val="en-US" w:eastAsia="zh-CN" w:bidi="ar-SA"/>
        </w:rPr>
      </w:pPr>
      <w:r>
        <w:rPr>
          <w:rFonts w:hint="eastAsia" w:ascii="方正小标宋简体" w:hAnsi="宋体" w:eastAsia="方正小标宋简体" w:cs="Times New Roman"/>
          <w:color w:val="auto"/>
          <w:kern w:val="2"/>
          <w:sz w:val="44"/>
          <w:szCs w:val="44"/>
          <w:highlight w:val="none"/>
          <w:lang w:val="en-US" w:eastAsia="zh-CN" w:bidi="ar-SA"/>
        </w:rPr>
        <w:t>中共乐山市金口河区纪律检查委员会（乐山市金口河区监察委员会）</w:t>
      </w:r>
    </w:p>
    <w:p>
      <w:pPr>
        <w:pStyle w:val="6"/>
        <w:jc w:val="center"/>
        <w:rPr>
          <w:rFonts w:hint="eastAsia" w:ascii="方正小标宋简体" w:hAnsi="宋体" w:eastAsia="方正小标宋简体" w:cs="Times New Roman"/>
          <w:color w:val="auto"/>
          <w:kern w:val="2"/>
          <w:sz w:val="44"/>
          <w:szCs w:val="44"/>
          <w:highlight w:val="none"/>
          <w:lang w:val="en-US" w:eastAsia="zh-CN" w:bidi="ar-SA"/>
        </w:rPr>
      </w:pPr>
      <w:r>
        <w:rPr>
          <w:rFonts w:hint="eastAsia" w:ascii="方正小标宋简体" w:hAnsi="宋体" w:eastAsia="方正小标宋简体" w:cs="Times New Roman"/>
          <w:color w:val="auto"/>
          <w:kern w:val="2"/>
          <w:sz w:val="44"/>
          <w:szCs w:val="44"/>
          <w:highlight w:val="none"/>
          <w:lang w:val="en-US" w:eastAsia="zh-CN" w:bidi="ar-SA"/>
        </w:rPr>
        <w:t>单位决算</w:t>
      </w:r>
    </w:p>
    <w:p>
      <w:pPr>
        <w:spacing w:line="600" w:lineRule="exact"/>
        <w:jc w:val="center"/>
        <w:outlineLvl w:val="0"/>
        <w:rPr>
          <w:rFonts w:ascii="Times New Roman" w:hAnsi="Times New Roman" w:eastAsia="方正小标宋简体"/>
          <w:color w:val="auto"/>
          <w:sz w:val="72"/>
          <w:szCs w:val="72"/>
          <w:highlight w:val="none"/>
        </w:rPr>
      </w:pPr>
    </w:p>
    <w:p>
      <w:pPr>
        <w:pStyle w:val="2"/>
        <w:rPr>
          <w:rFonts w:ascii="Times New Roman" w:hAnsi="Times New Roman"/>
        </w:rPr>
        <w:sectPr>
          <w:headerReference r:id="rId4" w:type="first"/>
          <w:footerReference r:id="rId6" w:type="first"/>
          <w:headerReference r:id="rId3" w:type="default"/>
          <w:footerReference r:id="rId5" w:type="default"/>
          <w:pgSz w:w="11906" w:h="16838"/>
          <w:pgMar w:top="1440" w:right="1800" w:bottom="1440" w:left="1800" w:header="851" w:footer="992" w:gutter="0"/>
          <w:pgNumType w:fmt="decimal"/>
          <w:cols w:space="425" w:num="1"/>
          <w:titlePg/>
          <w:docGrid w:type="lines" w:linePitch="312" w:charSpace="0"/>
        </w:sectPr>
      </w:pPr>
    </w:p>
    <w:p>
      <w:pPr>
        <w:pStyle w:val="6"/>
        <w:jc w:val="both"/>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bookmarkEnd w:id="5"/>
    <w:p>
      <w:pPr>
        <w:widowControl/>
        <w:jc w:val="center"/>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pPr>
        <w:widowControl/>
        <w:jc w:val="center"/>
        <w:rPr>
          <w:rFonts w:ascii="Times New Roman" w:hAnsi="Times New Roman" w:eastAsia="黑体" w:cstheme="minorBidi"/>
          <w:color w:val="auto"/>
          <w:sz w:val="28"/>
          <w:szCs w:val="28"/>
          <w:highlight w:val="none"/>
        </w:rPr>
      </w:pPr>
    </w:p>
    <w:p>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 xml:space="preserve"> 9 </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 xml:space="preserve"> 24 </w:t>
      </w:r>
      <w:r>
        <w:rPr>
          <w:rFonts w:hint="eastAsia" w:ascii="Times New Roman" w:hAnsi="Times New Roman" w:eastAsia="仿宋_GB2312" w:cs="仿宋_GB2312"/>
          <w:color w:val="auto"/>
          <w:sz w:val="32"/>
          <w:szCs w:val="32"/>
          <w:highlight w:val="none"/>
        </w:rPr>
        <w:t>日</w:t>
      </w:r>
    </w:p>
    <w:p>
      <w:pPr>
        <w:rPr>
          <w:rFonts w:ascii="Times New Roman" w:hAnsi="Times New Roman"/>
          <w:color w:val="auto"/>
          <w:highlight w:val="none"/>
        </w:rPr>
      </w:pP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 xml:space="preserve">第一部分 </w:t>
      </w:r>
      <w:r>
        <w:rPr>
          <w:rFonts w:hint="eastAsia" w:ascii="Times New Roman" w:hAnsi="Times New Roman" w:eastAsia="黑体" w:cs="黑体"/>
          <w:color w:val="auto"/>
          <w:sz w:val="32"/>
          <w:szCs w:val="32"/>
          <w:highlight w:val="none"/>
          <w:lang w:eastAsia="zh-CN"/>
        </w:rPr>
        <w:t>单位</w:t>
      </w:r>
      <w:r>
        <w:rPr>
          <w:rFonts w:hint="eastAsia" w:ascii="Times New Roman" w:hAnsi="Times New Roman" w:eastAsia="黑体" w:cs="黑体"/>
          <w:color w:val="auto"/>
          <w:sz w:val="32"/>
          <w:szCs w:val="32"/>
          <w:highlight w:val="none"/>
        </w:rPr>
        <w:t>概况</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一、</w:t>
      </w:r>
      <w:r>
        <w:rPr>
          <w:rFonts w:hint="eastAsia" w:eastAsia="仿宋_GB2312" w:cs="仿宋_GB2312"/>
          <w:color w:val="auto"/>
          <w:sz w:val="32"/>
          <w:szCs w:val="32"/>
          <w:highlight w:val="none"/>
          <w:lang w:eastAsia="zh-CN"/>
        </w:rPr>
        <w:t>单位</w:t>
      </w:r>
      <w:r>
        <w:rPr>
          <w:rFonts w:hint="eastAsia" w:ascii="Times New Roman" w:hAnsi="Times New Roman" w:eastAsia="仿宋_GB2312" w:cs="仿宋_GB2312"/>
          <w:color w:val="auto"/>
          <w:sz w:val="32"/>
          <w:szCs w:val="32"/>
          <w:highlight w:val="none"/>
          <w:lang w:eastAsia="zh-CN"/>
        </w:rPr>
        <w:t>职责</w:t>
      </w:r>
      <w:r>
        <w:rPr>
          <w:rFonts w:hint="eastAsia" w:eastAsia="仿宋_GB2312" w:cs="仿宋_GB2312"/>
          <w:color w:val="auto"/>
          <w:sz w:val="32"/>
          <w:szCs w:val="32"/>
          <w:highlight w:val="none"/>
          <w:lang w:val="en-US" w:eastAsia="zh-CN"/>
        </w:rPr>
        <w:t>.....................................................................4</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二、机构设置</w:t>
      </w:r>
      <w:r>
        <w:rPr>
          <w:rFonts w:hint="eastAsia" w:eastAsia="仿宋_GB2312" w:cs="仿宋_GB2312"/>
          <w:color w:val="auto"/>
          <w:sz w:val="32"/>
          <w:szCs w:val="32"/>
          <w:highlight w:val="none"/>
          <w:lang w:val="en-US" w:eastAsia="zh-CN"/>
        </w:rPr>
        <w:t>.....................................................................5</w:t>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w:t>
      </w:r>
      <w:r>
        <w:rPr>
          <w:rFonts w:hint="eastAsia" w:ascii="Times New Roman" w:hAnsi="Times New Roman" w:eastAsia="黑体" w:cs="黑体"/>
          <w:color w:val="auto"/>
          <w:sz w:val="32"/>
          <w:szCs w:val="32"/>
          <w:highlight w:val="none"/>
          <w:lang w:eastAsia="zh-CN"/>
        </w:rPr>
        <w:t>单位</w:t>
      </w:r>
      <w:r>
        <w:rPr>
          <w:rFonts w:hint="eastAsia" w:ascii="Times New Roman" w:hAnsi="Times New Roman" w:eastAsia="黑体" w:cs="黑体"/>
          <w:color w:val="auto"/>
          <w:sz w:val="32"/>
          <w:szCs w:val="32"/>
          <w:highlight w:val="none"/>
        </w:rPr>
        <w:t>决算情况说明</w:t>
      </w:r>
      <w:r>
        <w:rPr>
          <w:rFonts w:hint="eastAsia" w:ascii="Times New Roman" w:hAnsi="Times New Roman" w:eastAsia="黑体" w:cs="黑体"/>
          <w:color w:val="auto"/>
          <w:sz w:val="32"/>
          <w:szCs w:val="32"/>
          <w:highlight w:val="none"/>
          <w:lang w:val="en-US" w:eastAsia="zh-CN"/>
        </w:rPr>
        <w:t>.................................6</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一、收入支出决算总体情况说明</w:t>
      </w:r>
      <w:r>
        <w:rPr>
          <w:rFonts w:hint="eastAsia" w:eastAsia="仿宋_GB2312" w:cs="仿宋_GB2312"/>
          <w:color w:val="auto"/>
          <w:sz w:val="32"/>
          <w:szCs w:val="32"/>
          <w:highlight w:val="none"/>
          <w:lang w:val="en-US" w:eastAsia="zh-CN"/>
        </w:rPr>
        <w:t>....................................6</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二、收入决算情况说明</w:t>
      </w:r>
      <w:r>
        <w:rPr>
          <w:rFonts w:hint="eastAsia" w:eastAsia="仿宋_GB2312" w:cs="仿宋_GB2312"/>
          <w:color w:val="auto"/>
          <w:sz w:val="32"/>
          <w:szCs w:val="32"/>
          <w:highlight w:val="none"/>
          <w:lang w:val="en-US" w:eastAsia="zh-CN"/>
        </w:rPr>
        <w:t>....................................................6</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三、支出决算情况说明</w:t>
      </w:r>
      <w:r>
        <w:rPr>
          <w:rFonts w:hint="eastAsia" w:eastAsia="仿宋_GB2312" w:cs="仿宋_GB2312"/>
          <w:color w:val="auto"/>
          <w:sz w:val="32"/>
          <w:szCs w:val="32"/>
          <w:highlight w:val="none"/>
          <w:lang w:val="en-US" w:eastAsia="zh-CN"/>
        </w:rPr>
        <w:t>....................................................7</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四、财政拨款收入支出决算总体情况说明</w:t>
      </w:r>
      <w:r>
        <w:rPr>
          <w:rFonts w:hint="eastAsia" w:eastAsia="仿宋_GB2312" w:cs="仿宋_GB2312"/>
          <w:color w:val="auto"/>
          <w:sz w:val="32"/>
          <w:szCs w:val="32"/>
          <w:highlight w:val="none"/>
          <w:lang w:val="en-US" w:eastAsia="zh-CN"/>
        </w:rPr>
        <w:t>....................8</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五、一般公共预算财政拨款支出决算情况说明</w:t>
      </w:r>
      <w:r>
        <w:rPr>
          <w:rFonts w:hint="eastAsia" w:eastAsia="仿宋_GB2312" w:cs="仿宋_GB2312"/>
          <w:color w:val="auto"/>
          <w:sz w:val="32"/>
          <w:szCs w:val="32"/>
          <w:highlight w:val="none"/>
          <w:lang w:val="en-US" w:eastAsia="zh-CN"/>
        </w:rPr>
        <w:t>............9</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六、一般公共预算财政拨款基本支出决算情况说明</w:t>
      </w:r>
      <w:r>
        <w:rPr>
          <w:rFonts w:hint="eastAsia" w:eastAsia="仿宋_GB2312" w:cs="仿宋_GB2312"/>
          <w:color w:val="auto"/>
          <w:sz w:val="32"/>
          <w:szCs w:val="32"/>
          <w:highlight w:val="none"/>
          <w:lang w:val="en-US" w:eastAsia="zh-CN"/>
        </w:rPr>
        <w:t>....10</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r>
        <w:rPr>
          <w:rFonts w:hint="eastAsia" w:eastAsia="仿宋_GB2312" w:cs="仿宋_GB2312"/>
          <w:color w:val="auto"/>
          <w:sz w:val="32"/>
          <w:szCs w:val="32"/>
          <w:highlight w:val="none"/>
          <w:lang w:val="en-US" w:eastAsia="zh-CN"/>
        </w:rPr>
        <w:t>............12</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八、政府性基金预算支出决算情况说明</w:t>
      </w:r>
      <w:r>
        <w:rPr>
          <w:rFonts w:hint="eastAsia" w:eastAsia="仿宋_GB2312" w:cs="仿宋_GB2312"/>
          <w:color w:val="auto"/>
          <w:sz w:val="32"/>
          <w:szCs w:val="32"/>
          <w:highlight w:val="none"/>
          <w:lang w:val="en-US" w:eastAsia="zh-CN"/>
        </w:rPr>
        <w:t>........................15</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r>
        <w:rPr>
          <w:rFonts w:hint="eastAsia" w:eastAsia="仿宋_GB2312" w:cs="仿宋_GB2312"/>
          <w:color w:val="auto"/>
          <w:sz w:val="32"/>
          <w:szCs w:val="32"/>
          <w:highlight w:val="none"/>
          <w:lang w:val="en-US" w:eastAsia="zh-CN"/>
        </w:rPr>
        <w:t>....................15</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r>
        <w:rPr>
          <w:rFonts w:hint="eastAsia" w:eastAsia="仿宋_GB2312" w:cs="仿宋_GB2312"/>
          <w:color w:val="auto"/>
          <w:sz w:val="32"/>
          <w:szCs w:val="32"/>
          <w:highlight w:val="none"/>
          <w:lang w:val="en-US" w:eastAsia="zh-CN"/>
        </w:rPr>
        <w:t>........................................16</w:t>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第三部分 名词解释</w:t>
      </w:r>
      <w:r>
        <w:rPr>
          <w:rFonts w:hint="eastAsia" w:ascii="Times New Roman" w:hAnsi="Times New Roman" w:eastAsia="黑体" w:cs="黑体"/>
          <w:color w:val="auto"/>
          <w:sz w:val="32"/>
          <w:szCs w:val="32"/>
          <w:highlight w:val="none"/>
          <w:lang w:val="en-US" w:eastAsia="zh-CN"/>
        </w:rPr>
        <w:t>.................................................................17</w:t>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第四部分 附件</w:t>
      </w:r>
      <w:r>
        <w:rPr>
          <w:rFonts w:hint="eastAsia" w:ascii="Times New Roman" w:hAnsi="Times New Roman" w:eastAsia="黑体" w:cs="黑体"/>
          <w:color w:val="auto"/>
          <w:sz w:val="32"/>
          <w:szCs w:val="32"/>
          <w:highlight w:val="none"/>
          <w:lang w:val="en-US" w:eastAsia="zh-CN"/>
        </w:rPr>
        <w:t>.........................................................................21</w:t>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第五部分 附表</w:t>
      </w:r>
      <w:r>
        <w:rPr>
          <w:rFonts w:hint="eastAsia" w:ascii="Times New Roman" w:hAnsi="Times New Roman" w:eastAsia="黑体" w:cs="黑体"/>
          <w:color w:val="auto"/>
          <w:sz w:val="32"/>
          <w:szCs w:val="32"/>
          <w:highlight w:val="none"/>
          <w:lang w:val="en-US" w:eastAsia="zh-CN"/>
        </w:rPr>
        <w:t>.........................................................................21</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一、收入支出决算总表</w:t>
      </w:r>
      <w:r>
        <w:rPr>
          <w:rFonts w:hint="eastAsia" w:eastAsia="仿宋_GB2312" w:cs="仿宋_GB2312"/>
          <w:color w:val="auto"/>
          <w:sz w:val="32"/>
          <w:szCs w:val="32"/>
          <w:highlight w:val="none"/>
          <w:lang w:val="en-US" w:eastAsia="zh-CN"/>
        </w:rPr>
        <w:t>..................................................21</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二、收入决算表</w:t>
      </w:r>
      <w:r>
        <w:rPr>
          <w:rFonts w:hint="eastAsia" w:eastAsia="仿宋_GB2312" w:cs="仿宋_GB2312"/>
          <w:color w:val="auto"/>
          <w:sz w:val="32"/>
          <w:szCs w:val="32"/>
          <w:highlight w:val="none"/>
          <w:lang w:val="en-US" w:eastAsia="zh-CN"/>
        </w:rPr>
        <w:t>................................................................21</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三、支出决算表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四、财政拨款收入支出决算总表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五、财政拨款支出决算明细表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七、一般公共预算财政拨款支出决算明细表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九、一般公共预算财政拨款项目支出决算表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十、政府性基金预算财政拨款收入支出决算表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十一、国有资本经营预算财政拨款收入支出决算表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十三、财政拨款“三公”经费支出决算表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Times New Roman" w:hAnsi="Times New Roman" w:eastAsia="仿宋_GB2312" w:cs="仿宋_GB2312"/>
          <w:b/>
          <w:bCs/>
          <w:color w:val="auto"/>
          <w:sz w:val="32"/>
          <w:szCs w:val="32"/>
          <w:highlight w:val="none"/>
          <w:lang w:eastAsia="zh-CN"/>
        </w:rPr>
      </w:pPr>
      <w:r>
        <w:rPr>
          <w:rFonts w:hint="eastAsia" w:ascii="Times New Roman" w:hAnsi="Times New Roman" w:eastAsia="仿宋_GB2312" w:cs="仿宋_GB2312"/>
          <w:b/>
          <w:bCs/>
          <w:color w:val="auto"/>
          <w:sz w:val="32"/>
          <w:szCs w:val="32"/>
          <w:highlight w:val="none"/>
          <w:lang w:eastAsia="zh-CN"/>
        </w:rPr>
        <w:t>（</w:t>
      </w:r>
      <w:r>
        <w:rPr>
          <w:rFonts w:hint="eastAsia" w:ascii="Times New Roman" w:hAnsi="Times New Roman" w:eastAsia="仿宋_GB2312" w:cs="仿宋_GB2312"/>
          <w:b/>
          <w:bCs/>
          <w:color w:val="auto"/>
          <w:sz w:val="32"/>
          <w:szCs w:val="32"/>
          <w:highlight w:val="none"/>
        </w:rPr>
        <w:t>注：请</w:t>
      </w:r>
      <w:r>
        <w:rPr>
          <w:rFonts w:hint="eastAsia" w:eastAsia="仿宋_GB2312" w:cs="仿宋_GB2312"/>
          <w:b/>
          <w:bCs/>
          <w:color w:val="auto"/>
          <w:sz w:val="32"/>
          <w:szCs w:val="32"/>
          <w:highlight w:val="none"/>
          <w:lang w:eastAsia="zh-CN"/>
        </w:rPr>
        <w:t>单位</w:t>
      </w:r>
      <w:r>
        <w:rPr>
          <w:rFonts w:hint="eastAsia" w:ascii="Times New Roman" w:hAnsi="Times New Roman" w:eastAsia="仿宋_GB2312" w:cs="仿宋_GB2312"/>
          <w:b/>
          <w:bCs/>
          <w:color w:val="auto"/>
          <w:sz w:val="32"/>
          <w:szCs w:val="32"/>
          <w:highlight w:val="none"/>
        </w:rPr>
        <w:t>根据实际注明页码</w:t>
      </w:r>
      <w:r>
        <w:rPr>
          <w:rFonts w:hint="eastAsia" w:ascii="Times New Roman" w:hAnsi="Times New Roman" w:eastAsia="仿宋_GB2312" w:cs="仿宋_GB2312"/>
          <w:b/>
          <w:bCs/>
          <w:color w:val="auto"/>
          <w:sz w:val="32"/>
          <w:szCs w:val="32"/>
          <w:highlight w:val="none"/>
          <w:lang w:eastAsia="zh-CN"/>
        </w:rPr>
        <w:t>）</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Times New Roman" w:hAnsi="Times New Roman" w:eastAsia="仿宋_GB2312" w:cs="仿宋_GB2312"/>
          <w:bCs/>
          <w:color w:val="auto"/>
          <w:kern w:val="44"/>
          <w:sz w:val="32"/>
          <w:szCs w:val="32"/>
          <w:highlight w:val="none"/>
        </w:rPr>
      </w:pPr>
      <w:bookmarkStart w:id="6" w:name="_Toc15377196"/>
      <w:bookmarkStart w:id="7" w:name="_Toc15396599"/>
      <w:r>
        <w:rPr>
          <w:rFonts w:hint="eastAsia" w:ascii="Times New Roman" w:hAnsi="Times New Roman" w:eastAsia="仿宋_GB2312" w:cs="仿宋_GB2312"/>
          <w:b/>
          <w:color w:val="auto"/>
          <w:sz w:val="32"/>
          <w:szCs w:val="32"/>
          <w:highlight w:val="none"/>
        </w:rPr>
        <w:br w:type="page"/>
      </w:r>
    </w:p>
    <w:p>
      <w:pPr>
        <w:pStyle w:val="3"/>
        <w:jc w:val="center"/>
        <w:rPr>
          <w:rStyle w:val="28"/>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8"/>
          <w:rFonts w:hint="eastAsia" w:eastAsia="方正小标宋简体" w:cs="方正小标宋简体"/>
          <w:b w:val="0"/>
          <w:bCs w:val="0"/>
          <w:color w:val="auto"/>
          <w:highlight w:val="none"/>
          <w:lang w:eastAsia="zh-CN"/>
        </w:rPr>
        <w:t>单位</w:t>
      </w:r>
      <w:r>
        <w:rPr>
          <w:rStyle w:val="28"/>
          <w:rFonts w:hint="eastAsia" w:ascii="Times New Roman" w:hAnsi="Times New Roman" w:eastAsia="方正小标宋简体" w:cs="方正小标宋简体"/>
          <w:b w:val="0"/>
          <w:bCs w:val="0"/>
          <w:color w:val="auto"/>
          <w:highlight w:val="none"/>
        </w:rPr>
        <w:t>概况</w:t>
      </w:r>
      <w:bookmarkEnd w:id="6"/>
      <w:bookmarkEnd w:id="7"/>
    </w:p>
    <w:p>
      <w:pPr>
        <w:widowControl/>
        <w:jc w:val="left"/>
        <w:rPr>
          <w:rFonts w:ascii="Times New Roman" w:hAnsi="Times New Roman" w:eastAsia="黑体"/>
          <w:color w:val="auto"/>
          <w:sz w:val="32"/>
          <w:szCs w:val="32"/>
          <w:highlight w:val="none"/>
        </w:rPr>
      </w:pPr>
    </w:p>
    <w:p>
      <w:pPr>
        <w:pStyle w:val="4"/>
        <w:numPr>
          <w:ilvl w:val="0"/>
          <w:numId w:val="1"/>
        </w:numPr>
        <w:rPr>
          <w:rFonts w:hint="eastAsia"/>
          <w:lang w:eastAsia="zh-CN"/>
        </w:rPr>
      </w:pPr>
      <w:r>
        <w:rPr>
          <w:rFonts w:hint="eastAsia" w:ascii="Times New Roman" w:hAnsi="Times New Roman" w:eastAsia="黑体"/>
          <w:b w:val="0"/>
          <w:color w:val="auto"/>
          <w:highlight w:val="none"/>
          <w:lang w:eastAsia="zh-CN"/>
        </w:rPr>
        <w:t>单位职责</w:t>
      </w:r>
    </w:p>
    <w:p>
      <w:pPr>
        <w:ind w:firstLine="640" w:firstLineChars="200"/>
        <w:rPr>
          <w:sz w:val="32"/>
          <w:szCs w:val="32"/>
        </w:rPr>
      </w:pPr>
      <w:r>
        <w:rPr>
          <w:rFonts w:hint="eastAsia"/>
          <w:sz w:val="32"/>
          <w:szCs w:val="32"/>
        </w:rPr>
        <w:t>1.维护党的章程和其他党内法规，检查党的路线、方针、政策和决议的执行情况；贯彻落实党中央、国务院、中央纪委和省委、省政府、省纪委、市委、市政府以及区委、区政府关于加强党风廉政建设和有关行政监察工作的决定。</w:t>
      </w:r>
    </w:p>
    <w:p>
      <w:pPr>
        <w:ind w:firstLine="640" w:firstLineChars="200"/>
        <w:rPr>
          <w:sz w:val="32"/>
          <w:szCs w:val="32"/>
        </w:rPr>
      </w:pPr>
      <w:r>
        <w:rPr>
          <w:rFonts w:hint="eastAsia"/>
          <w:sz w:val="32"/>
          <w:szCs w:val="32"/>
        </w:rPr>
        <w:t>2.负责检查并处理区委、区政府各</w:t>
      </w:r>
      <w:r>
        <w:rPr>
          <w:rFonts w:hint="eastAsia"/>
          <w:sz w:val="32"/>
          <w:szCs w:val="32"/>
          <w:lang w:eastAsia="zh-CN"/>
        </w:rPr>
        <w:t>单位</w:t>
      </w:r>
      <w:r>
        <w:rPr>
          <w:rFonts w:hint="eastAsia"/>
          <w:sz w:val="32"/>
          <w:szCs w:val="32"/>
        </w:rPr>
        <w:t>，各乡（镇）党组织和区管党员领导干部违反党的章程及其他党内法规的案件，决定或取消对这些案件中的党员处分。</w:t>
      </w:r>
    </w:p>
    <w:p>
      <w:pPr>
        <w:ind w:firstLine="640" w:firstLineChars="200"/>
        <w:rPr>
          <w:sz w:val="32"/>
          <w:szCs w:val="32"/>
        </w:rPr>
      </w:pPr>
      <w:r>
        <w:rPr>
          <w:rFonts w:hint="eastAsia"/>
          <w:sz w:val="32"/>
          <w:szCs w:val="32"/>
        </w:rPr>
        <w:t>3.负责查处区政府各</w:t>
      </w:r>
      <w:r>
        <w:rPr>
          <w:rFonts w:hint="eastAsia"/>
          <w:sz w:val="32"/>
          <w:szCs w:val="32"/>
          <w:lang w:eastAsia="zh-CN"/>
        </w:rPr>
        <w:t>单位</w:t>
      </w:r>
      <w:r>
        <w:rPr>
          <w:rFonts w:hint="eastAsia"/>
          <w:sz w:val="32"/>
          <w:szCs w:val="32"/>
        </w:rPr>
        <w:t>及其工作人员、各乡（镇）政府及其领导成员违反国家法律法规、政策以及行政纪律的行为；受理监察对象不服行政纪律处分的申诉和个人或单位对监察对象违纪行为的检举、控告。</w:t>
      </w:r>
    </w:p>
    <w:p>
      <w:pPr>
        <w:ind w:firstLine="640" w:firstLineChars="200"/>
        <w:rPr>
          <w:sz w:val="32"/>
          <w:szCs w:val="32"/>
        </w:rPr>
      </w:pPr>
      <w:r>
        <w:rPr>
          <w:rFonts w:hint="eastAsia"/>
          <w:sz w:val="32"/>
          <w:szCs w:val="32"/>
        </w:rPr>
        <w:t>4.负责作出维护党纪的决定，制定党风党纪政纪教育规划；会同有关</w:t>
      </w:r>
      <w:r>
        <w:rPr>
          <w:rFonts w:hint="eastAsia"/>
          <w:sz w:val="32"/>
          <w:szCs w:val="32"/>
          <w:lang w:eastAsia="zh-CN"/>
        </w:rPr>
        <w:t>单位</w:t>
      </w:r>
      <w:r>
        <w:rPr>
          <w:rFonts w:hint="eastAsia"/>
          <w:sz w:val="32"/>
          <w:szCs w:val="32"/>
        </w:rPr>
        <w:t>做好纪律检查、行政监察工作方针、政策的宣传工作和对党员、国家工作人员遵纪守法、为政清廉的教育工作。</w:t>
      </w:r>
    </w:p>
    <w:p>
      <w:pPr>
        <w:ind w:firstLine="640" w:firstLineChars="200"/>
        <w:rPr>
          <w:sz w:val="32"/>
          <w:szCs w:val="32"/>
        </w:rPr>
      </w:pPr>
      <w:r>
        <w:rPr>
          <w:rFonts w:hint="eastAsia"/>
          <w:sz w:val="32"/>
          <w:szCs w:val="32"/>
        </w:rPr>
        <w:t>5.负责党风政风监督检查和综合协调工作，会同有关</w:t>
      </w:r>
      <w:r>
        <w:rPr>
          <w:rFonts w:hint="eastAsia"/>
          <w:sz w:val="32"/>
          <w:szCs w:val="32"/>
          <w:lang w:eastAsia="zh-CN"/>
        </w:rPr>
        <w:t>单位</w:t>
      </w:r>
      <w:r>
        <w:rPr>
          <w:rFonts w:hint="eastAsia"/>
          <w:sz w:val="32"/>
          <w:szCs w:val="32"/>
        </w:rPr>
        <w:t>抓好纠正</w:t>
      </w:r>
      <w:r>
        <w:rPr>
          <w:rFonts w:hint="eastAsia"/>
          <w:sz w:val="32"/>
          <w:szCs w:val="32"/>
          <w:lang w:eastAsia="zh-CN"/>
        </w:rPr>
        <w:t>单位</w:t>
      </w:r>
      <w:r>
        <w:rPr>
          <w:rFonts w:hint="eastAsia"/>
          <w:sz w:val="32"/>
          <w:szCs w:val="32"/>
        </w:rPr>
        <w:t>和行业不正之风工作、执法监察工作以及综合治理工作。</w:t>
      </w:r>
    </w:p>
    <w:p>
      <w:pPr>
        <w:ind w:firstLine="640" w:firstLineChars="200"/>
        <w:rPr>
          <w:sz w:val="32"/>
          <w:szCs w:val="32"/>
        </w:rPr>
      </w:pPr>
      <w:r>
        <w:rPr>
          <w:rFonts w:hint="eastAsia"/>
          <w:sz w:val="32"/>
          <w:szCs w:val="32"/>
        </w:rPr>
        <w:t>6.负责拟订全区预防腐败工作规划、政策、方案并组织实施，推动全区惩治和预防腐败体系建设。</w:t>
      </w:r>
    </w:p>
    <w:p>
      <w:pPr>
        <w:ind w:firstLine="640" w:firstLineChars="200"/>
        <w:rPr>
          <w:sz w:val="32"/>
          <w:szCs w:val="32"/>
        </w:rPr>
      </w:pPr>
      <w:r>
        <w:rPr>
          <w:rFonts w:hint="eastAsia"/>
          <w:sz w:val="32"/>
          <w:szCs w:val="32"/>
        </w:rPr>
        <w:t>7.负责监督检查全区纪检监察系统干部遵守和执行党章以及其他党内法规、政策、决议和国家法律法规等情况。</w:t>
      </w:r>
    </w:p>
    <w:p>
      <w:pPr>
        <w:ind w:firstLine="640" w:firstLineChars="200"/>
        <w:rPr>
          <w:rFonts w:hint="eastAsia"/>
          <w:lang w:eastAsia="zh-CN"/>
        </w:rPr>
      </w:pPr>
      <w:r>
        <w:rPr>
          <w:rFonts w:hint="eastAsia"/>
          <w:sz w:val="32"/>
          <w:szCs w:val="32"/>
        </w:rPr>
        <w:t>8.会同市直各有关</w:t>
      </w:r>
      <w:r>
        <w:rPr>
          <w:rFonts w:hint="eastAsia"/>
          <w:sz w:val="32"/>
          <w:szCs w:val="32"/>
          <w:lang w:eastAsia="zh-CN"/>
        </w:rPr>
        <w:t>单位</w:t>
      </w:r>
      <w:r>
        <w:rPr>
          <w:rFonts w:hint="eastAsia"/>
          <w:sz w:val="32"/>
          <w:szCs w:val="32"/>
        </w:rPr>
        <w:t>以及各乡（镇）党委、政府管理纪检监察干部，以区纪委会同区委组织部为主做好各乡（镇）纪委书记、副书记的提名和考察工作，按干部管理权限统一管理区纪委、区监察委各派驻机构的干部；组织和指导纪检监察干部的培训工作。</w:t>
      </w:r>
    </w:p>
    <w:p>
      <w:pPr>
        <w:pStyle w:val="4"/>
        <w:rPr>
          <w:rStyle w:val="29"/>
          <w:rFonts w:ascii="Times New Roman" w:hAnsi="Times New Roman"/>
          <w:b w:val="0"/>
          <w:bCs w:val="0"/>
          <w:color w:val="auto"/>
          <w:highlight w:val="none"/>
        </w:rPr>
      </w:pPr>
      <w:bookmarkStart w:id="8" w:name="_Toc15377200"/>
      <w:bookmarkStart w:id="9" w:name="_Toc15396601"/>
      <w:r>
        <w:rPr>
          <w:rFonts w:hint="eastAsia" w:ascii="Times New Roman" w:hAnsi="Times New Roman" w:eastAsia="黑体"/>
          <w:b w:val="0"/>
          <w:color w:val="auto"/>
          <w:highlight w:val="none"/>
        </w:rPr>
        <w:t>二、机</w:t>
      </w:r>
      <w:r>
        <w:rPr>
          <w:rStyle w:val="29"/>
          <w:rFonts w:hint="eastAsia" w:ascii="Times New Roman" w:hAnsi="Times New Roman" w:eastAsia="黑体"/>
          <w:b w:val="0"/>
          <w:bCs w:val="0"/>
          <w:color w:val="auto"/>
          <w:highlight w:val="none"/>
        </w:rPr>
        <w:t>构设置</w:t>
      </w:r>
      <w:bookmarkEnd w:id="8"/>
      <w:bookmarkEnd w:id="9"/>
    </w:p>
    <w:p>
      <w:pPr>
        <w:widowControl/>
        <w:ind w:firstLine="640" w:firstLineChars="200"/>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中国共产党乐山市金口河区纪律检查委员会（乐山市金口河区监察委员会）</w:t>
      </w:r>
      <w:r>
        <w:rPr>
          <w:rFonts w:hint="eastAsia" w:ascii="仿宋_GB2312" w:hAnsi="仿宋_GB2312" w:eastAsia="仿宋_GB2312" w:cs="仿宋_GB2312"/>
          <w:color w:val="auto"/>
          <w:sz w:val="32"/>
          <w:szCs w:val="32"/>
          <w:highlight w:val="none"/>
          <w:lang w:eastAsia="zh-CN"/>
        </w:rPr>
        <w:t>无下属二级机构。</w:t>
      </w:r>
    </w:p>
    <w:p>
      <w:pPr>
        <w:pStyle w:val="2"/>
        <w:rPr>
          <w:rFonts w:hint="eastAsia" w:ascii="仿宋_GB2312" w:hAnsi="仿宋_GB2312" w:eastAsia="仿宋_GB2312" w:cs="仿宋_GB2312"/>
          <w:color w:val="auto"/>
          <w:sz w:val="32"/>
          <w:szCs w:val="32"/>
          <w:highlight w:val="none"/>
          <w:lang w:eastAsia="zh-CN"/>
        </w:rPr>
      </w:pPr>
    </w:p>
    <w:p>
      <w:pPr>
        <w:rPr>
          <w:rFonts w:hint="eastAsia" w:ascii="仿宋_GB2312" w:hAnsi="仿宋_GB2312" w:eastAsia="仿宋_GB2312" w:cs="仿宋_GB2312"/>
          <w:color w:val="auto"/>
          <w:sz w:val="32"/>
          <w:szCs w:val="32"/>
          <w:highlight w:val="none"/>
          <w:lang w:eastAsia="zh-CN"/>
        </w:rPr>
      </w:pPr>
    </w:p>
    <w:p>
      <w:pPr>
        <w:pStyle w:val="2"/>
        <w:rPr>
          <w:rFonts w:hint="eastAsia" w:ascii="仿宋_GB2312" w:hAnsi="仿宋_GB2312" w:eastAsia="仿宋_GB2312" w:cs="仿宋_GB2312"/>
          <w:color w:val="auto"/>
          <w:sz w:val="32"/>
          <w:szCs w:val="32"/>
          <w:highlight w:val="none"/>
          <w:lang w:eastAsia="zh-CN"/>
        </w:rPr>
      </w:pPr>
    </w:p>
    <w:p>
      <w:pPr>
        <w:rPr>
          <w:rFonts w:hint="eastAsia" w:ascii="仿宋_GB2312" w:hAnsi="仿宋_GB2312" w:eastAsia="仿宋_GB2312" w:cs="仿宋_GB2312"/>
          <w:color w:val="auto"/>
          <w:sz w:val="32"/>
          <w:szCs w:val="32"/>
          <w:highlight w:val="none"/>
          <w:lang w:eastAsia="zh-CN"/>
        </w:rPr>
      </w:pPr>
    </w:p>
    <w:p>
      <w:pPr>
        <w:pStyle w:val="2"/>
        <w:rPr>
          <w:rFonts w:hint="eastAsia"/>
          <w:lang w:eastAsia="zh-CN"/>
        </w:rPr>
      </w:pPr>
    </w:p>
    <w:p>
      <w:pPr>
        <w:pStyle w:val="3"/>
        <w:jc w:val="center"/>
        <w:rPr>
          <w:rFonts w:hint="eastAsia" w:ascii="Times New Roman" w:hAnsi="Times New Roman" w:eastAsia="方正小标宋简体" w:cs="方正小标宋简体"/>
          <w:b w:val="0"/>
          <w:color w:val="auto"/>
          <w:highlight w:val="none"/>
        </w:rPr>
      </w:pPr>
      <w:bookmarkStart w:id="10" w:name="_Toc15377204"/>
      <w:bookmarkStart w:id="11" w:name="_Toc15396602"/>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eastAsia="方正小标宋简体" w:cs="方正小标宋简体"/>
          <w:b w:val="0"/>
          <w:color w:val="auto"/>
          <w:highlight w:val="none"/>
          <w:lang w:eastAsia="zh-CN"/>
        </w:rPr>
        <w:t>单位</w:t>
      </w:r>
      <w:r>
        <w:rPr>
          <w:rFonts w:hint="eastAsia" w:ascii="Times New Roman" w:hAnsi="Times New Roman" w:eastAsia="方正小标宋简体" w:cs="方正小标宋简体"/>
          <w:b w:val="0"/>
          <w:color w:val="auto"/>
          <w:highlight w:val="none"/>
        </w:rPr>
        <w:t>决算情况说明</w:t>
      </w:r>
      <w:bookmarkEnd w:id="10"/>
      <w:bookmarkEnd w:id="11"/>
    </w:p>
    <w:p>
      <w:pPr>
        <w:rPr>
          <w:rFonts w:ascii="Times New Roman" w:hAnsi="Times New Roman"/>
          <w:color w:val="auto"/>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12" w:name="_Toc15377205"/>
      <w:bookmarkStart w:id="13" w:name="_Toc15396603"/>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29"/>
          <w:rFonts w:hint="eastAsia" w:ascii="Times New Roman" w:hAnsi="Times New Roman" w:eastAsia="黑体"/>
          <w:b w:val="0"/>
          <w:color w:val="auto"/>
          <w:highlight w:val="none"/>
        </w:rPr>
        <w:t>入支出决算总体情况说明</w:t>
      </w:r>
      <w:bookmarkEnd w:id="12"/>
      <w:bookmarkEnd w:id="13"/>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872.87</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总计各增加</w:t>
      </w:r>
      <w:r>
        <w:rPr>
          <w:rFonts w:hint="eastAsia" w:eastAsia="仿宋_GB2312" w:cs="仿宋_GB2312"/>
          <w:color w:val="auto"/>
          <w:sz w:val="32"/>
          <w:szCs w:val="32"/>
          <w:highlight w:val="none"/>
          <w:lang w:val="en-US" w:eastAsia="zh-CN"/>
        </w:rPr>
        <w:t>23.73</w:t>
      </w:r>
      <w:r>
        <w:rPr>
          <w:rFonts w:hint="eastAsia" w:ascii="Times New Roman" w:hAnsi="Times New Roman" w:eastAsia="仿宋_GB2312" w:cs="仿宋_GB2312"/>
          <w:color w:val="auto"/>
          <w:sz w:val="32"/>
          <w:szCs w:val="32"/>
          <w:highlight w:val="none"/>
        </w:rPr>
        <w:t>万元，增长</w:t>
      </w:r>
      <w:r>
        <w:rPr>
          <w:rFonts w:hint="eastAsia" w:eastAsia="仿宋_GB2312" w:cs="仿宋_GB2312"/>
          <w:color w:val="auto"/>
          <w:sz w:val="32"/>
          <w:szCs w:val="32"/>
          <w:highlight w:val="none"/>
          <w:lang w:val="en-US" w:eastAsia="zh-CN"/>
        </w:rPr>
        <w:t>2.79</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eastAsia="zh-CN"/>
        </w:rPr>
        <w:t>上级专项资金增加、</w:t>
      </w:r>
      <w:r>
        <w:rPr>
          <w:rFonts w:hint="eastAsia" w:ascii="仿宋" w:hAnsi="仿宋" w:eastAsia="仿宋"/>
          <w:sz w:val="32"/>
          <w:szCs w:val="32"/>
          <w:lang w:eastAsia="zh-CN"/>
        </w:rPr>
        <w:t>人员增加、收支增长。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决算总计变动情况图）（柱状图）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仿宋_GB2312" w:cs="仿宋_GB2312"/>
          <w:color w:val="auto"/>
          <w:sz w:val="32"/>
          <w:szCs w:val="32"/>
          <w:highlight w:val="none"/>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14" w:name="_Toc15396604"/>
      <w:bookmarkStart w:id="15" w:name="_Toc15377206"/>
      <w:r>
        <w:rPr>
          <w:rFonts w:hint="eastAsia" w:ascii="Times New Roman" w:hAnsi="Times New Roman" w:eastAsia="黑体"/>
          <w:color w:val="auto"/>
          <w:sz w:val="32"/>
          <w:szCs w:val="32"/>
          <w:highlight w:val="none"/>
          <w:lang w:eastAsia="zh-CN"/>
        </w:rPr>
        <w:t>二、收入决算情况说明</w:t>
      </w:r>
      <w:bookmarkEnd w:id="14"/>
      <w:bookmarkEnd w:id="15"/>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872.87万元，其中：一般公共预算财政拨款收入872.82</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99.99</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bookmarkStart w:id="61" w:name="_GoBack"/>
      <w:bookmarkEnd w:id="61"/>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0.05</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b/>
          <w:bCs/>
          <w:color w:val="auto"/>
          <w:sz w:val="32"/>
          <w:szCs w:val="32"/>
          <w:highlight w:val="none"/>
          <w:lang w:eastAsia="zh-CN"/>
        </w:rPr>
        <w:t>（注：仅罗列本</w:t>
      </w:r>
      <w:r>
        <w:rPr>
          <w:rFonts w:hint="eastAsia" w:eastAsia="仿宋_GB2312" w:cs="仿宋_GB2312"/>
          <w:b/>
          <w:bCs/>
          <w:color w:val="auto"/>
          <w:sz w:val="32"/>
          <w:szCs w:val="32"/>
          <w:highlight w:val="none"/>
          <w:lang w:eastAsia="zh-CN"/>
        </w:rPr>
        <w:t>单位</w:t>
      </w:r>
      <w:r>
        <w:rPr>
          <w:rFonts w:hint="eastAsia" w:ascii="Times New Roman" w:hAnsi="Times New Roman" w:eastAsia="仿宋_GB2312" w:cs="仿宋_GB2312"/>
          <w:b/>
          <w:bCs/>
          <w:color w:val="auto"/>
          <w:sz w:val="32"/>
          <w:szCs w:val="32"/>
          <w:highlight w:val="none"/>
          <w:lang w:eastAsia="zh-CN"/>
        </w:rPr>
        <w:t>涉及的收入）</w:t>
      </w:r>
    </w:p>
    <w:p>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（图2：收入决算结构图）（饼状图）</w:t>
      </w:r>
    </w:p>
    <w:p>
      <w:pPr>
        <w:ind w:firstLine="525" w:firstLineChars="250"/>
        <w:rPr>
          <w:rFonts w:hint="eastAsia" w:ascii="Times New Roman" w:hAnsi="Times New Roman" w:eastAsia="仿宋_GB2312" w:cs="仿宋_GB2312"/>
          <w:color w:val="auto"/>
          <w:sz w:val="32"/>
          <w:szCs w:val="32"/>
          <w:highlight w:val="none"/>
          <w:lang w:eastAsia="zh-CN"/>
        </w:rPr>
      </w:pP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16" w:name="_Toc15396605"/>
      <w:bookmarkStart w:id="17" w:name="_Toc15377207"/>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29"/>
          <w:rFonts w:hint="eastAsia" w:ascii="Times New Roman" w:hAnsi="Times New Roman" w:eastAsia="黑体"/>
          <w:b w:val="0"/>
          <w:color w:val="auto"/>
          <w:highlight w:val="none"/>
        </w:rPr>
        <w:t>出决算情况说明</w:t>
      </w:r>
      <w:bookmarkEnd w:id="16"/>
      <w:bookmarkEnd w:id="17"/>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872.87</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714.56</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81.86</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158.31</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18.13</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b/>
          <w:bCs/>
          <w:color w:val="auto"/>
          <w:sz w:val="32"/>
          <w:szCs w:val="32"/>
          <w:highlight w:val="none"/>
          <w:lang w:eastAsia="zh-CN"/>
        </w:rPr>
        <w:t>（注：仅罗列本</w:t>
      </w:r>
      <w:r>
        <w:rPr>
          <w:rFonts w:hint="eastAsia" w:eastAsia="仿宋_GB2312" w:cs="仿宋_GB2312"/>
          <w:b/>
          <w:bCs/>
          <w:color w:val="auto"/>
          <w:sz w:val="32"/>
          <w:szCs w:val="32"/>
          <w:highlight w:val="none"/>
          <w:lang w:eastAsia="zh-CN"/>
        </w:rPr>
        <w:t>单位</w:t>
      </w:r>
      <w:r>
        <w:rPr>
          <w:rFonts w:hint="eastAsia" w:ascii="Times New Roman" w:hAnsi="Times New Roman" w:eastAsia="仿宋_GB2312" w:cs="仿宋_GB2312"/>
          <w:b/>
          <w:bCs/>
          <w:color w:val="auto"/>
          <w:sz w:val="32"/>
          <w:szCs w:val="32"/>
          <w:highlight w:val="none"/>
          <w:lang w:eastAsia="zh-CN"/>
        </w:rPr>
        <w:t>涉及的支出）</w:t>
      </w:r>
    </w:p>
    <w:p>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（图3：支出决算结构图）（饼状图）</w:t>
      </w:r>
    </w:p>
    <w:p>
      <w:pPr>
        <w:ind w:firstLine="525" w:firstLineChars="250"/>
        <w:rPr>
          <w:rFonts w:hint="eastAsia" w:ascii="Times New Roman" w:hAnsi="Times New Roman" w:eastAsia="仿宋_GB2312" w:cs="仿宋_GB2312"/>
          <w:color w:val="auto"/>
          <w:sz w:val="32"/>
          <w:szCs w:val="32"/>
          <w:highlight w:val="none"/>
          <w:lang w:eastAsia="zh-CN"/>
        </w:rPr>
      </w:pPr>
      <w:r>
        <w:drawing>
          <wp:inline distT="0" distB="0" distL="114300" distR="114300">
            <wp:extent cx="4572000" cy="2743200"/>
            <wp:effectExtent l="4445" t="4445" r="14605" b="1460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outlineLvl w:val="1"/>
        <w:rPr>
          <w:rStyle w:val="29"/>
          <w:rFonts w:ascii="Times New Roman" w:hAnsi="Times New Roman" w:eastAsia="黑体"/>
          <w:b w:val="0"/>
          <w:color w:val="auto"/>
          <w:highlight w:val="none"/>
        </w:rPr>
      </w:pPr>
      <w:bookmarkStart w:id="18" w:name="_Toc15396606"/>
      <w:bookmarkStart w:id="19" w:name="_Toc15377208"/>
      <w:r>
        <w:rPr>
          <w:rFonts w:hint="eastAsia" w:ascii="Times New Roman" w:hAnsi="Times New Roman" w:eastAsia="黑体"/>
          <w:color w:val="auto"/>
          <w:sz w:val="32"/>
          <w:szCs w:val="32"/>
          <w:highlight w:val="none"/>
        </w:rPr>
        <w:t>四、财</w:t>
      </w:r>
      <w:r>
        <w:rPr>
          <w:rStyle w:val="29"/>
          <w:rFonts w:hint="eastAsia" w:ascii="Times New Roman" w:hAnsi="Times New Roman" w:eastAsia="黑体"/>
          <w:b w:val="0"/>
          <w:color w:val="auto"/>
          <w:highlight w:val="none"/>
        </w:rPr>
        <w:t>政拨款收入支出决算总体情况说明</w:t>
      </w:r>
      <w:bookmarkEnd w:id="18"/>
      <w:bookmarkEnd w:id="19"/>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872.82</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万元。与2023年度相比，财政拨款收入总计、支出总计各增加</w:t>
      </w:r>
      <w:r>
        <w:rPr>
          <w:rFonts w:hint="eastAsia" w:eastAsia="仿宋_GB2312" w:cs="仿宋_GB2312"/>
          <w:color w:val="auto"/>
          <w:kern w:val="2"/>
          <w:sz w:val="32"/>
          <w:szCs w:val="32"/>
          <w:highlight w:val="none"/>
          <w:lang w:val="en-US" w:eastAsia="zh-CN" w:bidi="ar-SA"/>
        </w:rPr>
        <w:t>23.73</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2.79</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sz w:val="32"/>
          <w:szCs w:val="32"/>
          <w:highlight w:val="none"/>
          <w:lang w:eastAsia="zh-CN"/>
        </w:rPr>
        <w:t>上级专项资金增加、</w:t>
      </w:r>
      <w:r>
        <w:rPr>
          <w:rFonts w:hint="eastAsia" w:ascii="仿宋" w:hAnsi="仿宋" w:eastAsia="仿宋"/>
          <w:sz w:val="32"/>
          <w:szCs w:val="32"/>
          <w:lang w:eastAsia="zh-CN"/>
        </w:rPr>
        <w:t>人员增加、收支增长。</w:t>
      </w: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（图4：财政拨款收、支决算总计变动情况）（柱状图）</w:t>
      </w:r>
    </w:p>
    <w:p>
      <w:pPr>
        <w:spacing w:line="240" w:lineRule="auto"/>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drawing>
          <wp:inline distT="0" distB="0" distL="114300" distR="114300">
            <wp:extent cx="4581525" cy="2752725"/>
            <wp:effectExtent l="0" t="0" r="9525" b="9525"/>
            <wp:docPr id="1" name="图片 1" descr="微信图片_20250912100041_2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912100041_2_4"/>
                    <pic:cNvPicPr>
                      <a:picLocks noChangeAspect="1"/>
                    </pic:cNvPicPr>
                  </pic:nvPicPr>
                  <pic:blipFill>
                    <a:blip r:embed="rId13"/>
                    <a:stretch>
                      <a:fillRect/>
                    </a:stretch>
                  </pic:blipFill>
                  <pic:spPr>
                    <a:xfrm>
                      <a:off x="0" y="0"/>
                      <a:ext cx="4581525" cy="2752725"/>
                    </a:xfrm>
                    <a:prstGeom prst="rect">
                      <a:avLst/>
                    </a:prstGeom>
                  </pic:spPr>
                </pic:pic>
              </a:graphicData>
            </a:graphic>
          </wp:inline>
        </w:drawing>
      </w:r>
    </w:p>
    <w:p>
      <w:pPr>
        <w:spacing w:line="600" w:lineRule="exact"/>
        <w:ind w:firstLine="640" w:firstLineChars="200"/>
        <w:outlineLvl w:val="1"/>
        <w:rPr>
          <w:rFonts w:hint="eastAsia" w:ascii="Times New Roman" w:hAnsi="Times New Roman" w:eastAsia="黑体"/>
          <w:color w:val="auto"/>
          <w:sz w:val="32"/>
          <w:szCs w:val="32"/>
          <w:highlight w:val="none"/>
        </w:rPr>
      </w:pPr>
      <w:bookmarkStart w:id="20" w:name="_Toc15396607"/>
      <w:bookmarkStart w:id="21" w:name="_Toc15377209"/>
    </w:p>
    <w:p>
      <w:pPr>
        <w:spacing w:line="600" w:lineRule="exact"/>
        <w:outlineLvl w:val="1"/>
        <w:rPr>
          <w:rFonts w:hint="eastAsia" w:ascii="Times New Roman" w:hAnsi="Times New Roman" w:eastAsia="黑体"/>
          <w:color w:val="auto"/>
          <w:sz w:val="32"/>
          <w:szCs w:val="32"/>
          <w:highlight w:val="none"/>
        </w:rPr>
      </w:pPr>
    </w:p>
    <w:p>
      <w:pPr>
        <w:spacing w:line="600" w:lineRule="exact"/>
        <w:ind w:firstLine="640" w:firstLineChars="200"/>
        <w:outlineLvl w:val="1"/>
        <w:rPr>
          <w:rStyle w:val="29"/>
          <w:rFonts w:ascii="Times New Roman" w:hAnsi="Times New Roman" w:eastAsia="黑体"/>
          <w:b w:val="0"/>
          <w:color w:val="auto"/>
          <w:highlight w:val="none"/>
        </w:rPr>
      </w:pPr>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般公共预算财政拨款支出决算情况说明</w:t>
      </w:r>
      <w:bookmarkEnd w:id="20"/>
      <w:bookmarkEnd w:id="21"/>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2"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22"/>
    </w:p>
    <w:p>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872.82</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99.99</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%。与2023年度相比，一般公共预算财政拨款支出增加23.73万元，增长2.79%。主要变动原因是</w:t>
      </w:r>
      <w:r>
        <w:rPr>
          <w:rFonts w:hint="eastAsia" w:eastAsia="仿宋_GB2312" w:cs="仿宋_GB2312"/>
          <w:color w:val="auto"/>
          <w:sz w:val="32"/>
          <w:szCs w:val="32"/>
          <w:highlight w:val="none"/>
          <w:lang w:eastAsia="zh-CN"/>
        </w:rPr>
        <w:t>上级专项资金增加、</w:t>
      </w:r>
      <w:r>
        <w:rPr>
          <w:rFonts w:hint="eastAsia" w:ascii="仿宋" w:hAnsi="仿宋" w:eastAsia="仿宋"/>
          <w:sz w:val="32"/>
          <w:szCs w:val="32"/>
          <w:lang w:eastAsia="zh-CN"/>
        </w:rPr>
        <w:t>人员增加、支出增长</w:t>
      </w:r>
      <w:r>
        <w:rPr>
          <w:rFonts w:hint="eastAsia" w:ascii="仿宋" w:hAnsi="仿宋" w:eastAsia="仿宋"/>
          <w:sz w:val="32"/>
          <w:szCs w:val="32"/>
          <w:lang w:val="en-US" w:eastAsia="zh-CN"/>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（图5：一般公共预算财政拨款支出决算变动情况）（柱状图）</w:t>
      </w:r>
    </w:p>
    <w:p>
      <w:pPr>
        <w:spacing w:line="240" w:lineRule="auto"/>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drawing>
          <wp:inline distT="0" distB="0" distL="114300" distR="114300">
            <wp:extent cx="4581525" cy="2752725"/>
            <wp:effectExtent l="0" t="0" r="9525" b="9525"/>
            <wp:docPr id="4" name="图片 4" descr="微信图片_20250912100457_3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50912100457_3_4"/>
                    <pic:cNvPicPr>
                      <a:picLocks noChangeAspect="1"/>
                    </pic:cNvPicPr>
                  </pic:nvPicPr>
                  <pic:blipFill>
                    <a:blip r:embed="rId14"/>
                    <a:stretch>
                      <a:fillRect/>
                    </a:stretch>
                  </pic:blipFill>
                  <pic:spPr>
                    <a:xfrm>
                      <a:off x="0" y="0"/>
                      <a:ext cx="4581525" cy="2752725"/>
                    </a:xfrm>
                    <a:prstGeom prst="rect">
                      <a:avLst/>
                    </a:prstGeom>
                  </pic:spPr>
                </pic:pic>
              </a:graphicData>
            </a:graphic>
          </wp:inline>
        </w:drawing>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3"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23"/>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872.82</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一般公共服务支出</w:t>
      </w:r>
      <w:r>
        <w:rPr>
          <w:rFonts w:hint="eastAsia" w:eastAsia="仿宋_GB2312" w:cs="仿宋_GB2312"/>
          <w:color w:val="auto"/>
          <w:kern w:val="2"/>
          <w:sz w:val="32"/>
          <w:szCs w:val="32"/>
          <w:highlight w:val="none"/>
          <w:lang w:val="en-US" w:eastAsia="zh-CN" w:bidi="ar-SA"/>
        </w:rPr>
        <w:t>693.68</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79.48</w:t>
      </w:r>
      <w:r>
        <w:rPr>
          <w:rFonts w:hint="eastAsia" w:ascii="Times New Roman" w:hAnsi="Times New Roman" w:eastAsia="仿宋_GB2312" w:cs="仿宋_GB2312"/>
          <w:color w:val="auto"/>
          <w:kern w:val="2"/>
          <w:sz w:val="32"/>
          <w:szCs w:val="32"/>
          <w:highlight w:val="none"/>
          <w:lang w:val="en-US" w:eastAsia="zh-CN" w:bidi="ar-SA"/>
        </w:rPr>
        <w:t>%；教育支出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%；科学技术支出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%；文化旅游体育与传媒支出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%；社会保障和就业支出</w:t>
      </w:r>
      <w:r>
        <w:rPr>
          <w:rFonts w:hint="eastAsia" w:eastAsia="仿宋_GB2312" w:cs="仿宋_GB2312"/>
          <w:color w:val="auto"/>
          <w:kern w:val="2"/>
          <w:sz w:val="32"/>
          <w:szCs w:val="32"/>
          <w:highlight w:val="none"/>
          <w:lang w:val="en-US" w:eastAsia="zh-CN" w:bidi="ar-SA"/>
        </w:rPr>
        <w:t>110.43</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12.65</w:t>
      </w:r>
      <w:r>
        <w:rPr>
          <w:rFonts w:hint="eastAsia" w:ascii="Times New Roman" w:hAnsi="Times New Roman" w:eastAsia="仿宋_GB2312" w:cs="仿宋_GB2312"/>
          <w:color w:val="auto"/>
          <w:kern w:val="2"/>
          <w:sz w:val="32"/>
          <w:szCs w:val="32"/>
          <w:highlight w:val="none"/>
          <w:lang w:val="en-US" w:eastAsia="zh-CN" w:bidi="ar-SA"/>
        </w:rPr>
        <w:t>%；卫生健康支出</w:t>
      </w:r>
      <w:r>
        <w:rPr>
          <w:rFonts w:hint="eastAsia" w:eastAsia="仿宋_GB2312" w:cs="仿宋_GB2312"/>
          <w:color w:val="auto"/>
          <w:kern w:val="2"/>
          <w:sz w:val="32"/>
          <w:szCs w:val="32"/>
          <w:highlight w:val="none"/>
          <w:lang w:val="en-US" w:eastAsia="zh-CN" w:bidi="ar-SA"/>
        </w:rPr>
        <w:t>17.8</w:t>
      </w:r>
      <w:r>
        <w:rPr>
          <w:rFonts w:hint="eastAsia" w:ascii="Times New Roman" w:hAnsi="Times New Roman" w:eastAsia="仿宋_GB2312" w:cs="仿宋_GB2312"/>
          <w:color w:val="auto"/>
          <w:kern w:val="2"/>
          <w:sz w:val="32"/>
          <w:szCs w:val="32"/>
          <w:highlight w:val="none"/>
          <w:lang w:val="en-US" w:eastAsia="zh-CN" w:bidi="ar-SA"/>
        </w:rPr>
        <w:t>万元，占2.04%，农林水支出</w:t>
      </w:r>
      <w:r>
        <w:rPr>
          <w:rFonts w:hint="eastAsia" w:eastAsia="仿宋_GB2312" w:cs="仿宋_GB2312"/>
          <w:color w:val="auto"/>
          <w:kern w:val="2"/>
          <w:sz w:val="32"/>
          <w:szCs w:val="32"/>
          <w:highlight w:val="none"/>
          <w:lang w:val="en-US" w:eastAsia="zh-CN" w:bidi="ar-SA"/>
        </w:rPr>
        <w:t>1.1万元，</w:t>
      </w:r>
      <w:r>
        <w:rPr>
          <w:rFonts w:hint="eastAsia" w:ascii="Times New Roman" w:hAnsi="Times New Roman" w:eastAsia="仿宋_GB2312" w:cs="仿宋_GB2312"/>
          <w:color w:val="auto"/>
          <w:kern w:val="2"/>
          <w:sz w:val="32"/>
          <w:szCs w:val="32"/>
          <w:highlight w:val="none"/>
          <w:lang w:val="en-US" w:eastAsia="zh-CN" w:bidi="ar-SA"/>
        </w:rPr>
        <w:t>占</w:t>
      </w:r>
      <w:r>
        <w:rPr>
          <w:rFonts w:hint="eastAsia" w:eastAsia="仿宋_GB2312" w:cs="仿宋_GB2312"/>
          <w:color w:val="auto"/>
          <w:kern w:val="2"/>
          <w:sz w:val="32"/>
          <w:szCs w:val="32"/>
          <w:highlight w:val="none"/>
          <w:lang w:val="en-US" w:eastAsia="zh-CN" w:bidi="ar-SA"/>
        </w:rPr>
        <w:t>0.12</w:t>
      </w:r>
      <w:r>
        <w:rPr>
          <w:rFonts w:hint="eastAsia" w:ascii="Times New Roman" w:hAnsi="Times New Roman" w:eastAsia="仿宋_GB2312" w:cs="仿宋_GB2312"/>
          <w:color w:val="auto"/>
          <w:kern w:val="2"/>
          <w:sz w:val="32"/>
          <w:szCs w:val="32"/>
          <w:highlight w:val="none"/>
          <w:lang w:val="en-US" w:eastAsia="zh-CN" w:bidi="ar-SA"/>
        </w:rPr>
        <w:t>%；住房保障支出</w:t>
      </w:r>
      <w:r>
        <w:rPr>
          <w:rFonts w:hint="eastAsia" w:eastAsia="仿宋_GB2312" w:cs="仿宋_GB2312"/>
          <w:color w:val="auto"/>
          <w:kern w:val="2"/>
          <w:sz w:val="32"/>
          <w:szCs w:val="32"/>
          <w:highlight w:val="none"/>
          <w:lang w:val="en-US" w:eastAsia="zh-CN" w:bidi="ar-SA"/>
        </w:rPr>
        <w:t>49.81</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5.71</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（注：仅罗列本</w:t>
      </w:r>
      <w:r>
        <w:rPr>
          <w:rFonts w:hint="eastAsia" w:eastAsia="仿宋_GB2312" w:cs="仿宋_GB2312"/>
          <w:b/>
          <w:bCs/>
          <w:color w:val="auto"/>
          <w:kern w:val="2"/>
          <w:sz w:val="32"/>
          <w:szCs w:val="32"/>
          <w:highlight w:val="none"/>
          <w:lang w:val="en-US" w:eastAsia="zh-CN" w:bidi="ar-SA"/>
        </w:rPr>
        <w:t>单位</w:t>
      </w:r>
      <w:r>
        <w:rPr>
          <w:rFonts w:hint="eastAsia" w:ascii="Times New Roman" w:hAnsi="Times New Roman" w:eastAsia="仿宋_GB2312" w:cs="仿宋_GB2312"/>
          <w:b/>
          <w:bCs/>
          <w:color w:val="auto"/>
          <w:kern w:val="2"/>
          <w:sz w:val="32"/>
          <w:szCs w:val="32"/>
          <w:highlight w:val="none"/>
          <w:lang w:val="en-US" w:eastAsia="zh-CN" w:bidi="ar-SA"/>
        </w:rPr>
        <w:t>涉及的全部功能分类科目，至类级）</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（图6：一般公共预算财政拨款支出决算结构）（饼状图）</w:t>
      </w:r>
    </w:p>
    <w:p>
      <w:pPr>
        <w:spacing w:line="240" w:lineRule="auto"/>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drawing>
          <wp:inline distT="0" distB="0" distL="114300" distR="114300">
            <wp:extent cx="4581525" cy="2752725"/>
            <wp:effectExtent l="0" t="0" r="9525" b="9525"/>
            <wp:docPr id="6" name="图片 6" descr="微信图片_20250912101746_4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50912101746_4_4"/>
                    <pic:cNvPicPr>
                      <a:picLocks noChangeAspect="1"/>
                    </pic:cNvPicPr>
                  </pic:nvPicPr>
                  <pic:blipFill>
                    <a:blip r:embed="rId15"/>
                    <a:stretch>
                      <a:fillRect/>
                    </a:stretch>
                  </pic:blipFill>
                  <pic:spPr>
                    <a:xfrm>
                      <a:off x="0" y="0"/>
                      <a:ext cx="4581525" cy="2752725"/>
                    </a:xfrm>
                    <a:prstGeom prst="rect">
                      <a:avLst/>
                    </a:prstGeom>
                  </pic:spPr>
                </pic:pic>
              </a:graphicData>
            </a:graphic>
          </wp:inline>
        </w:drawing>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4"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24"/>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25" w:name="_Toc15377444"/>
      <w:bookmarkStart w:id="26" w:name="_Toc15378460"/>
      <w:bookmarkStart w:id="27" w:name="_Toc15377213"/>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872.82</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25"/>
      <w:bookmarkEnd w:id="26"/>
      <w:bookmarkEnd w:id="27"/>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一般公共服务支出（类）纪检监察事务（款）行政运行（项）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540.87</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2.一般公共服务支出（类）纪检监察事务（款）一般行政管理事务（项）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3.一般公共服务支出（类）纪检监察事务（款）大案要案查处（项）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108.45</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4.一般公共服务支出（类）纪检监察事务（款）其他纪检监察事务支出（项）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39.36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5.社会保障和就业支出（类）行政事业单位养老支出（款）机关事业单位基本养老保险缴费支出（项）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58.16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6.社会保障和就业支出（类）行政事业单位养老支出（款）机关事业单位职业年金缴费支出（项）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36.12</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7.社会保障和就业支出（类）行政事业单位养老支出（款）其他行政事业单位养老支出（项）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1.33</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8.社会保障和就业支出（类）残疾人事业（款）残疾人就业（项）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6.02</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default"/>
          <w:lang w:val="en-US" w:eastAsia="zh-CN"/>
        </w:rPr>
      </w:pPr>
      <w:r>
        <w:rPr>
          <w:rFonts w:hint="eastAsia" w:ascii="Times New Roman" w:hAnsi="Times New Roman" w:eastAsia="仿宋_GB2312" w:cs="仿宋_GB2312"/>
          <w:color w:val="auto"/>
          <w:kern w:val="2"/>
          <w:sz w:val="32"/>
          <w:szCs w:val="32"/>
          <w:highlight w:val="none"/>
          <w:lang w:val="en-US" w:eastAsia="zh-CN" w:bidi="ar-SA"/>
        </w:rPr>
        <w:t>9.社会保障和就业支出（类）其他社会保障和就业支出（款）其他社会保障和就业支出（项）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8.79</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10</w:t>
      </w:r>
      <w:r>
        <w:rPr>
          <w:rFonts w:hint="eastAsia" w:ascii="Times New Roman" w:hAnsi="Times New Roman" w:eastAsia="仿宋_GB2312" w:cs="仿宋_GB2312"/>
          <w:color w:val="auto"/>
          <w:kern w:val="2"/>
          <w:sz w:val="32"/>
          <w:szCs w:val="32"/>
          <w:highlight w:val="none"/>
          <w:lang w:val="en-US" w:eastAsia="zh-CN" w:bidi="ar-SA"/>
        </w:rPr>
        <w:t>.卫生健康支出（类）行政事业单位医疗（款）行政单位医疗（项）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15.76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pPr>
        <w:pStyle w:val="2"/>
        <w:ind w:firstLine="640" w:firstLineChars="200"/>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11.卫生健康支出（类）行政事业单位医疗（款）公务员医疗补助（项）：支出决算为2.04万元，完成预算100%，决算数等于预算数。</w:t>
      </w:r>
    </w:p>
    <w:p>
      <w:pPr>
        <w:pStyle w:val="2"/>
        <w:ind w:firstLine="640" w:firstLineChars="200"/>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12.农林水支出（类）巩固脱贫攻坚成果衔接乡村振兴（款）其他巩固脱贫攻坚成果衔接乡村振兴支出（项）：支出决算为1.1万元，完成预算100%，决算数等于预算数。</w:t>
      </w:r>
    </w:p>
    <w:p>
      <w:pPr>
        <w:pStyle w:val="2"/>
        <w:ind w:firstLine="640" w:firstLineChars="200"/>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13.住房保障支出（类）住房改革支出（款）住房公积金（项）：支出决算为49.81万元，完成预算100%，决算数等于预算数。</w:t>
      </w:r>
    </w:p>
    <w:p>
      <w:pPr>
        <w:rPr>
          <w:rFonts w:hint="eastAsia"/>
          <w:lang w:val="en-US" w:eastAsia="zh-CN"/>
        </w:rPr>
      </w:pP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（注：仅罗列本</w:t>
      </w:r>
      <w:r>
        <w:rPr>
          <w:rFonts w:hint="eastAsia" w:eastAsia="仿宋_GB2312" w:cs="仿宋_GB2312"/>
          <w:b/>
          <w:bCs/>
          <w:color w:val="auto"/>
          <w:kern w:val="2"/>
          <w:sz w:val="32"/>
          <w:szCs w:val="32"/>
          <w:highlight w:val="none"/>
          <w:lang w:val="en-US" w:eastAsia="zh-CN" w:bidi="ar-SA"/>
        </w:rPr>
        <w:t>单位</w:t>
      </w:r>
      <w:r>
        <w:rPr>
          <w:rFonts w:hint="eastAsia" w:ascii="Times New Roman" w:hAnsi="Times New Roman" w:eastAsia="仿宋_GB2312" w:cs="仿宋_GB2312"/>
          <w:b/>
          <w:bCs/>
          <w:color w:val="auto"/>
          <w:kern w:val="2"/>
          <w:sz w:val="32"/>
          <w:szCs w:val="32"/>
          <w:highlight w:val="none"/>
          <w:lang w:val="en-US" w:eastAsia="zh-CN" w:bidi="ar-SA"/>
        </w:rPr>
        <w:t>涉及的全部功能分类科目，至项级。上述“预算”口径为全年预算数。增减变动原因为决算数&lt;项级&gt;和全年预算数&lt;项级&gt;比较，与预算数持平可以不写原因）</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tabs>
          <w:tab w:val="right" w:pos="8306"/>
        </w:tabs>
        <w:spacing w:line="600" w:lineRule="exact"/>
        <w:ind w:firstLine="640"/>
        <w:outlineLvl w:val="1"/>
        <w:rPr>
          <w:rStyle w:val="29"/>
          <w:rFonts w:ascii="Times New Roman" w:hAnsi="Times New Roman"/>
          <w:color w:val="auto"/>
          <w:highlight w:val="none"/>
        </w:rPr>
      </w:pPr>
      <w:bookmarkStart w:id="28" w:name="_Toc15396608"/>
      <w:bookmarkStart w:id="29" w:name="_Toc15377214"/>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般公共预算财政拨款基本支出决算情况说明</w:t>
      </w:r>
      <w:bookmarkEnd w:id="28"/>
      <w:bookmarkEnd w:id="29"/>
      <w:r>
        <w:rPr>
          <w:rStyle w:val="29"/>
          <w:rFonts w:ascii="Times New Roman" w:hAnsi="Times New Roman" w:eastAsia="黑体"/>
          <w:b w:val="0"/>
          <w:color w:val="auto"/>
          <w:highlight w:val="none"/>
        </w:rPr>
        <w:tab/>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714.51</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611.32</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元，主要包括：基本工资、津贴补贴、奖金、伙食补助费、机关事业单位基本养老保险缴费、职业年金缴费、职工基本医疗保险缴费、公务员医疗补助缴费、其他社会保障缴费、住房公积金、其他工资福利支出</w:t>
      </w:r>
      <w:r>
        <w:rPr>
          <w:rFonts w:hint="eastAsia" w:eastAsia="仿宋_GB2312" w:cs="仿宋_GB2312"/>
          <w:color w:val="auto"/>
          <w:kern w:val="2"/>
          <w:sz w:val="32"/>
          <w:szCs w:val="32"/>
          <w:highlight w:val="none"/>
          <w:lang w:val="en-US" w:eastAsia="zh-CN" w:bidi="ar-SA"/>
        </w:rPr>
        <w:t>、奖励金、</w:t>
      </w:r>
      <w:r>
        <w:rPr>
          <w:rFonts w:hint="eastAsia" w:ascii="Times New Roman" w:hAnsi="Times New Roman" w:eastAsia="仿宋_GB2312" w:cs="仿宋_GB2312"/>
          <w:color w:val="auto"/>
          <w:kern w:val="2"/>
          <w:sz w:val="32"/>
          <w:szCs w:val="32"/>
          <w:highlight w:val="none"/>
          <w:lang w:val="en-US" w:eastAsia="zh-CN" w:bidi="ar-SA"/>
        </w:rPr>
        <w:t>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rPr>
        <w:t>103.18</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元，主要包括：办公费、印刷费、水费、电费、邮电费、差旅费、维修（护）费、公务接待费、劳务费、</w:t>
      </w:r>
      <w:r>
        <w:rPr>
          <w:rFonts w:hint="eastAsia" w:eastAsia="仿宋_GB2312" w:cs="仿宋_GB2312"/>
          <w:color w:val="auto"/>
          <w:kern w:val="2"/>
          <w:sz w:val="32"/>
          <w:szCs w:val="32"/>
          <w:highlight w:val="none"/>
          <w:lang w:val="en-US" w:eastAsia="zh-CN" w:bidi="ar-SA"/>
        </w:rPr>
        <w:t>劳务费、</w:t>
      </w:r>
      <w:r>
        <w:rPr>
          <w:rFonts w:hint="eastAsia" w:ascii="Times New Roman" w:hAnsi="Times New Roman" w:eastAsia="仿宋_GB2312" w:cs="仿宋_GB2312"/>
          <w:color w:val="auto"/>
          <w:kern w:val="2"/>
          <w:sz w:val="32"/>
          <w:szCs w:val="32"/>
          <w:highlight w:val="none"/>
          <w:lang w:val="en-US" w:eastAsia="zh-CN" w:bidi="ar-SA"/>
        </w:rPr>
        <w:t>委托业务费、工会经费、福利费、公务用车运行维护费、其他交通费、其他商品和服务支出等。</w:t>
      </w: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（注：仅罗列本</w:t>
      </w:r>
      <w:r>
        <w:rPr>
          <w:rFonts w:hint="eastAsia" w:eastAsia="仿宋_GB2312" w:cs="仿宋_GB2312"/>
          <w:b/>
          <w:bCs/>
          <w:color w:val="auto"/>
          <w:kern w:val="2"/>
          <w:sz w:val="32"/>
          <w:szCs w:val="32"/>
          <w:highlight w:val="none"/>
          <w:lang w:val="en-US" w:eastAsia="zh-CN" w:bidi="ar-SA"/>
        </w:rPr>
        <w:t>单位</w:t>
      </w:r>
      <w:r>
        <w:rPr>
          <w:rFonts w:hint="eastAsia" w:ascii="Times New Roman" w:hAnsi="Times New Roman" w:eastAsia="仿宋_GB2312" w:cs="仿宋_GB2312"/>
          <w:b/>
          <w:bCs/>
          <w:color w:val="auto"/>
          <w:kern w:val="2"/>
          <w:sz w:val="32"/>
          <w:szCs w:val="32"/>
          <w:highlight w:val="none"/>
          <w:lang w:val="en-US" w:eastAsia="zh-CN" w:bidi="ar-SA"/>
        </w:rPr>
        <w:t>实际支出涉及的经济分类科目）</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outlineLvl w:val="1"/>
        <w:rPr>
          <w:rStyle w:val="29"/>
          <w:rFonts w:ascii="Times New Roman" w:hAnsi="Times New Roman" w:eastAsia="黑体"/>
          <w:b w:val="0"/>
          <w:color w:val="auto"/>
          <w:highlight w:val="none"/>
        </w:rPr>
      </w:pPr>
      <w:bookmarkStart w:id="30" w:name="_Toc15396609"/>
      <w:bookmarkStart w:id="31" w:name="_Toc15377215"/>
      <w:r>
        <w:rPr>
          <w:rFonts w:hint="eastAsia" w:ascii="Times New Roman" w:hAnsi="Times New Roman" w:eastAsia="黑体"/>
          <w:color w:val="auto"/>
          <w:sz w:val="32"/>
          <w:szCs w:val="32"/>
          <w:highlight w:val="none"/>
        </w:rPr>
        <w:t>七、</w:t>
      </w:r>
      <w:r>
        <w:rPr>
          <w:rStyle w:val="29"/>
          <w:rFonts w:hint="eastAsia" w:ascii="Times New Roman" w:hAnsi="Times New Roman" w:eastAsia="黑体"/>
          <w:b w:val="0"/>
          <w:color w:val="auto"/>
          <w:highlight w:val="none"/>
        </w:rPr>
        <w:t>财政拨款</w:t>
      </w:r>
      <w:r>
        <w:rPr>
          <w:rStyle w:val="29"/>
          <w:rFonts w:hint="eastAsia" w:ascii="Times New Roman" w:hAnsi="Times New Roman" w:eastAsia="黑体"/>
          <w:color w:val="auto"/>
          <w:highlight w:val="none"/>
        </w:rPr>
        <w:t>“</w:t>
      </w:r>
      <w:r>
        <w:rPr>
          <w:rStyle w:val="29"/>
          <w:rFonts w:hint="eastAsia" w:ascii="Times New Roman" w:hAnsi="Times New Roman" w:eastAsia="黑体"/>
          <w:b w:val="0"/>
          <w:color w:val="auto"/>
          <w:highlight w:val="none"/>
        </w:rPr>
        <w:t>三公”经费支出决算情况说明</w:t>
      </w:r>
      <w:bookmarkEnd w:id="30"/>
      <w:bookmarkEnd w:id="31"/>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2"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32"/>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6.1</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较上年度增加</w:t>
      </w:r>
      <w:r>
        <w:rPr>
          <w:rFonts w:hint="eastAsia" w:eastAsia="仿宋_GB2312" w:cs="仿宋_GB2312"/>
          <w:color w:val="auto"/>
          <w:kern w:val="2"/>
          <w:sz w:val="32"/>
          <w:szCs w:val="32"/>
          <w:highlight w:val="none"/>
          <w:lang w:val="en-US" w:eastAsia="zh-CN" w:bidi="ar-SA"/>
        </w:rPr>
        <w:t>2.75</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82.09</w:t>
      </w:r>
      <w:r>
        <w:rPr>
          <w:rFonts w:hint="eastAsia" w:ascii="Times New Roman" w:hAnsi="Times New Roman" w:eastAsia="仿宋_GB2312" w:cs="仿宋_GB2312"/>
          <w:color w:val="auto"/>
          <w:kern w:val="2"/>
          <w:sz w:val="32"/>
          <w:szCs w:val="32"/>
          <w:highlight w:val="none"/>
          <w:lang w:val="en-US" w:eastAsia="zh-CN" w:bidi="ar-SA"/>
        </w:rPr>
        <w:t>%。决算数与预算数持平。</w:t>
      </w: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（注：上述“预算”口径为全年预算数，包括一般公共预算和政府性基金预算财政拨款支出决算情况）</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3"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33"/>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sz w:val="32"/>
          <w:szCs w:val="32"/>
        </w:rPr>
        <w:t>5.61</w:t>
      </w:r>
      <w:r>
        <w:rPr>
          <w:rFonts w:hint="eastAsia" w:ascii="仿宋_GB2312" w:hAnsi="仿宋_GB2312" w:eastAsia="仿宋_GB2312" w:cs="仿宋_GB2312"/>
          <w:color w:val="auto"/>
          <w:kern w:val="2"/>
          <w:sz w:val="32"/>
          <w:szCs w:val="32"/>
          <w:highlight w:val="none"/>
          <w:lang w:val="en-US" w:eastAsia="zh-CN" w:bidi="ar-SA"/>
        </w:rPr>
        <w:t>万元，占91.97%；公务接待费支出决算</w:t>
      </w:r>
      <w:r>
        <w:rPr>
          <w:rFonts w:hint="eastAsia" w:ascii="仿宋_GB2312" w:hAnsi="仿宋_GB2312" w:eastAsia="仿宋_GB2312" w:cs="仿宋_GB2312"/>
          <w:sz w:val="32"/>
          <w:szCs w:val="32"/>
        </w:rPr>
        <w:t>0.49</w:t>
      </w:r>
      <w:r>
        <w:rPr>
          <w:rFonts w:hint="eastAsia" w:ascii="仿宋_GB2312" w:hAnsi="仿宋_GB2312" w:eastAsia="仿宋_GB2312" w:cs="仿宋_GB2312"/>
          <w:color w:val="auto"/>
          <w:kern w:val="2"/>
          <w:sz w:val="32"/>
          <w:szCs w:val="32"/>
          <w:highlight w:val="none"/>
          <w:lang w:val="en-US" w:eastAsia="zh-CN" w:bidi="ar-SA"/>
        </w:rPr>
        <w:t>万元，占8.03%。具体情况如下：</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（图7：“三公”经费财政拨款支出结构）（饼状图）</w:t>
      </w:r>
    </w:p>
    <w:p>
      <w:pPr>
        <w:pStyle w:val="2"/>
        <w:rPr>
          <w:rFonts w:hint="eastAsia"/>
          <w:lang w:val="en-US" w:eastAsia="zh-CN"/>
        </w:rPr>
      </w:pPr>
      <w:r>
        <w:drawing>
          <wp:inline distT="0" distB="0" distL="114300" distR="114300">
            <wp:extent cx="4572000" cy="2743200"/>
            <wp:effectExtent l="4445" t="4445" r="14605" b="14605"/>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。因公出国（境）支出决算比2023年增加/减少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开支内容包括：</w:t>
      </w:r>
      <w:r>
        <w:rPr>
          <w:rFonts w:hint="eastAsia" w:eastAsia="仿宋_GB2312" w:cs="仿宋_GB2312"/>
          <w:color w:val="auto"/>
          <w:kern w:val="2"/>
          <w:sz w:val="32"/>
          <w:szCs w:val="32"/>
          <w:highlight w:val="none"/>
          <w:lang w:val="en-US" w:eastAsia="zh-CN" w:bidi="ar-SA"/>
        </w:rPr>
        <w:t>无</w:t>
      </w:r>
      <w:r>
        <w:rPr>
          <w:rFonts w:hint="eastAsia" w:ascii="Times New Roman" w:hAnsi="Times New Roman" w:eastAsia="仿宋_GB2312" w:cs="仿宋_GB2312"/>
          <w:color w:val="auto"/>
          <w:kern w:val="2"/>
          <w:sz w:val="32"/>
          <w:szCs w:val="32"/>
          <w:highlight w:val="none"/>
          <w:lang w:val="en-US" w:eastAsia="zh-CN" w:bidi="ar-SA"/>
        </w:rPr>
        <w:t>（团组名称、出访地点、取得成效等）</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5.61万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公务用车购置及运行维护费支出决算比2023年度增加</w:t>
      </w:r>
      <w:r>
        <w:rPr>
          <w:rFonts w:hint="eastAsia" w:eastAsia="仿宋_GB2312" w:cs="仿宋_GB2312"/>
          <w:color w:val="auto"/>
          <w:kern w:val="2"/>
          <w:sz w:val="32"/>
          <w:szCs w:val="32"/>
          <w:highlight w:val="none"/>
          <w:lang w:val="en-US" w:eastAsia="zh-CN" w:bidi="ar-SA"/>
        </w:rPr>
        <w:t>2.42</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75.86</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案件查办力度加大，公务用车出行增加。</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万元。全年按规定更新购置公务用车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万元，越野车**辆、金额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万元。截至2024年12月31日，单位共有公务用车</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辆、越野车</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辆、载客汽车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5.61</w:t>
      </w:r>
      <w:r>
        <w:rPr>
          <w:rFonts w:hint="eastAsia" w:ascii="Times New Roman" w:hAnsi="Times New Roman" w:eastAsia="仿宋_GB2312" w:cs="仿宋_GB2312"/>
          <w:color w:val="auto"/>
          <w:kern w:val="2"/>
          <w:sz w:val="32"/>
          <w:szCs w:val="32"/>
          <w:highlight w:val="none"/>
          <w:lang w:val="en-US" w:eastAsia="zh-CN" w:bidi="ar-SA"/>
        </w:rPr>
        <w:t>万元。主要用于</w:t>
      </w:r>
      <w:r>
        <w:rPr>
          <w:rFonts w:hint="eastAsia" w:eastAsia="仿宋_GB2312" w:cs="仿宋_GB2312"/>
          <w:color w:val="auto"/>
          <w:kern w:val="2"/>
          <w:sz w:val="32"/>
          <w:szCs w:val="32"/>
          <w:highlight w:val="none"/>
          <w:lang w:val="en-US" w:eastAsia="zh-CN" w:bidi="ar-SA"/>
        </w:rPr>
        <w:t>案件查办、监督检查等</w:t>
      </w:r>
      <w:r>
        <w:rPr>
          <w:rFonts w:hint="eastAsia" w:ascii="Times New Roman" w:hAnsi="Times New Roman" w:eastAsia="仿宋_GB2312" w:cs="仿宋_GB2312"/>
          <w:color w:val="auto"/>
          <w:kern w:val="2"/>
          <w:sz w:val="32"/>
          <w:szCs w:val="32"/>
          <w:highlight w:val="none"/>
          <w:lang w:val="en-US" w:eastAsia="zh-CN" w:bidi="ar-SA"/>
        </w:rPr>
        <w:t>（具体工作）所需的公务用车燃料费、维修费、过路过桥费、保险费等支出。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0.49万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公务接待费支出决算比2023年度增加</w:t>
      </w:r>
      <w:r>
        <w:rPr>
          <w:rFonts w:hint="eastAsia" w:eastAsia="仿宋_GB2312" w:cs="仿宋_GB2312"/>
          <w:color w:val="auto"/>
          <w:kern w:val="2"/>
          <w:sz w:val="32"/>
          <w:szCs w:val="32"/>
          <w:highlight w:val="none"/>
          <w:lang w:val="en-US" w:eastAsia="zh-CN" w:bidi="ar-SA"/>
        </w:rPr>
        <w:t>0.33</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206.25</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公务活动增加</w:t>
      </w:r>
      <w:r>
        <w:rPr>
          <w:rFonts w:hint="eastAsia" w:ascii="Times New Roman" w:hAnsi="Times New Roman" w:eastAsia="仿宋_GB2312" w:cs="仿宋_GB2312"/>
          <w:color w:val="auto"/>
          <w:kern w:val="2"/>
          <w:sz w:val="32"/>
          <w:szCs w:val="32"/>
          <w:highlight w:val="none"/>
          <w:lang w:val="en-US" w:eastAsia="zh-CN" w:bidi="ar-SA"/>
        </w:rPr>
        <w:t>。其中：</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0.49</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元，主要用于执行公务、开展业务活动开支的交通费、住宿费、用餐费等。国内公务接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ascii="仿宋_GB2312" w:hAnsi="仿宋_GB2312" w:eastAsia="仿宋_GB2312" w:cs="仿宋_GB2312"/>
          <w:sz w:val="32"/>
          <w:szCs w:val="32"/>
        </w:rPr>
        <w:t>9</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52</w:t>
      </w:r>
      <w:r>
        <w:rPr>
          <w:rFonts w:hint="eastAsia" w:ascii="Times New Roman" w:hAnsi="Times New Roman" w:eastAsia="仿宋_GB2312" w:cs="仿宋_GB2312"/>
          <w:color w:val="auto"/>
          <w:kern w:val="2"/>
          <w:sz w:val="32"/>
          <w:szCs w:val="32"/>
          <w:highlight w:val="none"/>
          <w:lang w:val="en-US" w:eastAsia="zh-CN" w:bidi="ar-SA"/>
        </w:rPr>
        <w:t>人次（不包括陪同人员），共计支出</w:t>
      </w:r>
      <w:r>
        <w:rPr>
          <w:rFonts w:hint="eastAsia" w:eastAsia="仿宋_GB2312" w:cs="仿宋_GB2312"/>
          <w:color w:val="auto"/>
          <w:kern w:val="2"/>
          <w:sz w:val="32"/>
          <w:szCs w:val="32"/>
          <w:highlight w:val="none"/>
          <w:lang w:val="en-US" w:eastAsia="zh-CN" w:bidi="ar-SA"/>
        </w:rPr>
        <w:t>0.49</w:t>
      </w:r>
      <w:r>
        <w:rPr>
          <w:rFonts w:hint="eastAsia" w:ascii="Times New Roman" w:hAnsi="Times New Roman" w:eastAsia="仿宋_GB2312" w:cs="仿宋_GB2312"/>
          <w:color w:val="auto"/>
          <w:kern w:val="2"/>
          <w:sz w:val="32"/>
          <w:szCs w:val="32"/>
          <w:highlight w:val="none"/>
          <w:lang w:val="en-US" w:eastAsia="zh-CN" w:bidi="ar-SA"/>
        </w:rPr>
        <w:t>万元，具体内容包括：</w:t>
      </w:r>
      <w:r>
        <w:rPr>
          <w:rFonts w:hint="eastAsia" w:ascii="仿宋_GB2312" w:eastAsia="仿宋_GB2312"/>
          <w:sz w:val="32"/>
          <w:szCs w:val="32"/>
        </w:rPr>
        <w:t>接待市纪委开展检查工作</w:t>
      </w:r>
      <w:r>
        <w:rPr>
          <w:rFonts w:hint="eastAsia" w:ascii="仿宋_GB2312" w:eastAsia="仿宋_GB2312"/>
          <w:sz w:val="32"/>
          <w:szCs w:val="32"/>
          <w:lang w:eastAsia="zh-CN"/>
        </w:rPr>
        <w:t>等餐费</w:t>
      </w:r>
      <w:r>
        <w:rPr>
          <w:rFonts w:hint="eastAsia" w:ascii="Times New Roman" w:hAnsi="Times New Roman" w:eastAsia="仿宋_GB2312" w:cs="仿宋_GB2312"/>
          <w:color w:val="auto"/>
          <w:kern w:val="2"/>
          <w:sz w:val="32"/>
          <w:szCs w:val="32"/>
          <w:highlight w:val="none"/>
          <w:lang w:val="en-US" w:eastAsia="zh-CN" w:bidi="ar-SA"/>
        </w:rPr>
        <w:t>（接待具体项目、金额）。</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万元，主要用于无（具体项目）。外事接待</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人次（不包括陪同人员），共计支出0万</w:t>
      </w:r>
      <w:r>
        <w:rPr>
          <w:rFonts w:hint="eastAsia" w:ascii="Times New Roman" w:hAnsi="Times New Roman" w:eastAsia="仿宋_GB2312" w:cs="仿宋_GB2312"/>
          <w:color w:val="auto"/>
          <w:kern w:val="2"/>
          <w:sz w:val="32"/>
          <w:szCs w:val="32"/>
          <w:highlight w:val="none"/>
          <w:lang w:val="en-US" w:eastAsia="zh-CN" w:bidi="ar-SA"/>
        </w:rPr>
        <w:t>元。</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34" w:name="_Toc15377218"/>
      <w:bookmarkStart w:id="35" w:name="_Toc15396610"/>
    </w:p>
    <w:p>
      <w:pPr>
        <w:spacing w:line="600" w:lineRule="exact"/>
        <w:ind w:firstLine="640"/>
        <w:outlineLvl w:val="1"/>
        <w:rPr>
          <w:rStyle w:val="29"/>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29"/>
          <w:rFonts w:hint="eastAsia" w:ascii="Times New Roman" w:hAnsi="Times New Roman" w:eastAsia="黑体"/>
          <w:b w:val="0"/>
          <w:color w:val="auto"/>
          <w:highlight w:val="none"/>
        </w:rPr>
        <w:t>政府性基金预算支出决算情况说明</w:t>
      </w:r>
      <w:bookmarkEnd w:id="34"/>
      <w:bookmarkEnd w:id="35"/>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。与2023年度相比，政府性基金预算财政拨款支出增加/减少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（注：支出数与上年持平可以不写原因）</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numPr>
          <w:ilvl w:val="0"/>
          <w:numId w:val="0"/>
        </w:numPr>
        <w:spacing w:line="600" w:lineRule="exact"/>
        <w:ind w:left="630" w:leftChars="0"/>
        <w:outlineLvl w:val="1"/>
        <w:rPr>
          <w:rStyle w:val="29"/>
          <w:rFonts w:ascii="Times New Roman" w:hAnsi="Times New Roman" w:eastAsia="黑体"/>
          <w:b w:val="0"/>
          <w:color w:val="auto"/>
          <w:highlight w:val="none"/>
        </w:rPr>
      </w:pPr>
      <w:bookmarkStart w:id="36" w:name="_Toc15396611"/>
      <w:bookmarkStart w:id="37" w:name="_Toc15377219"/>
      <w:r>
        <w:rPr>
          <w:rStyle w:val="29"/>
          <w:rFonts w:hint="eastAsia" w:ascii="Times New Roman" w:hAnsi="Times New Roman" w:eastAsia="黑体"/>
          <w:b w:val="0"/>
          <w:color w:val="auto"/>
          <w:highlight w:val="none"/>
          <w:lang w:eastAsia="zh-CN"/>
        </w:rPr>
        <w:t>九、</w:t>
      </w:r>
      <w:r>
        <w:rPr>
          <w:rStyle w:val="29"/>
          <w:rFonts w:hint="eastAsia" w:ascii="Times New Roman" w:hAnsi="Times New Roman" w:eastAsia="黑体"/>
          <w:b w:val="0"/>
          <w:color w:val="auto"/>
          <w:highlight w:val="none"/>
        </w:rPr>
        <w:t>国有资本经营预算支出决算情况说明</w:t>
      </w:r>
      <w:bookmarkEnd w:id="36"/>
      <w:bookmarkEnd w:id="37"/>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。与2023年度相比，国有资本经营预算财政拨款支出增加/减少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（注：支出数与上年持平可以不写原因）</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numPr>
          <w:ilvl w:val="0"/>
          <w:numId w:val="0"/>
        </w:numPr>
        <w:spacing w:line="600" w:lineRule="exact"/>
        <w:ind w:left="630" w:leftChars="0"/>
        <w:outlineLvl w:val="1"/>
        <w:rPr>
          <w:rStyle w:val="29"/>
          <w:rFonts w:hint="eastAsia" w:ascii="Times New Roman" w:hAnsi="Times New Roman" w:eastAsia="黑体"/>
          <w:b w:val="0"/>
          <w:color w:val="auto"/>
          <w:highlight w:val="none"/>
        </w:rPr>
      </w:pPr>
      <w:bookmarkStart w:id="38" w:name="_Toc15396612"/>
      <w:bookmarkStart w:id="39" w:name="_Toc15377221"/>
      <w:r>
        <w:rPr>
          <w:rStyle w:val="29"/>
          <w:rFonts w:hint="eastAsia" w:ascii="Times New Roman" w:hAnsi="Times New Roman" w:eastAsia="黑体"/>
          <w:b w:val="0"/>
          <w:color w:val="auto"/>
          <w:highlight w:val="none"/>
          <w:lang w:eastAsia="zh-CN"/>
        </w:rPr>
        <w:t>十、</w:t>
      </w:r>
      <w:r>
        <w:rPr>
          <w:rStyle w:val="29"/>
          <w:rFonts w:hint="eastAsia" w:ascii="Times New Roman" w:hAnsi="Times New Roman" w:eastAsia="黑体"/>
          <w:b w:val="0"/>
          <w:color w:val="auto"/>
          <w:highlight w:val="none"/>
        </w:rPr>
        <w:t>其他重要事项的情况说明</w:t>
      </w:r>
      <w:bookmarkEnd w:id="38"/>
      <w:bookmarkEnd w:id="39"/>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0" w:name="_Toc15377222"/>
      <w:r>
        <w:rPr>
          <w:rFonts w:hint="eastAsia" w:ascii="Times New Roman" w:hAnsi="Times New Roman" w:eastAsia="楷体_GB2312" w:cs="楷体_GB2312"/>
          <w:b/>
          <w:color w:val="auto"/>
          <w:sz w:val="32"/>
          <w:szCs w:val="32"/>
          <w:highlight w:val="none"/>
        </w:rPr>
        <w:t>（一）机关运行经费支出情况</w:t>
      </w:r>
      <w:bookmarkEnd w:id="40"/>
    </w:p>
    <w:p>
      <w:pPr>
        <w:spacing w:line="600" w:lineRule="exact"/>
        <w:ind w:firstLine="640"/>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中国共产党乐山市金口河区纪律检查委员会（乐山市金口河区监察委员会）</w:t>
      </w:r>
      <w:r>
        <w:rPr>
          <w:rFonts w:hint="eastAsia" w:ascii="仿宋_GB2312" w:hAnsi="仿宋_GB2312" w:eastAsia="仿宋_GB2312" w:cs="仿宋_GB2312"/>
          <w:sz w:val="32"/>
          <w:szCs w:val="32"/>
          <w:lang w:val="en-US" w:eastAsia="zh-CN"/>
        </w:rPr>
        <w:t>机关运行经费支出</w:t>
      </w:r>
      <w:r>
        <w:rPr>
          <w:rFonts w:hint="eastAsia" w:ascii="仿宋_GB2312" w:hAnsi="仿宋_GB2312" w:eastAsia="仿宋_GB2312" w:cs="仿宋_GB2312"/>
          <w:sz w:val="32"/>
          <w:szCs w:val="32"/>
        </w:rPr>
        <w:t>103.18</w:t>
      </w:r>
      <w:r>
        <w:rPr>
          <w:rFonts w:hint="eastAsia" w:ascii="仿宋_GB2312" w:hAnsi="仿宋_GB2312" w:eastAsia="仿宋_GB2312" w:cs="仿宋_GB2312"/>
          <w:sz w:val="32"/>
          <w:szCs w:val="32"/>
          <w:lang w:val="en-US" w:eastAsia="zh-CN"/>
        </w:rPr>
        <w:t>万元，比2023年度增加8.61万元，增长9.1%。</w:t>
      </w:r>
      <w:r>
        <w:rPr>
          <w:rFonts w:hint="eastAsia" w:ascii="仿宋_GB2312" w:hAnsi="仿宋_GB2312" w:eastAsia="仿宋_GB2312" w:cs="仿宋_GB2312"/>
          <w:sz w:val="32"/>
          <w:szCs w:val="32"/>
        </w:rPr>
        <w:t>主要原因是人员增加，机关运行成本增加</w:t>
      </w:r>
      <w:r>
        <w:rPr>
          <w:rFonts w:hint="eastAsia" w:ascii="仿宋_GB2312" w:hAnsi="仿宋_GB2312" w:eastAsia="仿宋_GB2312" w:cs="仿宋_GB2312"/>
          <w:sz w:val="32"/>
          <w:szCs w:val="32"/>
          <w:lang w:eastAsia="zh-CN"/>
        </w:rPr>
        <w:t>。</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1" w:name="_Toc15377223"/>
      <w:r>
        <w:rPr>
          <w:rFonts w:hint="eastAsia" w:ascii="Times New Roman" w:hAnsi="Times New Roman" w:eastAsia="楷体_GB2312" w:cs="楷体_GB2312"/>
          <w:b/>
          <w:color w:val="auto"/>
          <w:sz w:val="32"/>
          <w:szCs w:val="32"/>
          <w:highlight w:val="none"/>
        </w:rPr>
        <w:t>（二）政府采购支出情况</w:t>
      </w:r>
      <w:bookmarkEnd w:id="41"/>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中国共产党乐山市金口河区纪律检查委员会（乐山市金口河区监察委员会）</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15.33</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11.77</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3.56</w:t>
      </w:r>
      <w:r>
        <w:rPr>
          <w:rFonts w:hint="eastAsia" w:ascii="仿宋_GB2312" w:hAnsi="仿宋_GB2312" w:eastAsia="仿宋_GB2312" w:cs="仿宋_GB2312"/>
          <w:color w:val="auto"/>
          <w:kern w:val="2"/>
          <w:sz w:val="32"/>
          <w:szCs w:val="32"/>
          <w:highlight w:val="none"/>
          <w:lang w:val="en-US" w:eastAsia="zh-CN" w:bidi="ar-SA"/>
        </w:rPr>
        <w:t>万元。主要用于</w:t>
      </w:r>
      <w:r>
        <w:rPr>
          <w:rFonts w:hint="eastAsia" w:ascii="仿宋_GB2312" w:eastAsia="仿宋_GB2312"/>
          <w:sz w:val="32"/>
          <w:szCs w:val="32"/>
          <w:lang w:eastAsia="zh-CN"/>
        </w:rPr>
        <w:t>办公设备及软件采购</w:t>
      </w:r>
      <w:r>
        <w:rPr>
          <w:rFonts w:hint="eastAsia" w:ascii="仿宋_GB2312" w:hAnsi="仿宋_GB2312" w:eastAsia="仿宋_GB2312" w:cs="仿宋_GB2312"/>
          <w:color w:val="auto"/>
          <w:kern w:val="2"/>
          <w:sz w:val="32"/>
          <w:szCs w:val="32"/>
          <w:highlight w:val="none"/>
          <w:lang w:val="en-US" w:eastAsia="zh-CN" w:bidi="ar-SA"/>
        </w:rPr>
        <w:t>（具体工作）。授予中小企业合同金额</w:t>
      </w:r>
      <w:r>
        <w:rPr>
          <w:rFonts w:hint="eastAsia" w:ascii="仿宋_GB2312" w:hAnsi="仿宋_GB2312" w:eastAsia="仿宋_GB2312" w:cs="仿宋_GB2312"/>
          <w:sz w:val="32"/>
          <w:szCs w:val="32"/>
        </w:rPr>
        <w:t>11.77</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76.76</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11.77</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76.76</w:t>
      </w:r>
      <w:r>
        <w:rPr>
          <w:rFonts w:hint="eastAsia" w:ascii="仿宋_GB2312" w:hAnsi="仿宋_GB2312"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2" w:name="_Toc15377224"/>
      <w:r>
        <w:rPr>
          <w:rFonts w:hint="eastAsia" w:ascii="Times New Roman" w:hAnsi="Times New Roman" w:eastAsia="楷体_GB2312" w:cs="楷体_GB2312"/>
          <w:b/>
          <w:color w:val="auto"/>
          <w:sz w:val="32"/>
          <w:szCs w:val="32"/>
          <w:highlight w:val="none"/>
        </w:rPr>
        <w:t>（三）国有资产占有使用情况</w:t>
      </w:r>
      <w:bookmarkEnd w:id="42"/>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中国共产党乐山市金口河区纪律检查委员会（乐山市金口河区监察委员会）</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3</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highlight w:val="none"/>
          <w:lang w:val="en-US" w:eastAsia="zh-CN" w:bidi="ar-SA"/>
        </w:rPr>
        <w:t>辆、执法执勤用车2辆，其他用车主要是用于执法执勤及监督检查等。单价100万元（含）以上设备（不含车辆）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本单位</w:t>
      </w:r>
      <w:r>
        <w:rPr>
          <w:rFonts w:hint="eastAsia" w:ascii="Times New Roman" w:hAnsi="Times New Roman" w:eastAsia="仿宋_GB2312" w:cs="仿宋_GB2312"/>
          <w:color w:val="auto"/>
          <w:kern w:val="2"/>
          <w:sz w:val="32"/>
          <w:szCs w:val="32"/>
          <w:highlight w:val="none"/>
          <w:lang w:val="en-US" w:eastAsia="zh-CN" w:bidi="ar-SA"/>
        </w:rPr>
        <w:t>在2024年度预算编制阶段，组织对</w:t>
      </w:r>
      <w:r>
        <w:rPr>
          <w:rFonts w:hint="eastAsia" w:ascii="仿宋_GB2312" w:hAnsi="仿宋_GB2312" w:eastAsia="仿宋_GB2312" w:cs="仿宋_GB2312"/>
          <w:sz w:val="32"/>
          <w:szCs w:val="32"/>
        </w:rPr>
        <w:t>办案经费</w:t>
      </w:r>
      <w:r>
        <w:rPr>
          <w:rFonts w:hint="eastAsia" w:ascii="Times New Roman" w:hAnsi="Times New Roman" w:eastAsia="仿宋_GB2312" w:cs="仿宋_GB2312"/>
          <w:color w:val="auto"/>
          <w:kern w:val="2"/>
          <w:sz w:val="32"/>
          <w:szCs w:val="32"/>
          <w:highlight w:val="none"/>
          <w:lang w:val="en-US" w:eastAsia="zh-CN" w:bidi="ar-SA"/>
        </w:rPr>
        <w:t>（项目名称）等</w:t>
      </w: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个项目开展绩效监控。</w:t>
      </w: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组织对2024年度一般公共预算、政府性基金预算、国有资本经营预算、社会保险基金预算以及资本资产、债券资金等全面开展绩效自评，形成</w:t>
      </w:r>
      <w:r>
        <w:rPr>
          <w:rFonts w:hint="eastAsia" w:ascii="仿宋_GB2312" w:hAnsi="仿宋_GB2312" w:eastAsia="仿宋_GB2312" w:cs="仿宋_GB2312"/>
          <w:sz w:val="32"/>
          <w:szCs w:val="32"/>
        </w:rPr>
        <w:t>中国共产党乐山市金口河区纪律检查委员会（乐山市金口河区监察委员会）</w:t>
      </w:r>
      <w:r>
        <w:rPr>
          <w:rFonts w:hint="eastAsia" w:eastAsia="仿宋_GB2312" w:cs="仿宋_GB2312"/>
          <w:color w:val="auto"/>
          <w:kern w:val="2"/>
          <w:sz w:val="32"/>
          <w:szCs w:val="32"/>
          <w:highlight w:val="none"/>
          <w:lang w:val="en-US" w:eastAsia="zh-CN" w:bidi="ar-SA"/>
        </w:rPr>
        <w:t>单位</w:t>
      </w:r>
      <w:r>
        <w:rPr>
          <w:rFonts w:hint="eastAsia" w:ascii="Times New Roman" w:hAnsi="Times New Roman" w:eastAsia="仿宋_GB2312" w:cs="仿宋_GB2312"/>
          <w:color w:val="auto"/>
          <w:kern w:val="2"/>
          <w:sz w:val="32"/>
          <w:szCs w:val="32"/>
          <w:highlight w:val="none"/>
          <w:lang w:val="en-US" w:eastAsia="zh-CN" w:bidi="ar-SA"/>
        </w:rPr>
        <w:t>整体（含</w:t>
      </w:r>
      <w:r>
        <w:rPr>
          <w:rFonts w:hint="eastAsia" w:eastAsia="仿宋_GB2312" w:cs="仿宋_GB2312"/>
          <w:color w:val="auto"/>
          <w:kern w:val="2"/>
          <w:sz w:val="32"/>
          <w:szCs w:val="32"/>
          <w:highlight w:val="none"/>
          <w:lang w:val="en-US" w:eastAsia="zh-CN" w:bidi="ar-SA"/>
        </w:rPr>
        <w:t>单位</w:t>
      </w:r>
      <w:r>
        <w:rPr>
          <w:rFonts w:hint="eastAsia" w:ascii="Times New Roman" w:hAnsi="Times New Roman" w:eastAsia="仿宋_GB2312" w:cs="仿宋_GB2312"/>
          <w:color w:val="auto"/>
          <w:kern w:val="2"/>
          <w:sz w:val="32"/>
          <w:szCs w:val="32"/>
          <w:highlight w:val="none"/>
          <w:lang w:val="en-US" w:eastAsia="zh-CN" w:bidi="ar-SA"/>
        </w:rPr>
        <w:t>预算项目）绩效自评报告。绩效自评报告详见附件。</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eastAsia="仿宋_GB2312" w:cs="仿宋_GB2312"/>
          <w:b/>
          <w:bCs/>
          <w:color w:val="auto"/>
          <w:kern w:val="2"/>
          <w:sz w:val="32"/>
          <w:szCs w:val="32"/>
          <w:highlight w:val="none"/>
          <w:lang w:val="en-US" w:eastAsia="zh-CN" w:bidi="ar-SA"/>
        </w:rPr>
        <w:t>注：</w:t>
      </w:r>
      <w:r>
        <w:rPr>
          <w:rFonts w:hint="eastAsia" w:ascii="Times New Roman" w:hAnsi="Times New Roman" w:eastAsia="仿宋_GB2312" w:cs="仿宋_GB2312"/>
          <w:b/>
          <w:bCs/>
          <w:color w:val="auto"/>
          <w:kern w:val="2"/>
          <w:sz w:val="32"/>
          <w:szCs w:val="32"/>
          <w:highlight w:val="none"/>
          <w:lang w:val="en-US" w:eastAsia="zh-CN" w:bidi="ar-SA"/>
        </w:rPr>
        <w:t>如不涉及，可根据实际修改表述。）</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43" w:name="_Toc15377225"/>
      <w:bookmarkStart w:id="44" w:name="_Toc15396613"/>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43"/>
      <w:bookmarkEnd w:id="44"/>
    </w:p>
    <w:p>
      <w:pPr>
        <w:spacing w:line="600" w:lineRule="exact"/>
        <w:jc w:val="left"/>
        <w:rPr>
          <w:rFonts w:ascii="Times New Roman" w:hAnsi="Times New Roman"/>
          <w:b/>
          <w:color w:val="auto"/>
          <w:sz w:val="44"/>
          <w:szCs w:val="44"/>
          <w:highlight w:val="none"/>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1.财政拨款收入：指单位从同级财政</w:t>
      </w:r>
      <w:r>
        <w:rPr>
          <w:rFonts w:hint="eastAsia" w:eastAsia="仿宋_GB2312" w:cs="仿宋_GB2312"/>
          <w:color w:val="auto"/>
          <w:kern w:val="2"/>
          <w:sz w:val="32"/>
          <w:szCs w:val="32"/>
          <w:highlight w:val="none"/>
          <w:lang w:val="en-US" w:eastAsia="zh-CN" w:bidi="ar-SA"/>
        </w:rPr>
        <w:t>单位</w:t>
      </w:r>
      <w:r>
        <w:rPr>
          <w:rFonts w:hint="eastAsia" w:ascii="Times New Roman" w:hAnsi="Times New Roman" w:eastAsia="仿宋_GB2312" w:cs="仿宋_GB2312"/>
          <w:color w:val="auto"/>
          <w:kern w:val="2"/>
          <w:sz w:val="32"/>
          <w:szCs w:val="32"/>
          <w:highlight w:val="none"/>
          <w:lang w:val="en-US" w:eastAsia="zh-CN" w:bidi="ar-SA"/>
        </w:rPr>
        <w:t>取得的财政预算资金。</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2.事业收入：指事业单位开展专业业务活动及辅助活动取得的收入。</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3.经营收入：指事业单位在专业业务活动及其辅助活动之外开展非独立核算经营活动取得的收入</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4.其他收入：指单位取得的除上述收入以外的各项收入</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5.使用非财政拨款结余（含专用结余）：指事业单位使用以前年度积累的非财政拨款结余弥补当年收支差额的金额。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6.年初结转和结余：指以前年度尚未完成、结转到本年按有关规定继续使用的资金。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7.结余分配：指事业单位按照会计制度规定缴纳的所得税、提取的专用结余以及转入非财政拨款结余的金额等。</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8.年末结转和结余：指单位按有关规定结转到下年或以后年度继续使用的资金。</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9.一般公共服务（类）</w:t>
      </w:r>
      <w:r>
        <w:rPr>
          <w:rFonts w:hint="eastAsia" w:ascii="仿宋_GB2312" w:eastAsia="仿宋_GB2312"/>
          <w:sz w:val="32"/>
          <w:szCs w:val="32"/>
          <w:lang w:eastAsia="zh-CN"/>
        </w:rPr>
        <w:t>纪检监察事务</w:t>
      </w:r>
      <w:r>
        <w:rPr>
          <w:rFonts w:hint="eastAsia" w:ascii="仿宋_GB2312" w:eastAsia="仿宋_GB2312"/>
          <w:sz w:val="32"/>
          <w:szCs w:val="32"/>
        </w:rPr>
        <w:t>（款）</w:t>
      </w:r>
      <w:r>
        <w:rPr>
          <w:rFonts w:hint="eastAsia" w:ascii="仿宋_GB2312" w:eastAsia="仿宋_GB2312"/>
          <w:sz w:val="32"/>
          <w:szCs w:val="32"/>
          <w:lang w:eastAsia="zh-CN"/>
        </w:rPr>
        <w:t>行政运行</w:t>
      </w:r>
      <w:r>
        <w:rPr>
          <w:rFonts w:hint="eastAsia" w:ascii="仿宋_GB2312" w:eastAsia="仿宋_GB2312"/>
          <w:sz w:val="32"/>
          <w:szCs w:val="32"/>
        </w:rPr>
        <w:t>（项）：指</w:t>
      </w:r>
      <w:r>
        <w:rPr>
          <w:rFonts w:hint="eastAsia" w:ascii="仿宋_GB2312" w:eastAsia="仿宋_GB2312"/>
          <w:sz w:val="32"/>
          <w:szCs w:val="32"/>
          <w:lang w:eastAsia="zh-CN"/>
        </w:rPr>
        <w:t>行政单位的基本支出</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.一般公共服务（类）纪检监察事务（款）一般行政管理事务（项）：指</w:t>
      </w:r>
      <w:r>
        <w:rPr>
          <w:rFonts w:hint="eastAsia" w:ascii="仿宋_GB2312" w:eastAsia="仿宋_GB2312"/>
          <w:sz w:val="32"/>
          <w:szCs w:val="32"/>
          <w:lang w:eastAsia="zh-CN"/>
        </w:rPr>
        <w:t>行政单位专项支出</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.一般公共服务（类）纪检监察事务（款）大案要案查处（项）：</w:t>
      </w:r>
      <w:r>
        <w:rPr>
          <w:rFonts w:hint="eastAsia" w:ascii="仿宋_GB2312" w:eastAsia="仿宋_GB2312"/>
          <w:sz w:val="32"/>
          <w:szCs w:val="32"/>
          <w:lang w:eastAsia="zh-CN"/>
        </w:rPr>
        <w:t>指专案经费支出</w:t>
      </w:r>
      <w:r>
        <w:rPr>
          <w:rFonts w:hint="eastAsia" w:ascii="仿宋_GB2312" w:eastAsia="仿宋_GB2312"/>
          <w:sz w:val="32"/>
          <w:szCs w:val="32"/>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12</w:t>
      </w:r>
      <w:r>
        <w:rPr>
          <w:rFonts w:hint="eastAsia" w:ascii="仿宋_GB2312" w:eastAsia="仿宋_GB2312"/>
          <w:sz w:val="32"/>
          <w:szCs w:val="32"/>
        </w:rPr>
        <w:t>.一般公共服务（类）纪检监察事务（款）其他纪检监察事务支出（项）:</w:t>
      </w:r>
      <w:r>
        <w:rPr>
          <w:rFonts w:hint="eastAsia" w:ascii="仿宋_GB2312" w:eastAsia="仿宋_GB2312"/>
          <w:sz w:val="32"/>
          <w:szCs w:val="32"/>
          <w:lang w:eastAsia="zh-CN"/>
        </w:rPr>
        <w:t>指行政单位其他支出</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13</w:t>
      </w:r>
      <w:r>
        <w:rPr>
          <w:rFonts w:hint="eastAsia" w:ascii="仿宋_GB2312" w:eastAsia="仿宋_GB2312"/>
          <w:sz w:val="32"/>
          <w:szCs w:val="32"/>
        </w:rPr>
        <w:t>.社会保障和就业（类）行政事业单位养老支出（款）机关事业单位基本养老保险缴费支出（项）：</w:t>
      </w:r>
      <w:r>
        <w:rPr>
          <w:rFonts w:hint="eastAsia" w:ascii="仿宋_GB2312" w:eastAsia="仿宋_GB2312"/>
          <w:sz w:val="32"/>
          <w:szCs w:val="32"/>
          <w:lang w:eastAsia="zh-CN"/>
        </w:rPr>
        <w:t>指机关事业单位实施养老保险制度由单位实际缴纳的养老保险支出</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14</w:t>
      </w:r>
      <w:r>
        <w:rPr>
          <w:rFonts w:hint="eastAsia" w:ascii="仿宋_GB2312" w:eastAsia="仿宋_GB2312"/>
          <w:sz w:val="32"/>
          <w:szCs w:val="32"/>
        </w:rPr>
        <w:t>.社会保障和就业（类）行政事业单位养老支出（款）机关事业单位职业年金支出（项）：</w:t>
      </w:r>
      <w:r>
        <w:rPr>
          <w:rFonts w:hint="eastAsia" w:ascii="仿宋_GB2312" w:eastAsia="仿宋_GB2312"/>
          <w:sz w:val="32"/>
          <w:szCs w:val="32"/>
          <w:lang w:eastAsia="zh-CN"/>
        </w:rPr>
        <w:t>指机关事业单位实施养老保险制度由单位实际缴纳的职业年金支出</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15</w:t>
      </w:r>
      <w:r>
        <w:rPr>
          <w:rFonts w:hint="eastAsia" w:ascii="仿宋_GB2312" w:eastAsia="仿宋_GB2312"/>
          <w:sz w:val="32"/>
          <w:szCs w:val="32"/>
        </w:rPr>
        <w:t>.社会保障和就业（类）行政事业单位养老支出（款）其他行政事业单位养老支出（项）:</w:t>
      </w:r>
      <w:r>
        <w:rPr>
          <w:rFonts w:hint="eastAsia" w:ascii="仿宋_GB2312" w:eastAsia="仿宋_GB2312"/>
          <w:sz w:val="32"/>
          <w:szCs w:val="32"/>
          <w:lang w:eastAsia="zh-CN"/>
        </w:rPr>
        <w:t>指机关事业单位实施养老保险制度由单位实际缴纳的其他养老支出。</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16</w:t>
      </w:r>
      <w:r>
        <w:rPr>
          <w:rFonts w:hint="eastAsia" w:ascii="仿宋_GB2312" w:eastAsia="仿宋_GB2312"/>
          <w:sz w:val="32"/>
          <w:szCs w:val="32"/>
        </w:rPr>
        <w:t>.社会保障和就业（类）残疾人事业（款）残疾人就业（项）：</w:t>
      </w:r>
      <w:r>
        <w:rPr>
          <w:rFonts w:hint="eastAsia" w:ascii="仿宋_GB2312" w:eastAsia="仿宋_GB2312"/>
          <w:sz w:val="32"/>
          <w:szCs w:val="32"/>
          <w:lang w:eastAsia="zh-CN"/>
        </w:rPr>
        <w:t>指单位缴纳的残疾人保证金支出。</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17</w:t>
      </w:r>
      <w:r>
        <w:rPr>
          <w:rFonts w:hint="eastAsia" w:ascii="仿宋_GB2312" w:eastAsia="仿宋_GB2312"/>
          <w:sz w:val="32"/>
          <w:szCs w:val="32"/>
        </w:rPr>
        <w:t>.社会保障和就业（类）其他社会保障和就业支出（款）其他社会保障和就业支出（项）：</w:t>
      </w:r>
      <w:r>
        <w:rPr>
          <w:rFonts w:hint="eastAsia" w:ascii="仿宋_GB2312" w:eastAsia="仿宋_GB2312"/>
          <w:sz w:val="32"/>
          <w:szCs w:val="32"/>
          <w:lang w:eastAsia="zh-CN"/>
        </w:rPr>
        <w:t>除上述项目以外其他用于社会保障和就业方面的支出。</w:t>
      </w:r>
    </w:p>
    <w:p>
      <w:pPr>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8</w:t>
      </w:r>
      <w:r>
        <w:rPr>
          <w:rFonts w:hint="eastAsia" w:ascii="仿宋_GB2312" w:eastAsia="仿宋_GB2312"/>
          <w:sz w:val="32"/>
          <w:szCs w:val="32"/>
        </w:rPr>
        <w:t>.卫生健康（类）行政事业单位医疗（款）行政单位医疗（项）:</w:t>
      </w:r>
      <w:r>
        <w:rPr>
          <w:rFonts w:hint="eastAsia" w:ascii="仿宋_GB2312" w:eastAsia="仿宋_GB2312"/>
          <w:sz w:val="32"/>
          <w:szCs w:val="32"/>
          <w:lang w:eastAsia="zh-CN"/>
        </w:rPr>
        <w:t>指集中安排的行政单位基本医疗保险缴费经费，未参加医疗保险缴费的行政单位的公费医疗经费，按国家规定享受离休人员，红军老战士待遇的医疗经费</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9</w:t>
      </w:r>
      <w:r>
        <w:rPr>
          <w:rFonts w:hint="eastAsia" w:ascii="仿宋_GB2312" w:eastAsia="仿宋_GB2312"/>
          <w:sz w:val="32"/>
          <w:szCs w:val="32"/>
        </w:rPr>
        <w:t>.卫生健康（类）行政事业单位医疗（款）公务员医疗补助（项）:</w:t>
      </w:r>
      <w:r>
        <w:rPr>
          <w:rFonts w:hint="eastAsia" w:ascii="仿宋_GB2312" w:eastAsia="仿宋_GB2312"/>
          <w:sz w:val="32"/>
          <w:szCs w:val="32"/>
          <w:lang w:eastAsia="zh-CN"/>
        </w:rPr>
        <w:t>指财政单位安排的公务员医疗补助经费</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20</w:t>
      </w:r>
      <w:r>
        <w:rPr>
          <w:rFonts w:hint="eastAsia" w:ascii="仿宋_GB2312" w:eastAsia="仿宋_GB2312"/>
          <w:sz w:val="32"/>
          <w:szCs w:val="32"/>
        </w:rPr>
        <w:t>.农林水（类）巩固拓展脱贫攻坚成果衔接乡村振兴（款）其他巩固拓展脱贫攻坚成果衔接乡村振兴支出（项）:</w:t>
      </w:r>
      <w:r>
        <w:rPr>
          <w:rFonts w:hint="eastAsia" w:ascii="仿宋_GB2312" w:eastAsia="仿宋_GB2312"/>
          <w:sz w:val="32"/>
          <w:szCs w:val="32"/>
          <w:lang w:eastAsia="zh-CN"/>
        </w:rPr>
        <w:t>指为巩固拓展脱贫攻坚有效衔接乡村振兴安排的经费</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21</w:t>
      </w:r>
      <w:r>
        <w:rPr>
          <w:rFonts w:hint="eastAsia" w:ascii="仿宋_GB2312" w:eastAsia="仿宋_GB2312"/>
          <w:sz w:val="32"/>
          <w:szCs w:val="32"/>
        </w:rPr>
        <w:t>.住房保障（类）住房改革支出（款）住房公积金（项）:</w:t>
      </w:r>
      <w:r>
        <w:rPr>
          <w:rFonts w:hint="eastAsia" w:ascii="仿宋_GB2312" w:eastAsia="仿宋_GB2312"/>
          <w:sz w:val="32"/>
          <w:szCs w:val="32"/>
          <w:lang w:eastAsia="zh-CN"/>
        </w:rPr>
        <w:t>指按规定匹配的住房公积金支出</w:t>
      </w:r>
      <w:r>
        <w:rPr>
          <w:rFonts w:hint="eastAsia" w:ascii="仿宋_GB2312" w:eastAsia="仿宋_GB2312"/>
          <w:sz w:val="32"/>
          <w:szCs w:val="32"/>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w:t>
      </w:r>
      <w:r>
        <w:rPr>
          <w:rFonts w:hint="eastAsia" w:eastAsia="仿宋_GB2312" w:cs="仿宋_GB2312"/>
          <w:b/>
          <w:bCs/>
          <w:color w:val="auto"/>
          <w:kern w:val="2"/>
          <w:sz w:val="32"/>
          <w:szCs w:val="32"/>
          <w:highlight w:val="none"/>
          <w:lang w:val="en-US" w:eastAsia="zh-CN" w:bidi="ar-SA"/>
        </w:rPr>
        <w:t>注：</w:t>
      </w:r>
      <w:r>
        <w:rPr>
          <w:rFonts w:hint="eastAsia" w:ascii="Times New Roman" w:hAnsi="Times New Roman" w:eastAsia="仿宋_GB2312" w:cs="仿宋_GB2312"/>
          <w:b/>
          <w:bCs/>
          <w:color w:val="auto"/>
          <w:kern w:val="2"/>
          <w:sz w:val="32"/>
          <w:szCs w:val="32"/>
          <w:highlight w:val="none"/>
          <w:lang w:val="en-US" w:eastAsia="zh-CN" w:bidi="ar-SA"/>
        </w:rPr>
        <w:t>解释本</w:t>
      </w:r>
      <w:r>
        <w:rPr>
          <w:rFonts w:hint="eastAsia" w:eastAsia="仿宋_GB2312" w:cs="仿宋_GB2312"/>
          <w:b/>
          <w:bCs/>
          <w:color w:val="auto"/>
          <w:kern w:val="2"/>
          <w:sz w:val="32"/>
          <w:szCs w:val="32"/>
          <w:highlight w:val="none"/>
          <w:lang w:val="en-US" w:eastAsia="zh-CN" w:bidi="ar-SA"/>
        </w:rPr>
        <w:t>单位</w:t>
      </w:r>
      <w:r>
        <w:rPr>
          <w:rFonts w:hint="eastAsia" w:ascii="Times New Roman" w:hAnsi="Times New Roman" w:eastAsia="仿宋_GB2312" w:cs="仿宋_GB2312"/>
          <w:b/>
          <w:bCs/>
          <w:color w:val="auto"/>
          <w:kern w:val="2"/>
          <w:sz w:val="32"/>
          <w:szCs w:val="32"/>
          <w:highlight w:val="none"/>
          <w:lang w:val="en-US" w:eastAsia="zh-CN" w:bidi="ar-SA"/>
        </w:rPr>
        <w:t>决算报表中涉及的全部功能分类科目至项级，不涉及的科目请自行删除。请参照</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202</w:t>
      </w:r>
      <w:r>
        <w:rPr>
          <w:rFonts w:hint="eastAsia" w:eastAsia="仿宋_GB2312" w:cs="仿宋_GB2312"/>
          <w:b/>
          <w:bCs/>
          <w:color w:val="auto"/>
          <w:kern w:val="2"/>
          <w:sz w:val="32"/>
          <w:szCs w:val="32"/>
          <w:highlight w:val="none"/>
          <w:lang w:val="en-US" w:eastAsia="zh-CN" w:bidi="ar-SA"/>
        </w:rPr>
        <w:t>4</w:t>
      </w:r>
      <w:r>
        <w:rPr>
          <w:rFonts w:hint="eastAsia" w:ascii="Times New Roman" w:hAnsi="Times New Roman" w:eastAsia="仿宋_GB2312" w:cs="仿宋_GB2312"/>
          <w:b/>
          <w:bCs/>
          <w:color w:val="auto"/>
          <w:kern w:val="2"/>
          <w:sz w:val="32"/>
          <w:szCs w:val="32"/>
          <w:highlight w:val="none"/>
          <w:lang w:val="en-US" w:eastAsia="zh-CN" w:bidi="ar-SA"/>
        </w:rPr>
        <w:t>年政府收支分类科目</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增减内容）</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.基本支出：指为保障机构正常运转、完成日常工作任务而发生的人员支出和公用支出。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 xml:space="preserve">.项目支出：指在基本支出之外为完成特定行政任务和事业发展目标所发生的支出。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.经营支出：指事业单位在专业业务活动及其辅助活动之外开展非独立核算经营活动发生的支出。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25</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三公</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经费：指</w:t>
      </w:r>
      <w:r>
        <w:rPr>
          <w:rFonts w:hint="eastAsia" w:eastAsia="仿宋_GB2312" w:cs="仿宋_GB2312"/>
          <w:color w:val="auto"/>
          <w:kern w:val="2"/>
          <w:sz w:val="32"/>
          <w:szCs w:val="32"/>
          <w:highlight w:val="none"/>
          <w:lang w:val="en-US" w:eastAsia="zh-CN" w:bidi="ar-SA"/>
        </w:rPr>
        <w:t>单位</w:t>
      </w:r>
      <w:r>
        <w:rPr>
          <w:rFonts w:hint="eastAsia" w:ascii="Times New Roman" w:hAnsi="Times New Roman" w:eastAsia="仿宋_GB2312" w:cs="仿宋_GB2312"/>
          <w:color w:val="auto"/>
          <w:kern w:val="2"/>
          <w:sz w:val="32"/>
          <w:szCs w:val="32"/>
          <w:highlight w:val="none"/>
          <w:lang w:val="en-US" w:eastAsia="zh-CN" w:bidi="ar-SA"/>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26</w:t>
      </w:r>
      <w:r>
        <w:rPr>
          <w:rFonts w:hint="eastAsia" w:ascii="Times New Roman" w:hAnsi="Times New Roman" w:eastAsia="仿宋_GB2312" w:cs="仿宋_GB2312"/>
          <w:color w:val="auto"/>
          <w:kern w:val="2"/>
          <w:sz w:val="32"/>
          <w:szCs w:val="32"/>
          <w:highlight w:val="none"/>
          <w:lang w:val="en-US" w:eastAsia="zh-CN" w:bidi="ar-S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（注：名词解释部分请根据各</w:t>
      </w:r>
      <w:r>
        <w:rPr>
          <w:rFonts w:hint="eastAsia" w:eastAsia="仿宋_GB2312" w:cs="仿宋_GB2312"/>
          <w:b/>
          <w:bCs/>
          <w:color w:val="auto"/>
          <w:kern w:val="2"/>
          <w:sz w:val="32"/>
          <w:szCs w:val="32"/>
          <w:highlight w:val="none"/>
          <w:lang w:val="en-US" w:eastAsia="zh-CN" w:bidi="ar-SA"/>
        </w:rPr>
        <w:t>单位</w:t>
      </w:r>
      <w:r>
        <w:rPr>
          <w:rFonts w:hint="eastAsia" w:ascii="Times New Roman" w:hAnsi="Times New Roman" w:eastAsia="仿宋_GB2312" w:cs="仿宋_GB2312"/>
          <w:b/>
          <w:bCs/>
          <w:color w:val="auto"/>
          <w:kern w:val="2"/>
          <w:sz w:val="32"/>
          <w:szCs w:val="32"/>
          <w:highlight w:val="none"/>
          <w:lang w:val="en-US" w:eastAsia="zh-CN" w:bidi="ar-SA"/>
        </w:rPr>
        <w:t>实际列支情况罗列，并根据本</w:t>
      </w:r>
      <w:r>
        <w:rPr>
          <w:rFonts w:hint="eastAsia" w:eastAsia="仿宋_GB2312" w:cs="仿宋_GB2312"/>
          <w:b/>
          <w:bCs/>
          <w:color w:val="auto"/>
          <w:kern w:val="2"/>
          <w:sz w:val="32"/>
          <w:szCs w:val="32"/>
          <w:highlight w:val="none"/>
          <w:lang w:val="en-US" w:eastAsia="zh-CN" w:bidi="ar-SA"/>
        </w:rPr>
        <w:t>单位</w:t>
      </w:r>
      <w:r>
        <w:rPr>
          <w:rFonts w:hint="eastAsia" w:ascii="Times New Roman" w:hAnsi="Times New Roman" w:eastAsia="仿宋_GB2312" w:cs="仿宋_GB2312"/>
          <w:b/>
          <w:bCs/>
          <w:color w:val="auto"/>
          <w:kern w:val="2"/>
          <w:sz w:val="32"/>
          <w:szCs w:val="32"/>
          <w:highlight w:val="none"/>
          <w:lang w:val="en-US" w:eastAsia="zh-CN" w:bidi="ar-SA"/>
        </w:rPr>
        <w:t>职责职能增减名词解释内容）</w:t>
      </w:r>
    </w:p>
    <w:p>
      <w:pPr>
        <w:numPr>
          <w:ilvl w:val="0"/>
          <w:numId w:val="2"/>
        </w:numPr>
        <w:spacing w:line="600" w:lineRule="exact"/>
        <w:jc w:val="center"/>
        <w:rPr>
          <w:rFonts w:hint="eastAsia" w:ascii="Times New Roman" w:hAnsi="Times New Roman" w:eastAsia="黑体"/>
          <w:color w:val="auto"/>
          <w:sz w:val="44"/>
          <w:szCs w:val="44"/>
          <w:highlight w:val="none"/>
        </w:rPr>
      </w:pPr>
      <w:bookmarkStart w:id="45"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46" w:name="_Toc15396614"/>
      <w:r>
        <w:rPr>
          <w:rFonts w:hint="eastAsia" w:ascii="Times New Roman" w:hAnsi="Times New Roman" w:eastAsia="黑体"/>
          <w:color w:val="auto"/>
          <w:sz w:val="44"/>
          <w:szCs w:val="44"/>
          <w:highlight w:val="none"/>
        </w:rPr>
        <w:t xml:space="preserve"> 附件</w:t>
      </w:r>
      <w:bookmarkEnd w:id="46"/>
    </w:p>
    <w:p>
      <w:pPr>
        <w:pStyle w:val="2"/>
        <w:numPr>
          <w:ilvl w:val="0"/>
          <w:numId w:val="0"/>
        </w:numPr>
        <w:rPr>
          <w:rFonts w:hint="eastAsia"/>
          <w:lang w:eastAsia="zh-CN"/>
        </w:rPr>
      </w:pPr>
    </w:p>
    <w:p>
      <w:pPr>
        <w:ind w:firstLine="1280" w:firstLineChars="400"/>
        <w:rPr>
          <w:rFonts w:hint="eastAsia" w:ascii="仿宋" w:hAnsi="仿宋" w:eastAsia="仿宋"/>
          <w:sz w:val="32"/>
          <w:szCs w:val="32"/>
          <w:lang w:eastAsia="zh-CN"/>
        </w:rPr>
      </w:pPr>
      <w:r>
        <w:rPr>
          <w:rFonts w:hint="eastAsia" w:ascii="仿宋" w:hAnsi="仿宋" w:eastAsia="仿宋"/>
          <w:sz w:val="32"/>
          <w:szCs w:val="32"/>
          <w:lang w:eastAsia="zh-CN"/>
        </w:rPr>
        <w:t>备注：绩效自评见附件</w:t>
      </w: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pPr>
        <w:widowControl/>
        <w:jc w:val="center"/>
        <w:rPr>
          <w:rFonts w:hint="eastAsia" w:ascii="Times New Roman" w:hAnsi="Times New Roman" w:eastAsia="仿宋"/>
          <w:b w:val="0"/>
          <w:color w:val="auto"/>
          <w:highlight w:val="none"/>
        </w:rPr>
      </w:pPr>
      <w:bookmarkStart w:id="47" w:name="_Toc15396618"/>
      <w:r>
        <w:rPr>
          <w:rFonts w:hint="eastAsia" w:ascii="Times New Roman" w:hAnsi="Times New Roman" w:eastAsia="黑体"/>
          <w:color w:val="auto"/>
          <w:sz w:val="44"/>
          <w:szCs w:val="44"/>
          <w:highlight w:val="none"/>
        </w:rPr>
        <w:t>第</w:t>
      </w:r>
      <w:r>
        <w:rPr>
          <w:rStyle w:val="28"/>
          <w:rFonts w:hint="eastAsia" w:ascii="Times New Roman" w:hAnsi="Times New Roman" w:eastAsia="黑体"/>
          <w:b w:val="0"/>
          <w:color w:val="auto"/>
          <w:highlight w:val="none"/>
        </w:rPr>
        <w:t>五部分 附表</w:t>
      </w:r>
      <w:bookmarkEnd w:id="45"/>
      <w:bookmarkEnd w:id="47"/>
      <w:bookmarkStart w:id="48" w:name="_Toc15396619"/>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48"/>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49" w:name="_Toc15396620"/>
      <w:r>
        <w:rPr>
          <w:rFonts w:hint="eastAsia" w:ascii="Times New Roman" w:hAnsi="Times New Roman" w:eastAsia="仿宋_GB2312" w:cs="仿宋_GB2312"/>
          <w:color w:val="auto"/>
          <w:sz w:val="32"/>
          <w:szCs w:val="32"/>
          <w:highlight w:val="none"/>
        </w:rPr>
        <w:t>二、收入决算表</w:t>
      </w:r>
      <w:bookmarkEnd w:id="49"/>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0" w:name="_Toc15396621"/>
      <w:r>
        <w:rPr>
          <w:rFonts w:hint="eastAsia" w:ascii="Times New Roman" w:hAnsi="Times New Roman" w:eastAsia="仿宋_GB2312" w:cs="仿宋_GB2312"/>
          <w:color w:val="auto"/>
          <w:sz w:val="32"/>
          <w:szCs w:val="32"/>
          <w:highlight w:val="none"/>
        </w:rPr>
        <w:t>三、支出决算表</w:t>
      </w:r>
      <w:bookmarkEnd w:id="50"/>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1" w:name="_Toc15396622"/>
      <w:r>
        <w:rPr>
          <w:rFonts w:hint="eastAsia" w:ascii="Times New Roman" w:hAnsi="Times New Roman" w:eastAsia="仿宋_GB2312" w:cs="仿宋_GB2312"/>
          <w:color w:val="auto"/>
          <w:sz w:val="32"/>
          <w:szCs w:val="32"/>
          <w:highlight w:val="none"/>
        </w:rPr>
        <w:t>四、财政拨款收入支出决算总表</w:t>
      </w:r>
      <w:bookmarkEnd w:id="51"/>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2" w:name="_Toc15396623"/>
      <w:r>
        <w:rPr>
          <w:rFonts w:hint="eastAsia" w:ascii="Times New Roman" w:hAnsi="Times New Roman" w:eastAsia="仿宋_GB2312" w:cs="仿宋_GB2312"/>
          <w:color w:val="auto"/>
          <w:sz w:val="32"/>
          <w:szCs w:val="32"/>
          <w:highlight w:val="none"/>
        </w:rPr>
        <w:t>五、财政拨款支出决算明细表</w:t>
      </w:r>
      <w:bookmarkEnd w:id="52"/>
      <w:bookmarkStart w:id="53" w:name="_Toc15396624"/>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53"/>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4" w:name="_Toc15396625"/>
      <w:r>
        <w:rPr>
          <w:rFonts w:hint="eastAsia" w:ascii="Times New Roman" w:hAnsi="Times New Roman" w:eastAsia="仿宋_GB2312" w:cs="仿宋_GB2312"/>
          <w:color w:val="auto"/>
          <w:sz w:val="32"/>
          <w:szCs w:val="32"/>
          <w:highlight w:val="none"/>
        </w:rPr>
        <w:t>七、一般公共预算财政拨款支出决算明细表</w:t>
      </w:r>
      <w:bookmarkEnd w:id="54"/>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5" w:name="_Toc15396626"/>
      <w:r>
        <w:rPr>
          <w:rFonts w:hint="eastAsia" w:ascii="Times New Roman" w:hAnsi="Times New Roman" w:eastAsia="仿宋_GB2312" w:cs="仿宋_GB2312"/>
          <w:color w:val="auto"/>
          <w:sz w:val="32"/>
          <w:szCs w:val="32"/>
          <w:highlight w:val="none"/>
        </w:rPr>
        <w:t>八、一般公共预算财政拨款基本支出决算表</w:t>
      </w:r>
      <w:bookmarkEnd w:id="55"/>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6" w:name="_Toc15396627"/>
      <w:r>
        <w:rPr>
          <w:rFonts w:hint="eastAsia" w:ascii="Times New Roman" w:hAnsi="Times New Roman" w:eastAsia="仿宋_GB2312" w:cs="仿宋_GB2312"/>
          <w:color w:val="auto"/>
          <w:sz w:val="32"/>
          <w:szCs w:val="32"/>
          <w:highlight w:val="none"/>
        </w:rPr>
        <w:t>九、一般公共预算财政拨款项目支出决算表</w:t>
      </w:r>
      <w:bookmarkEnd w:id="56"/>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7" w:name="_Toc15396628"/>
      <w:r>
        <w:rPr>
          <w:rFonts w:hint="eastAsia" w:ascii="Times New Roman" w:hAnsi="Times New Roman" w:eastAsia="仿宋_GB2312" w:cs="仿宋_GB2312"/>
          <w:color w:val="auto"/>
          <w:sz w:val="32"/>
          <w:szCs w:val="32"/>
          <w:highlight w:val="none"/>
        </w:rPr>
        <w:t>十、</w:t>
      </w:r>
      <w:bookmarkEnd w:id="57"/>
      <w:r>
        <w:rPr>
          <w:rFonts w:hint="eastAsia" w:ascii="Times New Roman" w:hAnsi="Times New Roman" w:eastAsia="仿宋_GB2312" w:cs="仿宋_GB2312"/>
          <w:color w:val="auto"/>
          <w:sz w:val="32"/>
          <w:szCs w:val="32"/>
          <w:highlight w:val="none"/>
        </w:rPr>
        <w:t>政府性基金预算财政拨款收入支出决算表</w:t>
      </w:r>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8" w:name="_Toc15396629"/>
      <w:r>
        <w:rPr>
          <w:rFonts w:hint="eastAsia" w:ascii="Times New Roman" w:hAnsi="Times New Roman" w:eastAsia="仿宋_GB2312" w:cs="仿宋_GB2312"/>
          <w:color w:val="auto"/>
          <w:sz w:val="32"/>
          <w:szCs w:val="32"/>
          <w:highlight w:val="none"/>
        </w:rPr>
        <w:t>十一、</w:t>
      </w:r>
      <w:bookmarkEnd w:id="58"/>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9" w:name="_Toc15396630"/>
      <w:r>
        <w:rPr>
          <w:rFonts w:hint="eastAsia" w:ascii="Times New Roman" w:hAnsi="Times New Roman" w:eastAsia="仿宋_GB2312" w:cs="仿宋_GB2312"/>
          <w:color w:val="auto"/>
          <w:sz w:val="32"/>
          <w:szCs w:val="32"/>
          <w:highlight w:val="none"/>
        </w:rPr>
        <w:t>十二、</w:t>
      </w:r>
      <w:bookmarkEnd w:id="59"/>
      <w:r>
        <w:rPr>
          <w:rFonts w:hint="eastAsia" w:ascii="Times New Roman" w:hAnsi="Times New Roman" w:eastAsia="仿宋_GB2312" w:cs="仿宋_GB2312"/>
          <w:color w:val="auto"/>
          <w:sz w:val="32"/>
          <w:szCs w:val="32"/>
          <w:highlight w:val="none"/>
          <w:lang w:eastAsia="zh-CN"/>
        </w:rPr>
        <w:t>国有资本经营预算财政拨款支出决算表</w:t>
      </w:r>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60" w:name="_Toc15396631"/>
      <w:r>
        <w:rPr>
          <w:rFonts w:hint="eastAsia" w:ascii="Times New Roman" w:hAnsi="Times New Roman" w:eastAsia="仿宋_GB2312" w:cs="仿宋_GB2312"/>
          <w:color w:val="auto"/>
          <w:sz w:val="32"/>
          <w:szCs w:val="32"/>
          <w:highlight w:val="none"/>
        </w:rPr>
        <w:t>十三、</w:t>
      </w:r>
      <w:bookmarkEnd w:id="60"/>
      <w:r>
        <w:rPr>
          <w:rFonts w:hint="eastAsia" w:ascii="Times New Roman" w:hAnsi="Times New Roman" w:eastAsia="仿宋_GB2312" w:cs="仿宋_GB2312"/>
          <w:color w:val="auto"/>
          <w:sz w:val="32"/>
          <w:szCs w:val="32"/>
          <w:highlight w:val="none"/>
          <w:lang w:eastAsia="zh-CN"/>
        </w:rPr>
        <w:t>财政拨款“三公”经费支出决算表</w:t>
      </w:r>
    </w:p>
    <w:p>
      <w:pPr>
        <w:rPr>
          <w:rFonts w:hint="eastAsia" w:ascii="Times New Roman" w:hAnsi="Times New Roman"/>
          <w:lang w:eastAsia="zh-CN"/>
        </w:rPr>
      </w:pPr>
    </w:p>
    <w:sectPr>
      <w:footerReference r:id="rId8" w:type="first"/>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056F0C"/>
    <w:multiLevelType w:val="singleLevel"/>
    <w:tmpl w:val="CC056F0C"/>
    <w:lvl w:ilvl="0" w:tentative="0">
      <w:start w:val="4"/>
      <w:numFmt w:val="chineseCounting"/>
      <w:suff w:val="space"/>
      <w:lvlText w:val="第%1部分"/>
      <w:lvlJc w:val="left"/>
      <w:rPr>
        <w:rFonts w:hint="eastAsia"/>
      </w:rPr>
    </w:lvl>
  </w:abstractNum>
  <w:abstractNum w:abstractNumId="1">
    <w:nsid w:val="E049D70E"/>
    <w:multiLevelType w:val="singleLevel"/>
    <w:tmpl w:val="E049D70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080D34"/>
    <w:rsid w:val="02A602E6"/>
    <w:rsid w:val="02FEBE30"/>
    <w:rsid w:val="030176FB"/>
    <w:rsid w:val="04916F1E"/>
    <w:rsid w:val="061E35DE"/>
    <w:rsid w:val="066E0107"/>
    <w:rsid w:val="074E7D0A"/>
    <w:rsid w:val="07996F6E"/>
    <w:rsid w:val="07DFD8BA"/>
    <w:rsid w:val="09867E8F"/>
    <w:rsid w:val="09A24CDB"/>
    <w:rsid w:val="0A2032A3"/>
    <w:rsid w:val="0CA8290A"/>
    <w:rsid w:val="0D35B1ED"/>
    <w:rsid w:val="0D4F2869"/>
    <w:rsid w:val="0DAF2B14"/>
    <w:rsid w:val="0E254B6B"/>
    <w:rsid w:val="0ED07E5C"/>
    <w:rsid w:val="0F0D443D"/>
    <w:rsid w:val="0F98263C"/>
    <w:rsid w:val="101860EC"/>
    <w:rsid w:val="101F47CC"/>
    <w:rsid w:val="10C055FF"/>
    <w:rsid w:val="11694EBD"/>
    <w:rsid w:val="11772AA4"/>
    <w:rsid w:val="118107EC"/>
    <w:rsid w:val="12E24EE2"/>
    <w:rsid w:val="139671A8"/>
    <w:rsid w:val="13D50BC4"/>
    <w:rsid w:val="14B17F78"/>
    <w:rsid w:val="14E05B4D"/>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602D5E"/>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5B51AB"/>
    <w:rsid w:val="32BD1EF1"/>
    <w:rsid w:val="3304709D"/>
    <w:rsid w:val="33A773CB"/>
    <w:rsid w:val="349D6851"/>
    <w:rsid w:val="35363499"/>
    <w:rsid w:val="36AA5135"/>
    <w:rsid w:val="36BE0DA7"/>
    <w:rsid w:val="376B6AA6"/>
    <w:rsid w:val="376D39B2"/>
    <w:rsid w:val="37E16F03"/>
    <w:rsid w:val="37F53A3B"/>
    <w:rsid w:val="389B6C89"/>
    <w:rsid w:val="38D469F0"/>
    <w:rsid w:val="39627CCD"/>
    <w:rsid w:val="397BAF1F"/>
    <w:rsid w:val="3AB79AF3"/>
    <w:rsid w:val="3AE834C0"/>
    <w:rsid w:val="3B243095"/>
    <w:rsid w:val="3B7EF35A"/>
    <w:rsid w:val="3B9FDB6C"/>
    <w:rsid w:val="3BF5BC2F"/>
    <w:rsid w:val="3C57218D"/>
    <w:rsid w:val="3C767DED"/>
    <w:rsid w:val="3CBF2E36"/>
    <w:rsid w:val="3CEBA265"/>
    <w:rsid w:val="3D98207C"/>
    <w:rsid w:val="3DEE7CF3"/>
    <w:rsid w:val="3E0456CC"/>
    <w:rsid w:val="3E740A63"/>
    <w:rsid w:val="3E78745D"/>
    <w:rsid w:val="3EB86474"/>
    <w:rsid w:val="3EE17838"/>
    <w:rsid w:val="3F55381A"/>
    <w:rsid w:val="3F7F7599"/>
    <w:rsid w:val="3FF4CAE0"/>
    <w:rsid w:val="3FF7B227"/>
    <w:rsid w:val="445709AF"/>
    <w:rsid w:val="44E268DA"/>
    <w:rsid w:val="450D13D7"/>
    <w:rsid w:val="45506656"/>
    <w:rsid w:val="486A6C7A"/>
    <w:rsid w:val="4A627F82"/>
    <w:rsid w:val="4B0E749A"/>
    <w:rsid w:val="4B2477C4"/>
    <w:rsid w:val="4B4F25DA"/>
    <w:rsid w:val="4BE068DB"/>
    <w:rsid w:val="4D577224"/>
    <w:rsid w:val="4D845D87"/>
    <w:rsid w:val="4DBF1CEB"/>
    <w:rsid w:val="4DF0007C"/>
    <w:rsid w:val="4EAB630A"/>
    <w:rsid w:val="4ECE2238"/>
    <w:rsid w:val="4F6B6B54"/>
    <w:rsid w:val="4F833267"/>
    <w:rsid w:val="4FCB3B38"/>
    <w:rsid w:val="4FE9BD67"/>
    <w:rsid w:val="4FFB052F"/>
    <w:rsid w:val="50BE6D04"/>
    <w:rsid w:val="50C2318C"/>
    <w:rsid w:val="537B5903"/>
    <w:rsid w:val="537E6D0A"/>
    <w:rsid w:val="53F74C96"/>
    <w:rsid w:val="542A0565"/>
    <w:rsid w:val="55170BA8"/>
    <w:rsid w:val="553218C9"/>
    <w:rsid w:val="567E1AA5"/>
    <w:rsid w:val="56E47B74"/>
    <w:rsid w:val="57175D52"/>
    <w:rsid w:val="57BD3DD4"/>
    <w:rsid w:val="59FE5B32"/>
    <w:rsid w:val="5AF92295"/>
    <w:rsid w:val="5B250254"/>
    <w:rsid w:val="5BDD79E6"/>
    <w:rsid w:val="5BF561CA"/>
    <w:rsid w:val="5BFF5DFC"/>
    <w:rsid w:val="5CD71FC4"/>
    <w:rsid w:val="5CED6664"/>
    <w:rsid w:val="5D1F11B5"/>
    <w:rsid w:val="5D695134"/>
    <w:rsid w:val="5D8366F8"/>
    <w:rsid w:val="5DAE1B18"/>
    <w:rsid w:val="5DE7D9E5"/>
    <w:rsid w:val="5E067695"/>
    <w:rsid w:val="5ECEC941"/>
    <w:rsid w:val="5FBF9FF3"/>
    <w:rsid w:val="5FC47F2C"/>
    <w:rsid w:val="5FCD4E2C"/>
    <w:rsid w:val="5FEF394A"/>
    <w:rsid w:val="5FF67715"/>
    <w:rsid w:val="604D6B8C"/>
    <w:rsid w:val="62826B2B"/>
    <w:rsid w:val="62BF3928"/>
    <w:rsid w:val="63B3701E"/>
    <w:rsid w:val="647F5392"/>
    <w:rsid w:val="656520E7"/>
    <w:rsid w:val="65E66580"/>
    <w:rsid w:val="6647539F"/>
    <w:rsid w:val="664B1D71"/>
    <w:rsid w:val="664B4E8E"/>
    <w:rsid w:val="67277B67"/>
    <w:rsid w:val="676D22A7"/>
    <w:rsid w:val="67AA3209"/>
    <w:rsid w:val="68490BA5"/>
    <w:rsid w:val="698D0931"/>
    <w:rsid w:val="6A7FE5F3"/>
    <w:rsid w:val="6B053271"/>
    <w:rsid w:val="6BDD78B3"/>
    <w:rsid w:val="6C4A05C8"/>
    <w:rsid w:val="6C8742B8"/>
    <w:rsid w:val="6DBF5E93"/>
    <w:rsid w:val="6DC43DA9"/>
    <w:rsid w:val="6DFF077E"/>
    <w:rsid w:val="6E714EF0"/>
    <w:rsid w:val="6E7E3605"/>
    <w:rsid w:val="6E7FDCC7"/>
    <w:rsid w:val="6ED6A62E"/>
    <w:rsid w:val="6EE00B15"/>
    <w:rsid w:val="6F6FB3EB"/>
    <w:rsid w:val="6F8731EA"/>
    <w:rsid w:val="6FCE6052"/>
    <w:rsid w:val="6FD57C00"/>
    <w:rsid w:val="6FEFFFD8"/>
    <w:rsid w:val="6FF5CC65"/>
    <w:rsid w:val="6FFB47EC"/>
    <w:rsid w:val="6FFF034A"/>
    <w:rsid w:val="702E2F9A"/>
    <w:rsid w:val="70484440"/>
    <w:rsid w:val="712A28F1"/>
    <w:rsid w:val="715C0E4B"/>
    <w:rsid w:val="71992E7C"/>
    <w:rsid w:val="72233669"/>
    <w:rsid w:val="724E2F94"/>
    <w:rsid w:val="72734D90"/>
    <w:rsid w:val="73160E6D"/>
    <w:rsid w:val="7332FE48"/>
    <w:rsid w:val="73AB61DA"/>
    <w:rsid w:val="73AD73D5"/>
    <w:rsid w:val="73B6EB34"/>
    <w:rsid w:val="73FA497D"/>
    <w:rsid w:val="744731E5"/>
    <w:rsid w:val="74B074A0"/>
    <w:rsid w:val="74BBD01D"/>
    <w:rsid w:val="74ED5379"/>
    <w:rsid w:val="75DEEEC2"/>
    <w:rsid w:val="75E32345"/>
    <w:rsid w:val="75EF0C0F"/>
    <w:rsid w:val="76E3355F"/>
    <w:rsid w:val="76FF5125"/>
    <w:rsid w:val="776F6FFA"/>
    <w:rsid w:val="778769C8"/>
    <w:rsid w:val="77A75DCA"/>
    <w:rsid w:val="77DC22F5"/>
    <w:rsid w:val="783E271A"/>
    <w:rsid w:val="78616DE9"/>
    <w:rsid w:val="789D1A6F"/>
    <w:rsid w:val="78E875D7"/>
    <w:rsid w:val="79086DAD"/>
    <w:rsid w:val="79D7FD79"/>
    <w:rsid w:val="79EE5BA4"/>
    <w:rsid w:val="7A894339"/>
    <w:rsid w:val="7AD284E8"/>
    <w:rsid w:val="7AFF7572"/>
    <w:rsid w:val="7B6C7DFB"/>
    <w:rsid w:val="7BBFBED0"/>
    <w:rsid w:val="7BC3E394"/>
    <w:rsid w:val="7BD215B2"/>
    <w:rsid w:val="7BD44AB5"/>
    <w:rsid w:val="7C1F3737"/>
    <w:rsid w:val="7C6224CD"/>
    <w:rsid w:val="7CBFC87B"/>
    <w:rsid w:val="7CFE0F48"/>
    <w:rsid w:val="7D214815"/>
    <w:rsid w:val="7D272ABC"/>
    <w:rsid w:val="7D5C493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Chars="200"/>
    </w:pPr>
    <w:rPr>
      <w:rFonts w:ascii="仿宋_GB2312"/>
      <w:szCs w:val="32"/>
    </w:rPr>
  </w:style>
  <w:style w:type="paragraph" w:styleId="8">
    <w:name w:val="Body Text First Indent 2"/>
    <w:basedOn w:val="7"/>
    <w:next w:val="1"/>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8"/>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3"/>
    <w:qFormat/>
    <w:uiPriority w:val="9"/>
    <w:rPr>
      <w:rFonts w:ascii="Times New Roman" w:hAnsi="Times New Roman"/>
      <w:b/>
      <w:bCs/>
      <w:kern w:val="44"/>
      <w:sz w:val="44"/>
      <w:szCs w:val="44"/>
    </w:rPr>
  </w:style>
  <w:style w:type="character" w:customStyle="1" w:styleId="29">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10"/>
    <w:semiHidden/>
    <w:qFormat/>
    <w:uiPriority w:val="99"/>
    <w:rPr>
      <w:rFonts w:ascii="Times New Roman" w:hAnsi="Times New Roman"/>
      <w:kern w:val="2"/>
      <w:sz w:val="18"/>
      <w:szCs w:val="18"/>
    </w:rPr>
  </w:style>
  <w:style w:type="character" w:customStyle="1" w:styleId="32">
    <w:name w:val="标题 3 Char"/>
    <w:basedOn w:val="17"/>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4.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[工作簿1]Sheet1!$I$15</c:f>
              <c:strCache>
                <c:ptCount val="1"/>
                <c:pt idx="0">
                  <c:v>2023年</c:v>
                </c:pt>
              </c:strCache>
            </c:strRef>
          </c:tx>
          <c:spPr>
            <a:solidFill>
              <a:schemeClr val="accent1"/>
            </a:solidFill>
            <a:ln>
              <a:noFill/>
            </a:ln>
            <a:effectLst/>
          </c:spPr>
          <c:invertIfNegative val="0"/>
          <c:dLbls>
            <c:delete val="1"/>
          </c:dLbls>
          <c:cat>
            <c:strRef>
              <c:f>[工作簿1]Sheet1!$J$14:$K$14</c:f>
              <c:strCache>
                <c:ptCount val="2"/>
                <c:pt idx="0">
                  <c:v>收入</c:v>
                </c:pt>
                <c:pt idx="1">
                  <c:v>支出</c:v>
                </c:pt>
              </c:strCache>
            </c:strRef>
          </c:cat>
          <c:val>
            <c:numRef>
              <c:f>[工作簿1]Sheet1!$J$15:$K$15</c:f>
              <c:numCache>
                <c:formatCode>General</c:formatCode>
                <c:ptCount val="2"/>
                <c:pt idx="0">
                  <c:v>849.14</c:v>
                </c:pt>
                <c:pt idx="1">
                  <c:v>849.14</c:v>
                </c:pt>
              </c:numCache>
            </c:numRef>
          </c:val>
        </c:ser>
        <c:ser>
          <c:idx val="1"/>
          <c:order val="1"/>
          <c:tx>
            <c:strRef>
              <c:f>[工作簿1]Sheet1!$I$16</c:f>
              <c:strCache>
                <c:ptCount val="1"/>
                <c:pt idx="0">
                  <c:v>2024年</c:v>
                </c:pt>
              </c:strCache>
            </c:strRef>
          </c:tx>
          <c:spPr>
            <a:solidFill>
              <a:schemeClr val="accent2"/>
            </a:solidFill>
            <a:ln>
              <a:noFill/>
            </a:ln>
            <a:effectLst/>
          </c:spPr>
          <c:invertIfNegative val="0"/>
          <c:dLbls>
            <c:delete val="1"/>
          </c:dLbls>
          <c:cat>
            <c:strRef>
              <c:f>[工作簿1]Sheet1!$J$14:$K$14</c:f>
              <c:strCache>
                <c:ptCount val="2"/>
                <c:pt idx="0">
                  <c:v>收入</c:v>
                </c:pt>
                <c:pt idx="1">
                  <c:v>支出</c:v>
                </c:pt>
              </c:strCache>
            </c:strRef>
          </c:cat>
          <c:val>
            <c:numRef>
              <c:f>[工作簿1]Sheet1!$J$16:$K$16</c:f>
              <c:numCache>
                <c:formatCode>General</c:formatCode>
                <c:ptCount val="2"/>
                <c:pt idx="0">
                  <c:v>872.87</c:v>
                </c:pt>
                <c:pt idx="1">
                  <c:v>872.87</c:v>
                </c:pt>
              </c:numCache>
            </c:numRef>
          </c:val>
        </c:ser>
        <c:dLbls>
          <c:showLegendKey val="0"/>
          <c:showVal val="0"/>
          <c:showCatName val="0"/>
          <c:showSerName val="0"/>
          <c:showPercent val="0"/>
          <c:showBubbleSize val="0"/>
        </c:dLbls>
        <c:gapWidth val="219"/>
        <c:overlap val="-27"/>
        <c:axId val="615787942"/>
        <c:axId val="425667599"/>
      </c:barChart>
      <c:catAx>
        <c:axId val="61578794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5667599"/>
        <c:crosses val="autoZero"/>
        <c:auto val="1"/>
        <c:lblAlgn val="ctr"/>
        <c:lblOffset val="100"/>
        <c:noMultiLvlLbl val="0"/>
      </c:catAx>
      <c:valAx>
        <c:axId val="4256675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578794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[工作簿1]Sheet1!$I$15:$I$16</c:f>
              <c:strCache>
                <c:ptCount val="2"/>
                <c:pt idx="0">
                  <c:v>一般公共预算财政拨款收入</c:v>
                </c:pt>
                <c:pt idx="1">
                  <c:v>其他收入</c:v>
                </c:pt>
              </c:strCache>
            </c:strRef>
          </c:cat>
          <c:val>
            <c:numRef>
              <c:f>[工作簿1]Sheet1!$J$15:$J$16</c:f>
              <c:numCache>
                <c:formatCode>General</c:formatCode>
                <c:ptCount val="2"/>
                <c:pt idx="0">
                  <c:v>872.82</c:v>
                </c:pt>
                <c:pt idx="1">
                  <c:v>0.05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[工作簿1]Sheet1!$I$15:$I$16</c:f>
              <c:strCache>
                <c:ptCount val="2"/>
                <c:pt idx="0">
                  <c:v>基本支出</c:v>
                </c:pt>
                <c:pt idx="1">
                  <c:v>项目支出</c:v>
                </c:pt>
              </c:strCache>
            </c:strRef>
          </c:cat>
          <c:val>
            <c:numRef>
              <c:f>[工作簿1]Sheet1!$J$15:$J$16</c:f>
              <c:numCache>
                <c:formatCode>0.00%</c:formatCode>
                <c:ptCount val="2"/>
                <c:pt idx="0">
                  <c:v>0.8186</c:v>
                </c:pt>
                <c:pt idx="1">
                  <c:v>0.1813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[工作簿2]Sheet1!$I$13:$I$14</c:f>
              <c:strCache>
                <c:ptCount val="2"/>
                <c:pt idx="0">
                  <c:v>公务用车购置及运行维护费支出</c:v>
                </c:pt>
                <c:pt idx="1">
                  <c:v>公务接待费支出</c:v>
                </c:pt>
              </c:strCache>
            </c:strRef>
          </c:cat>
          <c:val>
            <c:numRef>
              <c:f>[工作簿2]Sheet1!$J$13:$J$14</c:f>
              <c:numCache>
                <c:formatCode>0.00%</c:formatCode>
                <c:ptCount val="2"/>
                <c:pt idx="0">
                  <c:v>0.9197</c:v>
                </c:pt>
                <c:pt idx="1">
                  <c:v>0.0803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1299</Words>
  <Characters>7410</Characters>
  <Lines>61</Lines>
  <Paragraphs>17</Paragraphs>
  <TotalTime>11</TotalTime>
  <ScaleCrop>false</ScaleCrop>
  <LinksUpToDate>false</LinksUpToDate>
  <CharactersWithSpaces>8692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祝杨</cp:lastModifiedBy>
  <cp:lastPrinted>2025-08-06T17:34:00Z</cp:lastPrinted>
  <dcterms:modified xsi:type="dcterms:W3CDTF">2025-09-28T06:54:42Z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04787F2533EB45DC91BCDE4AB213247F</vt:lpwstr>
  </property>
</Properties>
</file>