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69D99">
      <w:pPr>
        <w:pStyle w:val="5"/>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7425"/>
      <w:bookmarkStart w:id="1" w:name="_Toc15396597"/>
      <w:bookmarkStart w:id="2" w:name="_Toc15377193"/>
      <w:bookmarkStart w:id="3" w:name="_Toc15378441"/>
      <w:bookmarkStart w:id="4" w:name="_Toc15396475"/>
      <w:bookmarkStart w:id="5" w:name="_Toc15306267"/>
    </w:p>
    <w:p w14:paraId="14ECE1FE">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71861133">
      <w:pPr>
        <w:pStyle w:val="5"/>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78442"/>
      <w:bookmarkStart w:id="8" w:name="_Toc15377194"/>
      <w:bookmarkStart w:id="9" w:name="_Toc15396598"/>
      <w:bookmarkStart w:id="10" w:name="_Toc15377426"/>
    </w:p>
    <w:p w14:paraId="226F7144">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6274C4DD">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3B71FBE4">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3EAAC6E2">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乐山市金口河区粮食和物资储备中心</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0578B455">
      <w:pPr>
        <w:widowControl/>
        <w:jc w:val="center"/>
        <w:rPr>
          <w:rFonts w:hint="eastAsia" w:ascii="Times New Roman" w:hAnsi="Times New Roman" w:eastAsia="黑体"/>
          <w:color w:val="auto"/>
          <w:sz w:val="48"/>
          <w:szCs w:val="48"/>
          <w:highlight w:val="none"/>
        </w:rPr>
      </w:pPr>
    </w:p>
    <w:p w14:paraId="23C9AE82">
      <w:pPr>
        <w:widowControl/>
        <w:jc w:val="center"/>
        <w:rPr>
          <w:rFonts w:hint="eastAsia" w:ascii="Times New Roman" w:hAnsi="Times New Roman" w:eastAsia="黑体"/>
          <w:color w:val="auto"/>
          <w:sz w:val="48"/>
          <w:szCs w:val="48"/>
          <w:highlight w:val="none"/>
        </w:rPr>
      </w:pPr>
    </w:p>
    <w:p w14:paraId="3D46EF2F">
      <w:pPr>
        <w:widowControl/>
        <w:jc w:val="center"/>
        <w:rPr>
          <w:rFonts w:hint="eastAsia" w:ascii="Times New Roman" w:hAnsi="Times New Roman" w:eastAsia="黑体"/>
          <w:color w:val="auto"/>
          <w:sz w:val="48"/>
          <w:szCs w:val="48"/>
          <w:highlight w:val="none"/>
        </w:rPr>
      </w:pPr>
    </w:p>
    <w:p w14:paraId="4D7DF6FF">
      <w:pPr>
        <w:pStyle w:val="16"/>
        <w:rPr>
          <w:rFonts w:hint="eastAsia"/>
          <w:color w:val="auto"/>
        </w:rPr>
      </w:pPr>
    </w:p>
    <w:p w14:paraId="70F1FC3A">
      <w:pPr>
        <w:widowControl/>
        <w:jc w:val="center"/>
        <w:rPr>
          <w:rFonts w:hint="eastAsia" w:ascii="Times New Roman" w:hAnsi="Times New Roman" w:eastAsia="黑体"/>
          <w:color w:val="auto"/>
          <w:sz w:val="48"/>
          <w:szCs w:val="48"/>
          <w:highlight w:val="none"/>
        </w:rPr>
      </w:pPr>
    </w:p>
    <w:p w14:paraId="0C95CF0A">
      <w:pPr>
        <w:widowControl/>
        <w:jc w:val="center"/>
        <w:rPr>
          <w:rFonts w:hint="eastAsia" w:ascii="Times New Roman" w:hAnsi="Times New Roman" w:eastAsia="黑体"/>
          <w:color w:val="auto"/>
          <w:sz w:val="48"/>
          <w:szCs w:val="48"/>
          <w:highlight w:val="none"/>
        </w:rPr>
      </w:pPr>
    </w:p>
    <w:p w14:paraId="71832227">
      <w:pPr>
        <w:widowControl/>
        <w:jc w:val="center"/>
        <w:rPr>
          <w:rFonts w:hint="eastAsia" w:ascii="Times New Roman" w:hAnsi="Times New Roman" w:eastAsia="黑体"/>
          <w:color w:val="auto"/>
          <w:sz w:val="48"/>
          <w:szCs w:val="48"/>
          <w:highlight w:val="none"/>
        </w:rPr>
      </w:pPr>
    </w:p>
    <w:p w14:paraId="47BAFD47">
      <w:pPr>
        <w:widowControl/>
        <w:jc w:val="center"/>
        <w:rPr>
          <w:rFonts w:hint="eastAsia" w:ascii="Times New Roman" w:hAnsi="Times New Roman" w:eastAsia="黑体"/>
          <w:color w:val="auto"/>
          <w:sz w:val="48"/>
          <w:szCs w:val="48"/>
          <w:highlight w:val="none"/>
        </w:rPr>
      </w:pPr>
    </w:p>
    <w:p w14:paraId="339AA90B">
      <w:pPr>
        <w:widowControl/>
        <w:jc w:val="center"/>
        <w:rPr>
          <w:rFonts w:hint="eastAsia" w:ascii="Times New Roman" w:hAnsi="Times New Roman" w:eastAsia="黑体"/>
          <w:color w:val="auto"/>
          <w:sz w:val="48"/>
          <w:szCs w:val="48"/>
          <w:highlight w:val="none"/>
        </w:rPr>
      </w:pPr>
    </w:p>
    <w:p w14:paraId="1A2620DB">
      <w:pPr>
        <w:widowControl/>
        <w:jc w:val="center"/>
        <w:rPr>
          <w:rFonts w:hint="eastAsia" w:ascii="Times New Roman" w:hAnsi="Times New Roman" w:eastAsia="黑体"/>
          <w:color w:val="auto"/>
          <w:sz w:val="48"/>
          <w:szCs w:val="48"/>
          <w:highlight w:val="none"/>
        </w:rPr>
      </w:pPr>
    </w:p>
    <w:p w14:paraId="5B61CEAD">
      <w:pPr>
        <w:widowControl/>
        <w:jc w:val="both"/>
        <w:rPr>
          <w:rFonts w:hint="eastAsia" w:ascii="Times New Roman" w:hAnsi="Times New Roman" w:eastAsia="黑体"/>
          <w:color w:val="auto"/>
          <w:sz w:val="48"/>
          <w:szCs w:val="48"/>
          <w:highlight w:val="none"/>
        </w:rPr>
      </w:pPr>
    </w:p>
    <w:p w14:paraId="758738EF">
      <w:pPr>
        <w:widowControl/>
        <w:jc w:val="both"/>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3ABCFB16">
      <w:pPr>
        <w:widowControl/>
        <w:jc w:val="both"/>
        <w:rPr>
          <w:rFonts w:hint="eastAsia" w:ascii="Times New Roman" w:hAnsi="Times New Roman" w:eastAsia="黑体"/>
          <w:color w:val="auto"/>
          <w:sz w:val="48"/>
          <w:szCs w:val="48"/>
          <w:highlight w:val="none"/>
        </w:rPr>
      </w:pPr>
    </w:p>
    <w:p w14:paraId="71A44528">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E699A13">
      <w:pPr>
        <w:widowControl/>
        <w:jc w:val="center"/>
        <w:rPr>
          <w:rFonts w:ascii="Times New Roman" w:hAnsi="Times New Roman" w:eastAsia="黑体" w:cstheme="minorBidi"/>
          <w:color w:val="auto"/>
          <w:sz w:val="28"/>
          <w:szCs w:val="28"/>
          <w:highlight w:val="none"/>
        </w:rPr>
      </w:pPr>
    </w:p>
    <w:p w14:paraId="0D2D995C">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23 </w:t>
      </w:r>
      <w:r>
        <w:rPr>
          <w:rFonts w:hint="eastAsia" w:ascii="Times New Roman" w:hAnsi="Times New Roman" w:eastAsia="仿宋_GB2312" w:cs="仿宋_GB2312"/>
          <w:color w:val="auto"/>
          <w:sz w:val="32"/>
          <w:szCs w:val="32"/>
          <w:highlight w:val="none"/>
        </w:rPr>
        <w:t>日</w:t>
      </w:r>
    </w:p>
    <w:p w14:paraId="5BD0F636">
      <w:pPr>
        <w:rPr>
          <w:rFonts w:ascii="Times New Roman" w:hAnsi="Times New Roman"/>
          <w:color w:val="auto"/>
          <w:highlight w:val="none"/>
        </w:rPr>
      </w:pPr>
    </w:p>
    <w:p w14:paraId="33A0A03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4138400F">
      <w:pPr>
        <w:pStyle w:val="15"/>
        <w:keepNext w:val="0"/>
        <w:keepLines w:val="0"/>
        <w:pageBreakBefore w:val="0"/>
        <w:widowControl w:val="0"/>
        <w:tabs>
          <w:tab w:val="lef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27188AF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二、机构设置</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t>3</w:t>
      </w:r>
    </w:p>
    <w:p w14:paraId="530ABB6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2C45B07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3F90F42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29AFA4C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787F980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3D203B1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045F4E3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0AD6718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17E66AC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2109D34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48C6D3D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73F4AE1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14:paraId="04FD4BC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18</w:t>
      </w:r>
    </w:p>
    <w:p w14:paraId="1E5E670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bookmarkStart w:id="68" w:name="_GoBack"/>
      <w:bookmarkEnd w:id="68"/>
    </w:p>
    <w:p w14:paraId="432E688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199B54D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215A610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3885DE5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0E6F9A7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062C18C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7759E5C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4B3B1B8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3806925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4347F55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2C06741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66411E7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298B805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1B4D8C02">
      <w:pPr>
        <w:pStyle w:val="2"/>
        <w:jc w:val="both"/>
        <w:rPr>
          <w:rFonts w:hint="eastAsia" w:ascii="Times New Roman" w:hAnsi="Times New Roman" w:eastAsia="方正小标宋简体" w:cs="方正小标宋简体"/>
          <w:b w:val="0"/>
          <w:color w:val="auto"/>
          <w:highlight w:val="none"/>
        </w:rPr>
      </w:pPr>
      <w:bookmarkStart w:id="12" w:name="_Toc15377196"/>
      <w:bookmarkStart w:id="13" w:name="_Toc15396599"/>
    </w:p>
    <w:p w14:paraId="03C62514">
      <w:pPr>
        <w:rPr>
          <w:rFonts w:hint="eastAsia"/>
          <w:color w:val="auto"/>
        </w:rPr>
      </w:pPr>
    </w:p>
    <w:p w14:paraId="1A3E467D">
      <w:pPr>
        <w:pStyle w:val="2"/>
        <w:jc w:val="center"/>
        <w:rPr>
          <w:rFonts w:hint="eastAsia" w:ascii="Times New Roman" w:hAnsi="Times New Roman" w:eastAsia="方正小标宋简体" w:cs="方正小标宋简体"/>
          <w:b w:val="0"/>
          <w:color w:val="auto"/>
          <w:highlight w:val="none"/>
        </w:rPr>
      </w:pPr>
    </w:p>
    <w:p w14:paraId="639BBD9A">
      <w:pPr>
        <w:pStyle w:val="2"/>
        <w:jc w:val="center"/>
        <w:rPr>
          <w:rFonts w:hint="eastAsia" w:ascii="Times New Roman" w:hAnsi="Times New Roman" w:eastAsia="方正小标宋简体" w:cs="方正小标宋简体"/>
          <w:b w:val="0"/>
          <w:color w:val="auto"/>
          <w:highlight w:val="none"/>
        </w:rPr>
      </w:pPr>
    </w:p>
    <w:p w14:paraId="649E571D">
      <w:pPr>
        <w:rPr>
          <w:rFonts w:hint="eastAsia" w:ascii="Times New Roman" w:hAnsi="Times New Roman" w:eastAsia="方正小标宋简体" w:cs="方正小标宋简体"/>
          <w:b w:val="0"/>
          <w:color w:val="auto"/>
          <w:highlight w:val="none"/>
        </w:rPr>
      </w:pPr>
    </w:p>
    <w:p w14:paraId="25388A3C">
      <w:pPr>
        <w:rPr>
          <w:rFonts w:hint="eastAsia" w:ascii="Times New Roman" w:hAnsi="Times New Roman" w:eastAsia="方正小标宋简体" w:cs="方正小标宋简体"/>
          <w:b w:val="0"/>
          <w:color w:val="auto"/>
          <w:highlight w:val="none"/>
        </w:rPr>
      </w:pPr>
    </w:p>
    <w:p w14:paraId="74A599A5">
      <w:pPr>
        <w:rPr>
          <w:rFonts w:hint="eastAsia" w:ascii="Times New Roman" w:hAnsi="Times New Roman" w:eastAsia="方正小标宋简体" w:cs="方正小标宋简体"/>
          <w:b w:val="0"/>
          <w:color w:val="auto"/>
          <w:highlight w:val="none"/>
        </w:rPr>
      </w:pPr>
    </w:p>
    <w:p w14:paraId="0008C85A">
      <w:pPr>
        <w:rPr>
          <w:rFonts w:hint="eastAsia" w:ascii="Times New Roman" w:hAnsi="Times New Roman" w:eastAsia="方正小标宋简体" w:cs="方正小标宋简体"/>
          <w:b w:val="0"/>
          <w:color w:val="auto"/>
          <w:highlight w:val="none"/>
        </w:rPr>
      </w:pPr>
    </w:p>
    <w:p w14:paraId="00A07BAA">
      <w:pPr>
        <w:rPr>
          <w:rFonts w:hint="eastAsia" w:ascii="Times New Roman" w:hAnsi="Times New Roman" w:eastAsia="方正小标宋简体" w:cs="方正小标宋简体"/>
          <w:b w:val="0"/>
          <w:color w:val="auto"/>
          <w:highlight w:val="none"/>
        </w:rPr>
      </w:pPr>
    </w:p>
    <w:p w14:paraId="756E0405">
      <w:pPr>
        <w:pStyle w:val="2"/>
        <w:jc w:val="center"/>
        <w:rPr>
          <w:rFonts w:hint="eastAsia" w:ascii="Times New Roman" w:hAnsi="Times New Roman" w:eastAsia="方正小标宋简体" w:cs="方正小标宋简体"/>
          <w:b w:val="0"/>
          <w:color w:val="auto"/>
          <w:highlight w:val="none"/>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4FADCAFC">
      <w:pPr>
        <w:pStyle w:val="2"/>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p>
    <w:p w14:paraId="10DD3E30">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BE75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组织执行党的路线、方针、政策和国家法律法规。</w:t>
      </w:r>
    </w:p>
    <w:p w14:paraId="5D9C1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贯彻国务院颁布的《粮食流通管理条例》。</w:t>
      </w:r>
    </w:p>
    <w:p w14:paraId="1B8DD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负责全区粮食流通的行政执法和监督检查，保护粮食生产者的积极性，维护经营者和消费者权益，保障全区粮食安全，维护粮食市场秩序。</w:t>
      </w:r>
    </w:p>
    <w:p w14:paraId="1A7E3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负责全区粮食流通行政监督，行业指导，加强粮食宏观调控，发挥粮食部门的主渠道作用。</w:t>
      </w:r>
    </w:p>
    <w:p w14:paraId="0F7B34A8">
      <w:pPr>
        <w:numPr>
          <w:ilvl w:val="0"/>
          <w:numId w:val="0"/>
        </w:numPr>
        <w:ind w:firstLine="640" w:firstLineChars="200"/>
        <w:rPr>
          <w:rFonts w:hint="eastAsia"/>
          <w:color w:val="auto"/>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负责监管区级储备粮油，保障储备粮油的安全，建立粮食应急机制，应对突发事件。</w:t>
      </w:r>
    </w:p>
    <w:p w14:paraId="4F4BA9EA">
      <w:pPr>
        <w:pStyle w:val="3"/>
        <w:rPr>
          <w:rStyle w:val="31"/>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4"/>
      <w:bookmarkEnd w:id="15"/>
    </w:p>
    <w:p w14:paraId="3D07F98F">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乐山市金口河区粮食和物资储备中心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7F991F57">
      <w:pPr>
        <w:pStyle w:val="5"/>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color w:val="auto"/>
          <w:sz w:val="32"/>
          <w:szCs w:val="32"/>
        </w:rPr>
        <w:t>乐山市金口河区粮食和物资储备中心</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0E9CC8FB">
      <w:pPr>
        <w:pStyle w:val="5"/>
        <w:adjustRightInd w:val="0"/>
        <w:snapToGrid w:val="0"/>
        <w:spacing w:before="93" w:line="600" w:lineRule="exact"/>
        <w:ind w:firstLine="672" w:firstLineChars="210"/>
        <w:rPr>
          <w:rFonts w:hint="eastAsia" w:ascii="Times New Roman" w:cs="仿宋_GB2312"/>
          <w:color w:val="auto"/>
          <w:sz w:val="32"/>
          <w:szCs w:val="32"/>
          <w:highlight w:val="none"/>
          <w:lang w:val="en-US" w:eastAsia="zh-CN"/>
        </w:rPr>
      </w:pPr>
    </w:p>
    <w:p w14:paraId="2696E48C">
      <w:pPr>
        <w:pStyle w:val="2"/>
        <w:jc w:val="center"/>
        <w:rPr>
          <w:rFonts w:hint="eastAsia" w:ascii="Times New Roman" w:hAnsi="Times New Roman" w:eastAsia="方正小标宋简体" w:cs="方正小标宋简体"/>
          <w:b w:val="0"/>
          <w:color w:val="auto"/>
          <w:highlight w:val="none"/>
        </w:rPr>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pPr>
      <w:bookmarkStart w:id="16" w:name="_Toc15377204"/>
      <w:bookmarkStart w:id="17" w:name="_Toc15396602"/>
    </w:p>
    <w:p w14:paraId="006EE364">
      <w:pPr>
        <w:pStyle w:val="2"/>
        <w:jc w:val="center"/>
        <w:rPr>
          <w:rFonts w:ascii="Times New Roman" w:hAnsi="Times New Roman"/>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4120C25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8"/>
      <w:bookmarkEnd w:id="19"/>
    </w:p>
    <w:p w14:paraId="101D3E7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rPr>
        <w:t>320.52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14.07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社会保险的基数调整、人员调资。</w:t>
      </w:r>
    </w:p>
    <w:p w14:paraId="4D1C6C1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3E6C8F9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3FABA50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DDA8A0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6953E0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11FCF6B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60DE2C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095B31D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14:paraId="39ADBD8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default" w:eastAsia="仿宋_GB2312" w:cs="仿宋_GB2312"/>
          <w:color w:val="auto"/>
          <w:sz w:val="32"/>
          <w:szCs w:val="32"/>
          <w:highlight w:val="none"/>
          <w:lang w:val="en-US" w:eastAsia="zh-CN"/>
        </w:rPr>
      </w:pPr>
      <w:r>
        <w:rPr>
          <w:color w:val="auto"/>
        </w:rPr>
        <w:drawing>
          <wp:anchor distT="0" distB="0" distL="114300" distR="114300" simplePos="0" relativeHeight="251659264" behindDoc="0" locked="0" layoutInCell="1" allowOverlap="1">
            <wp:simplePos x="0" y="0"/>
            <wp:positionH relativeFrom="column">
              <wp:posOffset>271145</wp:posOffset>
            </wp:positionH>
            <wp:positionV relativeFrom="paragraph">
              <wp:posOffset>-2453005</wp:posOffset>
            </wp:positionV>
            <wp:extent cx="4826000" cy="2743200"/>
            <wp:effectExtent l="4445" t="4445" r="8255" b="14605"/>
            <wp:wrapNone/>
            <wp:docPr id="2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086DA3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p>
    <w:p w14:paraId="07583EA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p>
    <w:p w14:paraId="3EB7453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rPr>
        <w:t>320.52万元，其中：一般公共预算财政拨款收入320.52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w:t>
      </w:r>
    </w:p>
    <w:p w14:paraId="057C8A9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401955</wp:posOffset>
            </wp:positionH>
            <wp:positionV relativeFrom="paragraph">
              <wp:posOffset>71120</wp:posOffset>
            </wp:positionV>
            <wp:extent cx="4552950" cy="2474595"/>
            <wp:effectExtent l="4445" t="4445" r="14605" b="16510"/>
            <wp:wrapNone/>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22FE8E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color w:val="auto"/>
          <w:sz w:val="32"/>
          <w:szCs w:val="32"/>
          <w:highlight w:val="none"/>
          <w:lang w:eastAsia="zh-CN"/>
        </w:rPr>
      </w:pPr>
      <w:bookmarkStart w:id="22" w:name="_Toc15396605"/>
      <w:bookmarkStart w:id="23" w:name="_Toc15377207"/>
    </w:p>
    <w:p w14:paraId="5521448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color w:val="auto"/>
          <w:sz w:val="32"/>
          <w:szCs w:val="32"/>
          <w:highlight w:val="none"/>
          <w:lang w:eastAsia="zh-CN"/>
        </w:rPr>
      </w:pPr>
    </w:p>
    <w:p w14:paraId="06C83F3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color w:val="auto"/>
          <w:sz w:val="32"/>
          <w:szCs w:val="32"/>
          <w:highlight w:val="none"/>
          <w:lang w:eastAsia="zh-CN"/>
        </w:rPr>
      </w:pPr>
    </w:p>
    <w:p w14:paraId="21254F1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color w:val="auto"/>
          <w:sz w:val="32"/>
          <w:szCs w:val="32"/>
          <w:highlight w:val="none"/>
          <w:lang w:eastAsia="zh-CN"/>
        </w:rPr>
      </w:pPr>
    </w:p>
    <w:p w14:paraId="28AFF27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color w:val="auto"/>
          <w:sz w:val="32"/>
          <w:szCs w:val="32"/>
          <w:highlight w:val="none"/>
          <w:lang w:eastAsia="zh-CN"/>
        </w:rPr>
      </w:pPr>
    </w:p>
    <w:p w14:paraId="05B1AE4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color w:val="auto"/>
          <w:sz w:val="32"/>
          <w:szCs w:val="32"/>
          <w:highlight w:val="none"/>
          <w:lang w:eastAsia="zh-CN"/>
        </w:rPr>
      </w:pPr>
    </w:p>
    <w:p w14:paraId="7EF6BD7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2"/>
      <w:bookmarkEnd w:id="23"/>
    </w:p>
    <w:p w14:paraId="438599A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rPr>
        <w:t>320.52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rPr>
        <w:t>148.05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46.</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rPr>
        <w:t>172.47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53.8</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highlight w:val="none"/>
          <w:lang w:eastAsia="zh-CN"/>
        </w:rPr>
        <w:t>。</w:t>
      </w:r>
    </w:p>
    <w:p w14:paraId="09B9F26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color w:val="auto"/>
        </w:rPr>
        <w:drawing>
          <wp:anchor distT="0" distB="0" distL="114300" distR="114300" simplePos="0" relativeHeight="251661312" behindDoc="0" locked="0" layoutInCell="1" allowOverlap="1">
            <wp:simplePos x="0" y="0"/>
            <wp:positionH relativeFrom="column">
              <wp:posOffset>461645</wp:posOffset>
            </wp:positionH>
            <wp:positionV relativeFrom="paragraph">
              <wp:posOffset>271145</wp:posOffset>
            </wp:positionV>
            <wp:extent cx="4225925" cy="2104390"/>
            <wp:effectExtent l="4445" t="4445" r="17780" b="5715"/>
            <wp:wrapNone/>
            <wp:docPr id="2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A27C96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EB1B38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EF64C1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92B8EF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C740E0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3D95F0D">
      <w:pPr>
        <w:rPr>
          <w:rFonts w:hint="eastAsia" w:ascii="Times New Roman" w:hAnsi="Times New Roman" w:eastAsia="仿宋_GB2312" w:cs="仿宋_GB2312"/>
          <w:color w:val="auto"/>
          <w:sz w:val="32"/>
          <w:szCs w:val="32"/>
          <w:highlight w:val="none"/>
          <w:lang w:eastAsia="zh-CN"/>
        </w:rPr>
      </w:pPr>
    </w:p>
    <w:p w14:paraId="6E069357">
      <w:pPr>
        <w:spacing w:line="600" w:lineRule="exact"/>
        <w:ind w:firstLine="640" w:firstLineChars="200"/>
        <w:outlineLvl w:val="1"/>
        <w:rPr>
          <w:rStyle w:val="31"/>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4"/>
      <w:bookmarkEnd w:id="25"/>
    </w:p>
    <w:p w14:paraId="099FD7E3">
      <w:pPr>
        <w:spacing w:line="600" w:lineRule="exact"/>
        <w:ind w:firstLine="640"/>
        <w:rPr>
          <w:rFonts w:hint="eastAsia"/>
          <w:color w:val="auto"/>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color w:val="auto"/>
          <w:sz w:val="32"/>
          <w:szCs w:val="32"/>
        </w:rPr>
        <w:t>320.52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sz w:val="32"/>
          <w:szCs w:val="32"/>
          <w:highlight w:val="none"/>
          <w:lang w:val="en-US" w:eastAsia="zh-CN"/>
        </w:rPr>
        <w:t>14.07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sz w:val="32"/>
          <w:szCs w:val="32"/>
          <w:highlight w:val="none"/>
          <w:lang w:val="en-US" w:eastAsia="zh-CN"/>
        </w:rPr>
        <w:t>4.6</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社会保险的基数调整、人员调资。</w:t>
      </w:r>
    </w:p>
    <w:p w14:paraId="2A692011">
      <w:pPr>
        <w:rPr>
          <w:rFonts w:hint="eastAsia" w:ascii="Times New Roman" w:hAnsi="Times New Roman" w:eastAsia="仿宋_GB2312" w:cs="仿宋_GB2312"/>
          <w:color w:val="auto"/>
          <w:kern w:val="2"/>
          <w:sz w:val="32"/>
          <w:szCs w:val="32"/>
          <w:highlight w:val="none"/>
          <w:lang w:val="en-US" w:eastAsia="zh-CN" w:bidi="ar-SA"/>
        </w:rPr>
      </w:pPr>
      <w:r>
        <w:rPr>
          <w:color w:val="auto"/>
        </w:rPr>
        <w:drawing>
          <wp:inline distT="0" distB="0" distL="114300" distR="114300">
            <wp:extent cx="4826000" cy="2743200"/>
            <wp:effectExtent l="4445" t="4445" r="8255" b="14605"/>
            <wp:docPr id="25"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4EAFA5">
      <w:pPr>
        <w:spacing w:line="600" w:lineRule="exact"/>
        <w:ind w:firstLine="640" w:firstLineChars="200"/>
        <w:outlineLvl w:val="1"/>
        <w:rPr>
          <w:rStyle w:val="31"/>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6"/>
      <w:bookmarkEnd w:id="27"/>
    </w:p>
    <w:p w14:paraId="4AB2272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393CE31A">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rPr>
        <w:t>320.52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%。与2023年度相比，一般公共预算财政拨款支出增加14.07万元，增长4.6%。主要变动原因是</w:t>
      </w:r>
      <w:r>
        <w:rPr>
          <w:rFonts w:hint="eastAsia" w:eastAsia="仿宋_GB2312" w:cs="仿宋_GB2312"/>
          <w:color w:val="auto"/>
          <w:sz w:val="32"/>
          <w:szCs w:val="32"/>
          <w:highlight w:val="none"/>
          <w:lang w:val="en-US" w:eastAsia="zh-CN"/>
        </w:rPr>
        <w:t>社会保险的基数调整、人员调资。</w:t>
      </w:r>
    </w:p>
    <w:p w14:paraId="0DD2C7EC">
      <w:pPr>
        <w:pStyle w:val="16"/>
        <w:rPr>
          <w:rFonts w:hint="eastAsia" w:ascii="Times New Roman" w:hAnsi="Times New Roman" w:eastAsia="仿宋_GB2312" w:cs="仿宋_GB2312"/>
          <w:color w:val="auto"/>
          <w:kern w:val="2"/>
          <w:sz w:val="32"/>
          <w:szCs w:val="32"/>
          <w:highlight w:val="none"/>
          <w:lang w:val="en-US" w:eastAsia="zh-CN" w:bidi="ar-SA"/>
        </w:rPr>
      </w:pPr>
      <w:r>
        <w:rPr>
          <w:color w:val="auto"/>
        </w:rPr>
        <w:drawing>
          <wp:inline distT="0" distB="0" distL="114300" distR="114300">
            <wp:extent cx="4826000" cy="2536190"/>
            <wp:effectExtent l="4445" t="4445" r="8255" b="12065"/>
            <wp:docPr id="26"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C91CA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6F4B4202">
      <w:pPr>
        <w:spacing w:line="600" w:lineRule="exact"/>
        <w:ind w:firstLine="640"/>
        <w:rPr>
          <w:rFonts w:hint="eastAsia"/>
          <w:color w:val="auto"/>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rPr>
        <w:t>320.52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29.41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9.18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5.42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1.69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10.48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粮油物资储备支出275.21万元，</w:t>
      </w:r>
      <w:r>
        <w:rPr>
          <w:rFonts w:hint="eastAsia" w:ascii="Times New Roman" w:hAnsi="Times New Roman" w:eastAsia="仿宋_GB2312" w:cs="仿宋_GB2312"/>
          <w:color w:val="auto"/>
          <w:kern w:val="2"/>
          <w:sz w:val="32"/>
          <w:szCs w:val="32"/>
          <w:highlight w:val="none"/>
          <w:lang w:val="en-US" w:eastAsia="zh-CN" w:bidi="ar-SA"/>
        </w:rPr>
        <w:t>占85.86%。</w:t>
      </w:r>
    </w:p>
    <w:p w14:paraId="71FE9E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color w:val="auto"/>
        </w:rPr>
        <w:drawing>
          <wp:anchor distT="0" distB="0" distL="114300" distR="114300" simplePos="0" relativeHeight="251662336" behindDoc="0" locked="0" layoutInCell="1" allowOverlap="1">
            <wp:simplePos x="0" y="0"/>
            <wp:positionH relativeFrom="column">
              <wp:posOffset>315595</wp:posOffset>
            </wp:positionH>
            <wp:positionV relativeFrom="paragraph">
              <wp:posOffset>233045</wp:posOffset>
            </wp:positionV>
            <wp:extent cx="4934585" cy="2342515"/>
            <wp:effectExtent l="4445" t="4445" r="13970" b="15240"/>
            <wp:wrapNone/>
            <wp:docPr id="2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3710B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A176976">
      <w:pPr>
        <w:spacing w:line="600" w:lineRule="exact"/>
        <w:ind w:firstLine="640"/>
        <w:rPr>
          <w:color w:val="auto"/>
        </w:rPr>
      </w:pPr>
    </w:p>
    <w:p w14:paraId="34585961">
      <w:pPr>
        <w:spacing w:line="600" w:lineRule="exact"/>
        <w:ind w:firstLine="640"/>
        <w:rPr>
          <w:color w:val="auto"/>
        </w:rPr>
      </w:pPr>
    </w:p>
    <w:p w14:paraId="10373C62">
      <w:pPr>
        <w:spacing w:line="600" w:lineRule="exact"/>
        <w:ind w:firstLine="640"/>
        <w:rPr>
          <w:color w:val="auto"/>
        </w:rPr>
      </w:pPr>
    </w:p>
    <w:p w14:paraId="041839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D64E7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078CF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C4A76D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1CB641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rPr>
        <w:t>320.52</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7779A231">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养老保险（行政）</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12.64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9CE6D3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职业年金（行政）</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eastAsia="仿宋_GB2312" w:cs="仿宋_GB2312"/>
          <w:color w:val="auto"/>
          <w:kern w:val="2"/>
          <w:sz w:val="32"/>
          <w:szCs w:val="32"/>
          <w:highlight w:val="none"/>
          <w:lang w:val="en-US" w:eastAsia="zh-CN" w:bidi="ar-SA"/>
        </w:rPr>
        <w:t>9.04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99DE86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其他行政事业单位养老支出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退休人员春节慰问金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259295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社会保障和就业支出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残疾人就业</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残疾人就业保障金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3BB66E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失业、工伤保险（行政）</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0.13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A13B2CC">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行政单位医疗</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医疗保险（行政）</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4.82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BC3F54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公务员医疗补助</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医疗补助（行政）</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8844BE4">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8.住房保障</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住房公积金（行政）</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BF2E979">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9.粮油和物质储备</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工资性支出（行政）</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59.49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7B6F15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10.粮油和物质储备</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（款）伙食补助费（项）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258E07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11.粮油和物质储备</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（款）日常公用经费（项）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9.98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7A3A3B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12.粮油和物质储备</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座机电话费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0.13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598A44B">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13.粮油和物质储备</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公务交通补贴</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6.14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8A6E42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14.粮油和物质储备</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（款）公务员基础绩效奖（项）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22.85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5AD7DCF">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15.粮油和物质储备</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公务员年终考核奖</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7.33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CF1CAE3">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16.粮油和物质储备</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独子费（行政）</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907ADE4">
      <w:pPr>
        <w:tabs>
          <w:tab w:val="right" w:pos="8306"/>
        </w:tabs>
        <w:spacing w:line="600" w:lineRule="exact"/>
        <w:ind w:firstLine="640"/>
        <w:outlineLvl w:val="1"/>
        <w:rPr>
          <w:rStyle w:val="31"/>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4"/>
      <w:bookmarkEnd w:id="35"/>
      <w:r>
        <w:rPr>
          <w:rStyle w:val="31"/>
          <w:rFonts w:ascii="Times New Roman" w:hAnsi="Times New Roman" w:eastAsia="黑体"/>
          <w:b w:val="0"/>
          <w:color w:val="auto"/>
          <w:highlight w:val="none"/>
        </w:rPr>
        <w:tab/>
      </w:r>
    </w:p>
    <w:p w14:paraId="75F7F4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color w:val="auto"/>
          <w:sz w:val="32"/>
          <w:szCs w:val="32"/>
        </w:rPr>
        <w:t>148.05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0EAB0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color w:val="auto"/>
          <w:sz w:val="32"/>
          <w:szCs w:val="32"/>
        </w:rPr>
        <w:t>131.79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color w:val="auto"/>
          <w:sz w:val="32"/>
          <w:szCs w:val="32"/>
        </w:rPr>
        <w:t>16.26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5CFDECF">
      <w:pPr>
        <w:spacing w:line="600" w:lineRule="exact"/>
        <w:ind w:firstLine="640"/>
        <w:outlineLvl w:val="1"/>
        <w:rPr>
          <w:rStyle w:val="31"/>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6"/>
      <w:bookmarkEnd w:id="37"/>
    </w:p>
    <w:p w14:paraId="60A968AB">
      <w:pPr>
        <w:spacing w:line="600" w:lineRule="exact"/>
        <w:ind w:firstLine="321" w:firstLineChars="1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63AB7EC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color w:val="auto"/>
          <w:sz w:val="32"/>
          <w:szCs w:val="32"/>
        </w:rPr>
        <w:t>0.41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0.15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57.69</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w:t>
      </w:r>
    </w:p>
    <w:p w14:paraId="10CD4726">
      <w:pPr>
        <w:spacing w:line="600" w:lineRule="exact"/>
        <w:ind w:firstLine="321" w:firstLineChars="1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2E082CE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color w:val="auto"/>
          <w:sz w:val="32"/>
          <w:szCs w:val="32"/>
        </w:rPr>
        <w:t>0.41</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5D5C5DF0">
      <w:pPr>
        <w:rPr>
          <w:rFonts w:hint="eastAsia" w:ascii="仿宋_GB2312" w:hAnsi="仿宋_GB2312" w:eastAsia="仿宋_GB2312" w:cs="仿宋_GB2312"/>
          <w:color w:val="auto"/>
          <w:kern w:val="2"/>
          <w:sz w:val="32"/>
          <w:szCs w:val="32"/>
          <w:highlight w:val="none"/>
          <w:lang w:val="en-US" w:eastAsia="zh-CN" w:bidi="ar-SA"/>
        </w:rPr>
      </w:pPr>
    </w:p>
    <w:p w14:paraId="14F44893">
      <w:pPr>
        <w:pStyle w:val="16"/>
        <w:rPr>
          <w:rFonts w:hint="eastAsia"/>
          <w:color w:val="auto"/>
          <w:lang w:val="en-US" w:eastAsia="zh-CN"/>
        </w:rPr>
      </w:pPr>
      <w:r>
        <w:rPr>
          <w:color w:val="auto"/>
        </w:rPr>
        <w:drawing>
          <wp:inline distT="0" distB="0" distL="114300" distR="114300">
            <wp:extent cx="4826000" cy="2743200"/>
            <wp:effectExtent l="4445" t="4445" r="8255" b="14605"/>
            <wp:docPr id="28"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5BBE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AA56C8B">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2425219">
      <w:pPr>
        <w:numPr>
          <w:ilvl w:val="0"/>
          <w:numId w:val="0"/>
        </w:num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1CE8C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659D2A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113CCB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0.41万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0.15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57.69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本年度共接待人数在82人次</w:t>
      </w:r>
      <w:r>
        <w:rPr>
          <w:rFonts w:hint="eastAsia" w:ascii="Times New Roman" w:hAnsi="Times New Roman" w:eastAsia="仿宋_GB2312" w:cs="仿宋_GB2312"/>
          <w:color w:val="auto"/>
          <w:kern w:val="2"/>
          <w:sz w:val="32"/>
          <w:szCs w:val="32"/>
          <w:highlight w:val="none"/>
          <w:lang w:val="en-US" w:eastAsia="zh-CN" w:bidi="ar-SA"/>
        </w:rPr>
        <w:t>。其中：</w:t>
      </w:r>
    </w:p>
    <w:p w14:paraId="3327BD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0.41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rPr>
        <w:t>82</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0.42</w:t>
      </w:r>
      <w:r>
        <w:rPr>
          <w:rFonts w:hint="eastAsia" w:ascii="Times New Roman" w:hAnsi="Times New Roman" w:eastAsia="仿宋_GB2312" w:cs="仿宋_GB2312"/>
          <w:color w:val="auto"/>
          <w:kern w:val="2"/>
          <w:sz w:val="32"/>
          <w:szCs w:val="32"/>
          <w:highlight w:val="none"/>
          <w:lang w:val="en-US" w:eastAsia="zh-CN" w:bidi="ar-SA"/>
        </w:rPr>
        <w:t>万元，具体内容包括：开展业务活动开支的交通费、住宿费、用餐费等。</w:t>
      </w:r>
    </w:p>
    <w:p w14:paraId="767197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0" w:name="_Toc15396610"/>
      <w:bookmarkStart w:id="41" w:name="_Toc15377218"/>
    </w:p>
    <w:p w14:paraId="384ADC93">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0"/>
      <w:bookmarkEnd w:id="41"/>
    </w:p>
    <w:p w14:paraId="5AE62E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AAC9E4F">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2" w:name="_Toc15396611"/>
      <w:bookmarkStart w:id="43"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2"/>
      <w:bookmarkEnd w:id="43"/>
    </w:p>
    <w:p w14:paraId="261D22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FF93C05">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4" w:name="_Toc15377221"/>
      <w:bookmarkStart w:id="45"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4"/>
      <w:bookmarkEnd w:id="45"/>
    </w:p>
    <w:p w14:paraId="5A67682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2BCE487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rPr>
        <w:t>乐山市金口河区粮食和物资储备中心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color w:val="auto"/>
          <w:sz w:val="32"/>
          <w:szCs w:val="32"/>
        </w:rPr>
        <w:t>16.26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0.07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，基本与上年持平。</w:t>
      </w:r>
    </w:p>
    <w:p w14:paraId="2776DDA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605439A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sz w:val="32"/>
          <w:szCs w:val="32"/>
        </w:rPr>
        <w:t>乐山市金口河区粮食和物资储备中心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88E8FE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00731A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color w:val="auto"/>
          <w:sz w:val="32"/>
          <w:szCs w:val="32"/>
        </w:rPr>
        <w:t>乐山市金口河区粮食和物资储备中心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BA9C84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43C39C8">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eastAsia="楷体_GB2312" w:cs="楷体_GB2312"/>
          <w:b/>
          <w:sz w:val="32"/>
          <w:szCs w:val="32"/>
          <w:lang w:val="en-US" w:eastAsia="zh-CN"/>
        </w:rPr>
      </w:pPr>
      <w:r>
        <w:rPr>
          <w:rFonts w:hint="eastAsia" w:eastAsia="楷体_GB2312" w:cs="楷体_GB2312"/>
          <w:b/>
          <w:sz w:val="32"/>
          <w:szCs w:val="32"/>
          <w:lang w:val="en-US" w:eastAsia="zh-CN"/>
        </w:rPr>
        <w:t>1.预决算编制情况</w:t>
      </w:r>
    </w:p>
    <w:p w14:paraId="7C91E5E9">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outlineLvl w:val="2"/>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严格按照《中华人民共和国预算法》以及财政部门有关管理的规定及本单位实际工作需要编制和执行年度预算，无随意调整预算情况，各项收支均纳入预算管理。</w:t>
      </w:r>
    </w:p>
    <w:p w14:paraId="6AC997D7">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2.</w:t>
      </w:r>
      <w:r>
        <w:rPr>
          <w:rFonts w:hint="eastAsia" w:ascii="仿宋" w:hAnsi="仿宋" w:eastAsia="仿宋" w:cs="仿宋"/>
          <w:b/>
          <w:bCs/>
          <w:color w:val="auto"/>
          <w:sz w:val="32"/>
          <w:szCs w:val="32"/>
          <w:shd w:val="clear" w:color="auto" w:fill="FFFFFF"/>
          <w:lang w:eastAsia="zh-CN"/>
        </w:rPr>
        <w:t>执行管理情况</w:t>
      </w:r>
    </w:p>
    <w:p w14:paraId="284DC5CE">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outlineLvl w:val="2"/>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我</w:t>
      </w:r>
      <w:r>
        <w:rPr>
          <w:rFonts w:hint="eastAsia" w:ascii="仿宋_GB2312"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按照上级主管部门下达的年初目标任务，结合单位实际，进一步完善了财务管理制度，使财政收支预算执行得到良好的制度保障和实施效果。</w:t>
      </w:r>
    </w:p>
    <w:p w14:paraId="6748A26B">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3.</w:t>
      </w:r>
      <w:r>
        <w:rPr>
          <w:rFonts w:hint="eastAsia" w:ascii="仿宋" w:hAnsi="仿宋" w:eastAsia="仿宋" w:cs="仿宋"/>
          <w:b/>
          <w:bCs/>
          <w:color w:val="auto"/>
          <w:sz w:val="32"/>
          <w:szCs w:val="32"/>
          <w:shd w:val="clear" w:color="auto" w:fill="FFFFFF"/>
          <w:lang w:eastAsia="zh-CN"/>
        </w:rPr>
        <w:t>综合管理情况</w:t>
      </w:r>
    </w:p>
    <w:p w14:paraId="3DA3112D">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outlineLvl w:val="2"/>
        <w:rPr>
          <w:rFonts w:hint="eastAsia" w:ascii="仿宋_GB2312" w:hAnsi="仿宋_GB2312" w:eastAsia="仿宋_GB2312" w:cs="仿宋_GB2312"/>
          <w:color w:val="auto"/>
          <w:sz w:val="32"/>
          <w:szCs w:val="32"/>
          <w:shd w:val="clear" w:color="auto" w:fill="FFFFFF"/>
          <w:lang w:eastAsia="zh-CN"/>
        </w:rPr>
      </w:pPr>
      <w:r>
        <w:rPr>
          <w:rFonts w:hint="eastAsia"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1</w:t>
      </w:r>
      <w:r>
        <w:rPr>
          <w:rFonts w:hint="eastAsia"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按照区财政局关于单位预算、决算、政府采购、绩效等信息公开的时间，在规定时间内完成本单位的相关信息公开，做到及时、真实、不弄虚作假。</w:t>
      </w:r>
    </w:p>
    <w:p w14:paraId="17A36B48">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2</w:t>
      </w:r>
      <w:r>
        <w:rPr>
          <w:rFonts w:hint="eastAsia"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我</w:t>
      </w:r>
      <w:r>
        <w:rPr>
          <w:rFonts w:hint="eastAsia"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建立健全有效的内控制度，采取定期公开式的财务管理制度，严格执行财务管理制度，强化项目资金管理和使用。同时严格遵守国家、省、市财务管理法律法规，本着勤俭节约原则，管理好用好每笔资金。杜绝违规违法事件的发生。财务活动接受审计、财政、纪检监察等部门的监督检查，无反馈问题。</w:t>
      </w:r>
    </w:p>
    <w:p w14:paraId="39941B1B">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内所有资产必须实现资产归口管理和明确使用责任，细化到人，每半年对资产进行清查盘点，对账实不符的情况及时进行处理；严格按照规定处置资产。</w:t>
      </w:r>
    </w:p>
    <w:p w14:paraId="6650A0E4">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4.</w:t>
      </w:r>
      <w:r>
        <w:rPr>
          <w:rFonts w:hint="eastAsia" w:ascii="仿宋" w:hAnsi="仿宋" w:eastAsia="仿宋" w:cs="仿宋"/>
          <w:b/>
          <w:bCs/>
          <w:color w:val="auto"/>
          <w:sz w:val="32"/>
          <w:szCs w:val="32"/>
          <w:shd w:val="clear" w:color="auto" w:fill="FFFFFF"/>
          <w:lang w:eastAsia="zh-CN"/>
        </w:rPr>
        <w:t>整体绩效</w:t>
      </w:r>
    </w:p>
    <w:p w14:paraId="6FD39BD5">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① </w:t>
      </w:r>
      <w:r>
        <w:rPr>
          <w:rFonts w:hint="eastAsia" w:ascii="仿宋" w:hAnsi="仿宋" w:eastAsia="仿宋" w:cs="仿宋"/>
          <w:b/>
          <w:bCs/>
          <w:color w:val="auto"/>
          <w:sz w:val="32"/>
          <w:szCs w:val="32"/>
          <w:shd w:val="clear" w:color="auto" w:fill="FFFFFF"/>
          <w:lang w:eastAsia="zh-CN"/>
        </w:rPr>
        <w:t>资金绩效分配情况</w:t>
      </w:r>
    </w:p>
    <w:p w14:paraId="73479EBF">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认真贯彻执行《四川省省级财政专项资金绩效分配管理暂行办法》实施绩效分配。资金分配科学合理，分配过程符合相关规定。建立健全专项资金绩效分配机制，实现了财政资金资源有效配置。</w:t>
      </w:r>
    </w:p>
    <w:p w14:paraId="7044FBCD">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② </w:t>
      </w:r>
      <w:r>
        <w:rPr>
          <w:rFonts w:hint="eastAsia" w:ascii="仿宋" w:hAnsi="仿宋" w:eastAsia="仿宋" w:cs="仿宋"/>
          <w:b/>
          <w:bCs/>
          <w:color w:val="auto"/>
          <w:sz w:val="32"/>
          <w:szCs w:val="32"/>
          <w:shd w:val="clear" w:color="auto" w:fill="FFFFFF"/>
          <w:lang w:eastAsia="zh-CN"/>
        </w:rPr>
        <w:t>项目资金管理情况</w:t>
      </w:r>
      <w:r>
        <w:rPr>
          <w:rFonts w:hint="eastAsia" w:ascii="仿宋_GB2312" w:hAnsi="仿宋_GB2312" w:eastAsia="仿宋_GB2312" w:cs="仿宋_GB2312"/>
          <w:color w:val="auto"/>
          <w:sz w:val="32"/>
          <w:szCs w:val="32"/>
          <w:shd w:val="clear" w:color="auto" w:fill="FFFFFF"/>
          <w:lang w:eastAsia="zh-CN"/>
        </w:rPr>
        <w:t>加强对项目资金的管理，严格按照资金的使用范围专款专用，支付有依据，严格开支标准。无截留、挤占、挪用专项资金和虚列资金及大额度现金支出现象。</w:t>
      </w:r>
    </w:p>
    <w:p w14:paraId="3DE2CB58">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③ </w:t>
      </w:r>
      <w:r>
        <w:rPr>
          <w:rFonts w:hint="eastAsia" w:ascii="仿宋" w:hAnsi="仿宋" w:eastAsia="仿宋" w:cs="仿宋"/>
          <w:b/>
          <w:bCs/>
          <w:color w:val="auto"/>
          <w:sz w:val="32"/>
          <w:szCs w:val="32"/>
          <w:shd w:val="clear" w:color="auto" w:fill="FFFFFF"/>
          <w:lang w:eastAsia="zh-CN"/>
        </w:rPr>
        <w:t>绩效目标完成情况</w:t>
      </w:r>
    </w:p>
    <w:p w14:paraId="494A3F15">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5.</w:t>
      </w:r>
      <w:r>
        <w:rPr>
          <w:rFonts w:hint="eastAsia" w:ascii="仿宋" w:hAnsi="仿宋" w:eastAsia="仿宋" w:cs="仿宋"/>
          <w:b/>
          <w:bCs/>
          <w:color w:val="auto"/>
          <w:sz w:val="32"/>
          <w:szCs w:val="32"/>
          <w:shd w:val="clear" w:color="auto" w:fill="FFFFFF"/>
          <w:lang w:eastAsia="zh-CN"/>
        </w:rPr>
        <w:t>改进建议</w:t>
      </w:r>
    </w:p>
    <w:p w14:paraId="0E0D3A44">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rPr>
        <w:t>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年绩效目标全面完成，取得了一定经济和社会效益。单位财务制度健全，管理规范，得到有效执行。三公经费控制率较好，未超预算。总之，通过加强绩效预算，使财政资金得到有效使用，行政效率得到提高，促进了各项工作顺利开展。</w:t>
      </w:r>
    </w:p>
    <w:p w14:paraId="67E1E262">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color w:val="auto"/>
        </w:rPr>
      </w:pPr>
      <w:r>
        <w:rPr>
          <w:rFonts w:hint="eastAsia" w:ascii="仿宋" w:hAnsi="仿宋" w:eastAsia="仿宋" w:cs="仿宋"/>
          <w:color w:val="auto"/>
          <w:sz w:val="32"/>
          <w:szCs w:val="32"/>
          <w:shd w:val="clear" w:color="auto" w:fill="FFFFFF"/>
          <w:lang w:eastAsia="zh-CN"/>
        </w:rPr>
        <w:t>今后工作中在预算编制的准确性上下功夫，通过积极组织、认真论证、领导决策等程序，确保做实预算，保证预算与实际需要基本相符；对项目实施有科学规划，依据项目年内可完成进度分年度下达预算指标，当年预算才能全部执行，提高预算管理质量。</w:t>
      </w:r>
    </w:p>
    <w:p w14:paraId="548D026F">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p>
    <w:p w14:paraId="5800C542">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964" w:firstLineChars="300"/>
        <w:textAlignment w:val="auto"/>
        <w:rPr>
          <w:rFonts w:hint="eastAsia" w:ascii="仿宋" w:hAnsi="仿宋" w:eastAsia="仿宋" w:cs="仿宋"/>
          <w:b/>
          <w:bCs/>
          <w:color w:val="auto"/>
          <w:sz w:val="32"/>
          <w:szCs w:val="32"/>
          <w:shd w:val="clear" w:color="auto" w:fill="FFFFFF"/>
          <w:lang w:eastAsia="zh-CN"/>
        </w:rPr>
      </w:pPr>
    </w:p>
    <w:p w14:paraId="75C25625">
      <w:pPr>
        <w:pStyle w:val="7"/>
        <w:keepNext w:val="0"/>
        <w:keepLines w:val="0"/>
        <w:pageBreakBefore w:val="0"/>
        <w:numPr>
          <w:ilvl w:val="0"/>
          <w:numId w:val="0"/>
        </w:numPr>
        <w:kinsoku/>
        <w:wordWrap/>
        <w:overflowPunct/>
        <w:topLinePunct w:val="0"/>
        <w:autoSpaceDE/>
        <w:autoSpaceDN/>
        <w:bidi w:val="0"/>
        <w:adjustRightInd/>
        <w:snapToGrid/>
        <w:spacing w:line="240" w:lineRule="atLeast"/>
        <w:ind w:firstLine="960" w:firstLineChars="300"/>
        <w:textAlignment w:val="auto"/>
        <w:rPr>
          <w:rFonts w:hint="eastAsia" w:ascii="仿宋_GB2312" w:hAnsi="仿宋_GB2312" w:eastAsia="仿宋_GB2312" w:cs="仿宋_GB2312"/>
          <w:color w:val="auto"/>
          <w:sz w:val="32"/>
          <w:szCs w:val="32"/>
          <w:shd w:val="clear" w:color="auto" w:fill="FFFFFF"/>
          <w:lang w:eastAsia="zh-CN"/>
        </w:rPr>
      </w:pPr>
    </w:p>
    <w:p w14:paraId="060CA5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13C7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2A789E">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p>
    <w:p w14:paraId="2E65928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CD27BE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323ED6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39247E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16CECE7">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1E5CD5BD">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22E91175">
      <w:pPr>
        <w:spacing w:line="600" w:lineRule="exact"/>
        <w:jc w:val="left"/>
        <w:rPr>
          <w:rFonts w:ascii="Times New Roman" w:hAnsi="Times New Roman"/>
          <w:b/>
          <w:color w:val="auto"/>
          <w:sz w:val="44"/>
          <w:szCs w:val="44"/>
          <w:highlight w:val="none"/>
        </w:rPr>
      </w:pPr>
    </w:p>
    <w:p w14:paraId="79D11C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4DB495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38D54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0CEBF8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177B2C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C46AD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5EB7C5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05988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615D2E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ascii="仿宋" w:hAnsi="仿宋" w:eastAsia="仿宋" w:cs="仿宋"/>
          <w:sz w:val="32"/>
          <w:szCs w:val="32"/>
          <w:lang w:eastAsia="zh-CN"/>
        </w:rPr>
        <w:t>指机关事业单位实施养老保险制度由单位缴纳的基本养老保险支出、</w:t>
      </w:r>
      <w:r>
        <w:rPr>
          <w:rFonts w:hint="eastAsia" w:ascii="仿宋" w:hAnsi="仿宋" w:eastAsia="仿宋" w:cs="仿宋"/>
          <w:sz w:val="32"/>
          <w:szCs w:val="32"/>
          <w:lang w:val="en-US" w:eastAsia="zh-CN"/>
        </w:rPr>
        <w:t>职业年金支出、退休人员春节慰问金支出、残疾人就业保障金支出、失业和工伤保险支出。</w:t>
      </w:r>
    </w:p>
    <w:p w14:paraId="739D26BF">
      <w:pPr>
        <w:spacing w:line="600" w:lineRule="exact"/>
        <w:ind w:firstLine="640" w:firstLineChars="20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10.卫生健康</w:t>
      </w:r>
      <w:r>
        <w:rPr>
          <w:rFonts w:hint="eastAsia" w:eastAsia="仿宋_GB2312" w:cs="仿宋_GB2312"/>
          <w:color w:val="auto"/>
          <w:kern w:val="2"/>
          <w:sz w:val="32"/>
          <w:szCs w:val="32"/>
          <w:highlight w:val="none"/>
          <w:lang w:val="en-US" w:eastAsia="zh-CN" w:bidi="ar-SA"/>
        </w:rPr>
        <w:t>支出：指行政单位医疗保险支出、公务员医疗补助支出。</w:t>
      </w:r>
    </w:p>
    <w:p w14:paraId="00E358EB">
      <w:pPr>
        <w:spacing w:line="600" w:lineRule="exact"/>
        <w:ind w:firstLine="640" w:firstLineChars="20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11.住房保障</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：指住房公积金支出</w:t>
      </w:r>
    </w:p>
    <w:p w14:paraId="070A7C88">
      <w:pPr>
        <w:spacing w:line="600" w:lineRule="exact"/>
        <w:ind w:firstLine="640" w:firstLineChars="20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12.粮油和物质储备</w:t>
      </w:r>
      <w:r>
        <w:rPr>
          <w:rFonts w:hint="eastAsia" w:eastAsia="仿宋_GB2312" w:cs="仿宋_GB2312"/>
          <w:color w:val="auto"/>
          <w:kern w:val="2"/>
          <w:sz w:val="32"/>
          <w:szCs w:val="32"/>
          <w:highlight w:val="none"/>
          <w:lang w:val="en-US" w:eastAsia="zh-CN" w:bidi="ar-SA"/>
        </w:rPr>
        <w:t>支出：指工资性支出、伙食补助费、日常公用经费、座机电话费、公务交通补贴、</w:t>
      </w:r>
      <w:r>
        <w:rPr>
          <w:rFonts w:hint="eastAsia" w:ascii="Times New Roman" w:hAnsi="Times New Roman" w:eastAsia="仿宋_GB2312" w:cs="仿宋_GB2312"/>
          <w:color w:val="auto"/>
          <w:kern w:val="2"/>
          <w:sz w:val="32"/>
          <w:szCs w:val="32"/>
          <w:highlight w:val="none"/>
          <w:lang w:val="en-US" w:eastAsia="zh-CN" w:bidi="ar-SA"/>
        </w:rPr>
        <w:t>公务员基础绩效奖、</w:t>
      </w:r>
      <w:r>
        <w:rPr>
          <w:rFonts w:hint="eastAsia" w:eastAsia="仿宋_GB2312" w:cs="仿宋_GB2312"/>
          <w:color w:val="auto"/>
          <w:kern w:val="2"/>
          <w:sz w:val="32"/>
          <w:szCs w:val="32"/>
          <w:highlight w:val="none"/>
          <w:lang w:val="en-US" w:eastAsia="zh-CN" w:bidi="ar-SA"/>
        </w:rPr>
        <w:t>公务员年终考核奖、独子费（行政）支出。</w:t>
      </w:r>
    </w:p>
    <w:p w14:paraId="09255DC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60D74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3B6D99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697A5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DAE3A8">
      <w:pPr>
        <w:spacing w:line="600" w:lineRule="exact"/>
        <w:jc w:val="both"/>
        <w:rPr>
          <w:rFonts w:hint="eastAsia" w:ascii="Times New Roman" w:hAnsi="Times New Roman" w:eastAsia="黑体"/>
          <w:color w:val="auto"/>
          <w:sz w:val="44"/>
          <w:szCs w:val="44"/>
          <w:highlight w:val="none"/>
        </w:rPr>
      </w:pPr>
      <w:bookmarkStart w:id="51" w:name="_Toc15396614"/>
      <w:bookmarkStart w:id="52" w:name="_Toc15377226"/>
    </w:p>
    <w:p w14:paraId="7C573687">
      <w:pPr>
        <w:spacing w:line="600" w:lineRule="exact"/>
        <w:jc w:val="center"/>
        <w:rPr>
          <w:rStyle w:val="30"/>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1"/>
    </w:p>
    <w:p w14:paraId="488BA3BF">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auto"/>
          <w:sz w:val="32"/>
          <w:szCs w:val="32"/>
          <w:highlight w:val="none"/>
        </w:rPr>
      </w:pPr>
    </w:p>
    <w:p w14:paraId="6752BFF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96E841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color w:val="auto"/>
          <w:sz w:val="44"/>
          <w:szCs w:val="44"/>
          <w:highlight w:val="none"/>
          <w:shd w:val="clear" w:color="auto" w:fill="FFFFFF"/>
        </w:rPr>
      </w:pPr>
    </w:p>
    <w:p w14:paraId="00BA2CB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color w:val="auto"/>
          <w:sz w:val="44"/>
          <w:szCs w:val="44"/>
          <w:highlight w:val="none"/>
          <w:shd w:val="clear" w:color="auto" w:fill="FFFFFF"/>
        </w:rPr>
      </w:pPr>
      <w:r>
        <w:rPr>
          <w:rFonts w:hint="default" w:ascii="Times New Roman" w:hAnsi="Times New Roman" w:eastAsia="方正小标宋简体" w:cs="Times New Roman"/>
          <w:b w:val="0"/>
          <w:bCs/>
          <w:color w:val="auto"/>
          <w:sz w:val="44"/>
          <w:szCs w:val="44"/>
          <w:highlight w:val="none"/>
          <w:shd w:val="clear" w:color="auto" w:fill="FFFFFF"/>
        </w:rPr>
        <w:t>部门</w:t>
      </w:r>
      <w:r>
        <w:rPr>
          <w:rFonts w:hint="default" w:ascii="Times New Roman" w:hAnsi="Times New Roman" w:eastAsia="方正小标宋简体" w:cs="Times New Roman"/>
          <w:b w:val="0"/>
          <w:bCs/>
          <w:color w:val="auto"/>
          <w:sz w:val="44"/>
          <w:szCs w:val="44"/>
          <w:highlight w:val="none"/>
          <w:shd w:val="clear" w:color="auto" w:fill="FFFFFF"/>
          <w:lang w:eastAsia="zh-CN"/>
        </w:rPr>
        <w:t>预算</w:t>
      </w:r>
      <w:r>
        <w:rPr>
          <w:rFonts w:hint="default" w:ascii="Times New Roman" w:hAnsi="Times New Roman" w:eastAsia="方正小标宋简体" w:cs="Times New Roman"/>
          <w:b w:val="0"/>
          <w:bCs/>
          <w:color w:val="auto"/>
          <w:sz w:val="44"/>
          <w:szCs w:val="44"/>
          <w:highlight w:val="none"/>
          <w:shd w:val="clear" w:color="auto" w:fill="FFFFFF"/>
        </w:rPr>
        <w:t>绩效</w:t>
      </w:r>
      <w:r>
        <w:rPr>
          <w:rFonts w:hint="eastAsia" w:ascii="Times New Roman" w:hAnsi="Times New Roman" w:eastAsia="方正小标宋简体" w:cs="Times New Roman"/>
          <w:b w:val="0"/>
          <w:bCs/>
          <w:color w:val="auto"/>
          <w:sz w:val="44"/>
          <w:szCs w:val="44"/>
          <w:highlight w:val="none"/>
          <w:shd w:val="clear" w:color="auto" w:fill="FFFFFF"/>
          <w:lang w:eastAsia="zh-CN"/>
        </w:rPr>
        <w:t>评价</w:t>
      </w:r>
      <w:r>
        <w:rPr>
          <w:rFonts w:hint="default" w:ascii="Times New Roman" w:hAnsi="Times New Roman" w:eastAsia="方正小标宋简体" w:cs="Times New Roman"/>
          <w:b w:val="0"/>
          <w:bCs/>
          <w:color w:val="auto"/>
          <w:sz w:val="44"/>
          <w:szCs w:val="44"/>
          <w:highlight w:val="none"/>
          <w:shd w:val="clear" w:color="auto" w:fill="FFFFFF"/>
        </w:rPr>
        <w:t>报告范本</w:t>
      </w:r>
    </w:p>
    <w:p w14:paraId="58CCCE2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（报告范围包括机关和下属单位）</w:t>
      </w:r>
    </w:p>
    <w:p w14:paraId="4CB9BE5C">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auto"/>
          <w:kern w:val="0"/>
          <w:sz w:val="24"/>
          <w:szCs w:val="32"/>
          <w:highlight w:val="none"/>
          <w:shd w:val="clear" w:color="auto" w:fill="FFFFFF"/>
        </w:rPr>
      </w:pPr>
    </w:p>
    <w:p w14:paraId="62D0E8C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auto"/>
          <w:kern w:val="0"/>
          <w:sz w:val="32"/>
          <w:szCs w:val="32"/>
          <w:highlight w:val="none"/>
          <w:shd w:val="clear" w:color="auto" w:fill="FFFFFF"/>
          <w:lang w:val="zh-CN"/>
        </w:rPr>
      </w:pPr>
      <w:r>
        <w:rPr>
          <w:rFonts w:hint="eastAsia" w:ascii="Times New Roman" w:hAnsi="Times New Roman" w:eastAsia="黑体" w:cs="Times New Roman"/>
          <w:color w:val="auto"/>
          <w:kern w:val="0"/>
          <w:sz w:val="32"/>
          <w:szCs w:val="32"/>
          <w:highlight w:val="none"/>
          <w:shd w:val="clear" w:color="auto" w:fill="FFFFFF"/>
          <w:lang w:val="zh-CN"/>
        </w:rPr>
        <w:t>一、</w:t>
      </w:r>
      <w:r>
        <w:rPr>
          <w:rFonts w:hint="default" w:ascii="Times New Roman" w:hAnsi="Times New Roman" w:eastAsia="黑体" w:cs="Times New Roman"/>
          <w:color w:val="auto"/>
          <w:kern w:val="0"/>
          <w:sz w:val="32"/>
          <w:szCs w:val="32"/>
          <w:highlight w:val="none"/>
          <w:shd w:val="clear" w:color="auto" w:fill="FFFFFF"/>
          <w:lang w:val="zh-CN"/>
        </w:rPr>
        <w:t>部门（单位）基本情况</w:t>
      </w:r>
    </w:p>
    <w:p w14:paraId="046B3E00">
      <w:pPr>
        <w:widowControl/>
        <w:adjustRightInd w:val="0"/>
        <w:snapToGrid w:val="0"/>
        <w:spacing w:beforeLines="0" w:afterLines="0" w:line="580" w:lineRule="exact"/>
        <w:ind w:firstLine="643" w:firstLineChars="200"/>
        <w:jc w:val="left"/>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7A0E3486">
      <w:pPr>
        <w:widowControl/>
        <w:adjustRightInd w:val="0"/>
        <w:snapToGrid w:val="0"/>
        <w:spacing w:beforeLines="0" w:afterLines="0" w:line="580" w:lineRule="exact"/>
        <w:ind w:firstLine="640" w:firstLineChars="200"/>
        <w:jc w:val="left"/>
        <w:rPr>
          <w:rFonts w:hint="default" w:ascii="Times New Roman" w:hAnsi="Times New Roman" w:cs="Times New Roman"/>
          <w:color w:val="auto"/>
          <w:szCs w:val="32"/>
        </w:rPr>
      </w:pPr>
      <w:r>
        <w:rPr>
          <w:rFonts w:hint="eastAsia" w:ascii="仿宋_GB2312" w:hAnsi="仿宋_GB2312" w:eastAsia="仿宋_GB2312" w:cs="仿宋_GB2312"/>
          <w:color w:val="auto"/>
          <w:kern w:val="0"/>
          <w:sz w:val="32"/>
          <w:szCs w:val="32"/>
          <w:shd w:val="clear" w:color="auto" w:fill="FFFFFF"/>
          <w:lang w:val="zh-CN"/>
        </w:rPr>
        <w:t>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val="zh-CN"/>
        </w:rPr>
        <w:t>年末，</w:t>
      </w:r>
      <w:r>
        <w:rPr>
          <w:rFonts w:hint="eastAsia" w:ascii="仿宋_GB2312" w:hAnsi="仿宋_GB2312" w:eastAsia="仿宋_GB2312" w:cs="仿宋_GB2312"/>
          <w:color w:val="auto"/>
          <w:kern w:val="0"/>
          <w:sz w:val="32"/>
          <w:szCs w:val="32"/>
          <w:shd w:val="clear" w:color="auto" w:fill="FFFFFF"/>
          <w:lang w:val="en-US" w:eastAsia="zh-CN"/>
        </w:rPr>
        <w:t>本单位</w:t>
      </w:r>
      <w:r>
        <w:rPr>
          <w:rFonts w:hint="eastAsia" w:ascii="仿宋_GB2312" w:hAnsi="仿宋_GB2312" w:eastAsia="仿宋_GB2312" w:cs="仿宋_GB2312"/>
          <w:color w:val="auto"/>
          <w:kern w:val="0"/>
          <w:sz w:val="32"/>
          <w:szCs w:val="32"/>
          <w:shd w:val="clear" w:color="auto" w:fill="FFFFFF"/>
          <w:lang w:val="zh-CN"/>
        </w:rPr>
        <w:t>独立编制（核算）机构1个，属参公管理的事业单位，内设机构2个,分别为：办公室、财会股。</w:t>
      </w:r>
    </w:p>
    <w:p w14:paraId="3ED02763">
      <w:pPr>
        <w:widowControl/>
        <w:numPr>
          <w:ilvl w:val="0"/>
          <w:numId w:val="2"/>
        </w:numPr>
        <w:adjustRightInd w:val="0"/>
        <w:snapToGrid w:val="0"/>
        <w:spacing w:beforeLines="0" w:afterLines="0" w:line="580" w:lineRule="exact"/>
        <w:ind w:firstLine="643" w:firstLineChars="200"/>
        <w:jc w:val="left"/>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193C7ED3">
      <w:pPr>
        <w:widowControl/>
        <w:numPr>
          <w:ilvl w:val="0"/>
          <w:numId w:val="0"/>
        </w:numPr>
        <w:adjustRightInd w:val="0"/>
        <w:snapToGrid w:val="0"/>
        <w:spacing w:beforeLines="0" w:afterLines="0" w:line="580" w:lineRule="exact"/>
        <w:ind w:firstLine="640" w:firstLineChars="200"/>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1、组织执行党的路线、方针、政策和国家法律法规。</w:t>
      </w:r>
    </w:p>
    <w:p w14:paraId="62790697">
      <w:pPr>
        <w:widowControl/>
        <w:adjustRightInd w:val="0"/>
        <w:snapToGrid w:val="0"/>
        <w:spacing w:beforeLines="0" w:afterLines="0" w:line="580" w:lineRule="exact"/>
        <w:ind w:firstLine="640" w:firstLineChars="200"/>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2、贯彻国务院颁布的《粮食流通管理条例》。</w:t>
      </w:r>
    </w:p>
    <w:p w14:paraId="43F0BE3D">
      <w:pPr>
        <w:widowControl/>
        <w:adjustRightInd w:val="0"/>
        <w:snapToGrid w:val="0"/>
        <w:spacing w:beforeLines="0" w:afterLines="0" w:line="580" w:lineRule="exact"/>
        <w:ind w:firstLine="640" w:firstLineChars="200"/>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3、负责全区粮食流通的行政执法和监督检查，保护粮食生产者的积极性，维护经营者和消费者权益，保障全区粮食安全，维护粮食市场秩序。</w:t>
      </w:r>
    </w:p>
    <w:p w14:paraId="372462DD">
      <w:pPr>
        <w:widowControl/>
        <w:adjustRightInd w:val="0"/>
        <w:snapToGrid w:val="0"/>
        <w:spacing w:beforeLines="0" w:afterLines="0" w:line="580" w:lineRule="exact"/>
        <w:ind w:firstLine="640" w:firstLineChars="200"/>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4、负责全区粮食流通行政监督，行业指导，加强粮食宏观调控，发挥粮食部门的主渠道作用。</w:t>
      </w:r>
    </w:p>
    <w:p w14:paraId="5A66608A">
      <w:pPr>
        <w:widowControl/>
        <w:adjustRightInd w:val="0"/>
        <w:snapToGrid w:val="0"/>
        <w:spacing w:beforeLines="0" w:afterLines="0" w:line="580" w:lineRule="exact"/>
        <w:ind w:firstLine="640" w:firstLineChars="200"/>
        <w:jc w:val="left"/>
        <w:rPr>
          <w:rFonts w:hint="default" w:ascii="Times New Roman" w:hAnsi="Times New Roman" w:eastAsia="楷体_GB2312" w:cs="Times New Roman"/>
          <w:b/>
          <w:bCs/>
          <w:color w:val="auto"/>
          <w:kern w:val="0"/>
          <w:szCs w:val="32"/>
          <w:highlight w:val="none"/>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5、负责监管区级储备粮油的执行，保障储备粮油的安全，建立粮食应急机制，应对突发事件。</w:t>
      </w:r>
    </w:p>
    <w:p w14:paraId="03BBE909">
      <w:pPr>
        <w:widowControl/>
        <w:numPr>
          <w:ilvl w:val="0"/>
          <w:numId w:val="2"/>
        </w:numPr>
        <w:adjustRightInd w:val="0"/>
        <w:snapToGrid w:val="0"/>
        <w:spacing w:beforeLines="0" w:afterLines="0" w:line="580" w:lineRule="exact"/>
        <w:ind w:left="0" w:leftChars="0" w:firstLine="643" w:firstLineChars="200"/>
        <w:jc w:val="left"/>
        <w:rPr>
          <w:rFonts w:hint="eastAsia"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人员概况</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66B8C417">
      <w:pPr>
        <w:widowControl/>
        <w:numPr>
          <w:ilvl w:val="0"/>
          <w:numId w:val="0"/>
        </w:numPr>
        <w:adjustRightInd w:val="0"/>
        <w:snapToGrid w:val="0"/>
        <w:spacing w:beforeLines="0" w:afterLines="0" w:line="580" w:lineRule="exact"/>
        <w:ind w:leftChars="200" w:firstLine="640" w:firstLineChars="200"/>
        <w:jc w:val="left"/>
        <w:rPr>
          <w:rFonts w:hint="default" w:ascii="Times New Roman" w:hAnsi="Times New Roman" w:cs="Times New Roman"/>
          <w:color w:val="auto"/>
          <w:szCs w:val="32"/>
        </w:rPr>
      </w:pPr>
      <w:r>
        <w:rPr>
          <w:rFonts w:hint="default" w:ascii="Times New Roman" w:hAnsi="Times New Roman" w:eastAsia="仿宋_GB2312" w:cs="Times New Roman"/>
          <w:color w:val="auto"/>
          <w:sz w:val="32"/>
          <w:szCs w:val="32"/>
          <w:lang w:val="en-US" w:eastAsia="zh-CN"/>
        </w:rPr>
        <w:t>截至202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年末，</w:t>
      </w:r>
      <w:r>
        <w:rPr>
          <w:rFonts w:hint="eastAsia" w:eastAsia="仿宋_GB2312" w:cs="仿宋_GB2312"/>
          <w:color w:val="auto"/>
          <w:kern w:val="2"/>
          <w:sz w:val="32"/>
          <w:szCs w:val="32"/>
          <w:highlight w:val="none"/>
          <w:lang w:val="en-US" w:eastAsia="zh-CN" w:bidi="ar-SA"/>
        </w:rPr>
        <w:t>本单位</w:t>
      </w:r>
      <w:r>
        <w:rPr>
          <w:rFonts w:hint="eastAsia" w:ascii="仿宋_GB2312" w:hAnsi="仿宋_GB2312" w:eastAsia="仿宋_GB2312" w:cs="仿宋_GB2312"/>
          <w:color w:val="auto"/>
          <w:kern w:val="0"/>
          <w:sz w:val="32"/>
          <w:szCs w:val="32"/>
          <w:shd w:val="clear" w:color="auto" w:fill="FFFFFF"/>
          <w:lang w:val="zh-CN"/>
        </w:rPr>
        <w:t>参公事业编制5人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年末</w:t>
      </w:r>
      <w:r>
        <w:rPr>
          <w:rFonts w:hint="eastAsia" w:ascii="仿宋_GB2312" w:hAnsi="仿宋_GB2312" w:eastAsia="仿宋_GB2312" w:cs="仿宋_GB2312"/>
          <w:color w:val="auto"/>
          <w:kern w:val="0"/>
          <w:sz w:val="32"/>
          <w:szCs w:val="32"/>
          <w:shd w:val="clear" w:color="auto" w:fill="FFFFFF"/>
          <w:lang w:val="zh-CN"/>
        </w:rPr>
        <w:t>公务员</w:t>
      </w:r>
      <w:r>
        <w:rPr>
          <w:rFonts w:hint="eastAsia"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lang w:val="zh-CN"/>
        </w:rPr>
        <w:t>人，参公人员</w:t>
      </w:r>
      <w:r>
        <w:rPr>
          <w:rFonts w:hint="eastAsia" w:ascii="仿宋_GB2312" w:hAnsi="仿宋_GB2312" w:eastAsia="仿宋_GB2312" w:cs="仿宋_GB2312"/>
          <w:color w:val="auto"/>
          <w:kern w:val="0"/>
          <w:sz w:val="32"/>
          <w:szCs w:val="32"/>
          <w:shd w:val="clear" w:color="auto" w:fill="FFFFFF"/>
        </w:rPr>
        <w:t>4</w:t>
      </w:r>
      <w:r>
        <w:rPr>
          <w:rFonts w:hint="eastAsia" w:ascii="仿宋_GB2312" w:hAnsi="仿宋_GB2312" w:eastAsia="仿宋_GB2312" w:cs="仿宋_GB2312"/>
          <w:color w:val="auto"/>
          <w:kern w:val="0"/>
          <w:sz w:val="32"/>
          <w:szCs w:val="32"/>
          <w:shd w:val="clear" w:color="auto" w:fill="FFFFFF"/>
          <w:lang w:val="zh-CN"/>
        </w:rPr>
        <w:t>人。</w:t>
      </w:r>
    </w:p>
    <w:p w14:paraId="35D917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auto"/>
          <w:kern w:val="0"/>
          <w:sz w:val="32"/>
          <w:szCs w:val="32"/>
          <w:highlight w:val="none"/>
          <w:shd w:val="clear" w:color="auto" w:fill="FFFFFF"/>
          <w:lang w:val="zh-CN" w:eastAsia="zh-CN"/>
        </w:rPr>
      </w:pPr>
      <w:r>
        <w:rPr>
          <w:rFonts w:hint="default" w:ascii="Times New Roman" w:hAnsi="Times New Roman" w:eastAsia="黑体" w:cs="Times New Roman"/>
          <w:color w:val="auto"/>
          <w:kern w:val="0"/>
          <w:sz w:val="32"/>
          <w:szCs w:val="32"/>
          <w:highlight w:val="none"/>
          <w:shd w:val="clear" w:color="auto" w:fill="FFFFFF"/>
          <w:lang w:val="zh-CN" w:eastAsia="zh-CN"/>
        </w:rPr>
        <w:t>二、部门资金收支情况</w:t>
      </w:r>
    </w:p>
    <w:p w14:paraId="3C59117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（一）</w:t>
      </w:r>
      <w:r>
        <w:rPr>
          <w:rFonts w:hint="eastAsia" w:ascii="Times New Roman" w:hAnsi="Times New Roman" w:eastAsia="楷体_GB2312" w:cs="Times New Roman"/>
          <w:b/>
          <w:bCs/>
          <w:color w:val="auto"/>
          <w:kern w:val="0"/>
          <w:sz w:val="32"/>
          <w:szCs w:val="32"/>
          <w:highlight w:val="none"/>
          <w:shd w:val="clear" w:color="auto" w:fill="FFFFFF"/>
          <w:lang w:val="zh-CN"/>
        </w:rPr>
        <w:t>收入情况</w:t>
      </w:r>
      <w:r>
        <w:rPr>
          <w:rFonts w:hint="default" w:ascii="Times New Roman" w:hAnsi="Times New Roman" w:eastAsia="楷体_GB2312" w:cs="Times New Roman"/>
          <w:b/>
          <w:bCs/>
          <w:color w:val="auto"/>
          <w:kern w:val="0"/>
          <w:sz w:val="32"/>
          <w:szCs w:val="32"/>
          <w:highlight w:val="none"/>
          <w:shd w:val="clear" w:color="auto" w:fill="FFFFFF"/>
          <w:lang w:val="zh-CN"/>
        </w:rPr>
        <w:t>。</w:t>
      </w:r>
    </w:p>
    <w:p w14:paraId="651B62A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auto"/>
          <w:kern w:val="0"/>
          <w:szCs w:val="32"/>
          <w:highlight w:val="none"/>
          <w:shd w:val="clear" w:color="auto" w:fill="FFFFFF"/>
          <w:lang w:val="en-US"/>
        </w:rPr>
      </w:pPr>
      <w:r>
        <w:rPr>
          <w:rFonts w:hint="eastAsia" w:ascii="Times New Roman" w:hAnsi="Times New Roman" w:eastAsia="仿宋_GB2312" w:cs="Times New Roman"/>
          <w:color w:val="auto"/>
          <w:sz w:val="32"/>
          <w:szCs w:val="32"/>
          <w:lang w:val="en-US" w:eastAsia="zh-CN"/>
        </w:rPr>
        <w:t>2024年年初预算收入</w:t>
      </w:r>
      <w:r>
        <w:rPr>
          <w:rFonts w:hint="eastAsia" w:eastAsia="仿宋_GB2312" w:cs="Times New Roman"/>
          <w:color w:val="auto"/>
          <w:sz w:val="32"/>
          <w:szCs w:val="32"/>
          <w:lang w:val="en-US" w:eastAsia="zh-CN"/>
        </w:rPr>
        <w:t>332.31万元，</w:t>
      </w:r>
      <w:r>
        <w:rPr>
          <w:rFonts w:hint="eastAsia" w:ascii="Times New Roman" w:hAnsi="Times New Roman" w:eastAsia="仿宋_GB2312" w:cs="Times New Roman"/>
          <w:color w:val="auto"/>
          <w:sz w:val="32"/>
          <w:szCs w:val="32"/>
          <w:lang w:val="en-US" w:eastAsia="zh-CN"/>
        </w:rPr>
        <w:t>决算报表</w:t>
      </w:r>
      <w:r>
        <w:rPr>
          <w:rFonts w:hint="eastAsia" w:eastAsia="仿宋_GB2312" w:cs="Times New Roman"/>
          <w:color w:val="auto"/>
          <w:sz w:val="32"/>
          <w:szCs w:val="32"/>
          <w:lang w:val="en-US" w:eastAsia="zh-CN"/>
        </w:rPr>
        <w:t>一般公共预算财政拨款收入320.52万元</w:t>
      </w:r>
      <w:r>
        <w:rPr>
          <w:rFonts w:hint="eastAsia" w:ascii="Times New Roman" w:hAnsi="Times New Roman" w:eastAsia="仿宋_GB2312" w:cs="Times New Roman"/>
          <w:color w:val="auto"/>
          <w:sz w:val="32"/>
          <w:szCs w:val="32"/>
          <w:lang w:val="en-US" w:eastAsia="zh-CN"/>
        </w:rPr>
        <w:t>。</w:t>
      </w:r>
    </w:p>
    <w:p w14:paraId="6794F8CB">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auto"/>
          <w:kern w:val="0"/>
          <w:sz w:val="32"/>
          <w:szCs w:val="32"/>
          <w:highlight w:val="none"/>
          <w:shd w:val="clear" w:color="auto" w:fill="FFFFFF"/>
          <w:lang w:val="zh-CN"/>
        </w:rPr>
      </w:pPr>
      <w:r>
        <w:rPr>
          <w:rFonts w:hint="eastAsia" w:ascii="Times New Roman" w:hAnsi="Times New Roman" w:eastAsia="楷体_GB2312" w:cs="Times New Roman"/>
          <w:b/>
          <w:bCs/>
          <w:color w:val="auto"/>
          <w:kern w:val="0"/>
          <w:sz w:val="32"/>
          <w:szCs w:val="32"/>
          <w:highlight w:val="none"/>
          <w:shd w:val="clear" w:color="auto" w:fill="FFFFFF"/>
          <w:lang w:val="zh-CN"/>
        </w:rPr>
        <w:t>支出情况</w:t>
      </w:r>
      <w:r>
        <w:rPr>
          <w:rFonts w:hint="default" w:ascii="Times New Roman" w:hAnsi="Times New Roman" w:eastAsia="楷体_GB2312" w:cs="Times New Roman"/>
          <w:b/>
          <w:bCs/>
          <w:color w:val="auto"/>
          <w:kern w:val="0"/>
          <w:sz w:val="32"/>
          <w:szCs w:val="32"/>
          <w:highlight w:val="none"/>
          <w:shd w:val="clear" w:color="auto" w:fill="FFFFFF"/>
          <w:lang w:val="zh-CN"/>
        </w:rPr>
        <w:t>。</w:t>
      </w:r>
    </w:p>
    <w:p w14:paraId="6B0E81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color w:val="auto"/>
          <w:szCs w:val="32"/>
          <w:lang w:val="en-US" w:eastAsia="zh-CN"/>
        </w:rPr>
      </w:pPr>
      <w:r>
        <w:rPr>
          <w:rFonts w:hint="eastAsia" w:ascii="Times New Roman" w:hAnsi="Times New Roman" w:eastAsia="仿宋_GB2312" w:cs="Times New Roman"/>
          <w:color w:val="auto"/>
          <w:sz w:val="32"/>
          <w:szCs w:val="32"/>
          <w:lang w:val="en-US" w:eastAsia="zh-CN"/>
        </w:rPr>
        <w:t>2024年年初预算支出</w:t>
      </w:r>
      <w:r>
        <w:rPr>
          <w:rFonts w:hint="eastAsia" w:eastAsia="仿宋_GB2312" w:cs="Times New Roman"/>
          <w:color w:val="auto"/>
          <w:sz w:val="32"/>
          <w:szCs w:val="32"/>
          <w:lang w:val="en-US" w:eastAsia="zh-CN"/>
        </w:rPr>
        <w:t>332.31万元</w:t>
      </w:r>
      <w:r>
        <w:rPr>
          <w:rFonts w:hint="eastAsia" w:ascii="Times New Roman" w:hAnsi="Times New Roman" w:eastAsia="仿宋_GB2312" w:cs="Times New Roman"/>
          <w:color w:val="auto"/>
          <w:sz w:val="32"/>
          <w:szCs w:val="32"/>
          <w:lang w:val="en-US" w:eastAsia="zh-CN"/>
        </w:rPr>
        <w:t>、决算报表</w:t>
      </w:r>
      <w:r>
        <w:rPr>
          <w:rFonts w:hint="eastAsia" w:eastAsia="仿宋_GB2312" w:cs="Times New Roman"/>
          <w:color w:val="auto"/>
          <w:sz w:val="32"/>
          <w:szCs w:val="32"/>
          <w:lang w:val="en-US" w:eastAsia="zh-CN"/>
        </w:rPr>
        <w:t>支出320.52万元：基本支出148.05万元、项目支出172.47万元。</w:t>
      </w:r>
    </w:p>
    <w:p w14:paraId="1BC1E9F8">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bCs/>
          <w:color w:val="auto"/>
          <w:kern w:val="0"/>
          <w:sz w:val="32"/>
          <w:szCs w:val="32"/>
          <w:highlight w:val="none"/>
          <w:shd w:val="clear" w:color="auto" w:fill="FFFFFF"/>
          <w:lang w:val="zh-CN"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auto"/>
          <w:kern w:val="0"/>
          <w:sz w:val="32"/>
          <w:szCs w:val="32"/>
          <w:highlight w:val="none"/>
          <w:shd w:val="clear" w:color="auto" w:fill="FFFFFF"/>
          <w:lang w:val="zh-CN" w:eastAsia="zh-CN"/>
        </w:rPr>
        <w:t>。</w:t>
      </w:r>
    </w:p>
    <w:p w14:paraId="23C6684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auto"/>
          <w:kern w:val="0"/>
          <w:szCs w:val="32"/>
          <w:highlight w:val="none"/>
          <w:shd w:val="clear" w:color="auto" w:fill="FFFFFF"/>
          <w:lang w:val="en-US" w:eastAsia="zh-CN"/>
        </w:rPr>
      </w:pPr>
      <w:r>
        <w:rPr>
          <w:rFonts w:hint="eastAsia" w:ascii="Times New Roman" w:hAnsi="Times New Roman" w:eastAsia="仿宋_GB2312" w:cs="Times New Roman"/>
          <w:color w:val="auto"/>
          <w:sz w:val="32"/>
          <w:szCs w:val="32"/>
          <w:lang w:val="en-US" w:eastAsia="zh-CN"/>
        </w:rPr>
        <w:t>2024年决算报表</w:t>
      </w:r>
      <w:r>
        <w:rPr>
          <w:rFonts w:hint="default" w:ascii="Times New Roman" w:hAnsi="Times New Roman" w:eastAsia="仿宋_GB2312" w:cs="Times New Roman"/>
          <w:color w:val="auto"/>
          <w:sz w:val="32"/>
          <w:szCs w:val="32"/>
          <w:lang w:val="en-US" w:eastAsia="zh-CN"/>
        </w:rPr>
        <w:t>结转结余</w:t>
      </w:r>
      <w:r>
        <w:rPr>
          <w:rFonts w:hint="eastAsia" w:ascii="Times New Roman" w:hAnsi="Times New Roman" w:eastAsia="仿宋_GB2312" w:cs="Times New Roman"/>
          <w:color w:val="auto"/>
          <w:sz w:val="32"/>
          <w:szCs w:val="32"/>
          <w:lang w:val="en-US" w:eastAsia="zh-CN"/>
        </w:rPr>
        <w:t>情况</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无</w:t>
      </w:r>
    </w:p>
    <w:p w14:paraId="571BA00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auto"/>
          <w:kern w:val="0"/>
          <w:sz w:val="32"/>
          <w:szCs w:val="32"/>
          <w:highlight w:val="none"/>
          <w:shd w:val="clear" w:color="auto" w:fill="FFFFFF"/>
          <w:lang w:val="zh-CN" w:eastAsia="zh-CN"/>
        </w:rPr>
      </w:pPr>
      <w:r>
        <w:rPr>
          <w:rFonts w:hint="default" w:ascii="Times New Roman" w:hAnsi="Times New Roman" w:eastAsia="黑体" w:cs="Times New Roman"/>
          <w:color w:val="auto"/>
          <w:kern w:val="0"/>
          <w:sz w:val="32"/>
          <w:szCs w:val="32"/>
          <w:highlight w:val="none"/>
          <w:shd w:val="clear" w:color="auto" w:fill="FFFFFF"/>
          <w:lang w:val="zh-CN" w:eastAsia="zh-CN"/>
        </w:rPr>
        <w:t>三、部门预算绩效分析</w:t>
      </w:r>
    </w:p>
    <w:p w14:paraId="1158847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auto"/>
          <w:kern w:val="0"/>
          <w:sz w:val="32"/>
          <w:szCs w:val="32"/>
          <w:highlight w:val="none"/>
          <w:shd w:val="clear" w:color="auto" w:fill="FFFFFF"/>
          <w:lang w:val="zh-CN"/>
        </w:rPr>
        <w:t>（一）</w:t>
      </w:r>
      <w:r>
        <w:rPr>
          <w:rFonts w:hint="eastAsia" w:ascii="Times New Roman" w:hAnsi="Times New Roman" w:eastAsia="楷体_GB2312" w:cs="Times New Roman"/>
          <w:b/>
          <w:bCs/>
          <w:color w:val="auto"/>
          <w:kern w:val="0"/>
          <w:sz w:val="32"/>
          <w:szCs w:val="32"/>
          <w:highlight w:val="none"/>
          <w:shd w:val="clear" w:color="auto" w:fill="FFFFFF"/>
          <w:lang w:val="zh-CN"/>
        </w:rPr>
        <w:t>部门预算</w:t>
      </w:r>
      <w:r>
        <w:rPr>
          <w:rFonts w:hint="default" w:ascii="Times New Roman" w:hAnsi="Times New Roman" w:eastAsia="楷体_GB2312" w:cs="Times New Roman"/>
          <w:b/>
          <w:bCs/>
          <w:color w:val="auto"/>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30766CA0">
      <w:pPr>
        <w:widowControl/>
        <w:adjustRightInd w:val="0"/>
        <w:snapToGrid w:val="0"/>
        <w:spacing w:line="580"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33453CBC">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2024年我中心部门预算的编制按区财政局的要求,精打细算,严格控制,全年预算支出</w:t>
      </w:r>
      <w:r>
        <w:rPr>
          <w:rFonts w:hint="eastAsia" w:ascii="仿宋_GB2312" w:hAnsi="宋体" w:eastAsia="仿宋_GB2312" w:cs="宋体"/>
          <w:color w:val="auto"/>
          <w:kern w:val="0"/>
          <w:sz w:val="32"/>
          <w:szCs w:val="32"/>
          <w:shd w:val="clear" w:color="auto" w:fill="FFFFFF"/>
          <w:lang w:val="en-US" w:eastAsia="zh-CN"/>
        </w:rPr>
        <w:t>332.31万</w:t>
      </w:r>
      <w:r>
        <w:rPr>
          <w:rFonts w:hint="eastAsia" w:ascii="仿宋_GB2312" w:hAnsi="宋体" w:eastAsia="仿宋_GB2312" w:cs="宋体"/>
          <w:color w:val="auto"/>
          <w:kern w:val="0"/>
          <w:sz w:val="32"/>
          <w:szCs w:val="32"/>
          <w:shd w:val="clear" w:color="auto" w:fill="FFFFFF"/>
          <w:lang w:val="zh-CN"/>
        </w:rPr>
        <w:t>元。其中:基本支出预算</w:t>
      </w:r>
      <w:r>
        <w:rPr>
          <w:rFonts w:hint="eastAsia" w:ascii="仿宋_GB2312" w:hAnsi="宋体" w:eastAsia="仿宋_GB2312" w:cs="宋体"/>
          <w:color w:val="auto"/>
          <w:kern w:val="0"/>
          <w:sz w:val="32"/>
          <w:szCs w:val="32"/>
          <w:shd w:val="clear" w:color="auto" w:fill="FFFFFF"/>
          <w:lang w:val="en-US" w:eastAsia="zh-CN"/>
        </w:rPr>
        <w:t>148.51万</w:t>
      </w:r>
      <w:r>
        <w:rPr>
          <w:rFonts w:hint="eastAsia" w:ascii="仿宋_GB2312" w:hAnsi="宋体" w:eastAsia="仿宋_GB2312" w:cs="宋体"/>
          <w:color w:val="auto"/>
          <w:kern w:val="0"/>
          <w:sz w:val="32"/>
          <w:szCs w:val="32"/>
          <w:shd w:val="clear" w:color="auto" w:fill="FFFFFF"/>
          <w:lang w:val="zh-CN"/>
        </w:rPr>
        <w:t>元;项目支出预算</w:t>
      </w:r>
      <w:r>
        <w:rPr>
          <w:rFonts w:hint="eastAsia" w:ascii="仿宋_GB2312" w:hAnsi="宋体" w:eastAsia="仿宋_GB2312" w:cs="宋体"/>
          <w:color w:val="auto"/>
          <w:kern w:val="0"/>
          <w:sz w:val="32"/>
          <w:szCs w:val="32"/>
          <w:shd w:val="clear" w:color="auto" w:fill="FFFFFF"/>
          <w:lang w:val="en-US" w:eastAsia="zh-CN"/>
        </w:rPr>
        <w:t>183.8万元。优质高效完成区级政策性储备原粮、成品大米、菜籽油轮换保管工作。会同区发改局、区财政局、农发行峨眉支行下达了年度1000吨县级储备稻谷、100吨成品大米轮换计划，截至目前，已督促指导国有承储企业全面完成轮换计划并通过验收转为政府政策性储备。并开展涉粮安全联合执法。由区发改局牵头，区市场监督管理局、区粮食和物资储备中心配合，印发了2024年涉粮安全联合执法工作方案，对全区社会面20余家大米、面粉、成品油经营、加工企业和个体工商户进行全覆盖检查，发放食品安全宣传单500余份，移交市场监督部门线索4条。按时发放机构人员工资、退休人员慰问金以及支付厂房租赁费用，保证机构日常运转。</w:t>
      </w:r>
    </w:p>
    <w:p w14:paraId="1A43D03C">
      <w:pPr>
        <w:widowControl/>
        <w:numPr>
          <w:ilvl w:val="0"/>
          <w:numId w:val="0"/>
        </w:numPr>
        <w:adjustRightInd w:val="0"/>
        <w:snapToGrid w:val="0"/>
        <w:spacing w:line="580" w:lineRule="exact"/>
        <w:ind w:left="640" w:leftChars="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14:paraId="297DA474">
      <w:pPr>
        <w:widowControl/>
        <w:numPr>
          <w:ilvl w:val="0"/>
          <w:numId w:val="0"/>
        </w:numPr>
        <w:adjustRightInd w:val="0"/>
        <w:snapToGrid w:val="0"/>
        <w:spacing w:line="580"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仿宋_GB2312" w:hAnsi="宋体" w:eastAsia="仿宋_GB2312" w:cs="宋体"/>
          <w:color w:val="auto"/>
          <w:kern w:val="0"/>
          <w:sz w:val="32"/>
          <w:szCs w:val="32"/>
          <w:shd w:val="clear" w:color="auto" w:fill="FFFFFF"/>
          <w:lang w:val="en-US" w:eastAsia="zh-CN"/>
        </w:rPr>
        <w:t>2024年我中心</w:t>
      </w:r>
      <w:r>
        <w:rPr>
          <w:rFonts w:hint="eastAsia" w:ascii="仿宋_GB2312" w:hAnsi="宋体" w:eastAsia="仿宋_GB2312" w:cs="宋体"/>
          <w:color w:val="auto"/>
          <w:kern w:val="0"/>
          <w:sz w:val="32"/>
          <w:szCs w:val="32"/>
          <w:shd w:val="clear" w:color="auto" w:fill="FFFFFF"/>
          <w:lang w:val="zh-CN" w:eastAsia="zh-CN"/>
        </w:rPr>
        <w:t>特定目标类项目有：100</w:t>
      </w:r>
      <w:r>
        <w:rPr>
          <w:rFonts w:hint="eastAsia" w:ascii="仿宋_GB2312" w:hAnsi="宋体" w:eastAsia="仿宋_GB2312" w:cs="宋体"/>
          <w:color w:val="auto"/>
          <w:kern w:val="0"/>
          <w:sz w:val="32"/>
          <w:szCs w:val="32"/>
          <w:shd w:val="clear" w:color="auto" w:fill="FFFFFF"/>
          <w:lang w:val="zh-CN"/>
        </w:rPr>
        <w:t>吨大米轮换采购资金</w:t>
      </w:r>
      <w:r>
        <w:rPr>
          <w:rFonts w:hint="eastAsia" w:ascii="仿宋_GB2312" w:hAnsi="宋体" w:eastAsia="仿宋_GB2312" w:cs="宋体"/>
          <w:color w:val="auto"/>
          <w:kern w:val="0"/>
          <w:sz w:val="32"/>
          <w:szCs w:val="32"/>
          <w:shd w:val="clear" w:color="auto" w:fill="FFFFFF"/>
          <w:lang w:val="en-US" w:eastAsia="zh-CN"/>
        </w:rPr>
        <w:t>80</w:t>
      </w:r>
      <w:r>
        <w:rPr>
          <w:rFonts w:hint="eastAsia" w:ascii="仿宋_GB2312" w:hAnsi="宋体" w:eastAsia="仿宋_GB2312" w:cs="宋体"/>
          <w:color w:val="auto"/>
          <w:kern w:val="0"/>
          <w:sz w:val="32"/>
          <w:szCs w:val="32"/>
          <w:shd w:val="clear" w:color="auto" w:fill="FFFFFF"/>
          <w:lang w:val="zh-CN"/>
        </w:rPr>
        <w:t>万元;退休人员事务</w:t>
      </w:r>
      <w:r>
        <w:rPr>
          <w:rFonts w:hint="eastAsia" w:ascii="仿宋_GB2312" w:hAnsi="宋体" w:eastAsia="仿宋_GB2312" w:cs="宋体"/>
          <w:color w:val="auto"/>
          <w:kern w:val="0"/>
          <w:sz w:val="32"/>
          <w:szCs w:val="32"/>
          <w:shd w:val="clear" w:color="auto" w:fill="FFFFFF"/>
          <w:lang w:val="en-US" w:eastAsia="zh-CN"/>
        </w:rPr>
        <w:t>3.5万</w:t>
      </w:r>
      <w:r>
        <w:rPr>
          <w:rFonts w:hint="eastAsia" w:ascii="仿宋_GB2312" w:hAnsi="宋体" w:eastAsia="仿宋_GB2312" w:cs="宋体"/>
          <w:color w:val="auto"/>
          <w:kern w:val="0"/>
          <w:sz w:val="32"/>
          <w:szCs w:val="32"/>
          <w:shd w:val="clear" w:color="auto" w:fill="FFFFFF"/>
          <w:lang w:val="zh-CN"/>
        </w:rPr>
        <w:t>元；储备粮油费用补贴</w:t>
      </w:r>
      <w:r>
        <w:rPr>
          <w:rFonts w:hint="eastAsia" w:ascii="仿宋_GB2312" w:hAnsi="宋体" w:eastAsia="仿宋_GB2312" w:cs="宋体"/>
          <w:color w:val="auto"/>
          <w:kern w:val="0"/>
          <w:sz w:val="32"/>
          <w:szCs w:val="32"/>
          <w:shd w:val="clear" w:color="auto" w:fill="FFFFFF"/>
          <w:lang w:val="en-US" w:eastAsia="zh-CN"/>
        </w:rPr>
        <w:t>70.5</w:t>
      </w:r>
      <w:r>
        <w:rPr>
          <w:rFonts w:hint="eastAsia" w:ascii="仿宋_GB2312" w:hAnsi="宋体" w:eastAsia="仿宋_GB2312" w:cs="宋体"/>
          <w:color w:val="auto"/>
          <w:kern w:val="0"/>
          <w:sz w:val="32"/>
          <w:szCs w:val="32"/>
          <w:shd w:val="clear" w:color="auto" w:fill="FFFFFF"/>
          <w:lang w:val="zh-CN"/>
        </w:rPr>
        <w:t>万元；10吨成品油轮换采购资金及保管费</w:t>
      </w:r>
      <w:r>
        <w:rPr>
          <w:rFonts w:hint="eastAsia" w:ascii="仿宋_GB2312" w:hAnsi="宋体" w:eastAsia="仿宋_GB2312" w:cs="宋体"/>
          <w:color w:val="auto"/>
          <w:kern w:val="0"/>
          <w:sz w:val="32"/>
          <w:szCs w:val="32"/>
          <w:shd w:val="clear" w:color="auto" w:fill="FFFFFF"/>
          <w:lang w:val="en-US" w:eastAsia="zh-CN"/>
        </w:rPr>
        <w:t>16.6</w:t>
      </w:r>
      <w:r>
        <w:rPr>
          <w:rFonts w:hint="eastAsia" w:ascii="仿宋_GB2312" w:hAnsi="宋体" w:eastAsia="仿宋_GB2312" w:cs="宋体"/>
          <w:color w:val="auto"/>
          <w:kern w:val="0"/>
          <w:sz w:val="32"/>
          <w:szCs w:val="32"/>
          <w:shd w:val="clear" w:color="auto" w:fill="FFFFFF"/>
          <w:lang w:val="zh-CN"/>
        </w:rPr>
        <w:t>万元；100吨大米保管费用</w:t>
      </w:r>
      <w:r>
        <w:rPr>
          <w:rFonts w:hint="eastAsia" w:ascii="仿宋_GB2312" w:hAnsi="宋体" w:eastAsia="仿宋_GB2312" w:cs="宋体"/>
          <w:color w:val="auto"/>
          <w:kern w:val="0"/>
          <w:sz w:val="32"/>
          <w:szCs w:val="32"/>
          <w:shd w:val="clear" w:color="auto" w:fill="FFFFFF"/>
          <w:lang w:val="en-US" w:eastAsia="zh-CN"/>
        </w:rPr>
        <w:t>2.2</w:t>
      </w:r>
      <w:r>
        <w:rPr>
          <w:rFonts w:hint="eastAsia" w:ascii="仿宋_GB2312" w:hAnsi="宋体" w:eastAsia="仿宋_GB2312" w:cs="宋体"/>
          <w:color w:val="auto"/>
          <w:kern w:val="0"/>
          <w:sz w:val="32"/>
          <w:szCs w:val="32"/>
          <w:shd w:val="clear" w:color="auto" w:fill="FFFFFF"/>
          <w:lang w:val="zh-CN"/>
        </w:rPr>
        <w:t>万元</w:t>
      </w:r>
      <w:r>
        <w:rPr>
          <w:rFonts w:hint="eastAsia" w:ascii="仿宋_GB2312" w:hAnsi="宋体" w:eastAsia="仿宋_GB2312" w:cs="宋体"/>
          <w:color w:val="auto"/>
          <w:kern w:val="0"/>
          <w:sz w:val="32"/>
          <w:szCs w:val="32"/>
          <w:shd w:val="clear" w:color="auto" w:fill="FFFFFF"/>
          <w:lang w:val="en-US" w:eastAsia="zh-CN"/>
        </w:rPr>
        <w:t>;物资储备保管费用3万元；粮食执法经费3</w:t>
      </w:r>
      <w:r>
        <w:rPr>
          <w:rFonts w:hint="eastAsia" w:ascii="仿宋_GB2312" w:hAnsi="宋体" w:eastAsia="仿宋_GB2312" w:cs="宋体"/>
          <w:color w:val="auto"/>
          <w:kern w:val="0"/>
          <w:sz w:val="32"/>
          <w:szCs w:val="32"/>
          <w:shd w:val="clear" w:color="auto" w:fill="FFFFFF"/>
          <w:lang w:val="zh-CN"/>
        </w:rPr>
        <w:t>万元</w:t>
      </w:r>
      <w:r>
        <w:rPr>
          <w:rFonts w:hint="eastAsia" w:ascii="仿宋_GB2312" w:hAnsi="宋体" w:eastAsia="仿宋_GB2312" w:cs="宋体"/>
          <w:color w:val="auto"/>
          <w:kern w:val="0"/>
          <w:sz w:val="32"/>
          <w:szCs w:val="32"/>
          <w:shd w:val="clear" w:color="auto" w:fill="FFFFFF"/>
          <w:lang w:val="en-US" w:eastAsia="zh-CN"/>
        </w:rPr>
        <w:t>;储备库租金5万元。预算执行均为100%。严格执行每月，每季度定期支出计划，办公室每月收集当月财政经费支出情况，落实预算执行主体责任确保支出进度符合财政要求。8个特定项目执行进度100%、预算完成情况100%，资金结余率0。</w:t>
      </w:r>
    </w:p>
    <w:p w14:paraId="049A635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640" w:leftChars="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p>
    <w:p w14:paraId="60D6A0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财务管理制度、会计核算及账务处理按本单位财务管理制度，会计核算办法及账务处理办法执行，财务处理及时，会计核算规范。</w:t>
      </w:r>
    </w:p>
    <w:p w14:paraId="5D1FB7A7">
      <w:pPr>
        <w:numPr>
          <w:ilvl w:val="0"/>
          <w:numId w:val="0"/>
        </w:numPr>
        <w:spacing w:line="360" w:lineRule="auto"/>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p>
    <w:p w14:paraId="0E4CF873">
      <w:pPr>
        <w:numPr>
          <w:ilvl w:val="0"/>
          <w:numId w:val="0"/>
        </w:numPr>
        <w:spacing w:line="360" w:lineRule="auto"/>
        <w:ind w:firstLine="60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仿宋" w:hAnsi="仿宋" w:eastAsia="仿宋" w:cs="Times New Roman"/>
          <w:color w:val="auto"/>
          <w:sz w:val="30"/>
          <w:szCs w:val="30"/>
          <w:lang w:val="en-US" w:eastAsia="zh-CN"/>
        </w:rPr>
        <w:t>一是加强会计核算工作。严格执行现行固定资产管理制度，对已完工的基建工程、购入的固定资产、收到的捐赠资产等及时入账，并按照数量、金额登记明细账，编制固定资产卡片，确保账面上能真实、完整的反映单位的固定资产情况，并结合本单位的实际情况，完善固定资产管理制度。二是加强程序管理。对纳入政府采购目录范围内的资产采购，必须报政府采购中心进行政府采购；未纳入政府采购目录范围内的资产采购，采用其他形式采购。未纳入预算的固定资产，不得随意采购，确需急用，必须经相关部门批准。三是加强内部监督。定期或不定期的对固定资产进行抽查。检查固定资产的购置、领用、处置等程序是否合规，账实是否相符等，防止国有资产的流失。</w:t>
      </w:r>
    </w:p>
    <w:p w14:paraId="28047A4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auto"/>
          <w:kern w:val="0"/>
          <w:sz w:val="32"/>
          <w:szCs w:val="32"/>
          <w:highlight w:val="none"/>
          <w:shd w:val="clear" w:color="auto" w:fill="FFFFFF"/>
          <w:lang w:val="zh-CN"/>
        </w:rPr>
        <w:t>（二）部门预算项目绩效分析。</w:t>
      </w:r>
    </w:p>
    <w:p w14:paraId="297E96C8">
      <w:pPr>
        <w:widowControl/>
        <w:numPr>
          <w:ilvl w:val="0"/>
          <w:numId w:val="0"/>
        </w:numPr>
        <w:adjustRightInd w:val="0"/>
        <w:snapToGrid w:val="0"/>
        <w:spacing w:line="580"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p>
    <w:p w14:paraId="3464EF61">
      <w:pPr>
        <w:widowControl/>
        <w:numPr>
          <w:ilvl w:val="0"/>
          <w:numId w:val="0"/>
        </w:numPr>
        <w:adjustRightInd w:val="0"/>
        <w:snapToGrid w:val="0"/>
        <w:spacing w:line="580"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仿宋_GB2312" w:hAnsi="宋体" w:eastAsia="仿宋_GB2312" w:cs="宋体"/>
          <w:color w:val="auto"/>
          <w:kern w:val="0"/>
          <w:sz w:val="32"/>
          <w:szCs w:val="32"/>
          <w:shd w:val="clear" w:color="auto" w:fill="FFFFFF"/>
          <w:lang w:val="zh-CN"/>
        </w:rPr>
        <w:t>认真落实总体国家安全观和国家粮食安全战略、乡村振兴战略，不断加强粮食和物资储备安全管理。</w:t>
      </w:r>
    </w:p>
    <w:p w14:paraId="6751DCC7">
      <w:pPr>
        <w:widowControl/>
        <w:adjustRightInd w:val="0"/>
        <w:snapToGrid w:val="0"/>
        <w:spacing w:line="580"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p>
    <w:p w14:paraId="0BF26C6D">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w:t>
      </w:r>
      <w:r>
        <w:rPr>
          <w:rFonts w:hint="eastAsia" w:ascii="仿宋_GB2312" w:hAnsi="宋体" w:eastAsia="仿宋_GB2312" w:cs="宋体"/>
          <w:color w:val="auto"/>
          <w:kern w:val="0"/>
          <w:sz w:val="32"/>
          <w:szCs w:val="32"/>
          <w:shd w:val="clear" w:color="auto" w:fill="FFFFFF"/>
          <w:lang w:val="en-US" w:eastAsia="zh-CN"/>
        </w:rPr>
        <w:t>1）</w:t>
      </w:r>
      <w:r>
        <w:rPr>
          <w:rFonts w:hint="eastAsia" w:ascii="仿宋_GB2312" w:hAnsi="宋体" w:eastAsia="仿宋_GB2312" w:cs="宋体"/>
          <w:color w:val="auto"/>
          <w:kern w:val="0"/>
          <w:sz w:val="32"/>
          <w:szCs w:val="32"/>
          <w:shd w:val="clear" w:color="auto" w:fill="FFFFFF"/>
          <w:lang w:val="zh-CN"/>
        </w:rPr>
        <w:t>项目1：100吨大米轮换采购资金</w:t>
      </w:r>
    </w:p>
    <w:p w14:paraId="6CA4AAF1">
      <w:pPr>
        <w:widowControl/>
        <w:adjustRightInd w:val="0"/>
        <w:snapToGrid w:val="0"/>
        <w:spacing w:line="580" w:lineRule="exact"/>
        <w:ind w:firstLine="640" w:firstLineChars="200"/>
        <w:contextualSpacing/>
        <w:jc w:val="left"/>
        <w:rPr>
          <w:rFonts w:hint="default" w:ascii="仿宋_GB2312" w:hAnsi="宋体" w:eastAsia="仿宋_GB2312" w:cs="宋体"/>
          <w:color w:val="auto"/>
          <w:kern w:val="0"/>
          <w:sz w:val="32"/>
          <w:szCs w:val="32"/>
          <w:shd w:val="clear" w:color="auto" w:fill="FFFFFF"/>
          <w:lang w:val="en-US" w:eastAsia="zh-CN"/>
        </w:rPr>
      </w:pPr>
      <w:r>
        <w:rPr>
          <w:rFonts w:hint="default" w:ascii="仿宋_GB2312" w:hAnsi="宋体" w:eastAsia="仿宋_GB2312" w:cs="宋体"/>
          <w:color w:val="auto"/>
          <w:kern w:val="0"/>
          <w:sz w:val="32"/>
          <w:szCs w:val="32"/>
          <w:shd w:val="clear" w:color="auto" w:fill="FFFFFF"/>
          <w:lang w:val="en-US" w:eastAsia="zh-CN"/>
        </w:rPr>
        <w:t>根据金发改</w:t>
      </w:r>
      <w:r>
        <w:rPr>
          <w:rFonts w:hint="eastAsia" w:ascii="仿宋_GB2312" w:hAnsi="仿宋_GB2312" w:eastAsia="仿宋_GB2312" w:cs="仿宋_GB2312"/>
          <w:color w:val="auto"/>
          <w:kern w:val="0"/>
          <w:sz w:val="32"/>
          <w:szCs w:val="32"/>
          <w:shd w:val="clear" w:color="auto" w:fill="FFFFFF"/>
          <w:lang w:val="en-US" w:eastAsia="zh-CN"/>
        </w:rPr>
        <w:t>〔2021〕44号</w:t>
      </w:r>
      <w:r>
        <w:rPr>
          <w:rFonts w:hint="default" w:ascii="仿宋_GB2312" w:hAnsi="宋体" w:eastAsia="仿宋_GB2312" w:cs="宋体"/>
          <w:color w:val="auto"/>
          <w:kern w:val="0"/>
          <w:sz w:val="32"/>
          <w:szCs w:val="32"/>
          <w:shd w:val="clear" w:color="auto" w:fill="FFFFFF"/>
          <w:lang w:val="en-US" w:eastAsia="zh-CN"/>
        </w:rPr>
        <w:t>文件，乐山市金口河发展和改革局与乐山市金口河区粮食和物资储备中心关于审定《金口河区新冠肺炎疫情新增临时成品粮油应急储备物资处置方案》的请示。按照国家粮食和物资储备局《关于进一步落实党中央疫情防控决策部署切实发挥全国粮食供应应急保障体系作用通知》按要求从2021年开始100吨大米要常态化储备，并且大米6个月轮换一次，建议储备的100吨大米，保质期到后由金口河区金粮粮油储备有限公司在四川粮食交易批发中心网上采购销售，进行轮换，轮换大米的差额资金和大米的保管费由财政解决，并且从2024年起资金列入粮食和物资储备中心经费预算。该项目执行进度100%、预算完成情况100%，资金结余率0。</w:t>
      </w:r>
    </w:p>
    <w:p w14:paraId="446D1CCE">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w:t>
      </w:r>
      <w:r>
        <w:rPr>
          <w:rFonts w:hint="eastAsia" w:ascii="仿宋_GB2312" w:hAnsi="宋体" w:eastAsia="仿宋_GB2312" w:cs="宋体"/>
          <w:color w:val="auto"/>
          <w:kern w:val="0"/>
          <w:sz w:val="32"/>
          <w:szCs w:val="32"/>
          <w:shd w:val="clear" w:color="auto" w:fill="FFFFFF"/>
          <w:lang w:val="en-US" w:eastAsia="zh-CN"/>
        </w:rPr>
        <w:t>2）</w:t>
      </w:r>
      <w:r>
        <w:rPr>
          <w:rFonts w:hint="eastAsia" w:ascii="仿宋_GB2312" w:hAnsi="宋体" w:eastAsia="仿宋_GB2312" w:cs="宋体"/>
          <w:color w:val="auto"/>
          <w:kern w:val="0"/>
          <w:sz w:val="32"/>
          <w:szCs w:val="32"/>
          <w:shd w:val="clear" w:color="auto" w:fill="FFFFFF"/>
          <w:lang w:val="zh-CN"/>
        </w:rPr>
        <w:t>项目2：储备粮油费用补贴</w:t>
      </w:r>
    </w:p>
    <w:p w14:paraId="4FB45F9E">
      <w:pPr>
        <w:spacing w:line="560" w:lineRule="exact"/>
        <w:ind w:firstLine="640" w:firstLineChars="200"/>
        <w:rPr>
          <w:rFonts w:hint="eastAsia" w:ascii="仿宋_GB2312" w:hAnsi="宋体" w:eastAsia="仿宋_GB2312" w:cs="宋体"/>
          <w:color w:val="auto"/>
          <w:kern w:val="0"/>
          <w:szCs w:val="32"/>
          <w:shd w:val="clear" w:color="auto" w:fill="FFFFFF"/>
          <w:lang w:val="en-US" w:eastAsia="zh-CN"/>
        </w:rPr>
      </w:pPr>
      <w:r>
        <w:rPr>
          <w:rFonts w:hint="eastAsia" w:ascii="仿宋_GB2312" w:hAnsi="仿宋_GB2312" w:eastAsia="仿宋_GB2312" w:cs="仿宋_GB2312"/>
          <w:color w:val="auto"/>
          <w:sz w:val="32"/>
          <w:szCs w:val="32"/>
        </w:rPr>
        <w:t>按照《粮食流通管理条例》和“三定方案”的要求，金口河区粮食和物资储备中心承担全区粮油和物资储备任务。为了保证全区居民口粮供应，应对自然灾害和保障粮油市场稳定工作，我中心在202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年部门预算中，预算储备粮油费用70.5万元，主要用于粮食2000吨的保管费、轮换费及银行借款利息。其依据为金府发〔20</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4号，《乐山市金口河区级储备粮油管理办法》第十七条：区级储备粮的储备费用按储备总量（原粮）每年0.06元/斤补贴,轮换费用按储备总量（原粮）每年0.06元/斤补贴；区级储备油的储备费、轮换费和利息合计4万元。第十八条：区级储备粮、油的借款利息按农业发展银行同期农副产品收购贷款利率，由区财政局据实拔付。有关粮食行政主管部门粮油执法、统计经费列入。</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项目执行进度100%、预算完成情况100%，资金结余率0</w:t>
      </w:r>
      <w:r>
        <w:rPr>
          <w:rFonts w:hint="eastAsia" w:ascii="仿宋_GB2312" w:hAnsi="仿宋_GB2312" w:eastAsia="仿宋_GB2312" w:cs="仿宋_GB2312"/>
          <w:color w:val="auto"/>
          <w:sz w:val="32"/>
          <w:szCs w:val="32"/>
          <w:lang w:eastAsia="zh-CN"/>
        </w:rPr>
        <w:t>。</w:t>
      </w:r>
    </w:p>
    <w:p w14:paraId="571DF57A">
      <w:pPr>
        <w:widowControl/>
        <w:numPr>
          <w:ilvl w:val="0"/>
          <w:numId w:val="0"/>
        </w:numPr>
        <w:adjustRightInd w:val="0"/>
        <w:snapToGrid w:val="0"/>
        <w:spacing w:line="580" w:lineRule="exact"/>
        <w:ind w:left="640" w:leftChars="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p>
    <w:p w14:paraId="53849A4C">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eastAsia="zh-CN"/>
        </w:rPr>
      </w:pPr>
      <w:r>
        <w:rPr>
          <w:rFonts w:hint="eastAsia" w:ascii="仿宋_GB2312" w:hAnsi="宋体" w:eastAsia="仿宋_GB2312" w:cs="宋体"/>
          <w:color w:val="auto"/>
          <w:kern w:val="0"/>
          <w:sz w:val="32"/>
          <w:szCs w:val="32"/>
          <w:shd w:val="clear" w:color="auto" w:fill="FFFFFF"/>
          <w:lang w:val="zh-CN"/>
        </w:rPr>
        <w:t>202</w:t>
      </w:r>
      <w:r>
        <w:rPr>
          <w:rFonts w:hint="eastAsia" w:ascii="仿宋_GB2312" w:hAnsi="宋体" w:eastAsia="仿宋_GB2312" w:cs="宋体"/>
          <w:color w:val="auto"/>
          <w:kern w:val="0"/>
          <w:sz w:val="32"/>
          <w:szCs w:val="32"/>
          <w:shd w:val="clear" w:color="auto" w:fill="FFFFFF"/>
          <w:lang w:val="en-US" w:eastAsia="zh-CN"/>
        </w:rPr>
        <w:t>4</w:t>
      </w:r>
      <w:r>
        <w:rPr>
          <w:rFonts w:hint="eastAsia" w:ascii="仿宋_GB2312" w:hAnsi="宋体" w:eastAsia="仿宋_GB2312" w:cs="宋体"/>
          <w:color w:val="auto"/>
          <w:kern w:val="0"/>
          <w:sz w:val="32"/>
          <w:szCs w:val="32"/>
          <w:shd w:val="clear" w:color="auto" w:fill="FFFFFF"/>
          <w:lang w:val="zh-CN"/>
        </w:rPr>
        <w:t>年我中心以习近平新时代中国特色社会主义思想为指导，统筹推进落实全方位夯实粮食安全根基关键举措和“区内结余、供给国家”粮食工作新方针，以强化储备体系和监管能力为重点。我中心完成区级储备粮轮换数量</w:t>
      </w:r>
      <w:r>
        <w:rPr>
          <w:rFonts w:hint="eastAsia" w:ascii="仿宋_GB2312" w:hAnsi="宋体" w:eastAsia="仿宋_GB2312" w:cs="宋体"/>
          <w:color w:val="auto"/>
          <w:kern w:val="0"/>
          <w:sz w:val="32"/>
          <w:szCs w:val="32"/>
          <w:shd w:val="clear" w:color="auto" w:fill="FFFFFF"/>
          <w:lang w:val="en-US" w:eastAsia="zh-CN"/>
        </w:rPr>
        <w:t>1100</w:t>
      </w:r>
      <w:r>
        <w:rPr>
          <w:rFonts w:hint="eastAsia" w:ascii="仿宋_GB2312" w:hAnsi="宋体" w:eastAsia="仿宋_GB2312" w:cs="宋体"/>
          <w:color w:val="auto"/>
          <w:kern w:val="0"/>
          <w:sz w:val="32"/>
          <w:szCs w:val="32"/>
          <w:shd w:val="clear" w:color="auto" w:fill="FFFFFF"/>
          <w:lang w:val="zh-CN"/>
        </w:rPr>
        <w:t>吨、</w:t>
      </w:r>
      <w:r>
        <w:rPr>
          <w:rFonts w:hint="eastAsia" w:ascii="仿宋_GB2312" w:hAnsi="宋体" w:eastAsia="仿宋_GB2312" w:cs="宋体"/>
          <w:color w:val="auto"/>
          <w:kern w:val="0"/>
          <w:sz w:val="32"/>
          <w:szCs w:val="32"/>
          <w:shd w:val="clear" w:color="auto" w:fill="FFFFFF"/>
          <w:lang w:val="en-US" w:eastAsia="zh-CN"/>
        </w:rPr>
        <w:t>2024年粮食储备规模为2000吨原粮稻谷、100吨成品大米、10吨成品菜籽油</w:t>
      </w:r>
      <w:r>
        <w:rPr>
          <w:rFonts w:hint="eastAsia" w:ascii="仿宋_GB2312" w:hAnsi="宋体" w:eastAsia="仿宋_GB2312" w:cs="宋体"/>
          <w:color w:val="auto"/>
          <w:kern w:val="0"/>
          <w:sz w:val="32"/>
          <w:szCs w:val="32"/>
          <w:shd w:val="clear" w:color="auto" w:fill="FFFFFF"/>
          <w:lang w:val="zh-CN"/>
        </w:rPr>
        <w:t>；开展粮食购销领域定期巡查和常态化监督检查</w:t>
      </w:r>
      <w:r>
        <w:rPr>
          <w:rFonts w:hint="eastAsia" w:ascii="仿宋_GB2312" w:hAnsi="宋体" w:eastAsia="仿宋_GB2312" w:cs="宋体"/>
          <w:color w:val="auto"/>
          <w:kern w:val="0"/>
          <w:sz w:val="32"/>
          <w:szCs w:val="32"/>
          <w:shd w:val="clear" w:color="auto" w:fill="FFFFFF"/>
          <w:lang w:val="en-US" w:eastAsia="zh-CN"/>
        </w:rPr>
        <w:t>4</w:t>
      </w:r>
      <w:r>
        <w:rPr>
          <w:rFonts w:hint="eastAsia" w:ascii="仿宋_GB2312" w:hAnsi="宋体" w:eastAsia="仿宋_GB2312" w:cs="宋体"/>
          <w:color w:val="auto"/>
          <w:kern w:val="0"/>
          <w:sz w:val="32"/>
          <w:szCs w:val="32"/>
          <w:shd w:val="clear" w:color="auto" w:fill="FFFFFF"/>
          <w:lang w:val="zh-CN"/>
        </w:rPr>
        <w:t>次；开展202</w:t>
      </w:r>
      <w:r>
        <w:rPr>
          <w:rFonts w:hint="eastAsia" w:ascii="仿宋_GB2312" w:hAnsi="宋体" w:eastAsia="仿宋_GB2312" w:cs="宋体"/>
          <w:color w:val="auto"/>
          <w:kern w:val="0"/>
          <w:sz w:val="32"/>
          <w:szCs w:val="32"/>
          <w:shd w:val="clear" w:color="auto" w:fill="FFFFFF"/>
          <w:lang w:val="en-US" w:eastAsia="zh-CN"/>
        </w:rPr>
        <w:t>4</w:t>
      </w:r>
      <w:r>
        <w:rPr>
          <w:rFonts w:hint="eastAsia" w:ascii="仿宋_GB2312" w:hAnsi="宋体" w:eastAsia="仿宋_GB2312" w:cs="宋体"/>
          <w:color w:val="auto"/>
          <w:kern w:val="0"/>
          <w:sz w:val="32"/>
          <w:szCs w:val="32"/>
          <w:shd w:val="clear" w:color="auto" w:fill="FFFFFF"/>
          <w:lang w:val="zh-CN"/>
        </w:rPr>
        <w:t>年夏粮、秋粮收购各1次；开展202</w:t>
      </w:r>
      <w:r>
        <w:rPr>
          <w:rFonts w:hint="eastAsia" w:ascii="仿宋_GB2312" w:hAnsi="宋体" w:eastAsia="仿宋_GB2312" w:cs="宋体"/>
          <w:color w:val="auto"/>
          <w:kern w:val="0"/>
          <w:sz w:val="32"/>
          <w:szCs w:val="32"/>
          <w:shd w:val="clear" w:color="auto" w:fill="FFFFFF"/>
          <w:lang w:val="en-US" w:eastAsia="zh-CN"/>
        </w:rPr>
        <w:t>4</w:t>
      </w:r>
      <w:r>
        <w:rPr>
          <w:rFonts w:hint="eastAsia" w:ascii="仿宋_GB2312" w:hAnsi="宋体" w:eastAsia="仿宋_GB2312" w:cs="宋体"/>
          <w:color w:val="auto"/>
          <w:kern w:val="0"/>
          <w:sz w:val="32"/>
          <w:szCs w:val="32"/>
          <w:shd w:val="clear" w:color="auto" w:fill="FFFFFF"/>
          <w:lang w:val="zh-CN"/>
        </w:rPr>
        <w:t>年政策性粮油库存检查工作1次等重点任务。认真落实总体国家安全观和国家粮食安全战略、乡村振兴战略，不断加强粮食和物资储备安全管理。</w:t>
      </w:r>
    </w:p>
    <w:p w14:paraId="6F786A1B">
      <w:pPr>
        <w:keepNext w:val="0"/>
        <w:keepLines w:val="0"/>
        <w:pageBreakBefore w:val="0"/>
        <w:widowControl w:val="0"/>
        <w:numPr>
          <w:ilvl w:val="0"/>
          <w:numId w:val="3"/>
        </w:numPr>
        <w:kinsoku/>
        <w:wordWrap/>
        <w:overflowPunct/>
        <w:topLinePunct w:val="0"/>
        <w:autoSpaceDE/>
        <w:autoSpaceDN/>
        <w:bidi w:val="0"/>
        <w:snapToGrid w:val="0"/>
        <w:spacing w:line="600" w:lineRule="exact"/>
        <w:ind w:left="0" w:leftChars="0" w:firstLine="643" w:firstLineChars="200"/>
        <w:textAlignment w:val="auto"/>
        <w:rPr>
          <w:rFonts w:hint="eastAsia" w:ascii="Times New Roman" w:hAnsi="Times New Roman" w:eastAsia="楷体_GB2312" w:cs="Times New Roman"/>
          <w:b/>
          <w:bCs/>
          <w:color w:val="auto"/>
          <w:kern w:val="0"/>
          <w:sz w:val="32"/>
          <w:szCs w:val="32"/>
          <w:highlight w:val="none"/>
          <w:shd w:val="clear" w:color="auto" w:fill="FFFFFF"/>
          <w:lang w:val="zh-CN" w:eastAsia="zh-CN"/>
        </w:rPr>
      </w:pPr>
      <w:r>
        <w:rPr>
          <w:rFonts w:hint="default" w:ascii="Times New Roman" w:hAnsi="Times New Roman" w:eastAsia="楷体_GB2312" w:cs="Times New Roman"/>
          <w:b/>
          <w:bCs/>
          <w:color w:val="auto"/>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auto"/>
          <w:kern w:val="0"/>
          <w:sz w:val="32"/>
          <w:szCs w:val="32"/>
          <w:highlight w:val="none"/>
          <w:shd w:val="clear" w:color="auto" w:fill="FFFFFF"/>
          <w:lang w:val="zh-CN" w:eastAsia="zh-CN"/>
        </w:rPr>
        <w:t>。</w:t>
      </w:r>
    </w:p>
    <w:p w14:paraId="4B8CF1A1">
      <w:pPr>
        <w:keepNext w:val="0"/>
        <w:keepLines w:val="0"/>
        <w:pageBreakBefore w:val="0"/>
        <w:widowControl w:val="0"/>
        <w:numPr>
          <w:ilvl w:val="0"/>
          <w:numId w:val="0"/>
        </w:numPr>
        <w:kinsoku/>
        <w:wordWrap/>
        <w:overflowPunct/>
        <w:topLinePunct w:val="0"/>
        <w:autoSpaceDE/>
        <w:autoSpaceDN/>
        <w:bidi w:val="0"/>
        <w:snapToGrid w:val="0"/>
        <w:spacing w:line="600" w:lineRule="exact"/>
        <w:ind w:leftChars="200" w:firstLine="640" w:firstLineChars="200"/>
        <w:textAlignment w:val="auto"/>
        <w:rPr>
          <w:rFonts w:hint="default" w:ascii="Times New Roman" w:hAnsi="Times New Roman" w:eastAsia="仿宋_GB2312" w:cs="Times New Roman"/>
          <w:color w:val="auto"/>
          <w:sz w:val="32"/>
          <w:szCs w:val="32"/>
          <w:highlight w:val="none"/>
          <w:u w:val="none"/>
          <w:lang w:bidi="ar"/>
        </w:rPr>
      </w:pPr>
      <w:r>
        <w:rPr>
          <w:rFonts w:hint="eastAsia" w:ascii="仿宋_GB2312" w:hAnsi="宋体" w:eastAsia="仿宋_GB2312" w:cs="宋体"/>
          <w:color w:val="auto"/>
          <w:kern w:val="0"/>
          <w:sz w:val="32"/>
          <w:szCs w:val="32"/>
          <w:shd w:val="clear" w:color="auto" w:fill="FFFFFF"/>
          <w:lang w:val="en-US" w:eastAsia="zh-CN"/>
        </w:rPr>
        <w:t>本单位</w:t>
      </w:r>
      <w:r>
        <w:rPr>
          <w:rFonts w:hint="eastAsia" w:ascii="仿宋_GB2312" w:hAnsi="宋体" w:eastAsia="仿宋_GB2312" w:cs="宋体"/>
          <w:color w:val="auto"/>
          <w:kern w:val="0"/>
          <w:sz w:val="32"/>
          <w:szCs w:val="32"/>
          <w:shd w:val="clear" w:color="auto" w:fill="FFFFFF"/>
          <w:lang w:val="zh-CN"/>
        </w:rPr>
        <w:t>所有指标都基本达到了预期的效果，所有项目经费都实现了价值的最大化。</w:t>
      </w:r>
    </w:p>
    <w:p w14:paraId="156EA4A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eastAsia="zh-CN"/>
        </w:rPr>
        <w:t>四、</w:t>
      </w:r>
      <w:r>
        <w:rPr>
          <w:rFonts w:hint="default" w:ascii="Times New Roman" w:hAnsi="Times New Roman" w:eastAsia="黑体" w:cs="Times New Roman"/>
          <w:color w:val="auto"/>
          <w:kern w:val="0"/>
          <w:sz w:val="32"/>
          <w:szCs w:val="32"/>
          <w:highlight w:val="none"/>
          <w:shd w:val="clear" w:color="auto" w:fill="FFFFFF"/>
          <w:lang w:val="zh-CN"/>
        </w:rPr>
        <w:t>评价结论及建议</w:t>
      </w:r>
    </w:p>
    <w:p w14:paraId="3B119503">
      <w:pPr>
        <w:widowControl/>
        <w:adjustRightInd w:val="0"/>
        <w:snapToGrid w:val="0"/>
        <w:spacing w:line="580" w:lineRule="exact"/>
        <w:ind w:firstLine="643" w:firstLineChars="200"/>
        <w:contextualSpacing/>
        <w:jc w:val="left"/>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（一）评价结论。</w:t>
      </w:r>
    </w:p>
    <w:p w14:paraId="21822D5F">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根据考核评分细则，我单位严格按照国家的相关财务管理制度规定，财务制度健全、会计核算规范，依照计划管理使用。按照部门整体支出绩效评价指标体系对照打分得出结果，分数为99分。</w:t>
      </w:r>
    </w:p>
    <w:p w14:paraId="5DDE3C69">
      <w:pPr>
        <w:keepNext w:val="0"/>
        <w:keepLines w:val="0"/>
        <w:pageBreakBefore w:val="0"/>
        <w:widowControl/>
        <w:numPr>
          <w:ilvl w:val="0"/>
          <w:numId w:val="4"/>
        </w:numPr>
        <w:kinsoku/>
        <w:wordWrap/>
        <w:overflowPunct/>
        <w:topLinePunct w:val="0"/>
        <w:autoSpaceDE/>
        <w:autoSpaceDN/>
        <w:bidi w:val="0"/>
        <w:adjustRightInd w:val="0"/>
        <w:snapToGrid w:val="0"/>
        <w:spacing w:line="58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存在问题。</w:t>
      </w:r>
    </w:p>
    <w:p w14:paraId="601168EA">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1.《粮食流通管理条例》宣传力度不够，群众特别是个别粮食经营户对粮油行政执法工作不理解。</w:t>
      </w:r>
    </w:p>
    <w:p w14:paraId="2C23DBD2">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2.工作开展情况记录不完整。</w:t>
      </w:r>
    </w:p>
    <w:p w14:paraId="29F019EF">
      <w:pPr>
        <w:widowControl/>
        <w:adjustRightInd w:val="0"/>
        <w:snapToGrid w:val="0"/>
        <w:spacing w:line="580" w:lineRule="exact"/>
        <w:ind w:firstLine="643" w:firstLineChars="200"/>
        <w:contextualSpacing/>
        <w:jc w:val="left"/>
        <w:rPr>
          <w:rFonts w:hint="default" w:ascii="Times New Roman" w:hAnsi="Times New Roman" w:eastAsia="楷体_GB2312" w:cs="Times New Roman"/>
          <w:b/>
          <w:bCs/>
          <w:color w:val="auto"/>
          <w:kern w:val="0"/>
          <w:sz w:val="32"/>
          <w:szCs w:val="32"/>
          <w:highlight w:val="none"/>
          <w:shd w:val="clear" w:color="auto" w:fill="FFFFFF"/>
          <w:lang w:val="zh-CN" w:eastAsia="zh-CN"/>
        </w:rPr>
      </w:pPr>
      <w:r>
        <w:rPr>
          <w:rFonts w:hint="default" w:ascii="Times New Roman" w:hAnsi="Times New Roman" w:eastAsia="楷体_GB2312" w:cs="Times New Roman"/>
          <w:b/>
          <w:bCs/>
          <w:color w:val="auto"/>
          <w:kern w:val="0"/>
          <w:sz w:val="32"/>
          <w:szCs w:val="32"/>
          <w:highlight w:val="none"/>
          <w:shd w:val="clear" w:color="auto" w:fill="FFFFFF"/>
          <w:lang w:val="zh-CN" w:eastAsia="zh-CN"/>
        </w:rPr>
        <w:t>（三）改进建议。</w:t>
      </w:r>
      <w:bookmarkStart w:id="53" w:name="_Hlk110546638"/>
    </w:p>
    <w:p w14:paraId="03AE81E0">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1.年初预算时，加强部门与财政的沟通，继续执行预算三上三下程序，既厉行节约，又保证必需。</w:t>
      </w:r>
    </w:p>
    <w:p w14:paraId="276F13E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auto"/>
          <w:sz w:val="32"/>
          <w:szCs w:val="32"/>
          <w:u w:val="none"/>
          <w:lang w:val="en" w:eastAsia="zh-CN" w:bidi="ar"/>
        </w:rPr>
      </w:pPr>
      <w:r>
        <w:rPr>
          <w:rFonts w:hint="eastAsia" w:ascii="仿宋" w:hAnsi="仿宋" w:eastAsia="仿宋" w:cs="仿宋"/>
          <w:color w:val="auto"/>
          <w:kern w:val="0"/>
          <w:sz w:val="32"/>
          <w:szCs w:val="32"/>
          <w:shd w:val="clear" w:color="auto" w:fill="FFFFFF"/>
          <w:lang w:val="zh-CN"/>
        </w:rPr>
        <w:t>2.继续完善部门内财政管理方面的制度，加强财务管理，充分发挥财政资金的经济效益和社会效益。</w:t>
      </w:r>
    </w:p>
    <w:bookmarkEnd w:id="53"/>
    <w:p w14:paraId="7F9EA42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p>
    <w:p w14:paraId="035FDE3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r>
        <w:rPr>
          <w:rFonts w:hint="eastAsia" w:ascii="Times New Roman" w:hAnsi="Times New Roman" w:eastAsia="仿宋_GB2312" w:cs="Times New Roman"/>
          <w:color w:val="auto"/>
          <w:kern w:val="2"/>
          <w:sz w:val="32"/>
          <w:szCs w:val="32"/>
          <w:u w:val="none"/>
          <w:lang w:val="zh-CN" w:eastAsia="zh-CN" w:bidi="ar"/>
        </w:rPr>
        <w:t>附表：</w:t>
      </w:r>
      <w:r>
        <w:rPr>
          <w:rFonts w:hint="eastAsia" w:ascii="Times New Roman" w:hAnsi="Times New Roman" w:eastAsia="仿宋_GB2312" w:cs="Times New Roman"/>
          <w:color w:val="auto"/>
          <w:kern w:val="2"/>
          <w:sz w:val="32"/>
          <w:szCs w:val="32"/>
          <w:u w:val="none"/>
          <w:lang w:val="en-US" w:eastAsia="zh-CN" w:bidi="ar"/>
        </w:rPr>
        <w:t>部门预算项目支出绩效自评表（2024年度）</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212"/>
        <w:gridCol w:w="639"/>
        <w:gridCol w:w="639"/>
        <w:gridCol w:w="1850"/>
        <w:gridCol w:w="1031"/>
        <w:gridCol w:w="941"/>
        <w:gridCol w:w="926"/>
        <w:gridCol w:w="466"/>
        <w:gridCol w:w="730"/>
      </w:tblGrid>
      <w:tr w14:paraId="6B10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04" w:type="pct"/>
            <w:tcBorders>
              <w:top w:val="nil"/>
              <w:left w:val="nil"/>
              <w:bottom w:val="nil"/>
              <w:right w:val="nil"/>
            </w:tcBorders>
            <w:shd w:val="clear" w:color="auto" w:fill="auto"/>
            <w:noWrap/>
            <w:vAlign w:val="center"/>
          </w:tcPr>
          <w:p w14:paraId="510A6FF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371" w:type="pct"/>
            <w:tcBorders>
              <w:top w:val="nil"/>
              <w:left w:val="nil"/>
              <w:bottom w:val="nil"/>
              <w:right w:val="nil"/>
            </w:tcBorders>
            <w:shd w:val="clear" w:color="auto" w:fill="auto"/>
            <w:noWrap/>
            <w:vAlign w:val="center"/>
          </w:tcPr>
          <w:p w14:paraId="18DE592C">
            <w:pPr>
              <w:snapToGrid w:val="0"/>
              <w:rPr>
                <w:rFonts w:hint="eastAsia" w:ascii="宋体" w:hAnsi="宋体" w:eastAsia="宋体" w:cs="宋体"/>
                <w:i w:val="0"/>
                <w:iCs w:val="0"/>
                <w:color w:val="000000"/>
                <w:sz w:val="22"/>
                <w:szCs w:val="22"/>
                <w:u w:val="none"/>
              </w:rPr>
            </w:pPr>
          </w:p>
        </w:tc>
        <w:tc>
          <w:tcPr>
            <w:tcW w:w="372" w:type="pct"/>
            <w:tcBorders>
              <w:top w:val="nil"/>
              <w:left w:val="nil"/>
              <w:bottom w:val="nil"/>
              <w:right w:val="nil"/>
            </w:tcBorders>
            <w:shd w:val="clear" w:color="auto" w:fill="auto"/>
            <w:noWrap/>
            <w:vAlign w:val="center"/>
          </w:tcPr>
          <w:p w14:paraId="3C443782">
            <w:pPr>
              <w:snapToGrid w:val="0"/>
              <w:rPr>
                <w:rFonts w:hint="eastAsia" w:ascii="宋体" w:hAnsi="宋体" w:eastAsia="宋体" w:cs="宋体"/>
                <w:i w:val="0"/>
                <w:iCs w:val="0"/>
                <w:color w:val="000000"/>
                <w:sz w:val="22"/>
                <w:szCs w:val="22"/>
                <w:u w:val="none"/>
              </w:rPr>
            </w:pPr>
          </w:p>
        </w:tc>
        <w:tc>
          <w:tcPr>
            <w:tcW w:w="1168" w:type="pct"/>
            <w:tcBorders>
              <w:top w:val="nil"/>
              <w:left w:val="nil"/>
              <w:bottom w:val="nil"/>
              <w:right w:val="nil"/>
            </w:tcBorders>
            <w:shd w:val="clear" w:color="auto" w:fill="auto"/>
            <w:noWrap/>
            <w:vAlign w:val="center"/>
          </w:tcPr>
          <w:p w14:paraId="5ABAE3D9">
            <w:pPr>
              <w:snapToGrid w:val="0"/>
              <w:rPr>
                <w:rFonts w:hint="eastAsia" w:ascii="宋体" w:hAnsi="宋体" w:eastAsia="宋体" w:cs="宋体"/>
                <w:i w:val="0"/>
                <w:iCs w:val="0"/>
                <w:color w:val="000000"/>
                <w:sz w:val="22"/>
                <w:szCs w:val="22"/>
                <w:u w:val="none"/>
              </w:rPr>
            </w:pPr>
          </w:p>
        </w:tc>
        <w:tc>
          <w:tcPr>
            <w:tcW w:w="599" w:type="pct"/>
            <w:tcBorders>
              <w:top w:val="nil"/>
              <w:left w:val="nil"/>
              <w:bottom w:val="nil"/>
              <w:right w:val="nil"/>
            </w:tcBorders>
            <w:shd w:val="clear" w:color="auto" w:fill="auto"/>
            <w:noWrap/>
            <w:vAlign w:val="center"/>
          </w:tcPr>
          <w:p w14:paraId="73616AD2">
            <w:pPr>
              <w:snapToGrid w:val="0"/>
              <w:rPr>
                <w:rFonts w:hint="eastAsia" w:ascii="宋体" w:hAnsi="宋体" w:eastAsia="宋体" w:cs="宋体"/>
                <w:i w:val="0"/>
                <w:iCs w:val="0"/>
                <w:color w:val="000000"/>
                <w:sz w:val="22"/>
                <w:szCs w:val="22"/>
                <w:u w:val="none"/>
              </w:rPr>
            </w:pPr>
          </w:p>
        </w:tc>
        <w:tc>
          <w:tcPr>
            <w:tcW w:w="547" w:type="pct"/>
            <w:tcBorders>
              <w:top w:val="nil"/>
              <w:left w:val="nil"/>
              <w:bottom w:val="nil"/>
              <w:right w:val="nil"/>
            </w:tcBorders>
            <w:shd w:val="clear" w:color="auto" w:fill="auto"/>
            <w:noWrap/>
            <w:vAlign w:val="center"/>
          </w:tcPr>
          <w:p w14:paraId="034D0541">
            <w:pPr>
              <w:snapToGrid w:val="0"/>
              <w:rPr>
                <w:rFonts w:hint="eastAsia" w:ascii="宋体" w:hAnsi="宋体" w:eastAsia="宋体" w:cs="宋体"/>
                <w:i w:val="0"/>
                <w:iCs w:val="0"/>
                <w:color w:val="000000"/>
                <w:sz w:val="22"/>
                <w:szCs w:val="22"/>
                <w:u w:val="none"/>
              </w:rPr>
            </w:pPr>
          </w:p>
        </w:tc>
        <w:tc>
          <w:tcPr>
            <w:tcW w:w="542" w:type="pct"/>
            <w:tcBorders>
              <w:top w:val="nil"/>
              <w:left w:val="nil"/>
              <w:bottom w:val="nil"/>
              <w:right w:val="nil"/>
            </w:tcBorders>
            <w:shd w:val="clear" w:color="auto" w:fill="auto"/>
            <w:noWrap/>
            <w:vAlign w:val="center"/>
          </w:tcPr>
          <w:p w14:paraId="66363E48">
            <w:pPr>
              <w:snapToGrid w:val="0"/>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14:paraId="4F625386">
            <w:pPr>
              <w:snapToGrid w:val="0"/>
              <w:rPr>
                <w:rFonts w:hint="eastAsia" w:ascii="宋体" w:hAnsi="宋体" w:eastAsia="宋体" w:cs="宋体"/>
                <w:i w:val="0"/>
                <w:iCs w:val="0"/>
                <w:color w:val="000000"/>
                <w:sz w:val="22"/>
                <w:szCs w:val="22"/>
                <w:u w:val="none"/>
              </w:rPr>
            </w:pPr>
          </w:p>
        </w:tc>
        <w:tc>
          <w:tcPr>
            <w:tcW w:w="423" w:type="pct"/>
            <w:tcBorders>
              <w:top w:val="nil"/>
              <w:left w:val="nil"/>
              <w:bottom w:val="nil"/>
              <w:right w:val="nil"/>
            </w:tcBorders>
            <w:shd w:val="clear" w:color="auto" w:fill="auto"/>
            <w:noWrap/>
            <w:vAlign w:val="center"/>
          </w:tcPr>
          <w:p w14:paraId="7533EDF6">
            <w:pPr>
              <w:snapToGrid w:val="0"/>
              <w:rPr>
                <w:rFonts w:hint="eastAsia" w:ascii="宋体" w:hAnsi="宋体" w:eastAsia="宋体" w:cs="宋体"/>
                <w:i w:val="0"/>
                <w:iCs w:val="0"/>
                <w:color w:val="000000"/>
                <w:sz w:val="22"/>
                <w:szCs w:val="22"/>
                <w:u w:val="none"/>
              </w:rPr>
            </w:pPr>
          </w:p>
        </w:tc>
      </w:tr>
      <w:tr w14:paraId="2E00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060F0D10">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7B08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7DD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ABA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粮食执法经费</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986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16A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6AAC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71E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A8F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乐山市金口河区粮食和物资储备中心</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CDC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3E4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乐山市金口河区粮食和物资储备中心</w:t>
            </w:r>
          </w:p>
        </w:tc>
      </w:tr>
      <w:tr w14:paraId="13C4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5E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CF5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6" w:type="pct"/>
            <w:gridSpan w:val="2"/>
            <w:tcBorders>
              <w:top w:val="single" w:color="000000" w:sz="4" w:space="0"/>
              <w:left w:val="single" w:color="000000" w:sz="4" w:space="0"/>
              <w:bottom w:val="single" w:color="000000" w:sz="4" w:space="0"/>
              <w:right w:val="nil"/>
            </w:tcBorders>
            <w:shd w:val="clear" w:color="auto" w:fill="auto"/>
            <w:noWrap/>
            <w:vAlign w:val="center"/>
          </w:tcPr>
          <w:p w14:paraId="6E9A66BF">
            <w:pPr>
              <w:snapToGrid w:val="0"/>
              <w:jc w:val="center"/>
              <w:rPr>
                <w:rFonts w:hint="eastAsia" w:ascii="宋体" w:hAnsi="宋体" w:eastAsia="宋体" w:cs="宋体"/>
                <w:i w:val="0"/>
                <w:iCs w:val="0"/>
                <w:color w:val="000000"/>
                <w:sz w:val="20"/>
                <w:szCs w:val="20"/>
                <w:u w:val="none"/>
              </w:rPr>
            </w:pPr>
          </w:p>
        </w:tc>
        <w:tc>
          <w:tcPr>
            <w:tcW w:w="15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5D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06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DC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15B3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9E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B7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9E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84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07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BB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5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31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A0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C4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B6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91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E8D6">
            <w:pPr>
              <w:snapToGrid w:val="0"/>
              <w:jc w:val="center"/>
              <w:rPr>
                <w:rFonts w:hint="eastAsia" w:ascii="宋体" w:hAnsi="宋体" w:eastAsia="宋体" w:cs="宋体"/>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F109">
            <w:pPr>
              <w:snapToGrid w:val="0"/>
              <w:jc w:val="center"/>
              <w:rPr>
                <w:rFonts w:hint="eastAsia" w:ascii="宋体" w:hAnsi="宋体" w:eastAsia="宋体" w:cs="宋体"/>
                <w:i w:val="0"/>
                <w:iCs w:val="0"/>
                <w:color w:val="000000"/>
                <w:sz w:val="20"/>
                <w:szCs w:val="20"/>
                <w:u w:val="none"/>
              </w:rPr>
            </w:pP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0E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55FD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A45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2E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3C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BDD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27E2">
            <w:pPr>
              <w:snapToGrid w:val="0"/>
              <w:jc w:val="left"/>
              <w:rPr>
                <w:rFonts w:hint="eastAsia" w:ascii="宋体" w:hAnsi="宋体" w:eastAsia="宋体" w:cs="宋体"/>
                <w:i w:val="0"/>
                <w:iCs w:val="0"/>
                <w:color w:val="000000"/>
                <w:sz w:val="20"/>
                <w:szCs w:val="20"/>
                <w:u w:val="none"/>
              </w:rPr>
            </w:pPr>
          </w:p>
        </w:tc>
        <w:tc>
          <w:tcPr>
            <w:tcW w:w="2513" w:type="pct"/>
            <w:gridSpan w:val="4"/>
            <w:tcBorders>
              <w:top w:val="single" w:color="000000" w:sz="4" w:space="0"/>
              <w:left w:val="single" w:color="000000" w:sz="4" w:space="0"/>
              <w:bottom w:val="nil"/>
              <w:right w:val="single" w:color="000000" w:sz="4" w:space="0"/>
            </w:tcBorders>
            <w:shd w:val="clear" w:color="auto" w:fill="auto"/>
            <w:noWrap/>
            <w:vAlign w:val="center"/>
          </w:tcPr>
          <w:p w14:paraId="46C8162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2024年度对全区涉粮企业进行粮食执法</w:t>
            </w:r>
          </w:p>
        </w:tc>
        <w:tc>
          <w:tcPr>
            <w:tcW w:w="17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CEA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完成对全区涉粮企业进行粮食执法</w:t>
            </w:r>
          </w:p>
        </w:tc>
      </w:tr>
      <w:tr w14:paraId="6309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FF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48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D1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C8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C0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C0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7E423D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84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5593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6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8B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54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44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A8F5">
            <w:pPr>
              <w:snapToGrid w:val="0"/>
              <w:jc w:val="center"/>
              <w:rPr>
                <w:rFonts w:hint="eastAsia" w:ascii="宋体" w:hAnsi="宋体" w:eastAsia="宋体" w:cs="宋体"/>
                <w:i w:val="0"/>
                <w:iCs w:val="0"/>
                <w:color w:val="000000"/>
                <w:sz w:val="18"/>
                <w:szCs w:val="18"/>
                <w:u w:val="none"/>
              </w:rPr>
            </w:pPr>
          </w:p>
        </w:tc>
      </w:tr>
      <w:tr w14:paraId="5EBC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2572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3056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4B6C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8E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7E32AC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211B">
            <w:pPr>
              <w:snapToGrid w:val="0"/>
              <w:rPr>
                <w:rFonts w:hint="eastAsia" w:ascii="宋体" w:hAnsi="宋体" w:eastAsia="宋体" w:cs="宋体"/>
                <w:i w:val="0"/>
                <w:iCs w:val="0"/>
                <w:color w:val="000000"/>
                <w:sz w:val="18"/>
                <w:szCs w:val="18"/>
                <w:u w:val="none"/>
              </w:rPr>
            </w:pPr>
          </w:p>
        </w:tc>
      </w:tr>
      <w:tr w14:paraId="4B4A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67B4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44" w:type="pct"/>
            <w:gridSpan w:val="2"/>
            <w:tcBorders>
              <w:top w:val="single" w:color="000000" w:sz="4" w:space="0"/>
              <w:left w:val="single" w:color="000000" w:sz="4" w:space="0"/>
              <w:bottom w:val="single" w:color="000000" w:sz="4" w:space="0"/>
              <w:right w:val="nil"/>
            </w:tcBorders>
            <w:shd w:val="clear" w:color="auto" w:fill="FFFFFF"/>
            <w:noWrap/>
            <w:vAlign w:val="center"/>
          </w:tcPr>
          <w:p w14:paraId="33ED344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1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6DC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检查粮食商铺</w:t>
            </w:r>
          </w:p>
        </w:tc>
        <w:tc>
          <w:tcPr>
            <w:tcW w:w="5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8BF6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18家</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CF66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18家</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8D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5E60F1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04CD">
            <w:pPr>
              <w:snapToGrid w:val="0"/>
              <w:rPr>
                <w:rFonts w:hint="eastAsia" w:ascii="宋体" w:hAnsi="宋体" w:eastAsia="宋体" w:cs="宋体"/>
                <w:i w:val="0"/>
                <w:iCs w:val="0"/>
                <w:color w:val="000000"/>
                <w:sz w:val="18"/>
                <w:szCs w:val="18"/>
                <w:u w:val="none"/>
              </w:rPr>
            </w:pPr>
          </w:p>
        </w:tc>
      </w:tr>
      <w:tr w14:paraId="4C83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3D5DF">
            <w:pPr>
              <w:snapToGrid w:val="0"/>
              <w:jc w:val="center"/>
              <w:rPr>
                <w:rFonts w:hint="eastAsia" w:ascii="宋体" w:hAnsi="宋体" w:eastAsia="宋体" w:cs="宋体"/>
                <w:i w:val="0"/>
                <w:iCs w:val="0"/>
                <w:color w:val="333333"/>
                <w:sz w:val="18"/>
                <w:szCs w:val="18"/>
                <w:u w:val="none"/>
              </w:rPr>
            </w:pPr>
          </w:p>
        </w:tc>
        <w:tc>
          <w:tcPr>
            <w:tcW w:w="744" w:type="pct"/>
            <w:gridSpan w:val="2"/>
            <w:tcBorders>
              <w:top w:val="single" w:color="000000" w:sz="4" w:space="0"/>
              <w:left w:val="single" w:color="000000" w:sz="4" w:space="0"/>
              <w:bottom w:val="single" w:color="000000" w:sz="4" w:space="0"/>
              <w:right w:val="nil"/>
            </w:tcBorders>
            <w:shd w:val="clear" w:color="auto" w:fill="FFFFFF"/>
            <w:noWrap/>
            <w:vAlign w:val="center"/>
          </w:tcPr>
          <w:p w14:paraId="58AC8C3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1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877A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全区门店粮食质量</w:t>
            </w:r>
          </w:p>
        </w:tc>
        <w:tc>
          <w:tcPr>
            <w:tcW w:w="5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0B5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305C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DD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351A97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E22E">
            <w:pPr>
              <w:snapToGrid w:val="0"/>
              <w:rPr>
                <w:rFonts w:hint="eastAsia" w:ascii="宋体" w:hAnsi="宋体" w:eastAsia="宋体" w:cs="宋体"/>
                <w:i w:val="0"/>
                <w:iCs w:val="0"/>
                <w:color w:val="000000"/>
                <w:sz w:val="18"/>
                <w:szCs w:val="18"/>
                <w:u w:val="none"/>
              </w:rPr>
            </w:pPr>
          </w:p>
        </w:tc>
      </w:tr>
      <w:tr w14:paraId="6162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49583">
            <w:pPr>
              <w:snapToGrid w:val="0"/>
              <w:jc w:val="center"/>
              <w:rPr>
                <w:rFonts w:hint="eastAsia" w:ascii="宋体" w:hAnsi="宋体" w:eastAsia="宋体" w:cs="宋体"/>
                <w:i w:val="0"/>
                <w:iCs w:val="0"/>
                <w:color w:val="333333"/>
                <w:sz w:val="18"/>
                <w:szCs w:val="18"/>
                <w:u w:val="none"/>
              </w:rPr>
            </w:pPr>
          </w:p>
        </w:tc>
        <w:tc>
          <w:tcPr>
            <w:tcW w:w="744" w:type="pct"/>
            <w:gridSpan w:val="2"/>
            <w:tcBorders>
              <w:top w:val="single" w:color="000000" w:sz="4" w:space="0"/>
              <w:left w:val="single" w:color="000000" w:sz="4" w:space="0"/>
              <w:bottom w:val="single" w:color="000000" w:sz="4" w:space="0"/>
              <w:right w:val="nil"/>
            </w:tcBorders>
            <w:shd w:val="clear" w:color="auto" w:fill="FFFFFF"/>
            <w:noWrap/>
            <w:vAlign w:val="center"/>
          </w:tcPr>
          <w:p w14:paraId="5BFF63D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1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B26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检查完成时限</w:t>
            </w:r>
          </w:p>
        </w:tc>
        <w:tc>
          <w:tcPr>
            <w:tcW w:w="5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7957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12个月</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EF8E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12个月</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52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33A41D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E3C1">
            <w:pPr>
              <w:snapToGrid w:val="0"/>
              <w:rPr>
                <w:rFonts w:hint="eastAsia" w:ascii="宋体" w:hAnsi="宋体" w:eastAsia="宋体" w:cs="宋体"/>
                <w:i w:val="0"/>
                <w:iCs w:val="0"/>
                <w:color w:val="000000"/>
                <w:sz w:val="18"/>
                <w:szCs w:val="18"/>
                <w:u w:val="none"/>
              </w:rPr>
            </w:pPr>
          </w:p>
        </w:tc>
      </w:tr>
      <w:tr w14:paraId="171F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ABC71">
            <w:pPr>
              <w:snapToGrid w:val="0"/>
              <w:jc w:val="center"/>
              <w:rPr>
                <w:rFonts w:hint="eastAsia" w:ascii="宋体" w:hAnsi="宋体" w:eastAsia="宋体" w:cs="宋体"/>
                <w:i w:val="0"/>
                <w:iCs w:val="0"/>
                <w:color w:val="333333"/>
                <w:sz w:val="18"/>
                <w:szCs w:val="18"/>
                <w:u w:val="none"/>
              </w:rPr>
            </w:pPr>
          </w:p>
        </w:tc>
        <w:tc>
          <w:tcPr>
            <w:tcW w:w="744" w:type="pct"/>
            <w:gridSpan w:val="2"/>
            <w:tcBorders>
              <w:top w:val="single" w:color="000000" w:sz="4" w:space="0"/>
              <w:left w:val="single" w:color="000000" w:sz="4" w:space="0"/>
              <w:bottom w:val="single" w:color="000000" w:sz="4" w:space="0"/>
              <w:right w:val="nil"/>
            </w:tcBorders>
            <w:shd w:val="clear" w:color="auto" w:fill="FFFFFF"/>
            <w:noWrap/>
            <w:vAlign w:val="center"/>
          </w:tcPr>
          <w:p w14:paraId="7B4DEFE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1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544B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执法、统计费用</w:t>
            </w:r>
          </w:p>
        </w:tc>
        <w:tc>
          <w:tcPr>
            <w:tcW w:w="5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111C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3万元</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2811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3万元</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C9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078A0A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B60F">
            <w:pPr>
              <w:snapToGrid w:val="0"/>
              <w:rPr>
                <w:rFonts w:hint="eastAsia" w:ascii="宋体" w:hAnsi="宋体" w:eastAsia="宋体" w:cs="宋体"/>
                <w:i w:val="0"/>
                <w:iCs w:val="0"/>
                <w:color w:val="000000"/>
                <w:sz w:val="18"/>
                <w:szCs w:val="18"/>
                <w:u w:val="none"/>
              </w:rPr>
            </w:pPr>
          </w:p>
        </w:tc>
      </w:tr>
      <w:tr w14:paraId="7A32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166E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44" w:type="pct"/>
            <w:gridSpan w:val="2"/>
            <w:tcBorders>
              <w:top w:val="single" w:color="000000" w:sz="4" w:space="0"/>
              <w:left w:val="single" w:color="000000" w:sz="4" w:space="0"/>
              <w:bottom w:val="single" w:color="000000" w:sz="4" w:space="0"/>
              <w:right w:val="nil"/>
            </w:tcBorders>
            <w:shd w:val="clear" w:color="auto" w:fill="FFFFFF"/>
            <w:noWrap/>
            <w:vAlign w:val="center"/>
          </w:tcPr>
          <w:p w14:paraId="034B875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1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E062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加强消费者权益</w:t>
            </w:r>
          </w:p>
        </w:tc>
        <w:tc>
          <w:tcPr>
            <w:tcW w:w="5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5FA9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6D5B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F4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770648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961A">
            <w:pPr>
              <w:snapToGrid w:val="0"/>
              <w:rPr>
                <w:rFonts w:hint="eastAsia" w:ascii="宋体" w:hAnsi="宋体" w:eastAsia="宋体" w:cs="宋体"/>
                <w:i w:val="0"/>
                <w:iCs w:val="0"/>
                <w:color w:val="000000"/>
                <w:sz w:val="18"/>
                <w:szCs w:val="18"/>
                <w:u w:val="none"/>
              </w:rPr>
            </w:pPr>
          </w:p>
        </w:tc>
      </w:tr>
      <w:tr w14:paraId="59EA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A16E9">
            <w:pPr>
              <w:snapToGrid w:val="0"/>
              <w:jc w:val="center"/>
              <w:rPr>
                <w:rFonts w:hint="eastAsia" w:ascii="宋体" w:hAnsi="宋体" w:eastAsia="宋体" w:cs="宋体"/>
                <w:i w:val="0"/>
                <w:iCs w:val="0"/>
                <w:color w:val="333333"/>
                <w:sz w:val="18"/>
                <w:szCs w:val="18"/>
                <w:u w:val="none"/>
              </w:rPr>
            </w:pPr>
          </w:p>
        </w:tc>
        <w:tc>
          <w:tcPr>
            <w:tcW w:w="744" w:type="pct"/>
            <w:gridSpan w:val="2"/>
            <w:tcBorders>
              <w:top w:val="single" w:color="000000" w:sz="4" w:space="0"/>
              <w:left w:val="single" w:color="000000" w:sz="4" w:space="0"/>
              <w:bottom w:val="single" w:color="000000" w:sz="4" w:space="0"/>
              <w:right w:val="nil"/>
            </w:tcBorders>
            <w:shd w:val="clear" w:color="auto" w:fill="FFFFFF"/>
            <w:noWrap/>
            <w:vAlign w:val="center"/>
          </w:tcPr>
          <w:p w14:paraId="7E9C37C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1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4D67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稳定粮食市场</w:t>
            </w:r>
          </w:p>
        </w:tc>
        <w:tc>
          <w:tcPr>
            <w:tcW w:w="5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DA6B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45BF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8B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741EE9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4867">
            <w:pPr>
              <w:snapToGrid w:val="0"/>
              <w:rPr>
                <w:rFonts w:hint="eastAsia" w:ascii="宋体" w:hAnsi="宋体" w:eastAsia="宋体" w:cs="宋体"/>
                <w:i w:val="0"/>
                <w:iCs w:val="0"/>
                <w:color w:val="000000"/>
                <w:sz w:val="18"/>
                <w:szCs w:val="18"/>
                <w:u w:val="none"/>
              </w:rPr>
            </w:pPr>
          </w:p>
        </w:tc>
      </w:tr>
      <w:tr w14:paraId="131F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942E1">
            <w:pPr>
              <w:snapToGrid w:val="0"/>
              <w:jc w:val="center"/>
              <w:rPr>
                <w:rFonts w:hint="eastAsia" w:ascii="宋体" w:hAnsi="宋体" w:eastAsia="宋体" w:cs="宋体"/>
                <w:i w:val="0"/>
                <w:iCs w:val="0"/>
                <w:color w:val="333333"/>
                <w:sz w:val="18"/>
                <w:szCs w:val="18"/>
                <w:u w:val="none"/>
              </w:rPr>
            </w:pPr>
          </w:p>
        </w:tc>
        <w:tc>
          <w:tcPr>
            <w:tcW w:w="744" w:type="pct"/>
            <w:gridSpan w:val="2"/>
            <w:tcBorders>
              <w:top w:val="single" w:color="000000" w:sz="4" w:space="0"/>
              <w:left w:val="single" w:color="000000" w:sz="4" w:space="0"/>
              <w:bottom w:val="single" w:color="000000" w:sz="4" w:space="0"/>
              <w:right w:val="nil"/>
            </w:tcBorders>
            <w:shd w:val="clear" w:color="auto" w:fill="FFFFFF"/>
            <w:noWrap/>
            <w:vAlign w:val="center"/>
          </w:tcPr>
          <w:p w14:paraId="620DC1C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1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328E8">
            <w:pPr>
              <w:snapToGrid w:val="0"/>
              <w:jc w:val="center"/>
              <w:rPr>
                <w:rFonts w:hint="eastAsia" w:ascii="宋体" w:hAnsi="宋体" w:eastAsia="宋体" w:cs="宋体"/>
                <w:i w:val="0"/>
                <w:iCs w:val="0"/>
                <w:color w:val="333333"/>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2C02">
            <w:pPr>
              <w:snapToGrid w:val="0"/>
              <w:jc w:val="center"/>
              <w:rPr>
                <w:rFonts w:hint="eastAsia" w:ascii="宋体" w:hAnsi="宋体" w:eastAsia="宋体" w:cs="宋体"/>
                <w:i w:val="0"/>
                <w:iCs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0A080">
            <w:pPr>
              <w:snapToGrid w:val="0"/>
              <w:jc w:val="center"/>
              <w:rPr>
                <w:rFonts w:hint="eastAsia" w:ascii="宋体" w:hAnsi="宋体" w:eastAsia="宋体" w:cs="宋体"/>
                <w:i w:val="0"/>
                <w:iCs w:val="0"/>
                <w:color w:val="333333"/>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A59B">
            <w:pPr>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3CFC7883">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9A7E">
            <w:pPr>
              <w:snapToGrid w:val="0"/>
              <w:rPr>
                <w:rFonts w:hint="eastAsia" w:ascii="宋体" w:hAnsi="宋体" w:eastAsia="宋体" w:cs="宋体"/>
                <w:i w:val="0"/>
                <w:iCs w:val="0"/>
                <w:color w:val="000000"/>
                <w:sz w:val="18"/>
                <w:szCs w:val="18"/>
                <w:u w:val="none"/>
              </w:rPr>
            </w:pPr>
          </w:p>
        </w:tc>
      </w:tr>
      <w:tr w14:paraId="343F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30E0F">
            <w:pPr>
              <w:snapToGrid w:val="0"/>
              <w:jc w:val="center"/>
              <w:rPr>
                <w:rFonts w:hint="eastAsia" w:ascii="宋体" w:hAnsi="宋体" w:eastAsia="宋体" w:cs="宋体"/>
                <w:i w:val="0"/>
                <w:iCs w:val="0"/>
                <w:color w:val="333333"/>
                <w:sz w:val="18"/>
                <w:szCs w:val="18"/>
                <w:u w:val="none"/>
              </w:rPr>
            </w:pPr>
          </w:p>
        </w:tc>
        <w:tc>
          <w:tcPr>
            <w:tcW w:w="744" w:type="pct"/>
            <w:gridSpan w:val="2"/>
            <w:tcBorders>
              <w:top w:val="single" w:color="000000" w:sz="4" w:space="0"/>
              <w:left w:val="single" w:color="000000" w:sz="4" w:space="0"/>
              <w:bottom w:val="single" w:color="000000" w:sz="4" w:space="0"/>
              <w:right w:val="nil"/>
            </w:tcBorders>
            <w:shd w:val="clear" w:color="auto" w:fill="FFFFFF"/>
            <w:noWrap/>
            <w:vAlign w:val="center"/>
          </w:tcPr>
          <w:p w14:paraId="03132F2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1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22B75">
            <w:pPr>
              <w:snapToGrid w:val="0"/>
              <w:jc w:val="center"/>
              <w:rPr>
                <w:rFonts w:hint="eastAsia" w:ascii="宋体" w:hAnsi="宋体" w:eastAsia="宋体" w:cs="宋体"/>
                <w:i w:val="0"/>
                <w:iCs w:val="0"/>
                <w:color w:val="333333"/>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EAAED">
            <w:pPr>
              <w:snapToGrid w:val="0"/>
              <w:jc w:val="center"/>
              <w:rPr>
                <w:rFonts w:hint="eastAsia" w:ascii="宋体" w:hAnsi="宋体" w:eastAsia="宋体" w:cs="宋体"/>
                <w:i w:val="0"/>
                <w:iCs w:val="0"/>
                <w:color w:val="333333"/>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87157">
            <w:pPr>
              <w:snapToGrid w:val="0"/>
              <w:jc w:val="center"/>
              <w:rPr>
                <w:rFonts w:hint="eastAsia" w:ascii="宋体" w:hAnsi="宋体" w:eastAsia="宋体" w:cs="宋体"/>
                <w:i w:val="0"/>
                <w:iCs w:val="0"/>
                <w:color w:val="333333"/>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C837">
            <w:pPr>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26757C23">
            <w:pPr>
              <w:snapToGrid w:val="0"/>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B703">
            <w:pPr>
              <w:snapToGrid w:val="0"/>
              <w:rPr>
                <w:rFonts w:hint="eastAsia" w:ascii="宋体" w:hAnsi="宋体" w:eastAsia="宋体" w:cs="宋体"/>
                <w:i w:val="0"/>
                <w:iCs w:val="0"/>
                <w:color w:val="000000"/>
                <w:sz w:val="18"/>
                <w:szCs w:val="18"/>
                <w:u w:val="none"/>
              </w:rPr>
            </w:pPr>
          </w:p>
        </w:tc>
      </w:tr>
      <w:tr w14:paraId="06BB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4CE3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44" w:type="pct"/>
            <w:gridSpan w:val="2"/>
            <w:tcBorders>
              <w:top w:val="single" w:color="000000" w:sz="4" w:space="0"/>
              <w:left w:val="single" w:color="000000" w:sz="4" w:space="0"/>
              <w:bottom w:val="single" w:color="000000" w:sz="4" w:space="0"/>
              <w:right w:val="nil"/>
            </w:tcBorders>
            <w:shd w:val="clear" w:color="auto" w:fill="FFFFFF"/>
            <w:noWrap/>
            <w:vAlign w:val="center"/>
          </w:tcPr>
          <w:p w14:paraId="0F6268A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1576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5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F003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8D15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C4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558F60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0658">
            <w:pPr>
              <w:snapToGrid w:val="0"/>
              <w:rPr>
                <w:rFonts w:hint="eastAsia" w:ascii="宋体" w:hAnsi="宋体" w:eastAsia="宋体" w:cs="宋体"/>
                <w:i w:val="0"/>
                <w:iCs w:val="0"/>
                <w:color w:val="000000"/>
                <w:sz w:val="18"/>
                <w:szCs w:val="18"/>
                <w:u w:val="none"/>
              </w:rPr>
            </w:pPr>
          </w:p>
        </w:tc>
      </w:tr>
      <w:tr w14:paraId="3024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nil"/>
              <w:bottom w:val="nil"/>
              <w:right w:val="nil"/>
            </w:tcBorders>
            <w:shd w:val="clear" w:color="auto" w:fill="auto"/>
            <w:vAlign w:val="center"/>
          </w:tcPr>
          <w:p w14:paraId="418EE64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p>
        </w:tc>
      </w:tr>
    </w:tbl>
    <w:p w14:paraId="1B0E5C45">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yellow"/>
          <w:lang w:val="zh-CN" w:eastAsia="zh-CN"/>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064"/>
        <w:gridCol w:w="570"/>
        <w:gridCol w:w="569"/>
        <w:gridCol w:w="1754"/>
        <w:gridCol w:w="908"/>
        <w:gridCol w:w="1354"/>
        <w:gridCol w:w="833"/>
        <w:gridCol w:w="444"/>
        <w:gridCol w:w="938"/>
      </w:tblGrid>
      <w:tr w14:paraId="3CD1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21" w:type="pct"/>
            <w:tcBorders>
              <w:top w:val="nil"/>
              <w:left w:val="nil"/>
              <w:bottom w:val="nil"/>
              <w:right w:val="nil"/>
            </w:tcBorders>
            <w:shd w:val="clear" w:color="auto" w:fill="auto"/>
            <w:noWrap/>
            <w:vAlign w:val="center"/>
          </w:tcPr>
          <w:p w14:paraId="08CEC6AE">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333" w:type="pct"/>
            <w:tcBorders>
              <w:top w:val="nil"/>
              <w:left w:val="nil"/>
              <w:bottom w:val="nil"/>
              <w:right w:val="nil"/>
            </w:tcBorders>
            <w:shd w:val="clear" w:color="auto" w:fill="auto"/>
            <w:noWrap/>
            <w:vAlign w:val="center"/>
          </w:tcPr>
          <w:p w14:paraId="536E7337">
            <w:pPr>
              <w:keepNext/>
              <w:snapToGrid w:val="0"/>
              <w:rPr>
                <w:rFonts w:hint="eastAsia" w:ascii="宋体" w:hAnsi="宋体" w:eastAsia="宋体" w:cs="宋体"/>
                <w:i w:val="0"/>
                <w:iCs w:val="0"/>
                <w:color w:val="000000"/>
                <w:sz w:val="22"/>
                <w:szCs w:val="22"/>
                <w:u w:val="none"/>
              </w:rPr>
            </w:pPr>
          </w:p>
        </w:tc>
        <w:tc>
          <w:tcPr>
            <w:tcW w:w="333" w:type="pct"/>
            <w:tcBorders>
              <w:top w:val="nil"/>
              <w:left w:val="nil"/>
              <w:bottom w:val="nil"/>
              <w:right w:val="nil"/>
            </w:tcBorders>
            <w:shd w:val="clear" w:color="auto" w:fill="auto"/>
            <w:noWrap/>
            <w:vAlign w:val="center"/>
          </w:tcPr>
          <w:p w14:paraId="15AA826A">
            <w:pPr>
              <w:keepNext/>
              <w:snapToGrid w:val="0"/>
              <w:rPr>
                <w:rFonts w:hint="eastAsia" w:ascii="宋体" w:hAnsi="宋体" w:eastAsia="宋体" w:cs="宋体"/>
                <w:i w:val="0"/>
                <w:iCs w:val="0"/>
                <w:color w:val="000000"/>
                <w:sz w:val="22"/>
                <w:szCs w:val="22"/>
                <w:u w:val="none"/>
              </w:rPr>
            </w:pPr>
          </w:p>
        </w:tc>
        <w:tc>
          <w:tcPr>
            <w:tcW w:w="1094" w:type="pct"/>
            <w:tcBorders>
              <w:top w:val="nil"/>
              <w:left w:val="nil"/>
              <w:bottom w:val="nil"/>
              <w:right w:val="nil"/>
            </w:tcBorders>
            <w:shd w:val="clear" w:color="auto" w:fill="auto"/>
            <w:noWrap/>
            <w:vAlign w:val="center"/>
          </w:tcPr>
          <w:p w14:paraId="29F63AD6">
            <w:pPr>
              <w:keepNext/>
              <w:snapToGrid w:val="0"/>
              <w:rPr>
                <w:rFonts w:hint="eastAsia" w:ascii="宋体" w:hAnsi="宋体" w:eastAsia="宋体" w:cs="宋体"/>
                <w:i w:val="0"/>
                <w:iCs w:val="0"/>
                <w:color w:val="000000"/>
                <w:sz w:val="22"/>
                <w:szCs w:val="22"/>
                <w:u w:val="none"/>
              </w:rPr>
            </w:pPr>
          </w:p>
        </w:tc>
        <w:tc>
          <w:tcPr>
            <w:tcW w:w="530" w:type="pct"/>
            <w:tcBorders>
              <w:top w:val="nil"/>
              <w:left w:val="nil"/>
              <w:bottom w:val="nil"/>
              <w:right w:val="nil"/>
            </w:tcBorders>
            <w:shd w:val="clear" w:color="auto" w:fill="auto"/>
            <w:noWrap/>
            <w:vAlign w:val="center"/>
          </w:tcPr>
          <w:p w14:paraId="65D5DEB3">
            <w:pPr>
              <w:keepNext/>
              <w:snapToGrid w:val="0"/>
              <w:rPr>
                <w:rFonts w:hint="eastAsia" w:ascii="宋体" w:hAnsi="宋体" w:eastAsia="宋体" w:cs="宋体"/>
                <w:i w:val="0"/>
                <w:iCs w:val="0"/>
                <w:color w:val="000000"/>
                <w:sz w:val="22"/>
                <w:szCs w:val="22"/>
                <w:u w:val="none"/>
              </w:rPr>
            </w:pPr>
          </w:p>
        </w:tc>
        <w:tc>
          <w:tcPr>
            <w:tcW w:w="799" w:type="pct"/>
            <w:tcBorders>
              <w:top w:val="nil"/>
              <w:left w:val="nil"/>
              <w:bottom w:val="nil"/>
              <w:right w:val="nil"/>
            </w:tcBorders>
            <w:shd w:val="clear" w:color="auto" w:fill="auto"/>
            <w:noWrap/>
            <w:vAlign w:val="center"/>
          </w:tcPr>
          <w:p w14:paraId="65D8B421">
            <w:pPr>
              <w:keepNext/>
              <w:snapToGrid w:val="0"/>
              <w:rPr>
                <w:rFonts w:hint="eastAsia" w:ascii="宋体" w:hAnsi="宋体" w:eastAsia="宋体" w:cs="宋体"/>
                <w:i w:val="0"/>
                <w:iCs w:val="0"/>
                <w:color w:val="000000"/>
                <w:sz w:val="22"/>
                <w:szCs w:val="22"/>
                <w:u w:val="none"/>
              </w:rPr>
            </w:pPr>
          </w:p>
        </w:tc>
        <w:tc>
          <w:tcPr>
            <w:tcW w:w="486" w:type="pct"/>
            <w:tcBorders>
              <w:top w:val="nil"/>
              <w:left w:val="nil"/>
              <w:bottom w:val="nil"/>
              <w:right w:val="nil"/>
            </w:tcBorders>
            <w:shd w:val="clear" w:color="auto" w:fill="auto"/>
            <w:noWrap/>
            <w:vAlign w:val="center"/>
          </w:tcPr>
          <w:p w14:paraId="30A8C777">
            <w:pPr>
              <w:keepNext/>
              <w:snapToGrid w:val="0"/>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center"/>
          </w:tcPr>
          <w:p w14:paraId="47186B2B">
            <w:pPr>
              <w:keepNext/>
              <w:snapToGrid w:val="0"/>
              <w:rPr>
                <w:rFonts w:hint="eastAsia" w:ascii="宋体" w:hAnsi="宋体" w:eastAsia="宋体" w:cs="宋体"/>
                <w:i w:val="0"/>
                <w:iCs w:val="0"/>
                <w:color w:val="000000"/>
                <w:sz w:val="22"/>
                <w:szCs w:val="22"/>
                <w:u w:val="none"/>
              </w:rPr>
            </w:pPr>
          </w:p>
        </w:tc>
        <w:tc>
          <w:tcPr>
            <w:tcW w:w="547" w:type="pct"/>
            <w:tcBorders>
              <w:top w:val="nil"/>
              <w:left w:val="nil"/>
              <w:bottom w:val="nil"/>
              <w:right w:val="nil"/>
            </w:tcBorders>
            <w:shd w:val="clear" w:color="auto" w:fill="auto"/>
            <w:noWrap/>
            <w:vAlign w:val="center"/>
          </w:tcPr>
          <w:p w14:paraId="0B1FDF16">
            <w:pPr>
              <w:keepNext/>
              <w:snapToGrid w:val="0"/>
              <w:rPr>
                <w:rFonts w:hint="eastAsia" w:ascii="宋体" w:hAnsi="宋体" w:eastAsia="宋体" w:cs="宋体"/>
                <w:i w:val="0"/>
                <w:iCs w:val="0"/>
                <w:color w:val="000000"/>
                <w:sz w:val="22"/>
                <w:szCs w:val="22"/>
                <w:u w:val="none"/>
              </w:rPr>
            </w:pPr>
          </w:p>
        </w:tc>
      </w:tr>
      <w:tr w14:paraId="45D3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30227B4">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09AF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5DB9">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7FC9">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100吨大米轮换采购资金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24F6">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FFE9">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2411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B8A5">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A980">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乐山市金口河区粮食和物资储备中心</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DA7D">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A906">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乐山市金口河区金粮粮油储备有限公司</w:t>
            </w:r>
          </w:p>
        </w:tc>
      </w:tr>
      <w:tr w14:paraId="766F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B95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B62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55" w:type="pct"/>
            <w:gridSpan w:val="2"/>
            <w:tcBorders>
              <w:top w:val="single" w:color="000000" w:sz="4" w:space="0"/>
              <w:left w:val="single" w:color="000000" w:sz="4" w:space="0"/>
              <w:bottom w:val="single" w:color="000000" w:sz="4" w:space="0"/>
              <w:right w:val="nil"/>
            </w:tcBorders>
            <w:shd w:val="clear" w:color="auto" w:fill="auto"/>
            <w:noWrap/>
            <w:vAlign w:val="center"/>
          </w:tcPr>
          <w:p w14:paraId="017A6FAD">
            <w:pPr>
              <w:keepNext/>
              <w:snapToGrid w:val="0"/>
              <w:jc w:val="center"/>
              <w:rPr>
                <w:rFonts w:hint="eastAsia" w:ascii="宋体" w:hAnsi="宋体" w:eastAsia="宋体" w:cs="宋体"/>
                <w:i w:val="0"/>
                <w:iCs w:val="0"/>
                <w:color w:val="000000"/>
                <w:sz w:val="20"/>
                <w:szCs w:val="20"/>
                <w:u w:val="none"/>
              </w:rPr>
            </w:pPr>
          </w:p>
        </w:tc>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37C2">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102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301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539A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A1F8">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058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A7D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357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EA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3E3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0608">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E590">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B17D">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E2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F93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83F7">
            <w:pPr>
              <w:keepNext/>
              <w:snapToGrid w:val="0"/>
              <w:jc w:val="center"/>
              <w:rPr>
                <w:rFonts w:hint="eastAsia" w:ascii="宋体" w:hAnsi="宋体" w:eastAsia="宋体" w:cs="宋体"/>
                <w:i w:val="0"/>
                <w:iCs w:val="0"/>
                <w:color w:val="000000"/>
                <w:sz w:val="20"/>
                <w:szCs w:val="20"/>
                <w:u w:val="none"/>
              </w:rPr>
            </w:pPr>
          </w:p>
        </w:tc>
        <w:tc>
          <w:tcPr>
            <w:tcW w:w="1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65BF">
            <w:pPr>
              <w:keepNext/>
              <w:snapToGrid w:val="0"/>
              <w:jc w:val="center"/>
              <w:rPr>
                <w:rFonts w:hint="eastAsia" w:ascii="宋体" w:hAnsi="宋体" w:eastAsia="宋体" w:cs="宋体"/>
                <w:i w:val="0"/>
                <w:iCs w:val="0"/>
                <w:color w:val="000000"/>
                <w:sz w:val="20"/>
                <w:szCs w:val="20"/>
                <w:u w:val="none"/>
              </w:rPr>
            </w:pPr>
          </w:p>
        </w:tc>
        <w:tc>
          <w:tcPr>
            <w:tcW w:w="12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00ED">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562F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BD70">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2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EE6D">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A895">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4A8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BC0F">
            <w:pPr>
              <w:keepNext/>
              <w:snapToGrid w:val="0"/>
              <w:jc w:val="left"/>
              <w:rPr>
                <w:rFonts w:hint="eastAsia" w:ascii="宋体" w:hAnsi="宋体" w:eastAsia="宋体" w:cs="宋体"/>
                <w:i w:val="0"/>
                <w:iCs w:val="0"/>
                <w:color w:val="000000"/>
                <w:sz w:val="20"/>
                <w:szCs w:val="20"/>
                <w:u w:val="none"/>
              </w:rPr>
            </w:pPr>
          </w:p>
        </w:tc>
        <w:tc>
          <w:tcPr>
            <w:tcW w:w="2292" w:type="pct"/>
            <w:gridSpan w:val="4"/>
            <w:tcBorders>
              <w:top w:val="single" w:color="000000" w:sz="4" w:space="0"/>
              <w:left w:val="single" w:color="000000" w:sz="4" w:space="0"/>
              <w:bottom w:val="nil"/>
              <w:right w:val="single" w:color="000000" w:sz="4" w:space="0"/>
            </w:tcBorders>
            <w:shd w:val="clear" w:color="auto" w:fill="auto"/>
            <w:noWrap/>
            <w:vAlign w:val="center"/>
          </w:tcPr>
          <w:p w14:paraId="272C9A65">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对2024年度区级储备成品大米100吨进行采购轮换</w:t>
            </w:r>
          </w:p>
        </w:tc>
        <w:tc>
          <w:tcPr>
            <w:tcW w:w="20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0D5A">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完成2024年度区级储备成品大米100吨采购轮换</w:t>
            </w:r>
          </w:p>
        </w:tc>
      </w:tr>
      <w:tr w14:paraId="4758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39A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26A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424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6E6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65B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0E4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51" w:type="pct"/>
            <w:tcBorders>
              <w:top w:val="single" w:color="000000" w:sz="4" w:space="0"/>
              <w:left w:val="nil"/>
              <w:bottom w:val="single" w:color="000000" w:sz="4" w:space="0"/>
              <w:right w:val="single" w:color="000000" w:sz="4" w:space="0"/>
            </w:tcBorders>
            <w:shd w:val="clear" w:color="auto" w:fill="auto"/>
            <w:noWrap/>
            <w:vAlign w:val="center"/>
          </w:tcPr>
          <w:p w14:paraId="21451B6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B98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751B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1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530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74A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74E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8514">
            <w:pPr>
              <w:keepNext/>
              <w:snapToGrid w:val="0"/>
              <w:jc w:val="center"/>
              <w:rPr>
                <w:rFonts w:hint="eastAsia" w:ascii="宋体" w:hAnsi="宋体" w:eastAsia="宋体" w:cs="宋体"/>
                <w:i w:val="0"/>
                <w:iCs w:val="0"/>
                <w:color w:val="000000"/>
                <w:sz w:val="18"/>
                <w:szCs w:val="18"/>
                <w:u w:val="none"/>
              </w:rPr>
            </w:pPr>
          </w:p>
        </w:tc>
      </w:tr>
      <w:tr w14:paraId="4AB8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8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B86EF">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F86DA">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F254F">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A79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1" w:type="pct"/>
            <w:tcBorders>
              <w:top w:val="single" w:color="000000" w:sz="4" w:space="0"/>
              <w:left w:val="nil"/>
              <w:bottom w:val="single" w:color="000000" w:sz="4" w:space="0"/>
              <w:right w:val="single" w:color="000000" w:sz="4" w:space="0"/>
            </w:tcBorders>
            <w:shd w:val="clear" w:color="auto" w:fill="auto"/>
            <w:noWrap/>
            <w:vAlign w:val="center"/>
          </w:tcPr>
          <w:p w14:paraId="69BAE19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DA28">
            <w:pPr>
              <w:keepNext/>
              <w:snapToGrid w:val="0"/>
              <w:rPr>
                <w:rFonts w:hint="eastAsia" w:ascii="宋体" w:hAnsi="宋体" w:eastAsia="宋体" w:cs="宋体"/>
                <w:i w:val="0"/>
                <w:iCs w:val="0"/>
                <w:color w:val="000000"/>
                <w:sz w:val="18"/>
                <w:szCs w:val="18"/>
                <w:u w:val="none"/>
              </w:rPr>
            </w:pPr>
          </w:p>
        </w:tc>
      </w:tr>
      <w:tr w14:paraId="0CA2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D6EA2">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66" w:type="pct"/>
            <w:gridSpan w:val="2"/>
            <w:tcBorders>
              <w:top w:val="single" w:color="000000" w:sz="4" w:space="0"/>
              <w:left w:val="single" w:color="000000" w:sz="4" w:space="0"/>
              <w:bottom w:val="single" w:color="000000" w:sz="4" w:space="0"/>
              <w:right w:val="nil"/>
            </w:tcBorders>
            <w:shd w:val="clear" w:color="auto" w:fill="FFFFFF"/>
            <w:noWrap/>
            <w:vAlign w:val="center"/>
          </w:tcPr>
          <w:p w14:paraId="5379746B">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0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7CE68">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大米轮换费数量</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EF3C4">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100吨</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8F75B">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5A7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1" w:type="pct"/>
            <w:tcBorders>
              <w:top w:val="single" w:color="000000" w:sz="4" w:space="0"/>
              <w:left w:val="nil"/>
              <w:bottom w:val="single" w:color="000000" w:sz="4" w:space="0"/>
              <w:right w:val="single" w:color="000000" w:sz="4" w:space="0"/>
            </w:tcBorders>
            <w:shd w:val="clear" w:color="auto" w:fill="auto"/>
            <w:noWrap/>
            <w:vAlign w:val="center"/>
          </w:tcPr>
          <w:p w14:paraId="65AEF18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BE51">
            <w:pPr>
              <w:keepNext/>
              <w:snapToGrid w:val="0"/>
              <w:rPr>
                <w:rFonts w:hint="eastAsia" w:ascii="宋体" w:hAnsi="宋体" w:eastAsia="宋体" w:cs="宋体"/>
                <w:i w:val="0"/>
                <w:iCs w:val="0"/>
                <w:color w:val="000000"/>
                <w:sz w:val="18"/>
                <w:szCs w:val="18"/>
                <w:u w:val="none"/>
              </w:rPr>
            </w:pPr>
          </w:p>
        </w:tc>
      </w:tr>
      <w:tr w14:paraId="5DA4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E613E">
            <w:pPr>
              <w:keepNext/>
              <w:snapToGrid w:val="0"/>
              <w:jc w:val="center"/>
              <w:rPr>
                <w:rFonts w:hint="eastAsia" w:ascii="宋体" w:hAnsi="宋体" w:eastAsia="宋体" w:cs="宋体"/>
                <w:i w:val="0"/>
                <w:iCs w:val="0"/>
                <w:color w:val="333333"/>
                <w:sz w:val="18"/>
                <w:szCs w:val="18"/>
                <w:u w:val="none"/>
              </w:rPr>
            </w:pPr>
          </w:p>
        </w:tc>
        <w:tc>
          <w:tcPr>
            <w:tcW w:w="666" w:type="pct"/>
            <w:gridSpan w:val="2"/>
            <w:tcBorders>
              <w:top w:val="single" w:color="000000" w:sz="4" w:space="0"/>
              <w:left w:val="single" w:color="000000" w:sz="4" w:space="0"/>
              <w:bottom w:val="single" w:color="000000" w:sz="4" w:space="0"/>
              <w:right w:val="nil"/>
            </w:tcBorders>
            <w:shd w:val="clear" w:color="auto" w:fill="FFFFFF"/>
            <w:noWrap/>
            <w:vAlign w:val="center"/>
          </w:tcPr>
          <w:p w14:paraId="638C0D24">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0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74AC6">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大米质量</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C3716">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08396">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B0F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1" w:type="pct"/>
            <w:tcBorders>
              <w:top w:val="single" w:color="000000" w:sz="4" w:space="0"/>
              <w:left w:val="nil"/>
              <w:bottom w:val="single" w:color="000000" w:sz="4" w:space="0"/>
              <w:right w:val="single" w:color="000000" w:sz="4" w:space="0"/>
            </w:tcBorders>
            <w:shd w:val="clear" w:color="auto" w:fill="auto"/>
            <w:noWrap/>
            <w:vAlign w:val="center"/>
          </w:tcPr>
          <w:p w14:paraId="7BAEE2A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61A7">
            <w:pPr>
              <w:keepNext/>
              <w:snapToGrid w:val="0"/>
              <w:rPr>
                <w:rFonts w:hint="eastAsia" w:ascii="宋体" w:hAnsi="宋体" w:eastAsia="宋体" w:cs="宋体"/>
                <w:i w:val="0"/>
                <w:iCs w:val="0"/>
                <w:color w:val="000000"/>
                <w:sz w:val="18"/>
                <w:szCs w:val="18"/>
                <w:u w:val="none"/>
              </w:rPr>
            </w:pPr>
          </w:p>
        </w:tc>
      </w:tr>
      <w:tr w14:paraId="73C3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995FF">
            <w:pPr>
              <w:keepNext/>
              <w:snapToGrid w:val="0"/>
              <w:jc w:val="center"/>
              <w:rPr>
                <w:rFonts w:hint="eastAsia" w:ascii="宋体" w:hAnsi="宋体" w:eastAsia="宋体" w:cs="宋体"/>
                <w:i w:val="0"/>
                <w:iCs w:val="0"/>
                <w:color w:val="333333"/>
                <w:sz w:val="18"/>
                <w:szCs w:val="18"/>
                <w:u w:val="none"/>
              </w:rPr>
            </w:pPr>
          </w:p>
        </w:tc>
        <w:tc>
          <w:tcPr>
            <w:tcW w:w="666" w:type="pct"/>
            <w:gridSpan w:val="2"/>
            <w:tcBorders>
              <w:top w:val="single" w:color="000000" w:sz="4" w:space="0"/>
              <w:left w:val="single" w:color="000000" w:sz="4" w:space="0"/>
              <w:bottom w:val="single" w:color="000000" w:sz="4" w:space="0"/>
              <w:right w:val="nil"/>
            </w:tcBorders>
            <w:shd w:val="clear" w:color="auto" w:fill="FFFFFF"/>
            <w:noWrap/>
            <w:vAlign w:val="center"/>
          </w:tcPr>
          <w:p w14:paraId="3574B16A">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0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CF24B">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大米轮换完成时限</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6467B">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8月底</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B575">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8月</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154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1" w:type="pct"/>
            <w:tcBorders>
              <w:top w:val="single" w:color="000000" w:sz="4" w:space="0"/>
              <w:left w:val="nil"/>
              <w:bottom w:val="single" w:color="000000" w:sz="4" w:space="0"/>
              <w:right w:val="single" w:color="000000" w:sz="4" w:space="0"/>
            </w:tcBorders>
            <w:shd w:val="clear" w:color="auto" w:fill="auto"/>
            <w:noWrap/>
            <w:vAlign w:val="center"/>
          </w:tcPr>
          <w:p w14:paraId="649C832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8666">
            <w:pPr>
              <w:keepNext/>
              <w:snapToGrid w:val="0"/>
              <w:rPr>
                <w:rFonts w:hint="eastAsia" w:ascii="宋体" w:hAnsi="宋体" w:eastAsia="宋体" w:cs="宋体"/>
                <w:i w:val="0"/>
                <w:iCs w:val="0"/>
                <w:color w:val="000000"/>
                <w:sz w:val="18"/>
                <w:szCs w:val="18"/>
                <w:u w:val="none"/>
              </w:rPr>
            </w:pPr>
          </w:p>
        </w:tc>
      </w:tr>
      <w:tr w14:paraId="3926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D58AE">
            <w:pPr>
              <w:keepNext/>
              <w:snapToGrid w:val="0"/>
              <w:jc w:val="center"/>
              <w:rPr>
                <w:rFonts w:hint="eastAsia" w:ascii="宋体" w:hAnsi="宋体" w:eastAsia="宋体" w:cs="宋体"/>
                <w:i w:val="0"/>
                <w:iCs w:val="0"/>
                <w:color w:val="333333"/>
                <w:sz w:val="18"/>
                <w:szCs w:val="18"/>
                <w:u w:val="none"/>
              </w:rPr>
            </w:pPr>
          </w:p>
        </w:tc>
        <w:tc>
          <w:tcPr>
            <w:tcW w:w="666" w:type="pct"/>
            <w:gridSpan w:val="2"/>
            <w:tcBorders>
              <w:top w:val="single" w:color="000000" w:sz="4" w:space="0"/>
              <w:left w:val="single" w:color="000000" w:sz="4" w:space="0"/>
              <w:bottom w:val="single" w:color="000000" w:sz="4" w:space="0"/>
              <w:right w:val="nil"/>
            </w:tcBorders>
            <w:shd w:val="clear" w:color="auto" w:fill="FFFFFF"/>
            <w:noWrap/>
            <w:vAlign w:val="center"/>
          </w:tcPr>
          <w:p w14:paraId="06F5A386">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0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43601">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大米轮换费用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CA4A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80万元</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4DCA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80万元</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6EF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1" w:type="pct"/>
            <w:tcBorders>
              <w:top w:val="single" w:color="000000" w:sz="4" w:space="0"/>
              <w:left w:val="nil"/>
              <w:bottom w:val="single" w:color="000000" w:sz="4" w:space="0"/>
              <w:right w:val="single" w:color="000000" w:sz="4" w:space="0"/>
            </w:tcBorders>
            <w:shd w:val="clear" w:color="auto" w:fill="auto"/>
            <w:noWrap/>
            <w:vAlign w:val="center"/>
          </w:tcPr>
          <w:p w14:paraId="581FBA9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566E">
            <w:pPr>
              <w:keepNext/>
              <w:snapToGrid w:val="0"/>
              <w:rPr>
                <w:rFonts w:hint="eastAsia" w:ascii="宋体" w:hAnsi="宋体" w:eastAsia="宋体" w:cs="宋体"/>
                <w:i w:val="0"/>
                <w:iCs w:val="0"/>
                <w:color w:val="000000"/>
                <w:sz w:val="18"/>
                <w:szCs w:val="18"/>
                <w:u w:val="none"/>
              </w:rPr>
            </w:pPr>
          </w:p>
        </w:tc>
      </w:tr>
      <w:tr w14:paraId="3F96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C8355">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66" w:type="pct"/>
            <w:gridSpan w:val="2"/>
            <w:tcBorders>
              <w:top w:val="single" w:color="000000" w:sz="4" w:space="0"/>
              <w:left w:val="single" w:color="000000" w:sz="4" w:space="0"/>
              <w:bottom w:val="single" w:color="000000" w:sz="4" w:space="0"/>
              <w:right w:val="nil"/>
            </w:tcBorders>
            <w:shd w:val="clear" w:color="auto" w:fill="FFFFFF"/>
            <w:noWrap/>
            <w:vAlign w:val="center"/>
          </w:tcPr>
          <w:p w14:paraId="783AFD6A">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0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EC824">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调节金口河区供应总量</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F0300">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供应平衡</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E4619">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供应平衡</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2F4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1" w:type="pct"/>
            <w:tcBorders>
              <w:top w:val="single" w:color="000000" w:sz="4" w:space="0"/>
              <w:left w:val="nil"/>
              <w:bottom w:val="single" w:color="000000" w:sz="4" w:space="0"/>
              <w:right w:val="single" w:color="000000" w:sz="4" w:space="0"/>
            </w:tcBorders>
            <w:shd w:val="clear" w:color="auto" w:fill="auto"/>
            <w:noWrap/>
            <w:vAlign w:val="center"/>
          </w:tcPr>
          <w:p w14:paraId="2B7D769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6E45">
            <w:pPr>
              <w:keepNext/>
              <w:snapToGrid w:val="0"/>
              <w:rPr>
                <w:rFonts w:hint="eastAsia" w:ascii="宋体" w:hAnsi="宋体" w:eastAsia="宋体" w:cs="宋体"/>
                <w:i w:val="0"/>
                <w:iCs w:val="0"/>
                <w:color w:val="000000"/>
                <w:sz w:val="18"/>
                <w:szCs w:val="18"/>
                <w:u w:val="none"/>
              </w:rPr>
            </w:pPr>
          </w:p>
        </w:tc>
      </w:tr>
      <w:tr w14:paraId="271F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D8882">
            <w:pPr>
              <w:keepNext/>
              <w:snapToGrid w:val="0"/>
              <w:jc w:val="center"/>
              <w:rPr>
                <w:rFonts w:hint="eastAsia" w:ascii="宋体" w:hAnsi="宋体" w:eastAsia="宋体" w:cs="宋体"/>
                <w:i w:val="0"/>
                <w:iCs w:val="0"/>
                <w:color w:val="333333"/>
                <w:sz w:val="18"/>
                <w:szCs w:val="18"/>
                <w:u w:val="none"/>
              </w:rPr>
            </w:pPr>
          </w:p>
        </w:tc>
        <w:tc>
          <w:tcPr>
            <w:tcW w:w="666" w:type="pct"/>
            <w:gridSpan w:val="2"/>
            <w:tcBorders>
              <w:top w:val="single" w:color="000000" w:sz="4" w:space="0"/>
              <w:left w:val="single" w:color="000000" w:sz="4" w:space="0"/>
              <w:bottom w:val="single" w:color="000000" w:sz="4" w:space="0"/>
              <w:right w:val="nil"/>
            </w:tcBorders>
            <w:shd w:val="clear" w:color="auto" w:fill="FFFFFF"/>
            <w:noWrap/>
            <w:vAlign w:val="center"/>
          </w:tcPr>
          <w:p w14:paraId="362411B6">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0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FFDC5">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提高抗灾能力</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5446A">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可保证灾民生产自救</w:t>
            </w:r>
          </w:p>
        </w:tc>
        <w:tc>
          <w:tcPr>
            <w:tcW w:w="7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90025">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可保证灾民生产自救</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4F8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1" w:type="pct"/>
            <w:tcBorders>
              <w:top w:val="single" w:color="000000" w:sz="4" w:space="0"/>
              <w:left w:val="nil"/>
              <w:bottom w:val="single" w:color="000000" w:sz="4" w:space="0"/>
              <w:right w:val="single" w:color="000000" w:sz="4" w:space="0"/>
            </w:tcBorders>
            <w:shd w:val="clear" w:color="auto" w:fill="auto"/>
            <w:noWrap/>
            <w:vAlign w:val="center"/>
          </w:tcPr>
          <w:p w14:paraId="27419CD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3B07">
            <w:pPr>
              <w:keepNext/>
              <w:snapToGrid w:val="0"/>
              <w:rPr>
                <w:rFonts w:hint="eastAsia" w:ascii="宋体" w:hAnsi="宋体" w:eastAsia="宋体" w:cs="宋体"/>
                <w:i w:val="0"/>
                <w:iCs w:val="0"/>
                <w:color w:val="000000"/>
                <w:sz w:val="18"/>
                <w:szCs w:val="18"/>
                <w:u w:val="none"/>
              </w:rPr>
            </w:pPr>
          </w:p>
        </w:tc>
      </w:tr>
      <w:tr w14:paraId="59E8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E751F">
            <w:pPr>
              <w:keepNext/>
              <w:snapToGrid w:val="0"/>
              <w:jc w:val="center"/>
              <w:rPr>
                <w:rFonts w:hint="eastAsia" w:ascii="宋体" w:hAnsi="宋体" w:eastAsia="宋体" w:cs="宋体"/>
                <w:i w:val="0"/>
                <w:iCs w:val="0"/>
                <w:color w:val="333333"/>
                <w:sz w:val="18"/>
                <w:szCs w:val="18"/>
                <w:u w:val="none"/>
              </w:rPr>
            </w:pPr>
          </w:p>
        </w:tc>
        <w:tc>
          <w:tcPr>
            <w:tcW w:w="666" w:type="pct"/>
            <w:gridSpan w:val="2"/>
            <w:tcBorders>
              <w:top w:val="single" w:color="000000" w:sz="4" w:space="0"/>
              <w:left w:val="single" w:color="000000" w:sz="4" w:space="0"/>
              <w:bottom w:val="single" w:color="000000" w:sz="4" w:space="0"/>
              <w:right w:val="nil"/>
            </w:tcBorders>
            <w:shd w:val="clear" w:color="auto" w:fill="FFFFFF"/>
            <w:noWrap/>
            <w:vAlign w:val="center"/>
          </w:tcPr>
          <w:p w14:paraId="3EFF648A">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0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101DE">
            <w:pPr>
              <w:keepNext/>
              <w:snapToGrid w:val="0"/>
              <w:jc w:val="center"/>
              <w:rPr>
                <w:rFonts w:hint="eastAsia" w:ascii="宋体" w:hAnsi="宋体" w:eastAsia="宋体" w:cs="宋体"/>
                <w:i w:val="0"/>
                <w:iCs w:val="0"/>
                <w:color w:val="333333"/>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FEFF7">
            <w:pPr>
              <w:keepNext/>
              <w:snapToGrid w:val="0"/>
              <w:jc w:val="center"/>
              <w:rPr>
                <w:rFonts w:hint="eastAsia" w:ascii="宋体" w:hAnsi="宋体" w:eastAsia="宋体" w:cs="宋体"/>
                <w:i w:val="0"/>
                <w:iCs w:val="0"/>
                <w:color w:val="333333"/>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04B50">
            <w:pPr>
              <w:keepNext/>
              <w:snapToGrid w:val="0"/>
              <w:jc w:val="center"/>
              <w:rPr>
                <w:rFonts w:hint="eastAsia" w:ascii="宋体" w:hAnsi="宋体" w:eastAsia="宋体" w:cs="宋体"/>
                <w:i w:val="0"/>
                <w:iCs w:val="0"/>
                <w:color w:val="333333"/>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6CE9">
            <w:pPr>
              <w:keepNext/>
              <w:snapToGrid w:val="0"/>
              <w:jc w:val="center"/>
              <w:rPr>
                <w:rFonts w:hint="eastAsia" w:ascii="宋体" w:hAnsi="宋体" w:eastAsia="宋体" w:cs="宋体"/>
                <w:i w:val="0"/>
                <w:iCs w:val="0"/>
                <w:color w:val="000000"/>
                <w:sz w:val="18"/>
                <w:szCs w:val="18"/>
                <w:u w:val="none"/>
              </w:rPr>
            </w:pPr>
          </w:p>
        </w:tc>
        <w:tc>
          <w:tcPr>
            <w:tcW w:w="251" w:type="pct"/>
            <w:tcBorders>
              <w:top w:val="single" w:color="000000" w:sz="4" w:space="0"/>
              <w:left w:val="nil"/>
              <w:bottom w:val="single" w:color="000000" w:sz="4" w:space="0"/>
              <w:right w:val="single" w:color="000000" w:sz="4" w:space="0"/>
            </w:tcBorders>
            <w:shd w:val="clear" w:color="auto" w:fill="auto"/>
            <w:noWrap/>
            <w:vAlign w:val="center"/>
          </w:tcPr>
          <w:p w14:paraId="24C2666D">
            <w:pPr>
              <w:keepNext/>
              <w:snapToGrid w:val="0"/>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E561">
            <w:pPr>
              <w:keepNext/>
              <w:snapToGrid w:val="0"/>
              <w:rPr>
                <w:rFonts w:hint="eastAsia" w:ascii="宋体" w:hAnsi="宋体" w:eastAsia="宋体" w:cs="宋体"/>
                <w:i w:val="0"/>
                <w:iCs w:val="0"/>
                <w:color w:val="000000"/>
                <w:sz w:val="18"/>
                <w:szCs w:val="18"/>
                <w:u w:val="none"/>
              </w:rPr>
            </w:pPr>
          </w:p>
        </w:tc>
      </w:tr>
      <w:tr w14:paraId="6325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2477C">
            <w:pPr>
              <w:keepNext/>
              <w:snapToGrid w:val="0"/>
              <w:jc w:val="center"/>
              <w:rPr>
                <w:rFonts w:hint="eastAsia" w:ascii="宋体" w:hAnsi="宋体" w:eastAsia="宋体" w:cs="宋体"/>
                <w:i w:val="0"/>
                <w:iCs w:val="0"/>
                <w:color w:val="333333"/>
                <w:sz w:val="18"/>
                <w:szCs w:val="18"/>
                <w:u w:val="none"/>
              </w:rPr>
            </w:pPr>
          </w:p>
        </w:tc>
        <w:tc>
          <w:tcPr>
            <w:tcW w:w="666" w:type="pct"/>
            <w:gridSpan w:val="2"/>
            <w:tcBorders>
              <w:top w:val="single" w:color="000000" w:sz="4" w:space="0"/>
              <w:left w:val="single" w:color="000000" w:sz="4" w:space="0"/>
              <w:bottom w:val="single" w:color="000000" w:sz="4" w:space="0"/>
              <w:right w:val="nil"/>
            </w:tcBorders>
            <w:shd w:val="clear" w:color="auto" w:fill="FFFFFF"/>
            <w:noWrap/>
            <w:vAlign w:val="center"/>
          </w:tcPr>
          <w:p w14:paraId="2AFF6DD1">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0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8AEBF">
            <w:pPr>
              <w:keepNext/>
              <w:snapToGrid w:val="0"/>
              <w:jc w:val="center"/>
              <w:rPr>
                <w:rFonts w:hint="eastAsia" w:ascii="宋体" w:hAnsi="宋体" w:eastAsia="宋体" w:cs="宋体"/>
                <w:i w:val="0"/>
                <w:iCs w:val="0"/>
                <w:color w:val="333333"/>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93BA">
            <w:pPr>
              <w:keepNext/>
              <w:snapToGrid w:val="0"/>
              <w:jc w:val="center"/>
              <w:rPr>
                <w:rFonts w:hint="eastAsia" w:ascii="宋体" w:hAnsi="宋体" w:eastAsia="宋体" w:cs="宋体"/>
                <w:i w:val="0"/>
                <w:iCs w:val="0"/>
                <w:color w:val="333333"/>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F2A39">
            <w:pPr>
              <w:keepNext/>
              <w:snapToGrid w:val="0"/>
              <w:jc w:val="center"/>
              <w:rPr>
                <w:rFonts w:hint="eastAsia" w:ascii="宋体" w:hAnsi="宋体" w:eastAsia="宋体" w:cs="宋体"/>
                <w:i w:val="0"/>
                <w:iCs w:val="0"/>
                <w:color w:val="333333"/>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DC6B">
            <w:pPr>
              <w:keepNext/>
              <w:snapToGrid w:val="0"/>
              <w:jc w:val="center"/>
              <w:rPr>
                <w:rFonts w:hint="eastAsia" w:ascii="宋体" w:hAnsi="宋体" w:eastAsia="宋体" w:cs="宋体"/>
                <w:i w:val="0"/>
                <w:iCs w:val="0"/>
                <w:color w:val="000000"/>
                <w:sz w:val="18"/>
                <w:szCs w:val="18"/>
                <w:u w:val="none"/>
              </w:rPr>
            </w:pPr>
          </w:p>
        </w:tc>
        <w:tc>
          <w:tcPr>
            <w:tcW w:w="251" w:type="pct"/>
            <w:tcBorders>
              <w:top w:val="single" w:color="000000" w:sz="4" w:space="0"/>
              <w:left w:val="nil"/>
              <w:bottom w:val="single" w:color="000000" w:sz="4" w:space="0"/>
              <w:right w:val="single" w:color="000000" w:sz="4" w:space="0"/>
            </w:tcBorders>
            <w:shd w:val="clear" w:color="auto" w:fill="auto"/>
            <w:noWrap/>
            <w:vAlign w:val="center"/>
          </w:tcPr>
          <w:p w14:paraId="4A831360">
            <w:pPr>
              <w:keepNext/>
              <w:snapToGrid w:val="0"/>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8EEA">
            <w:pPr>
              <w:keepNext/>
              <w:snapToGrid w:val="0"/>
              <w:rPr>
                <w:rFonts w:hint="eastAsia" w:ascii="宋体" w:hAnsi="宋体" w:eastAsia="宋体" w:cs="宋体"/>
                <w:i w:val="0"/>
                <w:iCs w:val="0"/>
                <w:color w:val="000000"/>
                <w:sz w:val="18"/>
                <w:szCs w:val="18"/>
                <w:u w:val="none"/>
              </w:rPr>
            </w:pPr>
          </w:p>
        </w:tc>
      </w:tr>
      <w:tr w14:paraId="05A4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ACE7A">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66" w:type="pct"/>
            <w:gridSpan w:val="2"/>
            <w:tcBorders>
              <w:top w:val="single" w:color="000000" w:sz="4" w:space="0"/>
              <w:left w:val="single" w:color="000000" w:sz="4" w:space="0"/>
              <w:bottom w:val="single" w:color="000000" w:sz="4" w:space="0"/>
              <w:right w:val="nil"/>
            </w:tcBorders>
            <w:shd w:val="clear" w:color="auto" w:fill="FFFFFF"/>
            <w:noWrap/>
            <w:vAlign w:val="center"/>
          </w:tcPr>
          <w:p w14:paraId="0E96CECA">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0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2E1CB">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3C058">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1502B">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F8A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1" w:type="pct"/>
            <w:tcBorders>
              <w:top w:val="single" w:color="000000" w:sz="4" w:space="0"/>
              <w:left w:val="nil"/>
              <w:bottom w:val="single" w:color="000000" w:sz="4" w:space="0"/>
              <w:right w:val="single" w:color="000000" w:sz="4" w:space="0"/>
            </w:tcBorders>
            <w:shd w:val="clear" w:color="auto" w:fill="auto"/>
            <w:noWrap/>
            <w:vAlign w:val="center"/>
          </w:tcPr>
          <w:p w14:paraId="4FDFCF1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40D8">
            <w:pPr>
              <w:keepNext/>
              <w:snapToGrid w:val="0"/>
              <w:rPr>
                <w:rFonts w:hint="eastAsia" w:ascii="宋体" w:hAnsi="宋体" w:eastAsia="宋体" w:cs="宋体"/>
                <w:i w:val="0"/>
                <w:iCs w:val="0"/>
                <w:color w:val="000000"/>
                <w:sz w:val="18"/>
                <w:szCs w:val="18"/>
                <w:u w:val="none"/>
              </w:rPr>
            </w:pPr>
          </w:p>
        </w:tc>
      </w:tr>
    </w:tbl>
    <w:p w14:paraId="161893AC">
      <w:pPr>
        <w:pStyle w:val="5"/>
        <w:rPr>
          <w:rFonts w:hint="eastAsia" w:ascii="Times New Roman" w:hAnsi="Times New Roman" w:cs="宋体"/>
          <w:color w:val="auto"/>
          <w:kern w:val="0"/>
          <w:sz w:val="32"/>
          <w:szCs w:val="32"/>
          <w:highlight w:val="yellow"/>
          <w:shd w:val="clear" w:color="auto" w:fill="FFFFFF"/>
          <w:lang w:val="zh-CN"/>
        </w:rPr>
      </w:pPr>
    </w:p>
    <w:p w14:paraId="1A1261D0">
      <w:pPr>
        <w:rPr>
          <w:rFonts w:hint="eastAsia" w:ascii="Times New Roman" w:hAnsi="Times New Roman" w:eastAsia="黑体" w:cs="黑体"/>
          <w:color w:val="auto"/>
          <w:kern w:val="0"/>
          <w:sz w:val="32"/>
          <w:szCs w:val="32"/>
          <w:highlight w:val="none"/>
          <w:shd w:val="clear" w:color="auto" w:fill="FFFFFF"/>
          <w:lang w:val="zh-CN"/>
        </w:rPr>
      </w:pPr>
    </w:p>
    <w:p w14:paraId="4B477717">
      <w:pPr>
        <w:rPr>
          <w:rFonts w:hint="eastAsia" w:ascii="Times New Roman" w:hAnsi="Times New Roman" w:eastAsia="黑体" w:cs="黑体"/>
          <w:color w:val="auto"/>
          <w:kern w:val="0"/>
          <w:sz w:val="32"/>
          <w:szCs w:val="32"/>
          <w:highlight w:val="none"/>
          <w:shd w:val="clear" w:color="auto" w:fill="FFFFFF"/>
          <w:lang w:val="zh-CN"/>
        </w:rPr>
      </w:pPr>
    </w:p>
    <w:p w14:paraId="2D2A8FC8">
      <w:pPr>
        <w:rPr>
          <w:rFonts w:hint="eastAsia" w:ascii="Times New Roman" w:hAnsi="Times New Roman" w:eastAsia="黑体" w:cs="黑体"/>
          <w:color w:val="auto"/>
          <w:kern w:val="0"/>
          <w:sz w:val="32"/>
          <w:szCs w:val="32"/>
          <w:highlight w:val="none"/>
          <w:shd w:val="clear" w:color="auto" w:fill="FFFFFF"/>
          <w:lang w:val="zh-CN"/>
        </w:rPr>
      </w:pPr>
    </w:p>
    <w:p w14:paraId="28A7A24F">
      <w:pPr>
        <w:rPr>
          <w:rFonts w:hint="eastAsia" w:ascii="Times New Roman" w:hAnsi="Times New Roman" w:eastAsia="黑体" w:cs="黑体"/>
          <w:color w:val="auto"/>
          <w:kern w:val="0"/>
          <w:sz w:val="32"/>
          <w:szCs w:val="32"/>
          <w:highlight w:val="none"/>
          <w:shd w:val="clear" w:color="auto" w:fill="FFFFFF"/>
          <w:lang w:val="zh-CN"/>
        </w:rPr>
      </w:pPr>
    </w:p>
    <w:p w14:paraId="14FED0D4">
      <w:pPr>
        <w:rPr>
          <w:rFonts w:hint="eastAsia" w:ascii="Times New Roman" w:hAnsi="Times New Roman" w:eastAsia="黑体" w:cs="黑体"/>
          <w:color w:val="auto"/>
          <w:kern w:val="0"/>
          <w:sz w:val="32"/>
          <w:szCs w:val="32"/>
          <w:highlight w:val="none"/>
          <w:shd w:val="clear" w:color="auto" w:fill="FFFFFF"/>
          <w:lang w:val="zh-CN"/>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32"/>
        <w:gridCol w:w="610"/>
        <w:gridCol w:w="595"/>
        <w:gridCol w:w="2088"/>
        <w:gridCol w:w="966"/>
        <w:gridCol w:w="882"/>
        <w:gridCol w:w="868"/>
        <w:gridCol w:w="450"/>
        <w:gridCol w:w="843"/>
      </w:tblGrid>
      <w:tr w14:paraId="12EE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1" w:type="pct"/>
            <w:tcBorders>
              <w:top w:val="nil"/>
              <w:left w:val="nil"/>
              <w:bottom w:val="nil"/>
              <w:right w:val="nil"/>
            </w:tcBorders>
            <w:shd w:val="clear" w:color="auto" w:fill="auto"/>
            <w:noWrap/>
            <w:vAlign w:val="center"/>
          </w:tcPr>
          <w:p w14:paraId="01989F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361" w:type="pct"/>
            <w:tcBorders>
              <w:top w:val="nil"/>
              <w:left w:val="nil"/>
              <w:bottom w:val="nil"/>
              <w:right w:val="nil"/>
            </w:tcBorders>
            <w:shd w:val="clear" w:color="auto" w:fill="auto"/>
            <w:noWrap/>
            <w:vAlign w:val="center"/>
          </w:tcPr>
          <w:p w14:paraId="34AEF1A8">
            <w:pPr>
              <w:snapToGrid w:val="0"/>
              <w:rPr>
                <w:rFonts w:hint="eastAsia" w:ascii="宋体" w:hAnsi="宋体" w:eastAsia="宋体" w:cs="宋体"/>
                <w:i w:val="0"/>
                <w:iCs w:val="0"/>
                <w:color w:val="000000"/>
                <w:sz w:val="22"/>
                <w:szCs w:val="22"/>
                <w:u w:val="none"/>
              </w:rPr>
            </w:pPr>
          </w:p>
        </w:tc>
        <w:tc>
          <w:tcPr>
            <w:tcW w:w="352" w:type="pct"/>
            <w:tcBorders>
              <w:top w:val="nil"/>
              <w:left w:val="nil"/>
              <w:bottom w:val="nil"/>
              <w:right w:val="nil"/>
            </w:tcBorders>
            <w:shd w:val="clear" w:color="auto" w:fill="auto"/>
            <w:noWrap/>
            <w:vAlign w:val="center"/>
          </w:tcPr>
          <w:p w14:paraId="6BB53F10">
            <w:pPr>
              <w:snapToGrid w:val="0"/>
              <w:rPr>
                <w:rFonts w:hint="eastAsia" w:ascii="宋体" w:hAnsi="宋体" w:eastAsia="宋体" w:cs="宋体"/>
                <w:i w:val="0"/>
                <w:iCs w:val="0"/>
                <w:color w:val="000000"/>
                <w:sz w:val="22"/>
                <w:szCs w:val="22"/>
                <w:u w:val="none"/>
              </w:rPr>
            </w:pPr>
          </w:p>
        </w:tc>
        <w:tc>
          <w:tcPr>
            <w:tcW w:w="1237" w:type="pct"/>
            <w:tcBorders>
              <w:top w:val="nil"/>
              <w:left w:val="nil"/>
              <w:bottom w:val="nil"/>
              <w:right w:val="nil"/>
            </w:tcBorders>
            <w:shd w:val="clear" w:color="auto" w:fill="auto"/>
            <w:noWrap/>
            <w:vAlign w:val="center"/>
          </w:tcPr>
          <w:p w14:paraId="427096FD">
            <w:pPr>
              <w:snapToGrid w:val="0"/>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center"/>
          </w:tcPr>
          <w:p w14:paraId="4D620ABC">
            <w:pPr>
              <w:snapToGrid w:val="0"/>
              <w:rPr>
                <w:rFonts w:hint="eastAsia" w:ascii="宋体" w:hAnsi="宋体" w:eastAsia="宋体" w:cs="宋体"/>
                <w:i w:val="0"/>
                <w:iCs w:val="0"/>
                <w:color w:val="000000"/>
                <w:sz w:val="22"/>
                <w:szCs w:val="22"/>
                <w:u w:val="none"/>
              </w:rPr>
            </w:pPr>
          </w:p>
        </w:tc>
        <w:tc>
          <w:tcPr>
            <w:tcW w:w="522" w:type="pct"/>
            <w:tcBorders>
              <w:top w:val="nil"/>
              <w:left w:val="nil"/>
              <w:bottom w:val="nil"/>
              <w:right w:val="nil"/>
            </w:tcBorders>
            <w:shd w:val="clear" w:color="auto" w:fill="auto"/>
            <w:noWrap/>
            <w:vAlign w:val="center"/>
          </w:tcPr>
          <w:p w14:paraId="37931AE6">
            <w:pPr>
              <w:snapToGrid w:val="0"/>
              <w:rPr>
                <w:rFonts w:hint="eastAsia" w:ascii="宋体" w:hAnsi="宋体" w:eastAsia="宋体" w:cs="宋体"/>
                <w:i w:val="0"/>
                <w:iCs w:val="0"/>
                <w:color w:val="000000"/>
                <w:sz w:val="22"/>
                <w:szCs w:val="22"/>
                <w:u w:val="none"/>
              </w:rPr>
            </w:pPr>
          </w:p>
        </w:tc>
        <w:tc>
          <w:tcPr>
            <w:tcW w:w="518" w:type="pct"/>
            <w:tcBorders>
              <w:top w:val="nil"/>
              <w:left w:val="nil"/>
              <w:bottom w:val="nil"/>
              <w:right w:val="nil"/>
            </w:tcBorders>
            <w:shd w:val="clear" w:color="auto" w:fill="auto"/>
            <w:noWrap/>
            <w:vAlign w:val="center"/>
          </w:tcPr>
          <w:p w14:paraId="3683A2ED">
            <w:pPr>
              <w:snapToGrid w:val="0"/>
              <w:rPr>
                <w:rFonts w:hint="eastAsia" w:ascii="宋体" w:hAnsi="宋体" w:eastAsia="宋体" w:cs="宋体"/>
                <w:i w:val="0"/>
                <w:iCs w:val="0"/>
                <w:color w:val="000000"/>
                <w:sz w:val="22"/>
                <w:szCs w:val="22"/>
                <w:u w:val="none"/>
              </w:rPr>
            </w:pPr>
          </w:p>
        </w:tc>
        <w:tc>
          <w:tcPr>
            <w:tcW w:w="262" w:type="pct"/>
            <w:tcBorders>
              <w:top w:val="nil"/>
              <w:left w:val="nil"/>
              <w:bottom w:val="nil"/>
              <w:right w:val="nil"/>
            </w:tcBorders>
            <w:shd w:val="clear" w:color="auto" w:fill="auto"/>
            <w:noWrap/>
            <w:vAlign w:val="center"/>
          </w:tcPr>
          <w:p w14:paraId="29876934">
            <w:pPr>
              <w:snapToGrid w:val="0"/>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19BB8FB9">
            <w:pPr>
              <w:snapToGrid w:val="0"/>
              <w:rPr>
                <w:rFonts w:hint="eastAsia" w:ascii="宋体" w:hAnsi="宋体" w:eastAsia="宋体" w:cs="宋体"/>
                <w:i w:val="0"/>
                <w:iCs w:val="0"/>
                <w:color w:val="000000"/>
                <w:sz w:val="22"/>
                <w:szCs w:val="22"/>
                <w:u w:val="none"/>
              </w:rPr>
            </w:pPr>
          </w:p>
        </w:tc>
      </w:tr>
      <w:tr w14:paraId="6373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252FB71C">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185E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0B4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3E5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储备粮油费用补贴</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2F7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08D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721A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DD6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A70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乐山市金口河区粮食和物资储备中心</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E78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D20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乐山市金口河区金粮粮油储备有限公司</w:t>
            </w:r>
          </w:p>
        </w:tc>
      </w:tr>
      <w:tr w14:paraId="2303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49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77DD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nil"/>
            </w:tcBorders>
            <w:shd w:val="clear" w:color="auto" w:fill="auto"/>
            <w:noWrap/>
            <w:vAlign w:val="center"/>
          </w:tcPr>
          <w:p w14:paraId="04B02912">
            <w:pPr>
              <w:snapToGrid w:val="0"/>
              <w:jc w:val="center"/>
              <w:rPr>
                <w:rFonts w:hint="eastAsia" w:ascii="宋体" w:hAnsi="宋体" w:eastAsia="宋体" w:cs="宋体"/>
                <w:i w:val="0"/>
                <w:iCs w:val="0"/>
                <w:color w:val="000000"/>
                <w:sz w:val="20"/>
                <w:szCs w:val="20"/>
                <w:u w:val="none"/>
              </w:rPr>
            </w:pPr>
          </w:p>
        </w:tc>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D7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20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C8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6378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01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C0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E2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12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93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40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29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04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FC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12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57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5B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F0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7A50">
            <w:pPr>
              <w:snapToGrid w:val="0"/>
              <w:jc w:val="center"/>
              <w:rPr>
                <w:rFonts w:hint="eastAsia" w:ascii="宋体" w:hAnsi="宋体" w:eastAsia="宋体" w:cs="宋体"/>
                <w:i w:val="0"/>
                <w:iCs w:val="0"/>
                <w:color w:val="000000"/>
                <w:sz w:val="20"/>
                <w:szCs w:val="20"/>
                <w:u w:val="none"/>
              </w:rPr>
            </w:pP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D83">
            <w:pPr>
              <w:snapToGrid w:val="0"/>
              <w:jc w:val="center"/>
              <w:rPr>
                <w:rFonts w:hint="eastAsia" w:ascii="宋体" w:hAnsi="宋体" w:eastAsia="宋体" w:cs="宋体"/>
                <w:i w:val="0"/>
                <w:iCs w:val="0"/>
                <w:color w:val="000000"/>
                <w:sz w:val="20"/>
                <w:szCs w:val="20"/>
                <w:u w:val="none"/>
              </w:rPr>
            </w:pPr>
          </w:p>
        </w:tc>
        <w:tc>
          <w:tcPr>
            <w:tcW w:w="12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DF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78AF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094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FD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46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110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4D72">
            <w:pPr>
              <w:snapToGrid w:val="0"/>
              <w:jc w:val="left"/>
              <w:rPr>
                <w:rFonts w:hint="eastAsia" w:ascii="宋体" w:hAnsi="宋体" w:eastAsia="宋体" w:cs="宋体"/>
                <w:i w:val="0"/>
                <w:iCs w:val="0"/>
                <w:color w:val="000000"/>
                <w:sz w:val="20"/>
                <w:szCs w:val="20"/>
                <w:u w:val="none"/>
              </w:rPr>
            </w:pPr>
          </w:p>
        </w:tc>
        <w:tc>
          <w:tcPr>
            <w:tcW w:w="2524" w:type="pct"/>
            <w:gridSpan w:val="4"/>
            <w:tcBorders>
              <w:top w:val="single" w:color="000000" w:sz="4" w:space="0"/>
              <w:left w:val="single" w:color="000000" w:sz="4" w:space="0"/>
              <w:bottom w:val="nil"/>
              <w:right w:val="single" w:color="000000" w:sz="4" w:space="0"/>
            </w:tcBorders>
            <w:shd w:val="clear" w:color="auto" w:fill="auto"/>
            <w:noWrap/>
            <w:vAlign w:val="center"/>
          </w:tcPr>
          <w:p w14:paraId="23D8486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对2024年度储备粮油费用进行补贴</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D91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完成对2024年度储备粮油费用补贴</w:t>
            </w:r>
          </w:p>
        </w:tc>
      </w:tr>
      <w:tr w14:paraId="192F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47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1F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D0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11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3C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F5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2A433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7C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6819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1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20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57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81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2DA3">
            <w:pPr>
              <w:snapToGrid w:val="0"/>
              <w:jc w:val="center"/>
              <w:rPr>
                <w:rFonts w:hint="eastAsia" w:ascii="宋体" w:hAnsi="宋体" w:eastAsia="宋体" w:cs="宋体"/>
                <w:i w:val="0"/>
                <w:iCs w:val="0"/>
                <w:color w:val="000000"/>
                <w:sz w:val="18"/>
                <w:szCs w:val="18"/>
                <w:u w:val="none"/>
              </w:rPr>
            </w:pPr>
          </w:p>
        </w:tc>
      </w:tr>
      <w:tr w14:paraId="30BC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2879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DB2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87E5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04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7CAB2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DB4F">
            <w:pPr>
              <w:snapToGrid w:val="0"/>
              <w:rPr>
                <w:rFonts w:hint="eastAsia" w:ascii="宋体" w:hAnsi="宋体" w:eastAsia="宋体" w:cs="宋体"/>
                <w:i w:val="0"/>
                <w:iCs w:val="0"/>
                <w:color w:val="000000"/>
                <w:sz w:val="18"/>
                <w:szCs w:val="18"/>
                <w:u w:val="none"/>
              </w:rPr>
            </w:pPr>
          </w:p>
        </w:tc>
      </w:tr>
      <w:tr w14:paraId="2817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785A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1DB5650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5023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稻谷、菜籽油保管数量</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3FBA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2010吨</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CA49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2010吨</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8E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52CF8D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8E93">
            <w:pPr>
              <w:snapToGrid w:val="0"/>
              <w:rPr>
                <w:rFonts w:hint="eastAsia" w:ascii="宋体" w:hAnsi="宋体" w:eastAsia="宋体" w:cs="宋体"/>
                <w:i w:val="0"/>
                <w:iCs w:val="0"/>
                <w:color w:val="000000"/>
                <w:sz w:val="18"/>
                <w:szCs w:val="18"/>
                <w:u w:val="none"/>
              </w:rPr>
            </w:pPr>
          </w:p>
        </w:tc>
      </w:tr>
      <w:tr w14:paraId="1358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67695">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205FA28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7573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稻谷、菜籽油保管质量</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8DE8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CF0B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3B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784ABA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840A">
            <w:pPr>
              <w:snapToGrid w:val="0"/>
              <w:rPr>
                <w:rFonts w:hint="eastAsia" w:ascii="宋体" w:hAnsi="宋体" w:eastAsia="宋体" w:cs="宋体"/>
                <w:i w:val="0"/>
                <w:iCs w:val="0"/>
                <w:color w:val="000000"/>
                <w:sz w:val="18"/>
                <w:szCs w:val="18"/>
                <w:u w:val="none"/>
              </w:rPr>
            </w:pPr>
          </w:p>
        </w:tc>
      </w:tr>
      <w:tr w14:paraId="56EA4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1F4D7">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64B49FA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F0CE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保管时限</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530E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1年</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781C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1年</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98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25C537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1735">
            <w:pPr>
              <w:snapToGrid w:val="0"/>
              <w:rPr>
                <w:rFonts w:hint="eastAsia" w:ascii="宋体" w:hAnsi="宋体" w:eastAsia="宋体" w:cs="宋体"/>
                <w:i w:val="0"/>
                <w:iCs w:val="0"/>
                <w:color w:val="000000"/>
                <w:sz w:val="18"/>
                <w:szCs w:val="18"/>
                <w:u w:val="none"/>
              </w:rPr>
            </w:pPr>
          </w:p>
        </w:tc>
      </w:tr>
      <w:tr w14:paraId="1B35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FE6FB">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7F16EA7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4C82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稻谷、菜籽油保管及费用利息</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079D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70.5万元</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E6F2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70.5万元</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20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752FEB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F686">
            <w:pPr>
              <w:snapToGrid w:val="0"/>
              <w:rPr>
                <w:rFonts w:hint="eastAsia" w:ascii="宋体" w:hAnsi="宋体" w:eastAsia="宋体" w:cs="宋体"/>
                <w:i w:val="0"/>
                <w:iCs w:val="0"/>
                <w:color w:val="000000"/>
                <w:sz w:val="18"/>
                <w:szCs w:val="18"/>
                <w:u w:val="none"/>
              </w:rPr>
            </w:pPr>
          </w:p>
        </w:tc>
      </w:tr>
      <w:tr w14:paraId="5380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33FE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7BA1C04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8A50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稳定粮食市场</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D1A4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52F0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E4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581E1D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1A09">
            <w:pPr>
              <w:snapToGrid w:val="0"/>
              <w:rPr>
                <w:rFonts w:hint="eastAsia" w:ascii="宋体" w:hAnsi="宋体" w:eastAsia="宋体" w:cs="宋体"/>
                <w:i w:val="0"/>
                <w:iCs w:val="0"/>
                <w:color w:val="000000"/>
                <w:sz w:val="18"/>
                <w:szCs w:val="18"/>
                <w:u w:val="none"/>
              </w:rPr>
            </w:pPr>
          </w:p>
        </w:tc>
      </w:tr>
      <w:tr w14:paraId="0A35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782EB">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04C326C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BD13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调节金口河区供应总量</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D028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DB71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B5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BE7C5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1F3D">
            <w:pPr>
              <w:snapToGrid w:val="0"/>
              <w:rPr>
                <w:rFonts w:hint="eastAsia" w:ascii="宋体" w:hAnsi="宋体" w:eastAsia="宋体" w:cs="宋体"/>
                <w:i w:val="0"/>
                <w:iCs w:val="0"/>
                <w:color w:val="000000"/>
                <w:sz w:val="18"/>
                <w:szCs w:val="18"/>
                <w:u w:val="none"/>
              </w:rPr>
            </w:pPr>
          </w:p>
        </w:tc>
      </w:tr>
      <w:tr w14:paraId="4951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63751">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2E1D36F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509A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提高抗灾能力</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D17F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1A62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0A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B5AFF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9B38">
            <w:pPr>
              <w:snapToGrid w:val="0"/>
              <w:rPr>
                <w:rFonts w:hint="eastAsia" w:ascii="宋体" w:hAnsi="宋体" w:eastAsia="宋体" w:cs="宋体"/>
                <w:i w:val="0"/>
                <w:iCs w:val="0"/>
                <w:color w:val="000000"/>
                <w:sz w:val="18"/>
                <w:szCs w:val="18"/>
                <w:u w:val="none"/>
              </w:rPr>
            </w:pPr>
          </w:p>
        </w:tc>
      </w:tr>
      <w:tr w14:paraId="2457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B319D">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555C304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9B8E4">
            <w:pPr>
              <w:snapToGrid w:val="0"/>
              <w:jc w:val="center"/>
              <w:rPr>
                <w:rFonts w:hint="eastAsia" w:ascii="宋体" w:hAnsi="宋体" w:eastAsia="宋体" w:cs="宋体"/>
                <w:i w:val="0"/>
                <w:iCs w:val="0"/>
                <w:color w:val="333333"/>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6BB39">
            <w:pPr>
              <w:snapToGrid w:val="0"/>
              <w:jc w:val="center"/>
              <w:rPr>
                <w:rFonts w:hint="eastAsia" w:ascii="宋体" w:hAnsi="宋体" w:eastAsia="宋体" w:cs="宋体"/>
                <w:i w:val="0"/>
                <w:iCs w:val="0"/>
                <w:color w:val="333333"/>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CC951">
            <w:pPr>
              <w:snapToGrid w:val="0"/>
              <w:jc w:val="center"/>
              <w:rPr>
                <w:rFonts w:hint="eastAsia" w:ascii="宋体" w:hAnsi="宋体" w:eastAsia="宋体" w:cs="宋体"/>
                <w:i w:val="0"/>
                <w:iCs w:val="0"/>
                <w:color w:val="333333"/>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48DC">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6B534BE">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DB04">
            <w:pPr>
              <w:snapToGrid w:val="0"/>
              <w:rPr>
                <w:rFonts w:hint="eastAsia" w:ascii="宋体" w:hAnsi="宋体" w:eastAsia="宋体" w:cs="宋体"/>
                <w:i w:val="0"/>
                <w:iCs w:val="0"/>
                <w:color w:val="000000"/>
                <w:sz w:val="18"/>
                <w:szCs w:val="18"/>
                <w:u w:val="none"/>
              </w:rPr>
            </w:pPr>
          </w:p>
        </w:tc>
      </w:tr>
      <w:tr w14:paraId="2CFD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851E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2B8159E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6A35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2CBA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8F52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C3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E6150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B55A">
            <w:pPr>
              <w:snapToGrid w:val="0"/>
              <w:rPr>
                <w:rFonts w:hint="eastAsia" w:ascii="宋体" w:hAnsi="宋体" w:eastAsia="宋体" w:cs="宋体"/>
                <w:i w:val="0"/>
                <w:iCs w:val="0"/>
                <w:color w:val="000000"/>
                <w:sz w:val="18"/>
                <w:szCs w:val="18"/>
                <w:u w:val="none"/>
              </w:rPr>
            </w:pPr>
          </w:p>
        </w:tc>
      </w:tr>
    </w:tbl>
    <w:p w14:paraId="3F861ABD">
      <w:pPr>
        <w:rPr>
          <w:rFonts w:hint="eastAsia" w:ascii="Times New Roman" w:hAnsi="Times New Roman" w:eastAsia="黑体" w:cs="黑体"/>
          <w:color w:val="auto"/>
          <w:kern w:val="0"/>
          <w:sz w:val="32"/>
          <w:szCs w:val="32"/>
          <w:highlight w:val="none"/>
          <w:shd w:val="clear" w:color="auto" w:fill="FFFFFF"/>
          <w:lang w:val="zh-CN"/>
        </w:rPr>
      </w:pPr>
    </w:p>
    <w:p w14:paraId="7BDB1ADD">
      <w:pPr>
        <w:rPr>
          <w:rFonts w:hint="eastAsia" w:ascii="Times New Roman" w:hAnsi="Times New Roman" w:eastAsia="黑体" w:cs="黑体"/>
          <w:color w:val="auto"/>
          <w:kern w:val="0"/>
          <w:sz w:val="32"/>
          <w:szCs w:val="32"/>
          <w:highlight w:val="none"/>
          <w:shd w:val="clear" w:color="auto" w:fill="FFFFFF"/>
          <w:lang w:val="zh-CN"/>
        </w:rPr>
      </w:pPr>
    </w:p>
    <w:p w14:paraId="1659FA3A">
      <w:pPr>
        <w:rPr>
          <w:rFonts w:hint="eastAsia" w:ascii="Times New Roman" w:hAnsi="Times New Roman" w:eastAsia="黑体" w:cs="黑体"/>
          <w:color w:val="auto"/>
          <w:kern w:val="0"/>
          <w:sz w:val="32"/>
          <w:szCs w:val="32"/>
          <w:highlight w:val="none"/>
          <w:shd w:val="clear" w:color="auto" w:fill="FFFFFF"/>
          <w:lang w:val="zh-CN"/>
        </w:rPr>
      </w:pPr>
    </w:p>
    <w:p w14:paraId="29C25EEE">
      <w:pPr>
        <w:rPr>
          <w:rFonts w:hint="eastAsia" w:ascii="Times New Roman" w:hAnsi="Times New Roman" w:eastAsia="黑体" w:cs="黑体"/>
          <w:color w:val="auto"/>
          <w:kern w:val="0"/>
          <w:sz w:val="32"/>
          <w:szCs w:val="32"/>
          <w:highlight w:val="none"/>
          <w:shd w:val="clear" w:color="auto" w:fill="FFFFFF"/>
          <w:lang w:val="zh-CN"/>
        </w:rPr>
      </w:pPr>
    </w:p>
    <w:p w14:paraId="3E46567C">
      <w:pPr>
        <w:rPr>
          <w:rFonts w:hint="eastAsia" w:ascii="Times New Roman" w:hAnsi="Times New Roman" w:eastAsia="黑体" w:cs="黑体"/>
          <w:color w:val="auto"/>
          <w:kern w:val="0"/>
          <w:sz w:val="32"/>
          <w:szCs w:val="32"/>
          <w:highlight w:val="none"/>
          <w:shd w:val="clear" w:color="auto" w:fill="FFFFFF"/>
          <w:lang w:val="zh-CN"/>
        </w:rPr>
      </w:pPr>
    </w:p>
    <w:p w14:paraId="5ABDA703">
      <w:pPr>
        <w:rPr>
          <w:rFonts w:hint="eastAsia" w:ascii="Times New Roman" w:hAnsi="Times New Roman" w:eastAsia="黑体" w:cs="黑体"/>
          <w:color w:val="auto"/>
          <w:kern w:val="0"/>
          <w:sz w:val="32"/>
          <w:szCs w:val="32"/>
          <w:highlight w:val="none"/>
          <w:shd w:val="clear" w:color="auto" w:fill="FFFFFF"/>
          <w:lang w:val="zh-CN"/>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32"/>
        <w:gridCol w:w="610"/>
        <w:gridCol w:w="595"/>
        <w:gridCol w:w="2088"/>
        <w:gridCol w:w="966"/>
        <w:gridCol w:w="882"/>
        <w:gridCol w:w="868"/>
        <w:gridCol w:w="450"/>
        <w:gridCol w:w="843"/>
      </w:tblGrid>
      <w:tr w14:paraId="54BB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1" w:type="pct"/>
            <w:tcBorders>
              <w:top w:val="nil"/>
              <w:left w:val="nil"/>
              <w:bottom w:val="nil"/>
              <w:right w:val="nil"/>
            </w:tcBorders>
            <w:shd w:val="clear" w:color="auto" w:fill="auto"/>
            <w:noWrap/>
            <w:vAlign w:val="center"/>
          </w:tcPr>
          <w:p w14:paraId="3C3C3A9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361" w:type="pct"/>
            <w:tcBorders>
              <w:top w:val="nil"/>
              <w:left w:val="nil"/>
              <w:bottom w:val="nil"/>
              <w:right w:val="nil"/>
            </w:tcBorders>
            <w:shd w:val="clear" w:color="auto" w:fill="auto"/>
            <w:noWrap/>
            <w:vAlign w:val="center"/>
          </w:tcPr>
          <w:p w14:paraId="51C5535F">
            <w:pPr>
              <w:snapToGrid w:val="0"/>
              <w:rPr>
                <w:rFonts w:hint="eastAsia" w:ascii="宋体" w:hAnsi="宋体" w:eastAsia="宋体" w:cs="宋体"/>
                <w:i w:val="0"/>
                <w:iCs w:val="0"/>
                <w:color w:val="000000"/>
                <w:sz w:val="22"/>
                <w:szCs w:val="22"/>
                <w:u w:val="none"/>
              </w:rPr>
            </w:pPr>
          </w:p>
        </w:tc>
        <w:tc>
          <w:tcPr>
            <w:tcW w:w="352" w:type="pct"/>
            <w:tcBorders>
              <w:top w:val="nil"/>
              <w:left w:val="nil"/>
              <w:bottom w:val="nil"/>
              <w:right w:val="nil"/>
            </w:tcBorders>
            <w:shd w:val="clear" w:color="auto" w:fill="auto"/>
            <w:noWrap/>
            <w:vAlign w:val="center"/>
          </w:tcPr>
          <w:p w14:paraId="71D01731">
            <w:pPr>
              <w:snapToGrid w:val="0"/>
              <w:rPr>
                <w:rFonts w:hint="eastAsia" w:ascii="宋体" w:hAnsi="宋体" w:eastAsia="宋体" w:cs="宋体"/>
                <w:i w:val="0"/>
                <w:iCs w:val="0"/>
                <w:color w:val="000000"/>
                <w:sz w:val="22"/>
                <w:szCs w:val="22"/>
                <w:u w:val="none"/>
              </w:rPr>
            </w:pPr>
          </w:p>
        </w:tc>
        <w:tc>
          <w:tcPr>
            <w:tcW w:w="1237" w:type="pct"/>
            <w:tcBorders>
              <w:top w:val="nil"/>
              <w:left w:val="nil"/>
              <w:bottom w:val="nil"/>
              <w:right w:val="nil"/>
            </w:tcBorders>
            <w:shd w:val="clear" w:color="auto" w:fill="auto"/>
            <w:noWrap/>
            <w:vAlign w:val="center"/>
          </w:tcPr>
          <w:p w14:paraId="591477AF">
            <w:pPr>
              <w:snapToGrid w:val="0"/>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center"/>
          </w:tcPr>
          <w:p w14:paraId="4E7BBC52">
            <w:pPr>
              <w:snapToGrid w:val="0"/>
              <w:rPr>
                <w:rFonts w:hint="eastAsia" w:ascii="宋体" w:hAnsi="宋体" w:eastAsia="宋体" w:cs="宋体"/>
                <w:i w:val="0"/>
                <w:iCs w:val="0"/>
                <w:color w:val="000000"/>
                <w:sz w:val="22"/>
                <w:szCs w:val="22"/>
                <w:u w:val="none"/>
              </w:rPr>
            </w:pPr>
          </w:p>
        </w:tc>
        <w:tc>
          <w:tcPr>
            <w:tcW w:w="522" w:type="pct"/>
            <w:tcBorders>
              <w:top w:val="nil"/>
              <w:left w:val="nil"/>
              <w:bottom w:val="nil"/>
              <w:right w:val="nil"/>
            </w:tcBorders>
            <w:shd w:val="clear" w:color="auto" w:fill="auto"/>
            <w:noWrap/>
            <w:vAlign w:val="center"/>
          </w:tcPr>
          <w:p w14:paraId="591A21E0">
            <w:pPr>
              <w:snapToGrid w:val="0"/>
              <w:rPr>
                <w:rFonts w:hint="eastAsia" w:ascii="宋体" w:hAnsi="宋体" w:eastAsia="宋体" w:cs="宋体"/>
                <w:i w:val="0"/>
                <w:iCs w:val="0"/>
                <w:color w:val="000000"/>
                <w:sz w:val="22"/>
                <w:szCs w:val="22"/>
                <w:u w:val="none"/>
              </w:rPr>
            </w:pPr>
          </w:p>
        </w:tc>
        <w:tc>
          <w:tcPr>
            <w:tcW w:w="518" w:type="pct"/>
            <w:tcBorders>
              <w:top w:val="nil"/>
              <w:left w:val="nil"/>
              <w:bottom w:val="nil"/>
              <w:right w:val="nil"/>
            </w:tcBorders>
            <w:shd w:val="clear" w:color="auto" w:fill="auto"/>
            <w:noWrap/>
            <w:vAlign w:val="center"/>
          </w:tcPr>
          <w:p w14:paraId="29951DE4">
            <w:pPr>
              <w:snapToGrid w:val="0"/>
              <w:rPr>
                <w:rFonts w:hint="eastAsia" w:ascii="宋体" w:hAnsi="宋体" w:eastAsia="宋体" w:cs="宋体"/>
                <w:i w:val="0"/>
                <w:iCs w:val="0"/>
                <w:color w:val="000000"/>
                <w:sz w:val="22"/>
                <w:szCs w:val="22"/>
                <w:u w:val="none"/>
              </w:rPr>
            </w:pPr>
          </w:p>
        </w:tc>
        <w:tc>
          <w:tcPr>
            <w:tcW w:w="262" w:type="pct"/>
            <w:tcBorders>
              <w:top w:val="nil"/>
              <w:left w:val="nil"/>
              <w:bottom w:val="nil"/>
              <w:right w:val="nil"/>
            </w:tcBorders>
            <w:shd w:val="clear" w:color="auto" w:fill="auto"/>
            <w:noWrap/>
            <w:vAlign w:val="center"/>
          </w:tcPr>
          <w:p w14:paraId="66BBB591">
            <w:pPr>
              <w:snapToGrid w:val="0"/>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74C37E18">
            <w:pPr>
              <w:snapToGrid w:val="0"/>
              <w:rPr>
                <w:rFonts w:hint="eastAsia" w:ascii="宋体" w:hAnsi="宋体" w:eastAsia="宋体" w:cs="宋体"/>
                <w:i w:val="0"/>
                <w:iCs w:val="0"/>
                <w:color w:val="000000"/>
                <w:sz w:val="22"/>
                <w:szCs w:val="22"/>
                <w:u w:val="none"/>
              </w:rPr>
            </w:pPr>
          </w:p>
        </w:tc>
      </w:tr>
      <w:tr w14:paraId="40A3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57C56EC1">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0F72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8E6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18D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物资储备保管费用</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EF1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220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4227D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AF4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81A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乐山市金口河区粮食和物资储备中心</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DA6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6E0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乐山市金口河区金粮粮油储备有限公司</w:t>
            </w:r>
          </w:p>
        </w:tc>
      </w:tr>
      <w:tr w14:paraId="0901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EC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74B9F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nil"/>
            </w:tcBorders>
            <w:shd w:val="clear" w:color="auto" w:fill="auto"/>
            <w:noWrap/>
            <w:vAlign w:val="center"/>
          </w:tcPr>
          <w:p w14:paraId="2913405F">
            <w:pPr>
              <w:snapToGrid w:val="0"/>
              <w:jc w:val="center"/>
              <w:rPr>
                <w:rFonts w:hint="eastAsia" w:ascii="宋体" w:hAnsi="宋体" w:eastAsia="宋体" w:cs="宋体"/>
                <w:i w:val="0"/>
                <w:iCs w:val="0"/>
                <w:color w:val="000000"/>
                <w:sz w:val="20"/>
                <w:szCs w:val="20"/>
                <w:u w:val="none"/>
              </w:rPr>
            </w:pPr>
          </w:p>
        </w:tc>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5B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F4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13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6C7A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C6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01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A1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B0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42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4E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B3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DC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53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7D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13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AA4F">
            <w:pPr>
              <w:snapToGrid w:val="0"/>
              <w:jc w:val="center"/>
              <w:rPr>
                <w:rFonts w:hint="eastAsia" w:ascii="宋体" w:hAnsi="宋体" w:eastAsia="宋体" w:cs="宋体"/>
                <w:i w:val="0"/>
                <w:iCs w:val="0"/>
                <w:color w:val="000000"/>
                <w:sz w:val="20"/>
                <w:szCs w:val="20"/>
                <w:u w:val="none"/>
              </w:rPr>
            </w:pP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F185">
            <w:pPr>
              <w:snapToGrid w:val="0"/>
              <w:jc w:val="center"/>
              <w:rPr>
                <w:rFonts w:hint="eastAsia" w:ascii="宋体" w:hAnsi="宋体" w:eastAsia="宋体" w:cs="宋体"/>
                <w:i w:val="0"/>
                <w:iCs w:val="0"/>
                <w:color w:val="000000"/>
                <w:sz w:val="20"/>
                <w:szCs w:val="20"/>
                <w:u w:val="none"/>
              </w:rPr>
            </w:pPr>
          </w:p>
        </w:tc>
        <w:tc>
          <w:tcPr>
            <w:tcW w:w="12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1D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0FD3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665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4A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8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97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9B7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A8BC">
            <w:pPr>
              <w:snapToGrid w:val="0"/>
              <w:jc w:val="left"/>
              <w:rPr>
                <w:rFonts w:hint="eastAsia" w:ascii="宋体" w:hAnsi="宋体" w:eastAsia="宋体" w:cs="宋体"/>
                <w:i w:val="0"/>
                <w:iCs w:val="0"/>
                <w:color w:val="000000"/>
                <w:sz w:val="20"/>
                <w:szCs w:val="20"/>
                <w:u w:val="none"/>
              </w:rPr>
            </w:pPr>
          </w:p>
        </w:tc>
        <w:tc>
          <w:tcPr>
            <w:tcW w:w="2524" w:type="pct"/>
            <w:gridSpan w:val="4"/>
            <w:tcBorders>
              <w:top w:val="single" w:color="000000" w:sz="4" w:space="0"/>
              <w:left w:val="single" w:color="000000" w:sz="4" w:space="0"/>
              <w:bottom w:val="nil"/>
              <w:right w:val="single" w:color="000000" w:sz="4" w:space="0"/>
            </w:tcBorders>
            <w:shd w:val="clear" w:color="auto" w:fill="auto"/>
            <w:noWrap/>
            <w:vAlign w:val="center"/>
          </w:tcPr>
          <w:p w14:paraId="5777E6C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对2024年物资储备进行保管</w:t>
            </w:r>
          </w:p>
        </w:tc>
        <w:tc>
          <w:tcPr>
            <w:tcW w:w="1804" w:type="pct"/>
            <w:gridSpan w:val="4"/>
            <w:tcBorders>
              <w:top w:val="single" w:color="000000" w:sz="4" w:space="0"/>
              <w:left w:val="single" w:color="000000" w:sz="4" w:space="0"/>
              <w:bottom w:val="nil"/>
              <w:right w:val="single" w:color="000000" w:sz="4" w:space="0"/>
            </w:tcBorders>
            <w:shd w:val="clear" w:color="auto" w:fill="auto"/>
            <w:noWrap/>
            <w:vAlign w:val="center"/>
          </w:tcPr>
          <w:p w14:paraId="0967116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完成对2024年物资储备保管</w:t>
            </w:r>
          </w:p>
        </w:tc>
      </w:tr>
      <w:tr w14:paraId="5A1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11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FB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32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1D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4E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0D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3B053F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5B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5345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1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6C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7B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90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8A26">
            <w:pPr>
              <w:snapToGrid w:val="0"/>
              <w:jc w:val="center"/>
              <w:rPr>
                <w:rFonts w:hint="eastAsia" w:ascii="宋体" w:hAnsi="宋体" w:eastAsia="宋体" w:cs="宋体"/>
                <w:i w:val="0"/>
                <w:iCs w:val="0"/>
                <w:color w:val="000000"/>
                <w:sz w:val="18"/>
                <w:szCs w:val="18"/>
                <w:u w:val="none"/>
              </w:rPr>
            </w:pPr>
          </w:p>
        </w:tc>
      </w:tr>
      <w:tr w14:paraId="2399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2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2517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A14D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8875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4D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541813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56FD">
            <w:pPr>
              <w:snapToGrid w:val="0"/>
              <w:rPr>
                <w:rFonts w:hint="eastAsia" w:ascii="宋体" w:hAnsi="宋体" w:eastAsia="宋体" w:cs="宋体"/>
                <w:i w:val="0"/>
                <w:iCs w:val="0"/>
                <w:color w:val="000000"/>
                <w:sz w:val="18"/>
                <w:szCs w:val="18"/>
                <w:u w:val="none"/>
              </w:rPr>
            </w:pPr>
          </w:p>
        </w:tc>
      </w:tr>
      <w:tr w14:paraId="0D7C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8A95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178F8CD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A3B4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保管救灾物资数量</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D54E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6231件</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9BA3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6231件</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07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451B27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7BF6">
            <w:pPr>
              <w:snapToGrid w:val="0"/>
              <w:rPr>
                <w:rFonts w:hint="eastAsia" w:ascii="宋体" w:hAnsi="宋体" w:eastAsia="宋体" w:cs="宋体"/>
                <w:i w:val="0"/>
                <w:iCs w:val="0"/>
                <w:color w:val="000000"/>
                <w:sz w:val="18"/>
                <w:szCs w:val="18"/>
                <w:u w:val="none"/>
              </w:rPr>
            </w:pPr>
          </w:p>
        </w:tc>
      </w:tr>
      <w:tr w14:paraId="62C1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7FFDC">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520B142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0E04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保管应急物资质量</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588A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0EBF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BC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D5960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D9F5">
            <w:pPr>
              <w:snapToGrid w:val="0"/>
              <w:rPr>
                <w:rFonts w:hint="eastAsia" w:ascii="宋体" w:hAnsi="宋体" w:eastAsia="宋体" w:cs="宋体"/>
                <w:i w:val="0"/>
                <w:iCs w:val="0"/>
                <w:color w:val="000000"/>
                <w:sz w:val="18"/>
                <w:szCs w:val="18"/>
                <w:u w:val="none"/>
              </w:rPr>
            </w:pPr>
          </w:p>
        </w:tc>
      </w:tr>
      <w:tr w14:paraId="5F91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3DA74">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470FCC4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3D87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保管救灾物资时限</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A9F4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12个月</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7515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12个月</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3A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1F37F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527C">
            <w:pPr>
              <w:snapToGrid w:val="0"/>
              <w:rPr>
                <w:rFonts w:hint="eastAsia" w:ascii="宋体" w:hAnsi="宋体" w:eastAsia="宋体" w:cs="宋体"/>
                <w:i w:val="0"/>
                <w:iCs w:val="0"/>
                <w:color w:val="000000"/>
                <w:sz w:val="18"/>
                <w:szCs w:val="18"/>
                <w:u w:val="none"/>
              </w:rPr>
            </w:pPr>
          </w:p>
        </w:tc>
      </w:tr>
      <w:tr w14:paraId="6D97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F8D38">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31DECE3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CC3E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物资储备保管费用</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41EF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≤3万元</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699C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3万元</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D3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5C1986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B4C9">
            <w:pPr>
              <w:snapToGrid w:val="0"/>
              <w:rPr>
                <w:rFonts w:hint="eastAsia" w:ascii="宋体" w:hAnsi="宋体" w:eastAsia="宋体" w:cs="宋体"/>
                <w:i w:val="0"/>
                <w:iCs w:val="0"/>
                <w:color w:val="000000"/>
                <w:sz w:val="18"/>
                <w:szCs w:val="18"/>
                <w:u w:val="none"/>
              </w:rPr>
            </w:pPr>
          </w:p>
        </w:tc>
      </w:tr>
      <w:tr w14:paraId="4EFC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E494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7BD0C81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6A9B3">
            <w:pPr>
              <w:snapToGrid w:val="0"/>
              <w:jc w:val="center"/>
              <w:rPr>
                <w:rFonts w:hint="eastAsia" w:ascii="宋体" w:hAnsi="宋体" w:eastAsia="宋体" w:cs="宋体"/>
                <w:i w:val="0"/>
                <w:iCs w:val="0"/>
                <w:color w:val="333333"/>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DE02B">
            <w:pPr>
              <w:snapToGrid w:val="0"/>
              <w:jc w:val="center"/>
              <w:rPr>
                <w:rFonts w:hint="eastAsia" w:ascii="宋体" w:hAnsi="宋体" w:eastAsia="宋体" w:cs="宋体"/>
                <w:i w:val="0"/>
                <w:iCs w:val="0"/>
                <w:color w:val="333333"/>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A3A1A">
            <w:pPr>
              <w:snapToGrid w:val="0"/>
              <w:jc w:val="center"/>
              <w:rPr>
                <w:rFonts w:hint="eastAsia" w:ascii="宋体" w:hAnsi="宋体" w:eastAsia="宋体" w:cs="宋体"/>
                <w:i w:val="0"/>
                <w:iCs w:val="0"/>
                <w:color w:val="333333"/>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068F">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15132764">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D271">
            <w:pPr>
              <w:snapToGrid w:val="0"/>
              <w:rPr>
                <w:rFonts w:hint="eastAsia" w:ascii="宋体" w:hAnsi="宋体" w:eastAsia="宋体" w:cs="宋体"/>
                <w:i w:val="0"/>
                <w:iCs w:val="0"/>
                <w:color w:val="000000"/>
                <w:sz w:val="18"/>
                <w:szCs w:val="18"/>
                <w:u w:val="none"/>
              </w:rPr>
            </w:pPr>
          </w:p>
        </w:tc>
      </w:tr>
      <w:tr w14:paraId="790F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D985D">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3D453FF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5E97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受灾后保障群众克服生活困难</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113D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D833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BF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6A17EE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5EA7">
            <w:pPr>
              <w:snapToGrid w:val="0"/>
              <w:rPr>
                <w:rFonts w:hint="eastAsia" w:ascii="宋体" w:hAnsi="宋体" w:eastAsia="宋体" w:cs="宋体"/>
                <w:i w:val="0"/>
                <w:iCs w:val="0"/>
                <w:color w:val="000000"/>
                <w:sz w:val="18"/>
                <w:szCs w:val="18"/>
                <w:u w:val="none"/>
              </w:rPr>
            </w:pPr>
          </w:p>
        </w:tc>
      </w:tr>
      <w:tr w14:paraId="5DD3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2C00A">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1E02F8E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7CDCD">
            <w:pPr>
              <w:snapToGrid w:val="0"/>
              <w:jc w:val="center"/>
              <w:rPr>
                <w:rFonts w:hint="eastAsia" w:ascii="宋体" w:hAnsi="宋体" w:eastAsia="宋体" w:cs="宋体"/>
                <w:i w:val="0"/>
                <w:iCs w:val="0"/>
                <w:color w:val="333333"/>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790D9">
            <w:pPr>
              <w:snapToGrid w:val="0"/>
              <w:jc w:val="center"/>
              <w:rPr>
                <w:rFonts w:hint="eastAsia" w:ascii="宋体" w:hAnsi="宋体" w:eastAsia="宋体" w:cs="宋体"/>
                <w:i w:val="0"/>
                <w:iCs w:val="0"/>
                <w:color w:val="333333"/>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4DBED">
            <w:pPr>
              <w:snapToGrid w:val="0"/>
              <w:jc w:val="center"/>
              <w:rPr>
                <w:rFonts w:hint="eastAsia" w:ascii="宋体" w:hAnsi="宋体" w:eastAsia="宋体" w:cs="宋体"/>
                <w:i w:val="0"/>
                <w:iCs w:val="0"/>
                <w:color w:val="333333"/>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6BAA">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052CF1A0">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3BC8">
            <w:pPr>
              <w:snapToGrid w:val="0"/>
              <w:rPr>
                <w:rFonts w:hint="eastAsia" w:ascii="宋体" w:hAnsi="宋体" w:eastAsia="宋体" w:cs="宋体"/>
                <w:i w:val="0"/>
                <w:iCs w:val="0"/>
                <w:color w:val="000000"/>
                <w:sz w:val="18"/>
                <w:szCs w:val="18"/>
                <w:u w:val="none"/>
              </w:rPr>
            </w:pPr>
          </w:p>
        </w:tc>
      </w:tr>
      <w:tr w14:paraId="1239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88667">
            <w:pPr>
              <w:snapToGrid w:val="0"/>
              <w:jc w:val="center"/>
              <w:rPr>
                <w:rFonts w:hint="eastAsia" w:ascii="宋体" w:hAnsi="宋体" w:eastAsia="宋体" w:cs="宋体"/>
                <w:i w:val="0"/>
                <w:iCs w:val="0"/>
                <w:color w:val="333333"/>
                <w:sz w:val="18"/>
                <w:szCs w:val="18"/>
                <w:u w:val="none"/>
              </w:rPr>
            </w:pP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6B9196D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5AA49">
            <w:pPr>
              <w:snapToGrid w:val="0"/>
              <w:jc w:val="center"/>
              <w:rPr>
                <w:rFonts w:hint="eastAsia" w:ascii="宋体" w:hAnsi="宋体" w:eastAsia="宋体" w:cs="宋体"/>
                <w:i w:val="0"/>
                <w:iCs w:val="0"/>
                <w:color w:val="333333"/>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E2737">
            <w:pPr>
              <w:snapToGrid w:val="0"/>
              <w:jc w:val="center"/>
              <w:rPr>
                <w:rFonts w:hint="eastAsia" w:ascii="宋体" w:hAnsi="宋体" w:eastAsia="宋体" w:cs="宋体"/>
                <w:i w:val="0"/>
                <w:iCs w:val="0"/>
                <w:color w:val="333333"/>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AF5DF">
            <w:pPr>
              <w:snapToGrid w:val="0"/>
              <w:jc w:val="center"/>
              <w:rPr>
                <w:rFonts w:hint="eastAsia" w:ascii="宋体" w:hAnsi="宋体" w:eastAsia="宋体" w:cs="宋体"/>
                <w:i w:val="0"/>
                <w:iCs w:val="0"/>
                <w:color w:val="333333"/>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BF75">
            <w:pPr>
              <w:snapToGrid w:val="0"/>
              <w:jc w:val="center"/>
              <w:rPr>
                <w:rFonts w:hint="eastAsia" w:ascii="宋体" w:hAnsi="宋体" w:eastAsia="宋体" w:cs="宋体"/>
                <w:i w:val="0"/>
                <w:iCs w:val="0"/>
                <w:color w:val="000000"/>
                <w:sz w:val="18"/>
                <w:szCs w:val="18"/>
                <w:u w:val="none"/>
              </w:rPr>
            </w:pP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7E5DF2EB">
            <w:pPr>
              <w:snapToGrid w:val="0"/>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B317">
            <w:pPr>
              <w:snapToGrid w:val="0"/>
              <w:rPr>
                <w:rFonts w:hint="eastAsia" w:ascii="宋体" w:hAnsi="宋体" w:eastAsia="宋体" w:cs="宋体"/>
                <w:i w:val="0"/>
                <w:iCs w:val="0"/>
                <w:color w:val="000000"/>
                <w:sz w:val="18"/>
                <w:szCs w:val="18"/>
                <w:u w:val="none"/>
              </w:rPr>
            </w:pPr>
          </w:p>
        </w:tc>
      </w:tr>
      <w:tr w14:paraId="447F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D47D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13" w:type="pct"/>
            <w:gridSpan w:val="2"/>
            <w:tcBorders>
              <w:top w:val="single" w:color="000000" w:sz="4" w:space="0"/>
              <w:left w:val="single" w:color="000000" w:sz="4" w:space="0"/>
              <w:bottom w:val="single" w:color="000000" w:sz="4" w:space="0"/>
              <w:right w:val="nil"/>
            </w:tcBorders>
            <w:shd w:val="clear" w:color="auto" w:fill="FFFFFF"/>
            <w:noWrap/>
            <w:vAlign w:val="center"/>
          </w:tcPr>
          <w:p w14:paraId="0C953A5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C4AB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A75C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0FEC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F5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nil"/>
              <w:bottom w:val="single" w:color="000000" w:sz="4" w:space="0"/>
              <w:right w:val="single" w:color="000000" w:sz="4" w:space="0"/>
            </w:tcBorders>
            <w:shd w:val="clear" w:color="auto" w:fill="auto"/>
            <w:noWrap/>
            <w:vAlign w:val="center"/>
          </w:tcPr>
          <w:p w14:paraId="5BD6C2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5181">
            <w:pPr>
              <w:snapToGrid w:val="0"/>
              <w:rPr>
                <w:rFonts w:hint="eastAsia" w:ascii="宋体" w:hAnsi="宋体" w:eastAsia="宋体" w:cs="宋体"/>
                <w:i w:val="0"/>
                <w:iCs w:val="0"/>
                <w:color w:val="000000"/>
                <w:sz w:val="18"/>
                <w:szCs w:val="18"/>
                <w:u w:val="none"/>
              </w:rPr>
            </w:pPr>
          </w:p>
        </w:tc>
      </w:tr>
    </w:tbl>
    <w:p w14:paraId="294D4472">
      <w:pPr>
        <w:rPr>
          <w:rFonts w:hint="eastAsia" w:ascii="Times New Roman" w:hAnsi="Times New Roman" w:eastAsia="黑体" w:cs="黑体"/>
          <w:color w:val="auto"/>
          <w:kern w:val="0"/>
          <w:sz w:val="32"/>
          <w:szCs w:val="32"/>
          <w:highlight w:val="none"/>
          <w:shd w:val="clear" w:color="auto" w:fill="FFFFFF"/>
          <w:lang w:val="zh-CN"/>
        </w:rPr>
      </w:pPr>
    </w:p>
    <w:p w14:paraId="201B8FE9">
      <w:pPr>
        <w:rPr>
          <w:rFonts w:hint="eastAsia" w:ascii="Times New Roman" w:hAnsi="Times New Roman" w:eastAsia="黑体" w:cs="黑体"/>
          <w:color w:val="auto"/>
          <w:kern w:val="0"/>
          <w:sz w:val="32"/>
          <w:szCs w:val="32"/>
          <w:highlight w:val="none"/>
          <w:shd w:val="clear" w:color="auto" w:fill="FFFFFF"/>
          <w:lang w:val="zh-CN"/>
        </w:rPr>
      </w:pPr>
    </w:p>
    <w:p w14:paraId="3ADD5E65">
      <w:pPr>
        <w:rPr>
          <w:rFonts w:hint="eastAsia" w:ascii="Times New Roman" w:hAnsi="Times New Roman" w:eastAsia="黑体" w:cs="黑体"/>
          <w:color w:val="auto"/>
          <w:kern w:val="0"/>
          <w:sz w:val="32"/>
          <w:szCs w:val="32"/>
          <w:highlight w:val="none"/>
          <w:shd w:val="clear" w:color="auto" w:fill="FFFFFF"/>
          <w:lang w:val="zh-CN"/>
        </w:rPr>
      </w:pPr>
    </w:p>
    <w:p w14:paraId="12453760">
      <w:pPr>
        <w:rPr>
          <w:rFonts w:hint="eastAsia" w:ascii="Times New Roman" w:hAnsi="Times New Roman" w:eastAsia="黑体" w:cs="黑体"/>
          <w:color w:val="auto"/>
          <w:kern w:val="0"/>
          <w:sz w:val="32"/>
          <w:szCs w:val="32"/>
          <w:highlight w:val="none"/>
          <w:shd w:val="clear" w:color="auto" w:fill="FFFFFF"/>
          <w:lang w:val="zh-CN"/>
        </w:rPr>
      </w:pPr>
    </w:p>
    <w:p w14:paraId="1C7B5AA4">
      <w:pPr>
        <w:rPr>
          <w:rFonts w:hint="eastAsia" w:ascii="Times New Roman" w:hAnsi="Times New Roman" w:eastAsia="黑体" w:cs="黑体"/>
          <w:color w:val="auto"/>
          <w:kern w:val="0"/>
          <w:sz w:val="32"/>
          <w:szCs w:val="32"/>
          <w:highlight w:val="none"/>
          <w:shd w:val="clear" w:color="auto" w:fill="FFFFFF"/>
          <w:lang w:val="zh-CN"/>
        </w:rPr>
      </w:pPr>
    </w:p>
    <w:p w14:paraId="0D61734D">
      <w:pPr>
        <w:rPr>
          <w:rFonts w:hint="eastAsia" w:ascii="Times New Roman" w:hAnsi="Times New Roman" w:eastAsia="黑体" w:cs="黑体"/>
          <w:color w:val="auto"/>
          <w:kern w:val="0"/>
          <w:sz w:val="32"/>
          <w:szCs w:val="32"/>
          <w:highlight w:val="none"/>
          <w:shd w:val="clear" w:color="auto" w:fill="FFFFFF"/>
          <w:lang w:val="zh-CN"/>
        </w:rPr>
      </w:pPr>
    </w:p>
    <w:p w14:paraId="3B543B3B">
      <w:pPr>
        <w:rPr>
          <w:rFonts w:hint="eastAsia" w:ascii="Times New Roman" w:hAnsi="Times New Roman" w:eastAsia="黑体" w:cs="黑体"/>
          <w:color w:val="auto"/>
          <w:kern w:val="0"/>
          <w:sz w:val="32"/>
          <w:szCs w:val="32"/>
          <w:highlight w:val="none"/>
          <w:shd w:val="clear" w:color="auto" w:fill="FFFFFF"/>
          <w:lang w:val="zh-CN"/>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211"/>
        <w:gridCol w:w="638"/>
        <w:gridCol w:w="640"/>
        <w:gridCol w:w="1854"/>
        <w:gridCol w:w="1031"/>
        <w:gridCol w:w="940"/>
        <w:gridCol w:w="925"/>
        <w:gridCol w:w="467"/>
        <w:gridCol w:w="728"/>
      </w:tblGrid>
      <w:tr w14:paraId="61A3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03" w:type="pct"/>
            <w:tcBorders>
              <w:top w:val="nil"/>
              <w:left w:val="nil"/>
              <w:bottom w:val="nil"/>
              <w:right w:val="nil"/>
            </w:tcBorders>
            <w:shd w:val="clear" w:color="auto" w:fill="auto"/>
            <w:noWrap/>
            <w:vAlign w:val="center"/>
          </w:tcPr>
          <w:p w14:paraId="01829AC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371" w:type="pct"/>
            <w:tcBorders>
              <w:top w:val="nil"/>
              <w:left w:val="nil"/>
              <w:bottom w:val="nil"/>
              <w:right w:val="nil"/>
            </w:tcBorders>
            <w:shd w:val="clear" w:color="auto" w:fill="auto"/>
            <w:noWrap/>
            <w:vAlign w:val="center"/>
          </w:tcPr>
          <w:p w14:paraId="170F3DFD">
            <w:pPr>
              <w:snapToGrid w:val="0"/>
              <w:rPr>
                <w:rFonts w:hint="eastAsia" w:ascii="宋体" w:hAnsi="宋体" w:eastAsia="宋体" w:cs="宋体"/>
                <w:i w:val="0"/>
                <w:iCs w:val="0"/>
                <w:color w:val="000000"/>
                <w:sz w:val="22"/>
                <w:szCs w:val="22"/>
                <w:u w:val="none"/>
              </w:rPr>
            </w:pPr>
          </w:p>
        </w:tc>
        <w:tc>
          <w:tcPr>
            <w:tcW w:w="371" w:type="pct"/>
            <w:tcBorders>
              <w:top w:val="nil"/>
              <w:left w:val="nil"/>
              <w:bottom w:val="nil"/>
              <w:right w:val="nil"/>
            </w:tcBorders>
            <w:shd w:val="clear" w:color="auto" w:fill="auto"/>
            <w:noWrap/>
            <w:vAlign w:val="center"/>
          </w:tcPr>
          <w:p w14:paraId="26D5ABF1">
            <w:pPr>
              <w:snapToGrid w:val="0"/>
              <w:rPr>
                <w:rFonts w:hint="eastAsia" w:ascii="宋体" w:hAnsi="宋体" w:eastAsia="宋体" w:cs="宋体"/>
                <w:i w:val="0"/>
                <w:iCs w:val="0"/>
                <w:color w:val="000000"/>
                <w:sz w:val="22"/>
                <w:szCs w:val="22"/>
                <w:u w:val="none"/>
              </w:rPr>
            </w:pPr>
          </w:p>
        </w:tc>
        <w:tc>
          <w:tcPr>
            <w:tcW w:w="1176" w:type="pct"/>
            <w:tcBorders>
              <w:top w:val="nil"/>
              <w:left w:val="nil"/>
              <w:bottom w:val="nil"/>
              <w:right w:val="nil"/>
            </w:tcBorders>
            <w:shd w:val="clear" w:color="auto" w:fill="auto"/>
            <w:noWrap/>
            <w:vAlign w:val="center"/>
          </w:tcPr>
          <w:p w14:paraId="133DB73C">
            <w:pPr>
              <w:snapToGrid w:val="0"/>
              <w:rPr>
                <w:rFonts w:hint="eastAsia" w:ascii="宋体" w:hAnsi="宋体" w:eastAsia="宋体" w:cs="宋体"/>
                <w:i w:val="0"/>
                <w:iCs w:val="0"/>
                <w:color w:val="000000"/>
                <w:sz w:val="22"/>
                <w:szCs w:val="22"/>
                <w:u w:val="none"/>
              </w:rPr>
            </w:pPr>
          </w:p>
        </w:tc>
        <w:tc>
          <w:tcPr>
            <w:tcW w:w="598" w:type="pct"/>
            <w:tcBorders>
              <w:top w:val="nil"/>
              <w:left w:val="nil"/>
              <w:bottom w:val="nil"/>
              <w:right w:val="nil"/>
            </w:tcBorders>
            <w:shd w:val="clear" w:color="auto" w:fill="auto"/>
            <w:noWrap/>
            <w:vAlign w:val="center"/>
          </w:tcPr>
          <w:p w14:paraId="525BFF77">
            <w:pPr>
              <w:snapToGrid w:val="0"/>
              <w:rPr>
                <w:rFonts w:hint="eastAsia" w:ascii="宋体" w:hAnsi="宋体" w:eastAsia="宋体" w:cs="宋体"/>
                <w:i w:val="0"/>
                <w:iCs w:val="0"/>
                <w:color w:val="000000"/>
                <w:sz w:val="22"/>
                <w:szCs w:val="22"/>
                <w:u w:val="none"/>
              </w:rPr>
            </w:pPr>
          </w:p>
        </w:tc>
        <w:tc>
          <w:tcPr>
            <w:tcW w:w="546" w:type="pct"/>
            <w:tcBorders>
              <w:top w:val="nil"/>
              <w:left w:val="nil"/>
              <w:bottom w:val="nil"/>
              <w:right w:val="nil"/>
            </w:tcBorders>
            <w:shd w:val="clear" w:color="auto" w:fill="auto"/>
            <w:noWrap/>
            <w:vAlign w:val="center"/>
          </w:tcPr>
          <w:p w14:paraId="35E77F66">
            <w:pPr>
              <w:snapToGrid w:val="0"/>
              <w:rPr>
                <w:rFonts w:hint="eastAsia" w:ascii="宋体" w:hAnsi="宋体" w:eastAsia="宋体" w:cs="宋体"/>
                <w:i w:val="0"/>
                <w:iCs w:val="0"/>
                <w:color w:val="000000"/>
                <w:sz w:val="22"/>
                <w:szCs w:val="22"/>
                <w:u w:val="none"/>
              </w:rPr>
            </w:pPr>
          </w:p>
        </w:tc>
        <w:tc>
          <w:tcPr>
            <w:tcW w:w="541" w:type="pct"/>
            <w:tcBorders>
              <w:top w:val="nil"/>
              <w:left w:val="nil"/>
              <w:bottom w:val="nil"/>
              <w:right w:val="nil"/>
            </w:tcBorders>
            <w:shd w:val="clear" w:color="auto" w:fill="auto"/>
            <w:noWrap/>
            <w:vAlign w:val="center"/>
          </w:tcPr>
          <w:p w14:paraId="306931DE">
            <w:pPr>
              <w:snapToGrid w:val="0"/>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14:paraId="72DF1381">
            <w:pPr>
              <w:snapToGrid w:val="0"/>
              <w:rPr>
                <w:rFonts w:hint="eastAsia" w:ascii="宋体" w:hAnsi="宋体" w:eastAsia="宋体" w:cs="宋体"/>
                <w:i w:val="0"/>
                <w:iCs w:val="0"/>
                <w:color w:val="000000"/>
                <w:sz w:val="22"/>
                <w:szCs w:val="22"/>
                <w:u w:val="none"/>
              </w:rPr>
            </w:pPr>
          </w:p>
        </w:tc>
        <w:tc>
          <w:tcPr>
            <w:tcW w:w="422" w:type="pct"/>
            <w:tcBorders>
              <w:top w:val="nil"/>
              <w:left w:val="nil"/>
              <w:bottom w:val="nil"/>
              <w:right w:val="nil"/>
            </w:tcBorders>
            <w:shd w:val="clear" w:color="auto" w:fill="auto"/>
            <w:noWrap/>
            <w:vAlign w:val="center"/>
          </w:tcPr>
          <w:p w14:paraId="42734AF7">
            <w:pPr>
              <w:snapToGrid w:val="0"/>
              <w:rPr>
                <w:rFonts w:hint="eastAsia" w:ascii="宋体" w:hAnsi="宋体" w:eastAsia="宋体" w:cs="宋体"/>
                <w:i w:val="0"/>
                <w:iCs w:val="0"/>
                <w:color w:val="000000"/>
                <w:sz w:val="22"/>
                <w:szCs w:val="22"/>
                <w:u w:val="none"/>
              </w:rPr>
            </w:pPr>
          </w:p>
        </w:tc>
      </w:tr>
      <w:tr w14:paraId="4710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19F2BD44">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712D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F4B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4CD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退休人员事务慰问</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DED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856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26469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576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E70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乐山市金口河区粮食和物资储备中心</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7A3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8BA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乐山市金口河区粮食和物资储备中心</w:t>
            </w:r>
          </w:p>
        </w:tc>
      </w:tr>
      <w:tr w14:paraId="6B88A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B6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0E2C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4" w:type="pct"/>
            <w:gridSpan w:val="2"/>
            <w:tcBorders>
              <w:top w:val="single" w:color="000000" w:sz="4" w:space="0"/>
              <w:left w:val="single" w:color="000000" w:sz="4" w:space="0"/>
              <w:bottom w:val="single" w:color="000000" w:sz="4" w:space="0"/>
              <w:right w:val="nil"/>
            </w:tcBorders>
            <w:shd w:val="clear" w:color="auto" w:fill="auto"/>
            <w:noWrap/>
            <w:vAlign w:val="center"/>
          </w:tcPr>
          <w:p w14:paraId="2EDF2CAB">
            <w:pPr>
              <w:snapToGrid w:val="0"/>
              <w:jc w:val="center"/>
              <w:rPr>
                <w:rFonts w:hint="eastAsia" w:ascii="宋体" w:hAnsi="宋体" w:eastAsia="宋体" w:cs="宋体"/>
                <w:i w:val="0"/>
                <w:iCs w:val="0"/>
                <w:color w:val="000000"/>
                <w:sz w:val="20"/>
                <w:szCs w:val="20"/>
                <w:u w:val="none"/>
              </w:rPr>
            </w:pPr>
          </w:p>
        </w:tc>
        <w:tc>
          <w:tcPr>
            <w:tcW w:w="15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67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EE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FA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32ED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A0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4B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A9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B6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45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98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5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6B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C1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57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F0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91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344F">
            <w:pPr>
              <w:snapToGrid w:val="0"/>
              <w:jc w:val="center"/>
              <w:rPr>
                <w:rFonts w:hint="eastAsia" w:ascii="宋体" w:hAnsi="宋体" w:eastAsia="宋体" w:cs="宋体"/>
                <w:i w:val="0"/>
                <w:iCs w:val="0"/>
                <w:color w:val="000000"/>
                <w:sz w:val="20"/>
                <w:szCs w:val="20"/>
                <w:u w:val="none"/>
              </w:rPr>
            </w:pPr>
          </w:p>
        </w:tc>
        <w:tc>
          <w:tcPr>
            <w:tcW w:w="11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B78D">
            <w:pPr>
              <w:snapToGrid w:val="0"/>
              <w:jc w:val="center"/>
              <w:rPr>
                <w:rFonts w:hint="eastAsia" w:ascii="宋体" w:hAnsi="宋体" w:eastAsia="宋体" w:cs="宋体"/>
                <w:i w:val="0"/>
                <w:iCs w:val="0"/>
                <w:color w:val="000000"/>
                <w:sz w:val="20"/>
                <w:szCs w:val="20"/>
                <w:u w:val="none"/>
              </w:rPr>
            </w:pPr>
          </w:p>
        </w:tc>
        <w:tc>
          <w:tcPr>
            <w:tcW w:w="12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B2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5587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87A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D9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E5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785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089C">
            <w:pPr>
              <w:snapToGrid w:val="0"/>
              <w:jc w:val="left"/>
              <w:rPr>
                <w:rFonts w:hint="eastAsia" w:ascii="宋体" w:hAnsi="宋体" w:eastAsia="宋体" w:cs="宋体"/>
                <w:i w:val="0"/>
                <w:iCs w:val="0"/>
                <w:color w:val="000000"/>
                <w:sz w:val="20"/>
                <w:szCs w:val="20"/>
                <w:u w:val="none"/>
              </w:rPr>
            </w:pPr>
          </w:p>
        </w:tc>
        <w:tc>
          <w:tcPr>
            <w:tcW w:w="2517" w:type="pct"/>
            <w:gridSpan w:val="4"/>
            <w:tcBorders>
              <w:top w:val="single" w:color="000000" w:sz="4" w:space="0"/>
              <w:left w:val="single" w:color="000000" w:sz="4" w:space="0"/>
              <w:bottom w:val="nil"/>
              <w:right w:val="single" w:color="000000" w:sz="4" w:space="0"/>
            </w:tcBorders>
            <w:shd w:val="clear" w:color="auto" w:fill="auto"/>
            <w:noWrap/>
            <w:vAlign w:val="center"/>
          </w:tcPr>
          <w:p w14:paraId="660FE8C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对退休人员进行慰问</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D03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完成对退休人员事务慰问</w:t>
            </w:r>
          </w:p>
        </w:tc>
      </w:tr>
      <w:tr w14:paraId="7F5C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B8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DC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D5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DD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5E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4F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4EC804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94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4610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6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92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D5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2D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3A10">
            <w:pPr>
              <w:snapToGrid w:val="0"/>
              <w:jc w:val="center"/>
              <w:rPr>
                <w:rFonts w:hint="eastAsia" w:ascii="宋体" w:hAnsi="宋体" w:eastAsia="宋体" w:cs="宋体"/>
                <w:i w:val="0"/>
                <w:iCs w:val="0"/>
                <w:color w:val="000000"/>
                <w:sz w:val="18"/>
                <w:szCs w:val="18"/>
                <w:u w:val="none"/>
              </w:rPr>
            </w:pPr>
          </w:p>
        </w:tc>
      </w:tr>
      <w:tr w14:paraId="510E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22"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F34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33D6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E142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A8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5D7CB6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C0A3">
            <w:pPr>
              <w:snapToGrid w:val="0"/>
              <w:rPr>
                <w:rFonts w:hint="eastAsia" w:ascii="宋体" w:hAnsi="宋体" w:eastAsia="宋体" w:cs="宋体"/>
                <w:i w:val="0"/>
                <w:iCs w:val="0"/>
                <w:color w:val="000000"/>
                <w:sz w:val="18"/>
                <w:szCs w:val="18"/>
                <w:u w:val="none"/>
              </w:rPr>
            </w:pPr>
          </w:p>
        </w:tc>
      </w:tr>
      <w:tr w14:paraId="1C44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989B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43" w:type="pct"/>
            <w:gridSpan w:val="2"/>
            <w:tcBorders>
              <w:top w:val="single" w:color="000000" w:sz="4" w:space="0"/>
              <w:left w:val="single" w:color="000000" w:sz="4" w:space="0"/>
              <w:bottom w:val="single" w:color="000000" w:sz="4" w:space="0"/>
              <w:right w:val="nil"/>
            </w:tcBorders>
            <w:shd w:val="clear" w:color="auto" w:fill="FFFFFF"/>
            <w:noWrap/>
            <w:vAlign w:val="center"/>
          </w:tcPr>
          <w:p w14:paraId="3C631E1C">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69F8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享受退休补助人数</w:t>
            </w:r>
          </w:p>
        </w:tc>
        <w:tc>
          <w:tcPr>
            <w:tcW w:w="5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19B7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5人</w:t>
            </w:r>
          </w:p>
        </w:tc>
        <w:tc>
          <w:tcPr>
            <w:tcW w:w="5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BDE2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0A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1A5FA3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F141">
            <w:pPr>
              <w:snapToGrid w:val="0"/>
              <w:rPr>
                <w:rFonts w:hint="eastAsia" w:ascii="宋体" w:hAnsi="宋体" w:eastAsia="宋体" w:cs="宋体"/>
                <w:i w:val="0"/>
                <w:iCs w:val="0"/>
                <w:color w:val="000000"/>
                <w:sz w:val="18"/>
                <w:szCs w:val="18"/>
                <w:u w:val="none"/>
              </w:rPr>
            </w:pPr>
          </w:p>
        </w:tc>
      </w:tr>
      <w:tr w14:paraId="0311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0B919">
            <w:pPr>
              <w:snapToGrid w:val="0"/>
              <w:jc w:val="center"/>
              <w:rPr>
                <w:rFonts w:hint="eastAsia" w:ascii="宋体" w:hAnsi="宋体" w:eastAsia="宋体" w:cs="宋体"/>
                <w:i w:val="0"/>
                <w:iCs w:val="0"/>
                <w:color w:val="333333"/>
                <w:sz w:val="18"/>
                <w:szCs w:val="18"/>
                <w:u w:val="none"/>
              </w:rPr>
            </w:pPr>
          </w:p>
        </w:tc>
        <w:tc>
          <w:tcPr>
            <w:tcW w:w="743" w:type="pct"/>
            <w:gridSpan w:val="2"/>
            <w:tcBorders>
              <w:top w:val="single" w:color="000000" w:sz="4" w:space="0"/>
              <w:left w:val="single" w:color="000000" w:sz="4" w:space="0"/>
              <w:bottom w:val="single" w:color="000000" w:sz="4" w:space="0"/>
              <w:right w:val="nil"/>
            </w:tcBorders>
            <w:shd w:val="clear" w:color="auto" w:fill="FFFFFF"/>
            <w:noWrap/>
            <w:vAlign w:val="center"/>
          </w:tcPr>
          <w:p w14:paraId="4A936F9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8A56C">
            <w:pPr>
              <w:snapToGrid w:val="0"/>
              <w:jc w:val="center"/>
              <w:rPr>
                <w:rFonts w:hint="eastAsia" w:ascii="宋体" w:hAnsi="宋体" w:eastAsia="宋体" w:cs="宋体"/>
                <w:i w:val="0"/>
                <w:iCs w:val="0"/>
                <w:color w:val="333333"/>
                <w:sz w:val="18"/>
                <w:szCs w:val="18"/>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56358">
            <w:pPr>
              <w:snapToGrid w:val="0"/>
              <w:jc w:val="center"/>
              <w:rPr>
                <w:rFonts w:hint="eastAsia" w:ascii="宋体" w:hAnsi="宋体" w:eastAsia="宋体" w:cs="宋体"/>
                <w:i w:val="0"/>
                <w:iCs w:val="0"/>
                <w:color w:val="333333"/>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E5E19">
            <w:pPr>
              <w:snapToGrid w:val="0"/>
              <w:jc w:val="center"/>
              <w:rPr>
                <w:rFonts w:hint="eastAsia" w:ascii="宋体" w:hAnsi="宋体" w:eastAsia="宋体" w:cs="宋体"/>
                <w:i w:val="0"/>
                <w:iCs w:val="0"/>
                <w:color w:val="333333"/>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FB92">
            <w:pPr>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0665F7D8">
            <w:pPr>
              <w:snapToGrid w:val="0"/>
              <w:jc w:val="center"/>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CAC6">
            <w:pPr>
              <w:snapToGrid w:val="0"/>
              <w:rPr>
                <w:rFonts w:hint="eastAsia" w:ascii="宋体" w:hAnsi="宋体" w:eastAsia="宋体" w:cs="宋体"/>
                <w:i w:val="0"/>
                <w:iCs w:val="0"/>
                <w:color w:val="000000"/>
                <w:sz w:val="18"/>
                <w:szCs w:val="18"/>
                <w:u w:val="none"/>
              </w:rPr>
            </w:pPr>
          </w:p>
        </w:tc>
      </w:tr>
      <w:tr w14:paraId="0409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F87B0">
            <w:pPr>
              <w:snapToGrid w:val="0"/>
              <w:jc w:val="center"/>
              <w:rPr>
                <w:rFonts w:hint="eastAsia" w:ascii="宋体" w:hAnsi="宋体" w:eastAsia="宋体" w:cs="宋体"/>
                <w:i w:val="0"/>
                <w:iCs w:val="0"/>
                <w:color w:val="333333"/>
                <w:sz w:val="18"/>
                <w:szCs w:val="18"/>
                <w:u w:val="none"/>
              </w:rPr>
            </w:pPr>
          </w:p>
        </w:tc>
        <w:tc>
          <w:tcPr>
            <w:tcW w:w="743" w:type="pct"/>
            <w:gridSpan w:val="2"/>
            <w:tcBorders>
              <w:top w:val="single" w:color="000000" w:sz="4" w:space="0"/>
              <w:left w:val="single" w:color="000000" w:sz="4" w:space="0"/>
              <w:bottom w:val="single" w:color="000000" w:sz="4" w:space="0"/>
              <w:right w:val="nil"/>
            </w:tcBorders>
            <w:shd w:val="clear" w:color="auto" w:fill="FFFFFF"/>
            <w:noWrap/>
            <w:vAlign w:val="center"/>
          </w:tcPr>
          <w:p w14:paraId="7C0322E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37C6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资金及时拨付率</w:t>
            </w:r>
          </w:p>
        </w:tc>
        <w:tc>
          <w:tcPr>
            <w:tcW w:w="5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1E25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9FDD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42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26D7BB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2290">
            <w:pPr>
              <w:snapToGrid w:val="0"/>
              <w:rPr>
                <w:rFonts w:hint="eastAsia" w:ascii="宋体" w:hAnsi="宋体" w:eastAsia="宋体" w:cs="宋体"/>
                <w:i w:val="0"/>
                <w:iCs w:val="0"/>
                <w:color w:val="000000"/>
                <w:sz w:val="18"/>
                <w:szCs w:val="18"/>
                <w:u w:val="none"/>
              </w:rPr>
            </w:pPr>
          </w:p>
        </w:tc>
      </w:tr>
      <w:tr w14:paraId="2A27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C63C4">
            <w:pPr>
              <w:snapToGrid w:val="0"/>
              <w:jc w:val="center"/>
              <w:rPr>
                <w:rFonts w:hint="eastAsia" w:ascii="宋体" w:hAnsi="宋体" w:eastAsia="宋体" w:cs="宋体"/>
                <w:i w:val="0"/>
                <w:iCs w:val="0"/>
                <w:color w:val="333333"/>
                <w:sz w:val="18"/>
                <w:szCs w:val="18"/>
                <w:u w:val="none"/>
              </w:rPr>
            </w:pPr>
          </w:p>
        </w:tc>
        <w:tc>
          <w:tcPr>
            <w:tcW w:w="743" w:type="pct"/>
            <w:gridSpan w:val="2"/>
            <w:tcBorders>
              <w:top w:val="single" w:color="000000" w:sz="4" w:space="0"/>
              <w:left w:val="single" w:color="000000" w:sz="4" w:space="0"/>
              <w:bottom w:val="single" w:color="000000" w:sz="4" w:space="0"/>
              <w:right w:val="nil"/>
            </w:tcBorders>
            <w:shd w:val="clear" w:color="auto" w:fill="FFFFFF"/>
            <w:noWrap/>
            <w:vAlign w:val="center"/>
          </w:tcPr>
          <w:p w14:paraId="70B5BFB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A6DF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退休人员补助标准</w:t>
            </w:r>
          </w:p>
        </w:tc>
        <w:tc>
          <w:tcPr>
            <w:tcW w:w="5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D831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7000元/年</w:t>
            </w:r>
          </w:p>
        </w:tc>
        <w:tc>
          <w:tcPr>
            <w:tcW w:w="5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3974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7000元/年</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94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0ADEC5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D348">
            <w:pPr>
              <w:snapToGrid w:val="0"/>
              <w:rPr>
                <w:rFonts w:hint="eastAsia" w:ascii="宋体" w:hAnsi="宋体" w:eastAsia="宋体" w:cs="宋体"/>
                <w:i w:val="0"/>
                <w:iCs w:val="0"/>
                <w:color w:val="000000"/>
                <w:sz w:val="18"/>
                <w:szCs w:val="18"/>
                <w:u w:val="none"/>
              </w:rPr>
            </w:pPr>
          </w:p>
        </w:tc>
      </w:tr>
      <w:tr w14:paraId="0CA9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2123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43" w:type="pct"/>
            <w:gridSpan w:val="2"/>
            <w:tcBorders>
              <w:top w:val="single" w:color="000000" w:sz="4" w:space="0"/>
              <w:left w:val="single" w:color="000000" w:sz="4" w:space="0"/>
              <w:bottom w:val="single" w:color="000000" w:sz="4" w:space="0"/>
              <w:right w:val="nil"/>
            </w:tcBorders>
            <w:shd w:val="clear" w:color="auto" w:fill="FFFFFF"/>
            <w:noWrap/>
            <w:vAlign w:val="center"/>
          </w:tcPr>
          <w:p w14:paraId="1E684AE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7C15">
            <w:pPr>
              <w:snapToGrid w:val="0"/>
              <w:jc w:val="center"/>
              <w:rPr>
                <w:rFonts w:hint="eastAsia" w:ascii="宋体" w:hAnsi="宋体" w:eastAsia="宋体" w:cs="宋体"/>
                <w:i w:val="0"/>
                <w:iCs w:val="0"/>
                <w:color w:val="333333"/>
                <w:sz w:val="18"/>
                <w:szCs w:val="18"/>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7F054">
            <w:pPr>
              <w:snapToGrid w:val="0"/>
              <w:jc w:val="center"/>
              <w:rPr>
                <w:rFonts w:hint="eastAsia" w:ascii="宋体" w:hAnsi="宋体" w:eastAsia="宋体" w:cs="宋体"/>
                <w:i w:val="0"/>
                <w:iCs w:val="0"/>
                <w:color w:val="333333"/>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78E37">
            <w:pPr>
              <w:snapToGrid w:val="0"/>
              <w:jc w:val="center"/>
              <w:rPr>
                <w:rFonts w:hint="eastAsia" w:ascii="宋体" w:hAnsi="宋体" w:eastAsia="宋体" w:cs="宋体"/>
                <w:i w:val="0"/>
                <w:iCs w:val="0"/>
                <w:color w:val="333333"/>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6930">
            <w:pPr>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00712D36">
            <w:pPr>
              <w:snapToGrid w:val="0"/>
              <w:jc w:val="center"/>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1846">
            <w:pPr>
              <w:snapToGrid w:val="0"/>
              <w:rPr>
                <w:rFonts w:hint="eastAsia" w:ascii="宋体" w:hAnsi="宋体" w:eastAsia="宋体" w:cs="宋体"/>
                <w:i w:val="0"/>
                <w:iCs w:val="0"/>
                <w:color w:val="000000"/>
                <w:sz w:val="18"/>
                <w:szCs w:val="18"/>
                <w:u w:val="none"/>
              </w:rPr>
            </w:pPr>
          </w:p>
        </w:tc>
      </w:tr>
      <w:tr w14:paraId="5DD4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05D47">
            <w:pPr>
              <w:snapToGrid w:val="0"/>
              <w:jc w:val="center"/>
              <w:rPr>
                <w:rFonts w:hint="eastAsia" w:ascii="宋体" w:hAnsi="宋体" w:eastAsia="宋体" w:cs="宋体"/>
                <w:i w:val="0"/>
                <w:iCs w:val="0"/>
                <w:color w:val="333333"/>
                <w:sz w:val="18"/>
                <w:szCs w:val="18"/>
                <w:u w:val="none"/>
              </w:rPr>
            </w:pPr>
          </w:p>
        </w:tc>
        <w:tc>
          <w:tcPr>
            <w:tcW w:w="743" w:type="pct"/>
            <w:gridSpan w:val="2"/>
            <w:tcBorders>
              <w:top w:val="single" w:color="000000" w:sz="4" w:space="0"/>
              <w:left w:val="single" w:color="000000" w:sz="4" w:space="0"/>
              <w:bottom w:val="single" w:color="000000" w:sz="4" w:space="0"/>
              <w:right w:val="nil"/>
            </w:tcBorders>
            <w:shd w:val="clear" w:color="auto" w:fill="FFFFFF"/>
            <w:noWrap/>
            <w:vAlign w:val="center"/>
          </w:tcPr>
          <w:p w14:paraId="0C336BC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B066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提高退休人员生活保障</w:t>
            </w:r>
          </w:p>
        </w:tc>
        <w:tc>
          <w:tcPr>
            <w:tcW w:w="5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7722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0724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0E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670517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3D6F">
            <w:pPr>
              <w:snapToGrid w:val="0"/>
              <w:rPr>
                <w:rFonts w:hint="eastAsia" w:ascii="宋体" w:hAnsi="宋体" w:eastAsia="宋体" w:cs="宋体"/>
                <w:i w:val="0"/>
                <w:iCs w:val="0"/>
                <w:color w:val="000000"/>
                <w:sz w:val="18"/>
                <w:szCs w:val="18"/>
                <w:u w:val="none"/>
              </w:rPr>
            </w:pPr>
          </w:p>
        </w:tc>
      </w:tr>
      <w:tr w14:paraId="65C9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75717">
            <w:pPr>
              <w:snapToGrid w:val="0"/>
              <w:jc w:val="center"/>
              <w:rPr>
                <w:rFonts w:hint="eastAsia" w:ascii="宋体" w:hAnsi="宋体" w:eastAsia="宋体" w:cs="宋体"/>
                <w:i w:val="0"/>
                <w:iCs w:val="0"/>
                <w:color w:val="333333"/>
                <w:sz w:val="18"/>
                <w:szCs w:val="18"/>
                <w:u w:val="none"/>
              </w:rPr>
            </w:pPr>
          </w:p>
        </w:tc>
        <w:tc>
          <w:tcPr>
            <w:tcW w:w="743" w:type="pct"/>
            <w:gridSpan w:val="2"/>
            <w:tcBorders>
              <w:top w:val="single" w:color="000000" w:sz="4" w:space="0"/>
              <w:left w:val="single" w:color="000000" w:sz="4" w:space="0"/>
              <w:bottom w:val="single" w:color="000000" w:sz="4" w:space="0"/>
              <w:right w:val="nil"/>
            </w:tcBorders>
            <w:shd w:val="clear" w:color="auto" w:fill="FFFFFF"/>
            <w:noWrap/>
            <w:vAlign w:val="center"/>
          </w:tcPr>
          <w:p w14:paraId="18E73E4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31146">
            <w:pPr>
              <w:snapToGrid w:val="0"/>
              <w:jc w:val="center"/>
              <w:rPr>
                <w:rFonts w:hint="eastAsia" w:ascii="宋体" w:hAnsi="宋体" w:eastAsia="宋体" w:cs="宋体"/>
                <w:i w:val="0"/>
                <w:iCs w:val="0"/>
                <w:color w:val="333333"/>
                <w:sz w:val="18"/>
                <w:szCs w:val="18"/>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D6E35">
            <w:pPr>
              <w:snapToGrid w:val="0"/>
              <w:jc w:val="center"/>
              <w:rPr>
                <w:rFonts w:hint="eastAsia" w:ascii="宋体" w:hAnsi="宋体" w:eastAsia="宋体" w:cs="宋体"/>
                <w:i w:val="0"/>
                <w:iCs w:val="0"/>
                <w:color w:val="333333"/>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12B2F">
            <w:pPr>
              <w:snapToGrid w:val="0"/>
              <w:jc w:val="center"/>
              <w:rPr>
                <w:rFonts w:hint="eastAsia" w:ascii="宋体" w:hAnsi="宋体" w:eastAsia="宋体" w:cs="宋体"/>
                <w:i w:val="0"/>
                <w:iCs w:val="0"/>
                <w:color w:val="333333"/>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ADCB">
            <w:pPr>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2A73446B">
            <w:pPr>
              <w:snapToGrid w:val="0"/>
              <w:jc w:val="center"/>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9A35">
            <w:pPr>
              <w:snapToGrid w:val="0"/>
              <w:rPr>
                <w:rFonts w:hint="eastAsia" w:ascii="宋体" w:hAnsi="宋体" w:eastAsia="宋体" w:cs="宋体"/>
                <w:i w:val="0"/>
                <w:iCs w:val="0"/>
                <w:color w:val="000000"/>
                <w:sz w:val="18"/>
                <w:szCs w:val="18"/>
                <w:u w:val="none"/>
              </w:rPr>
            </w:pPr>
          </w:p>
        </w:tc>
      </w:tr>
      <w:tr w14:paraId="11EB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0C768">
            <w:pPr>
              <w:snapToGrid w:val="0"/>
              <w:jc w:val="center"/>
              <w:rPr>
                <w:rFonts w:hint="eastAsia" w:ascii="宋体" w:hAnsi="宋体" w:eastAsia="宋体" w:cs="宋体"/>
                <w:i w:val="0"/>
                <w:iCs w:val="0"/>
                <w:color w:val="333333"/>
                <w:sz w:val="18"/>
                <w:szCs w:val="18"/>
                <w:u w:val="none"/>
              </w:rPr>
            </w:pPr>
          </w:p>
        </w:tc>
        <w:tc>
          <w:tcPr>
            <w:tcW w:w="743" w:type="pct"/>
            <w:gridSpan w:val="2"/>
            <w:tcBorders>
              <w:top w:val="single" w:color="000000" w:sz="4" w:space="0"/>
              <w:left w:val="single" w:color="000000" w:sz="4" w:space="0"/>
              <w:bottom w:val="single" w:color="000000" w:sz="4" w:space="0"/>
              <w:right w:val="nil"/>
            </w:tcBorders>
            <w:shd w:val="clear" w:color="auto" w:fill="FFFFFF"/>
            <w:noWrap/>
            <w:vAlign w:val="center"/>
          </w:tcPr>
          <w:p w14:paraId="364F402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7E020">
            <w:pPr>
              <w:snapToGrid w:val="0"/>
              <w:jc w:val="center"/>
              <w:rPr>
                <w:rFonts w:hint="eastAsia" w:ascii="宋体" w:hAnsi="宋体" w:eastAsia="宋体" w:cs="宋体"/>
                <w:i w:val="0"/>
                <w:iCs w:val="0"/>
                <w:color w:val="333333"/>
                <w:sz w:val="18"/>
                <w:szCs w:val="18"/>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89115">
            <w:pPr>
              <w:snapToGrid w:val="0"/>
              <w:jc w:val="center"/>
              <w:rPr>
                <w:rFonts w:hint="eastAsia" w:ascii="宋体" w:hAnsi="宋体" w:eastAsia="宋体" w:cs="宋体"/>
                <w:i w:val="0"/>
                <w:iCs w:val="0"/>
                <w:color w:val="333333"/>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85785">
            <w:pPr>
              <w:snapToGrid w:val="0"/>
              <w:jc w:val="center"/>
              <w:rPr>
                <w:rFonts w:hint="eastAsia" w:ascii="宋体" w:hAnsi="宋体" w:eastAsia="宋体" w:cs="宋体"/>
                <w:i w:val="0"/>
                <w:iCs w:val="0"/>
                <w:color w:val="333333"/>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BBDE">
            <w:pPr>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50020AC6">
            <w:pPr>
              <w:snapToGrid w:val="0"/>
              <w:jc w:val="center"/>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C4FB">
            <w:pPr>
              <w:snapToGrid w:val="0"/>
              <w:rPr>
                <w:rFonts w:hint="eastAsia" w:ascii="宋体" w:hAnsi="宋体" w:eastAsia="宋体" w:cs="宋体"/>
                <w:i w:val="0"/>
                <w:iCs w:val="0"/>
                <w:color w:val="000000"/>
                <w:sz w:val="18"/>
                <w:szCs w:val="18"/>
                <w:u w:val="none"/>
              </w:rPr>
            </w:pPr>
          </w:p>
        </w:tc>
      </w:tr>
      <w:tr w14:paraId="0DC9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632B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43" w:type="pct"/>
            <w:gridSpan w:val="2"/>
            <w:tcBorders>
              <w:top w:val="single" w:color="000000" w:sz="4" w:space="0"/>
              <w:left w:val="single" w:color="000000" w:sz="4" w:space="0"/>
              <w:bottom w:val="single" w:color="000000" w:sz="4" w:space="0"/>
              <w:right w:val="nil"/>
            </w:tcBorders>
            <w:shd w:val="clear" w:color="auto" w:fill="FFFFFF"/>
            <w:noWrap/>
            <w:vAlign w:val="center"/>
          </w:tcPr>
          <w:p w14:paraId="5328F14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35D3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退休人员满意度</w:t>
            </w:r>
          </w:p>
        </w:tc>
        <w:tc>
          <w:tcPr>
            <w:tcW w:w="5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C54E1">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7237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C2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14:paraId="53A0CB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F9B6">
            <w:pPr>
              <w:snapToGrid w:val="0"/>
              <w:rPr>
                <w:rFonts w:hint="eastAsia" w:ascii="宋体" w:hAnsi="宋体" w:eastAsia="宋体" w:cs="宋体"/>
                <w:i w:val="0"/>
                <w:iCs w:val="0"/>
                <w:color w:val="000000"/>
                <w:sz w:val="18"/>
                <w:szCs w:val="18"/>
                <w:u w:val="none"/>
              </w:rPr>
            </w:pPr>
          </w:p>
        </w:tc>
      </w:tr>
    </w:tbl>
    <w:p w14:paraId="43DF7EB6">
      <w:pPr>
        <w:rPr>
          <w:rFonts w:hint="eastAsia" w:ascii="Times New Roman" w:hAnsi="Times New Roman" w:eastAsia="黑体" w:cs="黑体"/>
          <w:color w:val="auto"/>
          <w:kern w:val="0"/>
          <w:sz w:val="32"/>
          <w:szCs w:val="32"/>
          <w:highlight w:val="none"/>
          <w:shd w:val="clear" w:color="auto" w:fill="FFFFFF"/>
          <w:lang w:val="zh-CN"/>
        </w:rPr>
      </w:pPr>
    </w:p>
    <w:p w14:paraId="036C5C7E">
      <w:pPr>
        <w:rPr>
          <w:rFonts w:hint="eastAsia" w:ascii="Times New Roman" w:hAnsi="Times New Roman" w:eastAsia="黑体" w:cs="黑体"/>
          <w:color w:val="auto"/>
          <w:kern w:val="0"/>
          <w:sz w:val="32"/>
          <w:szCs w:val="32"/>
          <w:highlight w:val="none"/>
          <w:shd w:val="clear" w:color="auto" w:fill="FFFFFF"/>
          <w:lang w:val="zh-CN"/>
        </w:rPr>
      </w:pPr>
    </w:p>
    <w:p w14:paraId="5C050523">
      <w:pPr>
        <w:rPr>
          <w:rFonts w:hint="eastAsia" w:ascii="Times New Roman" w:hAnsi="Times New Roman" w:eastAsia="黑体" w:cs="黑体"/>
          <w:color w:val="auto"/>
          <w:kern w:val="0"/>
          <w:sz w:val="32"/>
          <w:szCs w:val="32"/>
          <w:highlight w:val="none"/>
          <w:shd w:val="clear" w:color="auto" w:fill="FFFFFF"/>
          <w:lang w:val="zh-CN"/>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49"/>
        <w:gridCol w:w="617"/>
        <w:gridCol w:w="603"/>
        <w:gridCol w:w="1751"/>
        <w:gridCol w:w="979"/>
        <w:gridCol w:w="935"/>
        <w:gridCol w:w="928"/>
        <w:gridCol w:w="478"/>
        <w:gridCol w:w="994"/>
      </w:tblGrid>
      <w:tr w14:paraId="765B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tcBorders>
              <w:top w:val="nil"/>
              <w:left w:val="nil"/>
              <w:bottom w:val="nil"/>
              <w:right w:val="nil"/>
            </w:tcBorders>
            <w:shd w:val="clear" w:color="auto" w:fill="auto"/>
            <w:noWrap/>
            <w:vAlign w:val="center"/>
          </w:tcPr>
          <w:p w14:paraId="3044D2A8">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358" w:type="pct"/>
            <w:tcBorders>
              <w:top w:val="nil"/>
              <w:left w:val="nil"/>
              <w:bottom w:val="nil"/>
              <w:right w:val="nil"/>
            </w:tcBorders>
            <w:shd w:val="clear" w:color="auto" w:fill="auto"/>
            <w:noWrap/>
            <w:vAlign w:val="center"/>
          </w:tcPr>
          <w:p w14:paraId="41E1738C">
            <w:pPr>
              <w:keepNext/>
              <w:snapToGrid w:val="0"/>
              <w:rPr>
                <w:rFonts w:hint="eastAsia" w:ascii="宋体" w:hAnsi="宋体" w:eastAsia="宋体" w:cs="宋体"/>
                <w:i w:val="0"/>
                <w:iCs w:val="0"/>
                <w:color w:val="000000"/>
                <w:sz w:val="22"/>
                <w:szCs w:val="22"/>
                <w:u w:val="none"/>
              </w:rPr>
            </w:pPr>
          </w:p>
        </w:tc>
        <w:tc>
          <w:tcPr>
            <w:tcW w:w="351" w:type="pct"/>
            <w:tcBorders>
              <w:top w:val="nil"/>
              <w:left w:val="nil"/>
              <w:bottom w:val="nil"/>
              <w:right w:val="nil"/>
            </w:tcBorders>
            <w:shd w:val="clear" w:color="auto" w:fill="auto"/>
            <w:noWrap/>
            <w:vAlign w:val="center"/>
          </w:tcPr>
          <w:p w14:paraId="762B2E17">
            <w:pPr>
              <w:keepNext/>
              <w:snapToGrid w:val="0"/>
              <w:rPr>
                <w:rFonts w:hint="eastAsia" w:ascii="宋体" w:hAnsi="宋体" w:eastAsia="宋体" w:cs="宋体"/>
                <w:i w:val="0"/>
                <w:iCs w:val="0"/>
                <w:color w:val="000000"/>
                <w:sz w:val="22"/>
                <w:szCs w:val="22"/>
                <w:u w:val="none"/>
              </w:rPr>
            </w:pPr>
          </w:p>
        </w:tc>
        <w:tc>
          <w:tcPr>
            <w:tcW w:w="1116" w:type="pct"/>
            <w:tcBorders>
              <w:top w:val="nil"/>
              <w:left w:val="nil"/>
              <w:bottom w:val="nil"/>
              <w:right w:val="nil"/>
            </w:tcBorders>
            <w:shd w:val="clear" w:color="auto" w:fill="auto"/>
            <w:noWrap/>
            <w:vAlign w:val="center"/>
          </w:tcPr>
          <w:p w14:paraId="57118E78">
            <w:pPr>
              <w:keepNext/>
              <w:snapToGrid w:val="0"/>
              <w:rPr>
                <w:rFonts w:hint="eastAsia" w:ascii="宋体" w:hAnsi="宋体" w:eastAsia="宋体" w:cs="宋体"/>
                <w:i w:val="0"/>
                <w:iCs w:val="0"/>
                <w:color w:val="000000"/>
                <w:sz w:val="22"/>
                <w:szCs w:val="22"/>
                <w:u w:val="none"/>
              </w:rPr>
            </w:pPr>
          </w:p>
        </w:tc>
        <w:tc>
          <w:tcPr>
            <w:tcW w:w="568" w:type="pct"/>
            <w:tcBorders>
              <w:top w:val="nil"/>
              <w:left w:val="nil"/>
              <w:bottom w:val="nil"/>
              <w:right w:val="nil"/>
            </w:tcBorders>
            <w:shd w:val="clear" w:color="auto" w:fill="auto"/>
            <w:noWrap/>
            <w:vAlign w:val="center"/>
          </w:tcPr>
          <w:p w14:paraId="2537FE8E">
            <w:pPr>
              <w:keepNext/>
              <w:snapToGrid w:val="0"/>
              <w:rPr>
                <w:rFonts w:hint="eastAsia" w:ascii="宋体" w:hAnsi="宋体" w:eastAsia="宋体" w:cs="宋体"/>
                <w:i w:val="0"/>
                <w:iCs w:val="0"/>
                <w:color w:val="000000"/>
                <w:sz w:val="22"/>
                <w:szCs w:val="22"/>
                <w:u w:val="none"/>
              </w:rPr>
            </w:pPr>
          </w:p>
        </w:tc>
        <w:tc>
          <w:tcPr>
            <w:tcW w:w="544" w:type="pct"/>
            <w:tcBorders>
              <w:top w:val="nil"/>
              <w:left w:val="nil"/>
              <w:bottom w:val="nil"/>
              <w:right w:val="nil"/>
            </w:tcBorders>
            <w:shd w:val="clear" w:color="auto" w:fill="auto"/>
            <w:noWrap/>
            <w:vAlign w:val="center"/>
          </w:tcPr>
          <w:p w14:paraId="52D17DBE">
            <w:pPr>
              <w:keepNext/>
              <w:snapToGrid w:val="0"/>
              <w:rPr>
                <w:rFonts w:hint="eastAsia" w:ascii="宋体" w:hAnsi="宋体" w:eastAsia="宋体" w:cs="宋体"/>
                <w:i w:val="0"/>
                <w:iCs w:val="0"/>
                <w:color w:val="000000"/>
                <w:sz w:val="22"/>
                <w:szCs w:val="22"/>
                <w:u w:val="none"/>
              </w:rPr>
            </w:pPr>
          </w:p>
        </w:tc>
        <w:tc>
          <w:tcPr>
            <w:tcW w:w="541" w:type="pct"/>
            <w:tcBorders>
              <w:top w:val="nil"/>
              <w:left w:val="nil"/>
              <w:bottom w:val="nil"/>
              <w:right w:val="nil"/>
            </w:tcBorders>
            <w:shd w:val="clear" w:color="auto" w:fill="auto"/>
            <w:noWrap/>
            <w:vAlign w:val="center"/>
          </w:tcPr>
          <w:p w14:paraId="40348E18">
            <w:pPr>
              <w:keepNext/>
              <w:snapToGrid w:val="0"/>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noWrap/>
            <w:vAlign w:val="center"/>
          </w:tcPr>
          <w:p w14:paraId="7BAD840C">
            <w:pPr>
              <w:keepNext/>
              <w:snapToGrid w:val="0"/>
              <w:rPr>
                <w:rFonts w:hint="eastAsia" w:ascii="宋体" w:hAnsi="宋体" w:eastAsia="宋体" w:cs="宋体"/>
                <w:i w:val="0"/>
                <w:iCs w:val="0"/>
                <w:color w:val="000000"/>
                <w:sz w:val="22"/>
                <w:szCs w:val="22"/>
                <w:u w:val="none"/>
              </w:rPr>
            </w:pPr>
          </w:p>
        </w:tc>
        <w:tc>
          <w:tcPr>
            <w:tcW w:w="578" w:type="pct"/>
            <w:tcBorders>
              <w:top w:val="nil"/>
              <w:left w:val="nil"/>
              <w:bottom w:val="nil"/>
              <w:right w:val="nil"/>
            </w:tcBorders>
            <w:shd w:val="clear" w:color="auto" w:fill="auto"/>
            <w:noWrap/>
            <w:vAlign w:val="center"/>
          </w:tcPr>
          <w:p w14:paraId="1936E0D7">
            <w:pPr>
              <w:keepNext/>
              <w:snapToGrid w:val="0"/>
              <w:rPr>
                <w:rFonts w:hint="eastAsia" w:ascii="宋体" w:hAnsi="宋体" w:eastAsia="宋体" w:cs="宋体"/>
                <w:i w:val="0"/>
                <w:iCs w:val="0"/>
                <w:color w:val="000000"/>
                <w:sz w:val="22"/>
                <w:szCs w:val="22"/>
                <w:u w:val="none"/>
              </w:rPr>
            </w:pPr>
          </w:p>
        </w:tc>
      </w:tr>
      <w:tr w14:paraId="433B0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24715DD7">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0EB7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1242">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EBEE">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10吨成品油轮换采购资金及保管费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EF27">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9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5DD2">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6136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1D8C">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8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B3E5">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乐山市金口河区粮食和物资储备中心</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89FA">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9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443D">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乐山市金口河区金粮粮油储备有限公司</w:t>
            </w:r>
          </w:p>
        </w:tc>
      </w:tr>
      <w:tr w14:paraId="4F18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018E">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7FE4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5" w:type="pct"/>
            <w:gridSpan w:val="2"/>
            <w:tcBorders>
              <w:top w:val="single" w:color="000000" w:sz="4" w:space="0"/>
              <w:left w:val="single" w:color="000000" w:sz="4" w:space="0"/>
              <w:bottom w:val="single" w:color="000000" w:sz="4" w:space="0"/>
              <w:right w:val="nil"/>
            </w:tcBorders>
            <w:shd w:val="clear" w:color="auto" w:fill="auto"/>
            <w:noWrap/>
            <w:vAlign w:val="center"/>
          </w:tcPr>
          <w:p w14:paraId="3D1B787F">
            <w:pPr>
              <w:keepNext/>
              <w:snapToGrid w:val="0"/>
              <w:jc w:val="center"/>
              <w:rPr>
                <w:rFonts w:hint="eastAsia" w:ascii="宋体" w:hAnsi="宋体" w:eastAsia="宋体" w:cs="宋体"/>
                <w:i w:val="0"/>
                <w:iCs w:val="0"/>
                <w:color w:val="000000"/>
                <w:sz w:val="20"/>
                <w:szCs w:val="20"/>
                <w:u w:val="none"/>
              </w:rPr>
            </w:pPr>
          </w:p>
        </w:tc>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AE6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3F5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3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7A2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57A1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67A2">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316E">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ECA0">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3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1F4D">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43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599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07B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E65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3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CECE">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D5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85F0">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DA5A">
            <w:pPr>
              <w:keepNext/>
              <w:snapToGrid w:val="0"/>
              <w:jc w:val="center"/>
              <w:rPr>
                <w:rFonts w:hint="eastAsia" w:ascii="宋体" w:hAnsi="宋体" w:eastAsia="宋体" w:cs="宋体"/>
                <w:i w:val="0"/>
                <w:iCs w:val="0"/>
                <w:color w:val="000000"/>
                <w:sz w:val="20"/>
                <w:szCs w:val="20"/>
                <w:u w:val="none"/>
              </w:rPr>
            </w:pPr>
          </w:p>
        </w:tc>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4D3C">
            <w:pPr>
              <w:keepNext/>
              <w:snapToGrid w:val="0"/>
              <w:jc w:val="center"/>
              <w:rPr>
                <w:rFonts w:hint="eastAsia" w:ascii="宋体" w:hAnsi="宋体" w:eastAsia="宋体" w:cs="宋体"/>
                <w:i w:val="0"/>
                <w:iCs w:val="0"/>
                <w:color w:val="000000"/>
                <w:sz w:val="20"/>
                <w:szCs w:val="20"/>
                <w:u w:val="none"/>
              </w:rPr>
            </w:pPr>
          </w:p>
        </w:tc>
        <w:tc>
          <w:tcPr>
            <w:tcW w:w="13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8BF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53B3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F601">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3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98D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9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E00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24EB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A75A">
            <w:pPr>
              <w:keepNext/>
              <w:snapToGrid w:val="0"/>
              <w:jc w:val="left"/>
              <w:rPr>
                <w:rFonts w:hint="eastAsia" w:ascii="宋体" w:hAnsi="宋体" w:eastAsia="宋体" w:cs="宋体"/>
                <w:i w:val="0"/>
                <w:iCs w:val="0"/>
                <w:color w:val="000000"/>
                <w:sz w:val="20"/>
                <w:szCs w:val="20"/>
                <w:u w:val="none"/>
              </w:rPr>
            </w:pPr>
          </w:p>
        </w:tc>
        <w:tc>
          <w:tcPr>
            <w:tcW w:w="2395" w:type="pct"/>
            <w:gridSpan w:val="4"/>
            <w:tcBorders>
              <w:top w:val="single" w:color="000000" w:sz="4" w:space="0"/>
              <w:left w:val="single" w:color="000000" w:sz="4" w:space="0"/>
              <w:bottom w:val="nil"/>
              <w:right w:val="single" w:color="000000" w:sz="4" w:space="0"/>
            </w:tcBorders>
            <w:shd w:val="clear" w:color="auto" w:fill="auto"/>
            <w:noWrap/>
            <w:vAlign w:val="center"/>
          </w:tcPr>
          <w:p w14:paraId="6C597C16">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对10吨成品油进行轮换采购资金及保管</w:t>
            </w:r>
          </w:p>
        </w:tc>
        <w:tc>
          <w:tcPr>
            <w:tcW w:w="1937" w:type="pct"/>
            <w:gridSpan w:val="4"/>
            <w:tcBorders>
              <w:top w:val="single" w:color="000000" w:sz="4" w:space="0"/>
              <w:left w:val="single" w:color="000000" w:sz="4" w:space="0"/>
              <w:bottom w:val="nil"/>
              <w:right w:val="single" w:color="000000" w:sz="4" w:space="0"/>
            </w:tcBorders>
            <w:shd w:val="clear" w:color="auto" w:fill="auto"/>
            <w:noWrap/>
            <w:vAlign w:val="center"/>
          </w:tcPr>
          <w:p w14:paraId="56E372AF">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完成对10吨成品油的轮换采购资金及保管</w:t>
            </w:r>
          </w:p>
        </w:tc>
      </w:tr>
      <w:tr w14:paraId="27D2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A65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4B4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E49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CC2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DD8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78D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14:paraId="7ABB895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DEC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059C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0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A51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9B7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447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9A20">
            <w:pPr>
              <w:keepNext/>
              <w:snapToGrid w:val="0"/>
              <w:jc w:val="center"/>
              <w:rPr>
                <w:rFonts w:hint="eastAsia" w:ascii="宋体" w:hAnsi="宋体" w:eastAsia="宋体" w:cs="宋体"/>
                <w:i w:val="0"/>
                <w:iCs w:val="0"/>
                <w:color w:val="000000"/>
                <w:sz w:val="18"/>
                <w:szCs w:val="18"/>
                <w:u w:val="none"/>
              </w:rPr>
            </w:pPr>
          </w:p>
        </w:tc>
      </w:tr>
      <w:tr w14:paraId="197A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9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B9B69">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82775">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CEE74">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A6F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14:paraId="0CD82D4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D212">
            <w:pPr>
              <w:keepNext/>
              <w:snapToGrid w:val="0"/>
              <w:rPr>
                <w:rFonts w:hint="eastAsia" w:ascii="宋体" w:hAnsi="宋体" w:eastAsia="宋体" w:cs="宋体"/>
                <w:i w:val="0"/>
                <w:iCs w:val="0"/>
                <w:color w:val="000000"/>
                <w:sz w:val="18"/>
                <w:szCs w:val="18"/>
                <w:u w:val="none"/>
              </w:rPr>
            </w:pPr>
          </w:p>
        </w:tc>
      </w:tr>
      <w:tr w14:paraId="3388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B75CC">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09" w:type="pct"/>
            <w:gridSpan w:val="2"/>
            <w:tcBorders>
              <w:top w:val="single" w:color="000000" w:sz="4" w:space="0"/>
              <w:left w:val="single" w:color="000000" w:sz="4" w:space="0"/>
              <w:bottom w:val="single" w:color="000000" w:sz="4" w:space="0"/>
              <w:right w:val="nil"/>
            </w:tcBorders>
            <w:shd w:val="clear" w:color="auto" w:fill="FFFFFF"/>
            <w:noWrap/>
            <w:vAlign w:val="center"/>
          </w:tcPr>
          <w:p w14:paraId="35CF8A25">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1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1A998">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菜籽油轮换及保管</w:t>
            </w: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22361">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10吨</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43981">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10吨</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384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14:paraId="2D5B419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58D8">
            <w:pPr>
              <w:keepNext/>
              <w:snapToGrid w:val="0"/>
              <w:rPr>
                <w:rFonts w:hint="eastAsia" w:ascii="宋体" w:hAnsi="宋体" w:eastAsia="宋体" w:cs="宋体"/>
                <w:i w:val="0"/>
                <w:iCs w:val="0"/>
                <w:color w:val="000000"/>
                <w:sz w:val="18"/>
                <w:szCs w:val="18"/>
                <w:u w:val="none"/>
              </w:rPr>
            </w:pPr>
          </w:p>
        </w:tc>
      </w:tr>
      <w:tr w14:paraId="36CD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F96D6">
            <w:pPr>
              <w:keepNext/>
              <w:snapToGrid w:val="0"/>
              <w:jc w:val="center"/>
              <w:rPr>
                <w:rFonts w:hint="eastAsia" w:ascii="宋体" w:hAnsi="宋体" w:eastAsia="宋体" w:cs="宋体"/>
                <w:i w:val="0"/>
                <w:iCs w:val="0"/>
                <w:color w:val="333333"/>
                <w:sz w:val="18"/>
                <w:szCs w:val="18"/>
                <w:u w:val="none"/>
              </w:rPr>
            </w:pPr>
          </w:p>
        </w:tc>
        <w:tc>
          <w:tcPr>
            <w:tcW w:w="709" w:type="pct"/>
            <w:gridSpan w:val="2"/>
            <w:tcBorders>
              <w:top w:val="single" w:color="000000" w:sz="4" w:space="0"/>
              <w:left w:val="single" w:color="000000" w:sz="4" w:space="0"/>
              <w:bottom w:val="single" w:color="000000" w:sz="4" w:space="0"/>
              <w:right w:val="nil"/>
            </w:tcBorders>
            <w:shd w:val="clear" w:color="auto" w:fill="FFFFFF"/>
            <w:noWrap/>
            <w:vAlign w:val="center"/>
          </w:tcPr>
          <w:p w14:paraId="6F431502">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1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50A4C">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菜籽油质量</w:t>
            </w: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773BD">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BBCE2">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170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14:paraId="5DE9E87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EED4">
            <w:pPr>
              <w:keepNext/>
              <w:snapToGrid w:val="0"/>
              <w:rPr>
                <w:rFonts w:hint="eastAsia" w:ascii="宋体" w:hAnsi="宋体" w:eastAsia="宋体" w:cs="宋体"/>
                <w:i w:val="0"/>
                <w:iCs w:val="0"/>
                <w:color w:val="000000"/>
                <w:sz w:val="18"/>
                <w:szCs w:val="18"/>
                <w:u w:val="none"/>
              </w:rPr>
            </w:pPr>
          </w:p>
        </w:tc>
      </w:tr>
      <w:tr w14:paraId="08E5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A6EDF">
            <w:pPr>
              <w:keepNext/>
              <w:snapToGrid w:val="0"/>
              <w:jc w:val="center"/>
              <w:rPr>
                <w:rFonts w:hint="eastAsia" w:ascii="宋体" w:hAnsi="宋体" w:eastAsia="宋体" w:cs="宋体"/>
                <w:i w:val="0"/>
                <w:iCs w:val="0"/>
                <w:color w:val="333333"/>
                <w:sz w:val="18"/>
                <w:szCs w:val="18"/>
                <w:u w:val="none"/>
              </w:rPr>
            </w:pPr>
          </w:p>
        </w:tc>
        <w:tc>
          <w:tcPr>
            <w:tcW w:w="709" w:type="pct"/>
            <w:gridSpan w:val="2"/>
            <w:tcBorders>
              <w:top w:val="single" w:color="000000" w:sz="4" w:space="0"/>
              <w:left w:val="single" w:color="000000" w:sz="4" w:space="0"/>
              <w:bottom w:val="single" w:color="000000" w:sz="4" w:space="0"/>
              <w:right w:val="nil"/>
            </w:tcBorders>
            <w:shd w:val="clear" w:color="auto" w:fill="FFFFFF"/>
            <w:noWrap/>
            <w:vAlign w:val="center"/>
          </w:tcPr>
          <w:p w14:paraId="5EDBF584">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1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956C1">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完成菜籽油轮换时限</w:t>
            </w: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E07A">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12月底</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52C46">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6EF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14:paraId="72F4D95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A3BF">
            <w:pPr>
              <w:keepNext/>
              <w:snapToGrid w:val="0"/>
              <w:rPr>
                <w:rFonts w:hint="eastAsia" w:ascii="宋体" w:hAnsi="宋体" w:eastAsia="宋体" w:cs="宋体"/>
                <w:i w:val="0"/>
                <w:iCs w:val="0"/>
                <w:color w:val="000000"/>
                <w:sz w:val="18"/>
                <w:szCs w:val="18"/>
                <w:u w:val="none"/>
              </w:rPr>
            </w:pPr>
          </w:p>
        </w:tc>
      </w:tr>
      <w:tr w14:paraId="165B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5EC69">
            <w:pPr>
              <w:keepNext/>
              <w:snapToGrid w:val="0"/>
              <w:jc w:val="center"/>
              <w:rPr>
                <w:rFonts w:hint="eastAsia" w:ascii="宋体" w:hAnsi="宋体" w:eastAsia="宋体" w:cs="宋体"/>
                <w:i w:val="0"/>
                <w:iCs w:val="0"/>
                <w:color w:val="333333"/>
                <w:sz w:val="18"/>
                <w:szCs w:val="18"/>
                <w:u w:val="none"/>
              </w:rPr>
            </w:pPr>
          </w:p>
        </w:tc>
        <w:tc>
          <w:tcPr>
            <w:tcW w:w="709" w:type="pct"/>
            <w:gridSpan w:val="2"/>
            <w:tcBorders>
              <w:top w:val="single" w:color="000000" w:sz="4" w:space="0"/>
              <w:left w:val="single" w:color="000000" w:sz="4" w:space="0"/>
              <w:bottom w:val="single" w:color="000000" w:sz="4" w:space="0"/>
              <w:right w:val="nil"/>
            </w:tcBorders>
            <w:shd w:val="clear" w:color="auto" w:fill="FFFFFF"/>
            <w:noWrap/>
            <w:vAlign w:val="center"/>
          </w:tcPr>
          <w:p w14:paraId="1F02462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4D9D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购买10吨菜籽油费用及保管费用</w:t>
            </w: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1542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16.6万元</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8B80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16.6万元</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394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14:paraId="434EE7B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0BB9">
            <w:pPr>
              <w:keepNext/>
              <w:snapToGrid w:val="0"/>
              <w:rPr>
                <w:rFonts w:hint="eastAsia" w:ascii="宋体" w:hAnsi="宋体" w:eastAsia="宋体" w:cs="宋体"/>
                <w:i w:val="0"/>
                <w:iCs w:val="0"/>
                <w:color w:val="000000"/>
                <w:sz w:val="18"/>
                <w:szCs w:val="18"/>
                <w:u w:val="none"/>
              </w:rPr>
            </w:pPr>
          </w:p>
        </w:tc>
      </w:tr>
      <w:tr w14:paraId="7828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EA52A">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09" w:type="pct"/>
            <w:gridSpan w:val="2"/>
            <w:tcBorders>
              <w:top w:val="single" w:color="000000" w:sz="4" w:space="0"/>
              <w:left w:val="single" w:color="000000" w:sz="4" w:space="0"/>
              <w:bottom w:val="single" w:color="000000" w:sz="4" w:space="0"/>
              <w:right w:val="nil"/>
            </w:tcBorders>
            <w:shd w:val="clear" w:color="auto" w:fill="FFFFFF"/>
            <w:noWrap/>
            <w:vAlign w:val="center"/>
          </w:tcPr>
          <w:p w14:paraId="7245C9B5">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1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89B7B">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调节金口河区供应总量</w:t>
            </w: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7F575">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供应平衡</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A38CD">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供应平衡</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7AB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14:paraId="77D49D0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55AB">
            <w:pPr>
              <w:keepNext/>
              <w:snapToGrid w:val="0"/>
              <w:rPr>
                <w:rFonts w:hint="eastAsia" w:ascii="宋体" w:hAnsi="宋体" w:eastAsia="宋体" w:cs="宋体"/>
                <w:i w:val="0"/>
                <w:iCs w:val="0"/>
                <w:color w:val="000000"/>
                <w:sz w:val="18"/>
                <w:szCs w:val="18"/>
                <w:u w:val="none"/>
              </w:rPr>
            </w:pPr>
          </w:p>
        </w:tc>
      </w:tr>
      <w:tr w14:paraId="761F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150F">
            <w:pPr>
              <w:keepNext/>
              <w:snapToGrid w:val="0"/>
              <w:jc w:val="center"/>
              <w:rPr>
                <w:rFonts w:hint="eastAsia" w:ascii="宋体" w:hAnsi="宋体" w:eastAsia="宋体" w:cs="宋体"/>
                <w:i w:val="0"/>
                <w:iCs w:val="0"/>
                <w:color w:val="333333"/>
                <w:sz w:val="18"/>
                <w:szCs w:val="18"/>
                <w:u w:val="none"/>
              </w:rPr>
            </w:pPr>
          </w:p>
        </w:tc>
        <w:tc>
          <w:tcPr>
            <w:tcW w:w="709" w:type="pct"/>
            <w:gridSpan w:val="2"/>
            <w:tcBorders>
              <w:top w:val="single" w:color="000000" w:sz="4" w:space="0"/>
              <w:left w:val="single" w:color="000000" w:sz="4" w:space="0"/>
              <w:bottom w:val="single" w:color="000000" w:sz="4" w:space="0"/>
              <w:right w:val="nil"/>
            </w:tcBorders>
            <w:shd w:val="clear" w:color="auto" w:fill="FFFFFF"/>
            <w:noWrap/>
            <w:vAlign w:val="center"/>
          </w:tcPr>
          <w:p w14:paraId="5041272B">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1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28B06">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稳定粮油市场</w:t>
            </w: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A58C0">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CE83F">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3DE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14:paraId="4F82A5C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E58B">
            <w:pPr>
              <w:keepNext/>
              <w:snapToGrid w:val="0"/>
              <w:rPr>
                <w:rFonts w:hint="eastAsia" w:ascii="宋体" w:hAnsi="宋体" w:eastAsia="宋体" w:cs="宋体"/>
                <w:i w:val="0"/>
                <w:iCs w:val="0"/>
                <w:color w:val="000000"/>
                <w:sz w:val="18"/>
                <w:szCs w:val="18"/>
                <w:u w:val="none"/>
              </w:rPr>
            </w:pPr>
          </w:p>
        </w:tc>
      </w:tr>
      <w:tr w14:paraId="0A0E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BFB25">
            <w:pPr>
              <w:keepNext/>
              <w:snapToGrid w:val="0"/>
              <w:jc w:val="center"/>
              <w:rPr>
                <w:rFonts w:hint="eastAsia" w:ascii="宋体" w:hAnsi="宋体" w:eastAsia="宋体" w:cs="宋体"/>
                <w:i w:val="0"/>
                <w:iCs w:val="0"/>
                <w:color w:val="333333"/>
                <w:sz w:val="18"/>
                <w:szCs w:val="18"/>
                <w:u w:val="none"/>
              </w:rPr>
            </w:pPr>
          </w:p>
        </w:tc>
        <w:tc>
          <w:tcPr>
            <w:tcW w:w="709" w:type="pct"/>
            <w:gridSpan w:val="2"/>
            <w:tcBorders>
              <w:top w:val="single" w:color="000000" w:sz="4" w:space="0"/>
              <w:left w:val="single" w:color="000000" w:sz="4" w:space="0"/>
              <w:bottom w:val="single" w:color="000000" w:sz="4" w:space="0"/>
              <w:right w:val="nil"/>
            </w:tcBorders>
            <w:shd w:val="clear" w:color="auto" w:fill="FFFFFF"/>
            <w:noWrap/>
            <w:vAlign w:val="center"/>
          </w:tcPr>
          <w:p w14:paraId="2987938F">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1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7DE54">
            <w:pPr>
              <w:keepNext/>
              <w:snapToGrid w:val="0"/>
              <w:jc w:val="center"/>
              <w:rPr>
                <w:rFonts w:hint="eastAsia" w:ascii="宋体" w:hAnsi="宋体" w:eastAsia="宋体" w:cs="宋体"/>
                <w:i w:val="0"/>
                <w:iCs w:val="0"/>
                <w:color w:val="333333"/>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9DD29">
            <w:pPr>
              <w:keepNext/>
              <w:snapToGrid w:val="0"/>
              <w:jc w:val="center"/>
              <w:rPr>
                <w:rFonts w:hint="eastAsia" w:ascii="宋体" w:hAnsi="宋体" w:eastAsia="宋体" w:cs="宋体"/>
                <w:i w:val="0"/>
                <w:iCs w:val="0"/>
                <w:color w:val="333333"/>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308E">
            <w:pPr>
              <w:keepNext/>
              <w:snapToGrid w:val="0"/>
              <w:jc w:val="center"/>
              <w:rPr>
                <w:rFonts w:hint="eastAsia" w:ascii="宋体" w:hAnsi="宋体" w:eastAsia="宋体" w:cs="宋体"/>
                <w:i w:val="0"/>
                <w:iCs w:val="0"/>
                <w:color w:val="333333"/>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48A0">
            <w:pPr>
              <w:keepNext/>
              <w:snapToGrid w:val="0"/>
              <w:jc w:val="center"/>
              <w:rPr>
                <w:rFonts w:hint="eastAsia" w:ascii="宋体" w:hAnsi="宋体" w:eastAsia="宋体" w:cs="宋体"/>
                <w:i w:val="0"/>
                <w:iCs w:val="0"/>
                <w:color w:val="000000"/>
                <w:sz w:val="18"/>
                <w:szCs w:val="18"/>
                <w:u w:val="none"/>
              </w:rPr>
            </w:pPr>
          </w:p>
        </w:tc>
        <w:tc>
          <w:tcPr>
            <w:tcW w:w="273" w:type="pct"/>
            <w:tcBorders>
              <w:top w:val="single" w:color="000000" w:sz="4" w:space="0"/>
              <w:left w:val="nil"/>
              <w:bottom w:val="single" w:color="000000" w:sz="4" w:space="0"/>
              <w:right w:val="single" w:color="000000" w:sz="4" w:space="0"/>
            </w:tcBorders>
            <w:shd w:val="clear" w:color="auto" w:fill="auto"/>
            <w:noWrap/>
            <w:vAlign w:val="center"/>
          </w:tcPr>
          <w:p w14:paraId="06A6545E">
            <w:pPr>
              <w:keepNext/>
              <w:snapToGrid w:val="0"/>
              <w:jc w:val="center"/>
              <w:rPr>
                <w:rFonts w:hint="eastAsia" w:ascii="宋体" w:hAnsi="宋体" w:eastAsia="宋体" w:cs="宋体"/>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4412">
            <w:pPr>
              <w:keepNext/>
              <w:snapToGrid w:val="0"/>
              <w:rPr>
                <w:rFonts w:hint="eastAsia" w:ascii="宋体" w:hAnsi="宋体" w:eastAsia="宋体" w:cs="宋体"/>
                <w:i w:val="0"/>
                <w:iCs w:val="0"/>
                <w:color w:val="000000"/>
                <w:sz w:val="18"/>
                <w:szCs w:val="18"/>
                <w:u w:val="none"/>
              </w:rPr>
            </w:pPr>
          </w:p>
        </w:tc>
      </w:tr>
      <w:tr w14:paraId="3F5D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E7AA9">
            <w:pPr>
              <w:keepNext/>
              <w:snapToGrid w:val="0"/>
              <w:jc w:val="center"/>
              <w:rPr>
                <w:rFonts w:hint="eastAsia" w:ascii="宋体" w:hAnsi="宋体" w:eastAsia="宋体" w:cs="宋体"/>
                <w:i w:val="0"/>
                <w:iCs w:val="0"/>
                <w:color w:val="333333"/>
                <w:sz w:val="18"/>
                <w:szCs w:val="18"/>
                <w:u w:val="none"/>
              </w:rPr>
            </w:pPr>
          </w:p>
        </w:tc>
        <w:tc>
          <w:tcPr>
            <w:tcW w:w="709" w:type="pct"/>
            <w:gridSpan w:val="2"/>
            <w:tcBorders>
              <w:top w:val="single" w:color="000000" w:sz="4" w:space="0"/>
              <w:left w:val="single" w:color="000000" w:sz="4" w:space="0"/>
              <w:bottom w:val="single" w:color="000000" w:sz="4" w:space="0"/>
              <w:right w:val="nil"/>
            </w:tcBorders>
            <w:shd w:val="clear" w:color="auto" w:fill="FFFFFF"/>
            <w:noWrap/>
            <w:vAlign w:val="center"/>
          </w:tcPr>
          <w:p w14:paraId="3D0C9A1D">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1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8BEF2">
            <w:pPr>
              <w:keepNext/>
              <w:snapToGrid w:val="0"/>
              <w:jc w:val="center"/>
              <w:rPr>
                <w:rFonts w:hint="eastAsia" w:ascii="宋体" w:hAnsi="宋体" w:eastAsia="宋体" w:cs="宋体"/>
                <w:i w:val="0"/>
                <w:iCs w:val="0"/>
                <w:color w:val="333333"/>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D7505">
            <w:pPr>
              <w:keepNext/>
              <w:snapToGrid w:val="0"/>
              <w:jc w:val="center"/>
              <w:rPr>
                <w:rFonts w:hint="eastAsia" w:ascii="宋体" w:hAnsi="宋体" w:eastAsia="宋体" w:cs="宋体"/>
                <w:i w:val="0"/>
                <w:iCs w:val="0"/>
                <w:color w:val="333333"/>
                <w:sz w:val="18"/>
                <w:szCs w:val="18"/>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79E6C">
            <w:pPr>
              <w:keepNext/>
              <w:snapToGrid w:val="0"/>
              <w:jc w:val="center"/>
              <w:rPr>
                <w:rFonts w:hint="eastAsia" w:ascii="宋体" w:hAnsi="宋体" w:eastAsia="宋体" w:cs="宋体"/>
                <w:i w:val="0"/>
                <w:iCs w:val="0"/>
                <w:color w:val="333333"/>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5B8C">
            <w:pPr>
              <w:keepNext/>
              <w:snapToGrid w:val="0"/>
              <w:jc w:val="center"/>
              <w:rPr>
                <w:rFonts w:hint="eastAsia" w:ascii="宋体" w:hAnsi="宋体" w:eastAsia="宋体" w:cs="宋体"/>
                <w:i w:val="0"/>
                <w:iCs w:val="0"/>
                <w:color w:val="000000"/>
                <w:sz w:val="18"/>
                <w:szCs w:val="18"/>
                <w:u w:val="none"/>
              </w:rPr>
            </w:pPr>
          </w:p>
        </w:tc>
        <w:tc>
          <w:tcPr>
            <w:tcW w:w="273" w:type="pct"/>
            <w:tcBorders>
              <w:top w:val="single" w:color="000000" w:sz="4" w:space="0"/>
              <w:left w:val="nil"/>
              <w:bottom w:val="single" w:color="000000" w:sz="4" w:space="0"/>
              <w:right w:val="single" w:color="000000" w:sz="4" w:space="0"/>
            </w:tcBorders>
            <w:shd w:val="clear" w:color="auto" w:fill="auto"/>
            <w:noWrap/>
            <w:vAlign w:val="center"/>
          </w:tcPr>
          <w:p w14:paraId="12B7DE39">
            <w:pPr>
              <w:keepNext/>
              <w:snapToGrid w:val="0"/>
              <w:jc w:val="center"/>
              <w:rPr>
                <w:rFonts w:hint="eastAsia" w:ascii="宋体" w:hAnsi="宋体" w:eastAsia="宋体" w:cs="宋体"/>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52B1">
            <w:pPr>
              <w:keepNext/>
              <w:snapToGrid w:val="0"/>
              <w:rPr>
                <w:rFonts w:hint="eastAsia" w:ascii="宋体" w:hAnsi="宋体" w:eastAsia="宋体" w:cs="宋体"/>
                <w:i w:val="0"/>
                <w:iCs w:val="0"/>
                <w:color w:val="000000"/>
                <w:sz w:val="18"/>
                <w:szCs w:val="18"/>
                <w:u w:val="none"/>
              </w:rPr>
            </w:pPr>
          </w:p>
        </w:tc>
      </w:tr>
      <w:tr w14:paraId="1AAA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B6E41">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09" w:type="pct"/>
            <w:gridSpan w:val="2"/>
            <w:tcBorders>
              <w:top w:val="single" w:color="000000" w:sz="4" w:space="0"/>
              <w:left w:val="single" w:color="000000" w:sz="4" w:space="0"/>
              <w:bottom w:val="single" w:color="000000" w:sz="4" w:space="0"/>
              <w:right w:val="nil"/>
            </w:tcBorders>
            <w:shd w:val="clear" w:color="auto" w:fill="FFFFFF"/>
            <w:noWrap/>
            <w:vAlign w:val="center"/>
          </w:tcPr>
          <w:p w14:paraId="1F7307EA">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5F999">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6F099">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21D88">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940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14:paraId="73AB9E5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0245">
            <w:pPr>
              <w:keepNext/>
              <w:snapToGrid w:val="0"/>
              <w:rPr>
                <w:rFonts w:hint="eastAsia" w:ascii="宋体" w:hAnsi="宋体" w:eastAsia="宋体" w:cs="宋体"/>
                <w:i w:val="0"/>
                <w:iCs w:val="0"/>
                <w:color w:val="000000"/>
                <w:sz w:val="18"/>
                <w:szCs w:val="18"/>
                <w:u w:val="none"/>
              </w:rPr>
            </w:pPr>
          </w:p>
        </w:tc>
      </w:tr>
    </w:tbl>
    <w:p w14:paraId="2A6D762A">
      <w:pPr>
        <w:rPr>
          <w:rFonts w:hint="eastAsia" w:ascii="Times New Roman" w:hAnsi="Times New Roman" w:eastAsia="黑体" w:cs="黑体"/>
          <w:color w:val="auto"/>
          <w:kern w:val="0"/>
          <w:sz w:val="32"/>
          <w:szCs w:val="32"/>
          <w:highlight w:val="none"/>
          <w:shd w:val="clear" w:color="auto" w:fill="FFFFFF"/>
          <w:lang w:val="zh-CN"/>
        </w:rPr>
      </w:pPr>
    </w:p>
    <w:p w14:paraId="46C9DEA3">
      <w:pPr>
        <w:rPr>
          <w:rFonts w:hint="eastAsia" w:ascii="Times New Roman" w:hAnsi="Times New Roman" w:eastAsia="黑体" w:cs="黑体"/>
          <w:color w:val="auto"/>
          <w:kern w:val="0"/>
          <w:sz w:val="32"/>
          <w:szCs w:val="32"/>
          <w:highlight w:val="none"/>
          <w:shd w:val="clear" w:color="auto" w:fill="FFFFFF"/>
          <w:lang w:val="zh-CN"/>
        </w:rPr>
      </w:pPr>
    </w:p>
    <w:p w14:paraId="7AD7C979">
      <w:pPr>
        <w:rPr>
          <w:rFonts w:hint="eastAsia" w:ascii="Times New Roman" w:hAnsi="Times New Roman" w:eastAsia="黑体" w:cs="黑体"/>
          <w:color w:val="auto"/>
          <w:kern w:val="0"/>
          <w:sz w:val="32"/>
          <w:szCs w:val="32"/>
          <w:highlight w:val="none"/>
          <w:shd w:val="clear" w:color="auto" w:fill="FFFFFF"/>
          <w:lang w:val="zh-CN"/>
        </w:rPr>
      </w:pPr>
    </w:p>
    <w:p w14:paraId="1560BF83">
      <w:pPr>
        <w:rPr>
          <w:rFonts w:hint="eastAsia" w:ascii="Times New Roman" w:hAnsi="Times New Roman" w:eastAsia="黑体" w:cs="黑体"/>
          <w:color w:val="auto"/>
          <w:kern w:val="0"/>
          <w:sz w:val="32"/>
          <w:szCs w:val="32"/>
          <w:highlight w:val="none"/>
          <w:shd w:val="clear" w:color="auto" w:fill="FFFFFF"/>
          <w:lang w:val="zh-CN"/>
        </w:rPr>
      </w:pPr>
    </w:p>
    <w:p w14:paraId="6305E3EA">
      <w:pPr>
        <w:rPr>
          <w:rFonts w:hint="eastAsia" w:ascii="Times New Roman" w:hAnsi="Times New Roman" w:eastAsia="黑体" w:cs="黑体"/>
          <w:color w:val="auto"/>
          <w:kern w:val="0"/>
          <w:sz w:val="32"/>
          <w:szCs w:val="32"/>
          <w:highlight w:val="none"/>
          <w:shd w:val="clear" w:color="auto" w:fill="FFFFFF"/>
          <w:lang w:val="zh-CN"/>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08"/>
        <w:gridCol w:w="589"/>
        <w:gridCol w:w="592"/>
        <w:gridCol w:w="1678"/>
        <w:gridCol w:w="1452"/>
        <w:gridCol w:w="1452"/>
        <w:gridCol w:w="670"/>
        <w:gridCol w:w="441"/>
        <w:gridCol w:w="452"/>
      </w:tblGrid>
      <w:tr w14:paraId="4E28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tcBorders>
              <w:top w:val="nil"/>
              <w:left w:val="nil"/>
              <w:bottom w:val="nil"/>
              <w:right w:val="nil"/>
            </w:tcBorders>
            <w:shd w:val="clear" w:color="auto" w:fill="auto"/>
            <w:noWrap/>
            <w:vAlign w:val="center"/>
          </w:tcPr>
          <w:p w14:paraId="6287C9F0">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343" w:type="pct"/>
            <w:tcBorders>
              <w:top w:val="nil"/>
              <w:left w:val="nil"/>
              <w:bottom w:val="nil"/>
              <w:right w:val="nil"/>
            </w:tcBorders>
            <w:shd w:val="clear" w:color="auto" w:fill="auto"/>
            <w:noWrap/>
            <w:vAlign w:val="center"/>
          </w:tcPr>
          <w:p w14:paraId="61C91C1D">
            <w:pPr>
              <w:keepNext/>
              <w:snapToGrid w:val="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14:paraId="62922115">
            <w:pPr>
              <w:keepNext/>
              <w:snapToGrid w:val="0"/>
              <w:rPr>
                <w:rFonts w:hint="eastAsia" w:ascii="宋体" w:hAnsi="宋体" w:eastAsia="宋体" w:cs="宋体"/>
                <w:i w:val="0"/>
                <w:iCs w:val="0"/>
                <w:color w:val="000000"/>
                <w:sz w:val="22"/>
                <w:szCs w:val="22"/>
                <w:u w:val="none"/>
              </w:rPr>
            </w:pPr>
          </w:p>
        </w:tc>
        <w:tc>
          <w:tcPr>
            <w:tcW w:w="1068" w:type="pct"/>
            <w:tcBorders>
              <w:top w:val="nil"/>
              <w:left w:val="nil"/>
              <w:bottom w:val="nil"/>
              <w:right w:val="nil"/>
            </w:tcBorders>
            <w:shd w:val="clear" w:color="auto" w:fill="auto"/>
            <w:noWrap/>
            <w:vAlign w:val="center"/>
          </w:tcPr>
          <w:p w14:paraId="2CD78BFC">
            <w:pPr>
              <w:keepNext/>
              <w:snapToGrid w:val="0"/>
              <w:rPr>
                <w:rFonts w:hint="eastAsia" w:ascii="宋体" w:hAnsi="宋体" w:eastAsia="宋体" w:cs="宋体"/>
                <w:i w:val="0"/>
                <w:iCs w:val="0"/>
                <w:color w:val="000000"/>
                <w:sz w:val="22"/>
                <w:szCs w:val="22"/>
                <w:u w:val="none"/>
              </w:rPr>
            </w:pPr>
          </w:p>
        </w:tc>
        <w:tc>
          <w:tcPr>
            <w:tcW w:w="844" w:type="pct"/>
            <w:tcBorders>
              <w:top w:val="nil"/>
              <w:left w:val="nil"/>
              <w:bottom w:val="nil"/>
              <w:right w:val="nil"/>
            </w:tcBorders>
            <w:shd w:val="clear" w:color="auto" w:fill="auto"/>
            <w:noWrap/>
            <w:vAlign w:val="center"/>
          </w:tcPr>
          <w:p w14:paraId="7C40DF54">
            <w:pPr>
              <w:keepNext/>
              <w:snapToGrid w:val="0"/>
              <w:rPr>
                <w:rFonts w:hint="eastAsia" w:ascii="宋体" w:hAnsi="宋体" w:eastAsia="宋体" w:cs="宋体"/>
                <w:i w:val="0"/>
                <w:iCs w:val="0"/>
                <w:color w:val="000000"/>
                <w:sz w:val="22"/>
                <w:szCs w:val="22"/>
                <w:u w:val="none"/>
              </w:rPr>
            </w:pPr>
          </w:p>
        </w:tc>
        <w:tc>
          <w:tcPr>
            <w:tcW w:w="844" w:type="pct"/>
            <w:tcBorders>
              <w:top w:val="nil"/>
              <w:left w:val="nil"/>
              <w:bottom w:val="nil"/>
              <w:right w:val="nil"/>
            </w:tcBorders>
            <w:shd w:val="clear" w:color="auto" w:fill="auto"/>
            <w:noWrap/>
            <w:vAlign w:val="center"/>
          </w:tcPr>
          <w:p w14:paraId="086F4C01">
            <w:pPr>
              <w:keepNext/>
              <w:snapToGrid w:val="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14:paraId="7D64BDDA">
            <w:pPr>
              <w:keepNext/>
              <w:snapToGrid w:val="0"/>
              <w:rPr>
                <w:rFonts w:hint="eastAsia" w:ascii="宋体" w:hAnsi="宋体" w:eastAsia="宋体" w:cs="宋体"/>
                <w:i w:val="0"/>
                <w:iCs w:val="0"/>
                <w:color w:val="000000"/>
                <w:sz w:val="22"/>
                <w:szCs w:val="22"/>
                <w:u w:val="none"/>
              </w:rPr>
            </w:pPr>
          </w:p>
        </w:tc>
        <w:tc>
          <w:tcPr>
            <w:tcW w:w="254" w:type="pct"/>
            <w:tcBorders>
              <w:top w:val="nil"/>
              <w:left w:val="nil"/>
              <w:bottom w:val="nil"/>
              <w:right w:val="nil"/>
            </w:tcBorders>
            <w:shd w:val="clear" w:color="auto" w:fill="auto"/>
            <w:noWrap/>
            <w:vAlign w:val="center"/>
          </w:tcPr>
          <w:p w14:paraId="35857E08">
            <w:pPr>
              <w:keepNext/>
              <w:snapToGrid w:val="0"/>
              <w:rPr>
                <w:rFonts w:hint="eastAsia" w:ascii="宋体" w:hAnsi="宋体" w:eastAsia="宋体" w:cs="宋体"/>
                <w:i w:val="0"/>
                <w:iCs w:val="0"/>
                <w:color w:val="000000"/>
                <w:sz w:val="22"/>
                <w:szCs w:val="22"/>
                <w:u w:val="none"/>
              </w:rPr>
            </w:pPr>
          </w:p>
        </w:tc>
        <w:tc>
          <w:tcPr>
            <w:tcW w:w="259" w:type="pct"/>
            <w:tcBorders>
              <w:top w:val="nil"/>
              <w:left w:val="nil"/>
              <w:bottom w:val="nil"/>
              <w:right w:val="nil"/>
            </w:tcBorders>
            <w:shd w:val="clear" w:color="auto" w:fill="auto"/>
            <w:noWrap/>
            <w:vAlign w:val="center"/>
          </w:tcPr>
          <w:p w14:paraId="73A34B87">
            <w:pPr>
              <w:keepNext/>
              <w:snapToGrid w:val="0"/>
              <w:rPr>
                <w:rFonts w:hint="eastAsia" w:ascii="宋体" w:hAnsi="宋体" w:eastAsia="宋体" w:cs="宋体"/>
                <w:i w:val="0"/>
                <w:iCs w:val="0"/>
                <w:color w:val="000000"/>
                <w:sz w:val="22"/>
                <w:szCs w:val="22"/>
                <w:u w:val="none"/>
              </w:rPr>
            </w:pPr>
          </w:p>
        </w:tc>
      </w:tr>
      <w:tr w14:paraId="6A5A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573835DA">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51E7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F142">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089A">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储备库租金</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13AF">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B023">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07F1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41A">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6A01">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乐山市金口河区粮食和物资储备中心</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23BE">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BCDA">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乐山市金口河区金粮粮油储备有限公司</w:t>
            </w:r>
          </w:p>
        </w:tc>
      </w:tr>
      <w:tr w14:paraId="407C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FAF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51CD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88" w:type="pct"/>
            <w:gridSpan w:val="2"/>
            <w:tcBorders>
              <w:top w:val="single" w:color="000000" w:sz="4" w:space="0"/>
              <w:left w:val="single" w:color="000000" w:sz="4" w:space="0"/>
              <w:bottom w:val="single" w:color="000000" w:sz="4" w:space="0"/>
              <w:right w:val="nil"/>
            </w:tcBorders>
            <w:shd w:val="clear" w:color="auto" w:fill="auto"/>
            <w:noWrap/>
            <w:vAlign w:val="center"/>
          </w:tcPr>
          <w:p w14:paraId="2E3279A5">
            <w:pPr>
              <w:keepNext/>
              <w:snapToGrid w:val="0"/>
              <w:jc w:val="center"/>
              <w:rPr>
                <w:rFonts w:hint="eastAsia" w:ascii="宋体" w:hAnsi="宋体" w:eastAsia="宋体" w:cs="宋体"/>
                <w:i w:val="0"/>
                <w:iCs w:val="0"/>
                <w:color w:val="000000"/>
                <w:sz w:val="20"/>
                <w:szCs w:val="20"/>
                <w:u w:val="none"/>
              </w:rPr>
            </w:pP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DD60">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03A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CC8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69F3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AA6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7FF5">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6E60">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6D2E">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19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E71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659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209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24D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DE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92E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7B2B">
            <w:pPr>
              <w:keepNext/>
              <w:snapToGrid w:val="0"/>
              <w:jc w:val="center"/>
              <w:rPr>
                <w:rFonts w:hint="eastAsia" w:ascii="宋体" w:hAnsi="宋体" w:eastAsia="宋体" w:cs="宋体"/>
                <w:i w:val="0"/>
                <w:iCs w:val="0"/>
                <w:color w:val="000000"/>
                <w:sz w:val="20"/>
                <w:szCs w:val="20"/>
                <w:u w:val="none"/>
              </w:rPr>
            </w:pPr>
          </w:p>
        </w:tc>
        <w:tc>
          <w:tcPr>
            <w:tcW w:w="1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AB6F">
            <w:pPr>
              <w:keepNext/>
              <w:snapToGrid w:val="0"/>
              <w:jc w:val="center"/>
              <w:rPr>
                <w:rFonts w:hint="eastAsia" w:ascii="宋体" w:hAnsi="宋体" w:eastAsia="宋体" w:cs="宋体"/>
                <w:i w:val="0"/>
                <w:iCs w:val="0"/>
                <w:color w:val="000000"/>
                <w:sz w:val="20"/>
                <w:szCs w:val="20"/>
                <w:u w:val="none"/>
              </w:rPr>
            </w:pP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673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294E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78F5">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6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E3C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218D">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2000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F5B8">
            <w:pPr>
              <w:keepNext/>
              <w:snapToGrid w:val="0"/>
              <w:jc w:val="left"/>
              <w:rPr>
                <w:rFonts w:hint="eastAsia" w:ascii="宋体" w:hAnsi="宋体" w:eastAsia="宋体" w:cs="宋体"/>
                <w:i w:val="0"/>
                <w:iCs w:val="0"/>
                <w:color w:val="000000"/>
                <w:sz w:val="20"/>
                <w:szCs w:val="20"/>
                <w:u w:val="none"/>
              </w:rPr>
            </w:pPr>
          </w:p>
        </w:tc>
        <w:tc>
          <w:tcPr>
            <w:tcW w:w="2601" w:type="pct"/>
            <w:gridSpan w:val="4"/>
            <w:tcBorders>
              <w:top w:val="single" w:color="000000" w:sz="4" w:space="0"/>
              <w:left w:val="single" w:color="000000" w:sz="4" w:space="0"/>
              <w:bottom w:val="nil"/>
              <w:right w:val="single" w:color="000000" w:sz="4" w:space="0"/>
            </w:tcBorders>
            <w:shd w:val="clear" w:color="auto" w:fill="auto"/>
            <w:noWrap/>
            <w:vAlign w:val="center"/>
          </w:tcPr>
          <w:p w14:paraId="7D39CD66">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支付2024年度储备库租金</w:t>
            </w:r>
          </w:p>
        </w:tc>
        <w:tc>
          <w:tcPr>
            <w:tcW w:w="17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DFFA">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完成对2024年度储备库租金支付</w:t>
            </w:r>
          </w:p>
        </w:tc>
      </w:tr>
      <w:tr w14:paraId="421B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734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203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A35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2BD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D8B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56C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3F45F9D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05E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48A7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7E7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56C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1B9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61BD">
            <w:pPr>
              <w:keepNext/>
              <w:snapToGrid w:val="0"/>
              <w:jc w:val="center"/>
              <w:rPr>
                <w:rFonts w:hint="eastAsia" w:ascii="宋体" w:hAnsi="宋体" w:eastAsia="宋体" w:cs="宋体"/>
                <w:i w:val="0"/>
                <w:iCs w:val="0"/>
                <w:color w:val="000000"/>
                <w:sz w:val="18"/>
                <w:szCs w:val="18"/>
                <w:u w:val="none"/>
              </w:rPr>
            </w:pPr>
          </w:p>
        </w:tc>
      </w:tr>
      <w:tr w14:paraId="2651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02"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EBD35">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F6A96">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11B7D">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B2B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7BF65DD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4A58">
            <w:pPr>
              <w:keepNext/>
              <w:snapToGrid w:val="0"/>
              <w:rPr>
                <w:rFonts w:hint="eastAsia" w:ascii="宋体" w:hAnsi="宋体" w:eastAsia="宋体" w:cs="宋体"/>
                <w:i w:val="0"/>
                <w:iCs w:val="0"/>
                <w:color w:val="000000"/>
                <w:sz w:val="18"/>
                <w:szCs w:val="18"/>
                <w:u w:val="none"/>
              </w:rPr>
            </w:pPr>
          </w:p>
        </w:tc>
      </w:tr>
      <w:tr w14:paraId="7684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DCE05">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36492CA1">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CD23">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租赁厂房</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9A1E2">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1座</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3A51D">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1座</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33E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00B2ABB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5973">
            <w:pPr>
              <w:keepNext/>
              <w:snapToGrid w:val="0"/>
              <w:rPr>
                <w:rFonts w:hint="eastAsia" w:ascii="宋体" w:hAnsi="宋体" w:eastAsia="宋体" w:cs="宋体"/>
                <w:i w:val="0"/>
                <w:iCs w:val="0"/>
                <w:color w:val="000000"/>
                <w:sz w:val="18"/>
                <w:szCs w:val="18"/>
                <w:u w:val="none"/>
              </w:rPr>
            </w:pPr>
          </w:p>
        </w:tc>
      </w:tr>
      <w:tr w14:paraId="06C6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B976">
            <w:pPr>
              <w:keepNext/>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6562A79C">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92F6C">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租赁厂房保证稻谷质量</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C4DEE">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05234">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911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7A9E7C3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7297">
            <w:pPr>
              <w:keepNext/>
              <w:snapToGrid w:val="0"/>
              <w:rPr>
                <w:rFonts w:hint="eastAsia" w:ascii="宋体" w:hAnsi="宋体" w:eastAsia="宋体" w:cs="宋体"/>
                <w:i w:val="0"/>
                <w:iCs w:val="0"/>
                <w:color w:val="000000"/>
                <w:sz w:val="18"/>
                <w:szCs w:val="18"/>
                <w:u w:val="none"/>
              </w:rPr>
            </w:pPr>
          </w:p>
        </w:tc>
      </w:tr>
      <w:tr w14:paraId="340F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2A310">
            <w:pPr>
              <w:keepNext/>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085EA7FF">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2F61">
            <w:pPr>
              <w:keepNext/>
              <w:snapToGrid w:val="0"/>
              <w:jc w:val="center"/>
              <w:rPr>
                <w:rFonts w:hint="eastAsia" w:ascii="宋体" w:hAnsi="宋体" w:eastAsia="宋体" w:cs="宋体"/>
                <w:i w:val="0"/>
                <w:iCs w:val="0"/>
                <w:color w:val="333333"/>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DDA36">
            <w:pPr>
              <w:keepNext/>
              <w:snapToGrid w:val="0"/>
              <w:jc w:val="center"/>
              <w:rPr>
                <w:rFonts w:hint="eastAsia" w:ascii="宋体" w:hAnsi="宋体" w:eastAsia="宋体" w:cs="宋体"/>
                <w:i w:val="0"/>
                <w:iCs w:val="0"/>
                <w:color w:val="333333"/>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8756F">
            <w:pPr>
              <w:keepNext/>
              <w:snapToGrid w:val="0"/>
              <w:jc w:val="center"/>
              <w:rPr>
                <w:rFonts w:hint="eastAsia" w:ascii="宋体" w:hAnsi="宋体" w:eastAsia="宋体" w:cs="宋体"/>
                <w:i w:val="0"/>
                <w:iCs w:val="0"/>
                <w:color w:val="333333"/>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2222">
            <w:pPr>
              <w:keepNext/>
              <w:snapToGrid w:val="0"/>
              <w:jc w:val="center"/>
              <w:rPr>
                <w:rFonts w:hint="eastAsia" w:ascii="宋体" w:hAnsi="宋体" w:eastAsia="宋体" w:cs="宋体"/>
                <w:i w:val="0"/>
                <w:iCs w:val="0"/>
                <w:color w:val="000000"/>
                <w:sz w:val="18"/>
                <w:szCs w:val="18"/>
                <w:u w:val="none"/>
              </w:rPr>
            </w:pP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59285BE2">
            <w:pPr>
              <w:keepNext/>
              <w:snapToGrid w:val="0"/>
              <w:jc w:val="center"/>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6B2F">
            <w:pPr>
              <w:keepNext/>
              <w:snapToGrid w:val="0"/>
              <w:rPr>
                <w:rFonts w:hint="eastAsia" w:ascii="宋体" w:hAnsi="宋体" w:eastAsia="宋体" w:cs="宋体"/>
                <w:i w:val="0"/>
                <w:iCs w:val="0"/>
                <w:color w:val="000000"/>
                <w:sz w:val="18"/>
                <w:szCs w:val="18"/>
                <w:u w:val="none"/>
              </w:rPr>
            </w:pPr>
          </w:p>
        </w:tc>
      </w:tr>
      <w:tr w14:paraId="259C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44229">
            <w:pPr>
              <w:keepNext/>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6385C638">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06CA4">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厂房租赁费</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8C053">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5万/年</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0E16">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5万/年</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4DF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0AD3712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A393">
            <w:pPr>
              <w:keepNext/>
              <w:snapToGrid w:val="0"/>
              <w:rPr>
                <w:rFonts w:hint="eastAsia" w:ascii="宋体" w:hAnsi="宋体" w:eastAsia="宋体" w:cs="宋体"/>
                <w:i w:val="0"/>
                <w:iCs w:val="0"/>
                <w:color w:val="000000"/>
                <w:sz w:val="18"/>
                <w:szCs w:val="18"/>
                <w:u w:val="none"/>
              </w:rPr>
            </w:pPr>
          </w:p>
        </w:tc>
      </w:tr>
      <w:tr w14:paraId="11D5E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8FA7E">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6D8895F7">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62D4F">
            <w:pPr>
              <w:keepNext/>
              <w:snapToGrid w:val="0"/>
              <w:jc w:val="center"/>
              <w:rPr>
                <w:rFonts w:hint="eastAsia" w:ascii="宋体" w:hAnsi="宋体" w:eastAsia="宋体" w:cs="宋体"/>
                <w:i w:val="0"/>
                <w:iCs w:val="0"/>
                <w:color w:val="333333"/>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82DC5">
            <w:pPr>
              <w:keepNext/>
              <w:snapToGrid w:val="0"/>
              <w:jc w:val="center"/>
              <w:rPr>
                <w:rFonts w:hint="eastAsia" w:ascii="宋体" w:hAnsi="宋体" w:eastAsia="宋体" w:cs="宋体"/>
                <w:i w:val="0"/>
                <w:iCs w:val="0"/>
                <w:color w:val="333333"/>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9197B">
            <w:pPr>
              <w:keepNext/>
              <w:snapToGrid w:val="0"/>
              <w:jc w:val="center"/>
              <w:rPr>
                <w:rFonts w:hint="eastAsia" w:ascii="宋体" w:hAnsi="宋体" w:eastAsia="宋体" w:cs="宋体"/>
                <w:i w:val="0"/>
                <w:iCs w:val="0"/>
                <w:color w:val="333333"/>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47E0">
            <w:pPr>
              <w:keepNext/>
              <w:snapToGrid w:val="0"/>
              <w:jc w:val="center"/>
              <w:rPr>
                <w:rFonts w:hint="eastAsia" w:ascii="宋体" w:hAnsi="宋体" w:eastAsia="宋体" w:cs="宋体"/>
                <w:i w:val="0"/>
                <w:iCs w:val="0"/>
                <w:color w:val="000000"/>
                <w:sz w:val="18"/>
                <w:szCs w:val="18"/>
                <w:u w:val="none"/>
              </w:rPr>
            </w:pP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0BAE4DF5">
            <w:pPr>
              <w:keepNext/>
              <w:snapToGrid w:val="0"/>
              <w:jc w:val="center"/>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16EF">
            <w:pPr>
              <w:keepNext/>
              <w:snapToGrid w:val="0"/>
              <w:rPr>
                <w:rFonts w:hint="eastAsia" w:ascii="宋体" w:hAnsi="宋体" w:eastAsia="宋体" w:cs="宋体"/>
                <w:i w:val="0"/>
                <w:iCs w:val="0"/>
                <w:color w:val="000000"/>
                <w:sz w:val="18"/>
                <w:szCs w:val="18"/>
                <w:u w:val="none"/>
              </w:rPr>
            </w:pPr>
          </w:p>
        </w:tc>
      </w:tr>
      <w:tr w14:paraId="6AA6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B082D">
            <w:pPr>
              <w:keepNext/>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0B2F9289">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BACBE">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调节金口河区供应总量</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71B71">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A73FD">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370C">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79F57BE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4A2A">
            <w:pPr>
              <w:keepNext/>
              <w:snapToGrid w:val="0"/>
              <w:rPr>
                <w:rFonts w:hint="eastAsia" w:ascii="宋体" w:hAnsi="宋体" w:eastAsia="宋体" w:cs="宋体"/>
                <w:i w:val="0"/>
                <w:iCs w:val="0"/>
                <w:color w:val="000000"/>
                <w:sz w:val="18"/>
                <w:szCs w:val="18"/>
                <w:u w:val="none"/>
              </w:rPr>
            </w:pPr>
          </w:p>
        </w:tc>
      </w:tr>
      <w:tr w14:paraId="6EDE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54189">
            <w:pPr>
              <w:keepNext/>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1687DE74">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BD5DE">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提高抗灾能力</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FFAD9">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可保证灾民生产自救</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1D0FB">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可保证灾民生产自救</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0EB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085CCF1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871F">
            <w:pPr>
              <w:keepNext/>
              <w:snapToGrid w:val="0"/>
              <w:rPr>
                <w:rFonts w:hint="eastAsia" w:ascii="宋体" w:hAnsi="宋体" w:eastAsia="宋体" w:cs="宋体"/>
                <w:i w:val="0"/>
                <w:iCs w:val="0"/>
                <w:color w:val="000000"/>
                <w:sz w:val="18"/>
                <w:szCs w:val="18"/>
                <w:u w:val="none"/>
              </w:rPr>
            </w:pPr>
          </w:p>
        </w:tc>
      </w:tr>
      <w:tr w14:paraId="2EDA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6A6DB">
            <w:pPr>
              <w:keepNext/>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7EAC21B5">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789D7">
            <w:pPr>
              <w:keepNext/>
              <w:snapToGrid w:val="0"/>
              <w:jc w:val="center"/>
              <w:rPr>
                <w:rFonts w:hint="eastAsia" w:ascii="宋体" w:hAnsi="宋体" w:eastAsia="宋体" w:cs="宋体"/>
                <w:i w:val="0"/>
                <w:iCs w:val="0"/>
                <w:color w:val="333333"/>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0B7FA">
            <w:pPr>
              <w:keepNext/>
              <w:snapToGrid w:val="0"/>
              <w:jc w:val="center"/>
              <w:rPr>
                <w:rFonts w:hint="eastAsia" w:ascii="宋体" w:hAnsi="宋体" w:eastAsia="宋体" w:cs="宋体"/>
                <w:i w:val="0"/>
                <w:iCs w:val="0"/>
                <w:color w:val="333333"/>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62A84">
            <w:pPr>
              <w:keepNext/>
              <w:snapToGrid w:val="0"/>
              <w:jc w:val="center"/>
              <w:rPr>
                <w:rFonts w:hint="eastAsia" w:ascii="宋体" w:hAnsi="宋体" w:eastAsia="宋体" w:cs="宋体"/>
                <w:i w:val="0"/>
                <w:iCs w:val="0"/>
                <w:color w:val="333333"/>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76F6">
            <w:pPr>
              <w:keepNext/>
              <w:snapToGrid w:val="0"/>
              <w:jc w:val="center"/>
              <w:rPr>
                <w:rFonts w:hint="eastAsia" w:ascii="宋体" w:hAnsi="宋体" w:eastAsia="宋体" w:cs="宋体"/>
                <w:i w:val="0"/>
                <w:iCs w:val="0"/>
                <w:color w:val="000000"/>
                <w:sz w:val="18"/>
                <w:szCs w:val="18"/>
                <w:u w:val="none"/>
              </w:rPr>
            </w:pP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30EE2266">
            <w:pPr>
              <w:keepNext/>
              <w:snapToGrid w:val="0"/>
              <w:jc w:val="center"/>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31A3">
            <w:pPr>
              <w:keepNext/>
              <w:snapToGrid w:val="0"/>
              <w:rPr>
                <w:rFonts w:hint="eastAsia" w:ascii="宋体" w:hAnsi="宋体" w:eastAsia="宋体" w:cs="宋体"/>
                <w:i w:val="0"/>
                <w:iCs w:val="0"/>
                <w:color w:val="000000"/>
                <w:sz w:val="18"/>
                <w:szCs w:val="18"/>
                <w:u w:val="none"/>
              </w:rPr>
            </w:pPr>
          </w:p>
        </w:tc>
      </w:tr>
      <w:tr w14:paraId="56BB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AD5CC">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2B32DAFD">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BC9B0">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6E0B">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B87AF">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A82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21E01C8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05D2">
            <w:pPr>
              <w:keepNext/>
              <w:snapToGrid w:val="0"/>
              <w:rPr>
                <w:rFonts w:hint="eastAsia" w:ascii="宋体" w:hAnsi="宋体" w:eastAsia="宋体" w:cs="宋体"/>
                <w:i w:val="0"/>
                <w:iCs w:val="0"/>
                <w:color w:val="000000"/>
                <w:sz w:val="18"/>
                <w:szCs w:val="18"/>
                <w:u w:val="none"/>
              </w:rPr>
            </w:pPr>
          </w:p>
        </w:tc>
      </w:tr>
    </w:tbl>
    <w:p w14:paraId="1C4B952B">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p>
    <w:p w14:paraId="0BEB7C7F">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p>
    <w:p w14:paraId="0AC064DC">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p>
    <w:p w14:paraId="2D4560EF">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p>
    <w:p w14:paraId="1F65BFEE">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p>
    <w:p w14:paraId="5C279194">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08"/>
        <w:gridCol w:w="589"/>
        <w:gridCol w:w="592"/>
        <w:gridCol w:w="1678"/>
        <w:gridCol w:w="1452"/>
        <w:gridCol w:w="1452"/>
        <w:gridCol w:w="670"/>
        <w:gridCol w:w="441"/>
        <w:gridCol w:w="452"/>
      </w:tblGrid>
      <w:tr w14:paraId="3822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tcBorders>
              <w:top w:val="nil"/>
              <w:left w:val="nil"/>
              <w:bottom w:val="nil"/>
              <w:right w:val="nil"/>
            </w:tcBorders>
            <w:shd w:val="clear" w:color="auto" w:fill="auto"/>
            <w:noWrap/>
            <w:vAlign w:val="center"/>
          </w:tcPr>
          <w:p w14:paraId="355B1DA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343" w:type="pct"/>
            <w:tcBorders>
              <w:top w:val="nil"/>
              <w:left w:val="nil"/>
              <w:bottom w:val="nil"/>
              <w:right w:val="nil"/>
            </w:tcBorders>
            <w:shd w:val="clear" w:color="auto" w:fill="auto"/>
            <w:noWrap/>
            <w:vAlign w:val="center"/>
          </w:tcPr>
          <w:p w14:paraId="7A2ABE68">
            <w:pPr>
              <w:snapToGrid w:val="0"/>
              <w:rPr>
                <w:rFonts w:hint="eastAsia" w:ascii="宋体" w:hAnsi="宋体" w:eastAsia="宋体" w:cs="宋体"/>
                <w:i w:val="0"/>
                <w:iCs w:val="0"/>
                <w:color w:val="000000"/>
                <w:sz w:val="22"/>
                <w:szCs w:val="22"/>
                <w:u w:val="none"/>
              </w:rPr>
            </w:pPr>
          </w:p>
        </w:tc>
        <w:tc>
          <w:tcPr>
            <w:tcW w:w="345" w:type="pct"/>
            <w:tcBorders>
              <w:top w:val="nil"/>
              <w:left w:val="nil"/>
              <w:bottom w:val="nil"/>
              <w:right w:val="nil"/>
            </w:tcBorders>
            <w:shd w:val="clear" w:color="auto" w:fill="auto"/>
            <w:noWrap/>
            <w:vAlign w:val="center"/>
          </w:tcPr>
          <w:p w14:paraId="7DFAA215">
            <w:pPr>
              <w:snapToGrid w:val="0"/>
              <w:rPr>
                <w:rFonts w:hint="eastAsia" w:ascii="宋体" w:hAnsi="宋体" w:eastAsia="宋体" w:cs="宋体"/>
                <w:i w:val="0"/>
                <w:iCs w:val="0"/>
                <w:color w:val="000000"/>
                <w:sz w:val="22"/>
                <w:szCs w:val="22"/>
                <w:u w:val="none"/>
              </w:rPr>
            </w:pPr>
          </w:p>
        </w:tc>
        <w:tc>
          <w:tcPr>
            <w:tcW w:w="1068" w:type="pct"/>
            <w:tcBorders>
              <w:top w:val="nil"/>
              <w:left w:val="nil"/>
              <w:bottom w:val="nil"/>
              <w:right w:val="nil"/>
            </w:tcBorders>
            <w:shd w:val="clear" w:color="auto" w:fill="auto"/>
            <w:noWrap/>
            <w:vAlign w:val="center"/>
          </w:tcPr>
          <w:p w14:paraId="06E22E68">
            <w:pPr>
              <w:snapToGrid w:val="0"/>
              <w:rPr>
                <w:rFonts w:hint="eastAsia" w:ascii="宋体" w:hAnsi="宋体" w:eastAsia="宋体" w:cs="宋体"/>
                <w:i w:val="0"/>
                <w:iCs w:val="0"/>
                <w:color w:val="000000"/>
                <w:sz w:val="22"/>
                <w:szCs w:val="22"/>
                <w:u w:val="none"/>
              </w:rPr>
            </w:pPr>
          </w:p>
        </w:tc>
        <w:tc>
          <w:tcPr>
            <w:tcW w:w="844" w:type="pct"/>
            <w:tcBorders>
              <w:top w:val="nil"/>
              <w:left w:val="nil"/>
              <w:bottom w:val="nil"/>
              <w:right w:val="nil"/>
            </w:tcBorders>
            <w:shd w:val="clear" w:color="auto" w:fill="auto"/>
            <w:noWrap/>
            <w:vAlign w:val="center"/>
          </w:tcPr>
          <w:p w14:paraId="5994268A">
            <w:pPr>
              <w:snapToGrid w:val="0"/>
              <w:rPr>
                <w:rFonts w:hint="eastAsia" w:ascii="宋体" w:hAnsi="宋体" w:eastAsia="宋体" w:cs="宋体"/>
                <w:i w:val="0"/>
                <w:iCs w:val="0"/>
                <w:color w:val="000000"/>
                <w:sz w:val="22"/>
                <w:szCs w:val="22"/>
                <w:u w:val="none"/>
              </w:rPr>
            </w:pPr>
          </w:p>
        </w:tc>
        <w:tc>
          <w:tcPr>
            <w:tcW w:w="844" w:type="pct"/>
            <w:tcBorders>
              <w:top w:val="nil"/>
              <w:left w:val="nil"/>
              <w:bottom w:val="nil"/>
              <w:right w:val="nil"/>
            </w:tcBorders>
            <w:shd w:val="clear" w:color="auto" w:fill="auto"/>
            <w:noWrap/>
            <w:vAlign w:val="center"/>
          </w:tcPr>
          <w:p w14:paraId="7996E308">
            <w:pPr>
              <w:snapToGrid w:val="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color="auto" w:fill="auto"/>
            <w:noWrap/>
            <w:vAlign w:val="center"/>
          </w:tcPr>
          <w:p w14:paraId="4EBAFE00">
            <w:pPr>
              <w:snapToGrid w:val="0"/>
              <w:rPr>
                <w:rFonts w:hint="eastAsia" w:ascii="宋体" w:hAnsi="宋体" w:eastAsia="宋体" w:cs="宋体"/>
                <w:i w:val="0"/>
                <w:iCs w:val="0"/>
                <w:color w:val="000000"/>
                <w:sz w:val="22"/>
                <w:szCs w:val="22"/>
                <w:u w:val="none"/>
              </w:rPr>
            </w:pPr>
          </w:p>
        </w:tc>
        <w:tc>
          <w:tcPr>
            <w:tcW w:w="254" w:type="pct"/>
            <w:tcBorders>
              <w:top w:val="nil"/>
              <w:left w:val="nil"/>
              <w:bottom w:val="nil"/>
              <w:right w:val="nil"/>
            </w:tcBorders>
            <w:shd w:val="clear" w:color="auto" w:fill="auto"/>
            <w:noWrap/>
            <w:vAlign w:val="center"/>
          </w:tcPr>
          <w:p w14:paraId="28CE4859">
            <w:pPr>
              <w:snapToGrid w:val="0"/>
              <w:rPr>
                <w:rFonts w:hint="eastAsia" w:ascii="宋体" w:hAnsi="宋体" w:eastAsia="宋体" w:cs="宋体"/>
                <w:i w:val="0"/>
                <w:iCs w:val="0"/>
                <w:color w:val="000000"/>
                <w:sz w:val="22"/>
                <w:szCs w:val="22"/>
                <w:u w:val="none"/>
              </w:rPr>
            </w:pPr>
          </w:p>
        </w:tc>
        <w:tc>
          <w:tcPr>
            <w:tcW w:w="259" w:type="pct"/>
            <w:tcBorders>
              <w:top w:val="nil"/>
              <w:left w:val="nil"/>
              <w:bottom w:val="nil"/>
              <w:right w:val="nil"/>
            </w:tcBorders>
            <w:shd w:val="clear" w:color="auto" w:fill="auto"/>
            <w:noWrap/>
            <w:vAlign w:val="center"/>
          </w:tcPr>
          <w:p w14:paraId="10FF30F3">
            <w:pPr>
              <w:snapToGrid w:val="0"/>
              <w:rPr>
                <w:rFonts w:hint="eastAsia" w:ascii="宋体" w:hAnsi="宋体" w:eastAsia="宋体" w:cs="宋体"/>
                <w:i w:val="0"/>
                <w:iCs w:val="0"/>
                <w:color w:val="000000"/>
                <w:sz w:val="22"/>
                <w:szCs w:val="22"/>
                <w:u w:val="none"/>
              </w:rPr>
            </w:pPr>
          </w:p>
        </w:tc>
      </w:tr>
      <w:tr w14:paraId="6076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57246BEE">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14:paraId="2C80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471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8EA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100吨大米保管费用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8F3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2C3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14:paraId="0A43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A01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F68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乐山市金口河区粮食和物资储备中心</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09C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304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乐山市金口河区金粮粮油储备有限公司</w:t>
            </w:r>
          </w:p>
        </w:tc>
      </w:tr>
      <w:tr w14:paraId="646F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F0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539E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pct"/>
            <w:gridSpan w:val="2"/>
            <w:tcBorders>
              <w:top w:val="single" w:color="000000" w:sz="4" w:space="0"/>
              <w:left w:val="single" w:color="000000" w:sz="4" w:space="0"/>
              <w:bottom w:val="single" w:color="000000" w:sz="4" w:space="0"/>
              <w:right w:val="nil"/>
            </w:tcBorders>
            <w:shd w:val="clear" w:color="auto" w:fill="auto"/>
            <w:noWrap/>
            <w:vAlign w:val="center"/>
          </w:tcPr>
          <w:p w14:paraId="1DF8E088">
            <w:pPr>
              <w:snapToGrid w:val="0"/>
              <w:jc w:val="center"/>
              <w:rPr>
                <w:rFonts w:hint="eastAsia" w:ascii="宋体" w:hAnsi="宋体" w:eastAsia="宋体" w:cs="宋体"/>
                <w:i w:val="0"/>
                <w:iCs w:val="0"/>
                <w:color w:val="000000"/>
                <w:sz w:val="20"/>
                <w:szCs w:val="20"/>
                <w:u w:val="none"/>
              </w:rPr>
            </w:pP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89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28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7D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14:paraId="3A26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09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6F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E1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E5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92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67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14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0E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BD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D3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BB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3D1D">
            <w:pPr>
              <w:snapToGrid w:val="0"/>
              <w:jc w:val="center"/>
              <w:rPr>
                <w:rFonts w:hint="eastAsia" w:ascii="宋体" w:hAnsi="宋体" w:eastAsia="宋体" w:cs="宋体"/>
                <w:i w:val="0"/>
                <w:iCs w:val="0"/>
                <w:color w:val="000000"/>
                <w:sz w:val="20"/>
                <w:szCs w:val="20"/>
                <w:u w:val="none"/>
              </w:rPr>
            </w:pPr>
          </w:p>
        </w:tc>
        <w:tc>
          <w:tcPr>
            <w:tcW w:w="1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F0EB">
            <w:pPr>
              <w:snapToGrid w:val="0"/>
              <w:jc w:val="center"/>
              <w:rPr>
                <w:rFonts w:hint="eastAsia" w:ascii="宋体" w:hAnsi="宋体" w:eastAsia="宋体" w:cs="宋体"/>
                <w:i w:val="0"/>
                <w:iCs w:val="0"/>
                <w:color w:val="000000"/>
                <w:sz w:val="20"/>
                <w:szCs w:val="20"/>
                <w:u w:val="none"/>
              </w:rPr>
            </w:pP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AA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14:paraId="0F47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9EE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6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83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FB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2E8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09A5">
            <w:pPr>
              <w:snapToGrid w:val="0"/>
              <w:jc w:val="left"/>
              <w:rPr>
                <w:rFonts w:hint="eastAsia" w:ascii="宋体" w:hAnsi="宋体" w:eastAsia="宋体" w:cs="宋体"/>
                <w:i w:val="0"/>
                <w:iCs w:val="0"/>
                <w:color w:val="000000"/>
                <w:sz w:val="20"/>
                <w:szCs w:val="20"/>
                <w:u w:val="none"/>
              </w:rPr>
            </w:pPr>
          </w:p>
        </w:tc>
        <w:tc>
          <w:tcPr>
            <w:tcW w:w="2601" w:type="pct"/>
            <w:gridSpan w:val="4"/>
            <w:tcBorders>
              <w:top w:val="single" w:color="000000" w:sz="4" w:space="0"/>
              <w:left w:val="single" w:color="000000" w:sz="4" w:space="0"/>
              <w:bottom w:val="nil"/>
              <w:right w:val="single" w:color="000000" w:sz="4" w:space="0"/>
            </w:tcBorders>
            <w:shd w:val="clear" w:color="auto" w:fill="auto"/>
            <w:noWrap/>
            <w:vAlign w:val="center"/>
          </w:tcPr>
          <w:p w14:paraId="3FF0602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对100吨大米进行保管</w:t>
            </w:r>
          </w:p>
        </w:tc>
        <w:tc>
          <w:tcPr>
            <w:tcW w:w="17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ED0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完成对100吨大米进行保管</w:t>
            </w:r>
          </w:p>
        </w:tc>
      </w:tr>
      <w:tr w14:paraId="1721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5E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F2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79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DE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CF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0F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76E393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29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14:paraId="09E0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9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CF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58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A2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A6E1">
            <w:pPr>
              <w:snapToGrid w:val="0"/>
              <w:jc w:val="center"/>
              <w:rPr>
                <w:rFonts w:hint="eastAsia" w:ascii="宋体" w:hAnsi="宋体" w:eastAsia="宋体" w:cs="宋体"/>
                <w:i w:val="0"/>
                <w:iCs w:val="0"/>
                <w:color w:val="000000"/>
                <w:sz w:val="18"/>
                <w:szCs w:val="18"/>
                <w:u w:val="none"/>
              </w:rPr>
            </w:pPr>
          </w:p>
        </w:tc>
      </w:tr>
      <w:tr w14:paraId="09DD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402"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33BF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CC92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8B7CA">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E9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4DE835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B35E">
            <w:pPr>
              <w:snapToGrid w:val="0"/>
              <w:rPr>
                <w:rFonts w:hint="eastAsia" w:ascii="宋体" w:hAnsi="宋体" w:eastAsia="宋体" w:cs="宋体"/>
                <w:i w:val="0"/>
                <w:iCs w:val="0"/>
                <w:color w:val="000000"/>
                <w:sz w:val="18"/>
                <w:szCs w:val="18"/>
                <w:u w:val="none"/>
              </w:rPr>
            </w:pPr>
          </w:p>
        </w:tc>
      </w:tr>
      <w:tr w14:paraId="1BFC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AEB9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4F0B066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00BA5">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大米保管</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DE51F">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100吨</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0D35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100吨</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37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50552A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76F6">
            <w:pPr>
              <w:snapToGrid w:val="0"/>
              <w:rPr>
                <w:rFonts w:hint="eastAsia" w:ascii="宋体" w:hAnsi="宋体" w:eastAsia="宋体" w:cs="宋体"/>
                <w:i w:val="0"/>
                <w:iCs w:val="0"/>
                <w:color w:val="000000"/>
                <w:sz w:val="18"/>
                <w:szCs w:val="18"/>
                <w:u w:val="none"/>
              </w:rPr>
            </w:pPr>
          </w:p>
        </w:tc>
      </w:tr>
      <w:tr w14:paraId="36D5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716C0">
            <w:pPr>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67EB439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03A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大米质量</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77DB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9F6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03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44CB4C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A048">
            <w:pPr>
              <w:snapToGrid w:val="0"/>
              <w:rPr>
                <w:rFonts w:hint="eastAsia" w:ascii="宋体" w:hAnsi="宋体" w:eastAsia="宋体" w:cs="宋体"/>
                <w:i w:val="0"/>
                <w:iCs w:val="0"/>
                <w:color w:val="000000"/>
                <w:sz w:val="18"/>
                <w:szCs w:val="18"/>
                <w:u w:val="none"/>
              </w:rPr>
            </w:pPr>
          </w:p>
        </w:tc>
      </w:tr>
      <w:tr w14:paraId="6EDF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6DD77">
            <w:pPr>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0E96D52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829E9">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保管时限</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3FAC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12个月</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B1CF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12个月</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15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338A09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A5AC">
            <w:pPr>
              <w:snapToGrid w:val="0"/>
              <w:rPr>
                <w:rFonts w:hint="eastAsia" w:ascii="宋体" w:hAnsi="宋体" w:eastAsia="宋体" w:cs="宋体"/>
                <w:i w:val="0"/>
                <w:iCs w:val="0"/>
                <w:color w:val="000000"/>
                <w:sz w:val="18"/>
                <w:szCs w:val="18"/>
                <w:u w:val="none"/>
              </w:rPr>
            </w:pPr>
          </w:p>
        </w:tc>
      </w:tr>
      <w:tr w14:paraId="6B70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6AEEC">
            <w:pPr>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7665DA3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72F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100吨大米保管费用</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492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2.2万元</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05C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2.2万元</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3B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1F693B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6BFE">
            <w:pPr>
              <w:snapToGrid w:val="0"/>
              <w:rPr>
                <w:rFonts w:hint="eastAsia" w:ascii="宋体" w:hAnsi="宋体" w:eastAsia="宋体" w:cs="宋体"/>
                <w:i w:val="0"/>
                <w:iCs w:val="0"/>
                <w:color w:val="000000"/>
                <w:sz w:val="18"/>
                <w:szCs w:val="18"/>
                <w:u w:val="none"/>
              </w:rPr>
            </w:pPr>
          </w:p>
        </w:tc>
      </w:tr>
      <w:tr w14:paraId="7091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1F070">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38C41268">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D4A6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调节金口河区供应总量</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CDA5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供应平衡</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0F85B">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供应平衡</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93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0F9B55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9E01">
            <w:pPr>
              <w:snapToGrid w:val="0"/>
              <w:rPr>
                <w:rFonts w:hint="eastAsia" w:ascii="宋体" w:hAnsi="宋体" w:eastAsia="宋体" w:cs="宋体"/>
                <w:i w:val="0"/>
                <w:iCs w:val="0"/>
                <w:color w:val="000000"/>
                <w:sz w:val="18"/>
                <w:szCs w:val="18"/>
                <w:u w:val="none"/>
              </w:rPr>
            </w:pPr>
          </w:p>
        </w:tc>
      </w:tr>
      <w:tr w14:paraId="6F39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E58A5">
            <w:pPr>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4C2A989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AED17">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提高抗灾能力</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98E52">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可保证灾民生产自救</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6E13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可保证灾民生产自救</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75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6AE9DE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5D5C">
            <w:pPr>
              <w:snapToGrid w:val="0"/>
              <w:rPr>
                <w:rFonts w:hint="eastAsia" w:ascii="宋体" w:hAnsi="宋体" w:eastAsia="宋体" w:cs="宋体"/>
                <w:i w:val="0"/>
                <w:iCs w:val="0"/>
                <w:color w:val="000000"/>
                <w:sz w:val="18"/>
                <w:szCs w:val="18"/>
                <w:u w:val="none"/>
              </w:rPr>
            </w:pPr>
          </w:p>
        </w:tc>
      </w:tr>
      <w:tr w14:paraId="106C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C37E8">
            <w:pPr>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4F6E2C66">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368C0">
            <w:pPr>
              <w:snapToGrid w:val="0"/>
              <w:jc w:val="center"/>
              <w:rPr>
                <w:rFonts w:hint="eastAsia" w:ascii="宋体" w:hAnsi="宋体" w:eastAsia="宋体" w:cs="宋体"/>
                <w:i w:val="0"/>
                <w:iCs w:val="0"/>
                <w:color w:val="333333"/>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1AC60">
            <w:pPr>
              <w:snapToGrid w:val="0"/>
              <w:jc w:val="center"/>
              <w:rPr>
                <w:rFonts w:hint="eastAsia" w:ascii="宋体" w:hAnsi="宋体" w:eastAsia="宋体" w:cs="宋体"/>
                <w:i w:val="0"/>
                <w:iCs w:val="0"/>
                <w:color w:val="333333"/>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A2D7D">
            <w:pPr>
              <w:snapToGrid w:val="0"/>
              <w:jc w:val="center"/>
              <w:rPr>
                <w:rFonts w:hint="eastAsia" w:ascii="宋体" w:hAnsi="宋体" w:eastAsia="宋体" w:cs="宋体"/>
                <w:i w:val="0"/>
                <w:iCs w:val="0"/>
                <w:color w:val="333333"/>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0D1F">
            <w:pPr>
              <w:snapToGrid w:val="0"/>
              <w:jc w:val="center"/>
              <w:rPr>
                <w:rFonts w:hint="eastAsia" w:ascii="宋体" w:hAnsi="宋体" w:eastAsia="宋体" w:cs="宋体"/>
                <w:i w:val="0"/>
                <w:iCs w:val="0"/>
                <w:color w:val="000000"/>
                <w:sz w:val="18"/>
                <w:szCs w:val="18"/>
                <w:u w:val="none"/>
              </w:rPr>
            </w:pP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473D1F02">
            <w:pPr>
              <w:snapToGrid w:val="0"/>
              <w:jc w:val="center"/>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19A1">
            <w:pPr>
              <w:snapToGrid w:val="0"/>
              <w:rPr>
                <w:rFonts w:hint="eastAsia" w:ascii="宋体" w:hAnsi="宋体" w:eastAsia="宋体" w:cs="宋体"/>
                <w:i w:val="0"/>
                <w:iCs w:val="0"/>
                <w:color w:val="000000"/>
                <w:sz w:val="18"/>
                <w:szCs w:val="18"/>
                <w:u w:val="none"/>
              </w:rPr>
            </w:pPr>
          </w:p>
        </w:tc>
      </w:tr>
      <w:tr w14:paraId="75D0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7A787">
            <w:pPr>
              <w:snapToGrid w:val="0"/>
              <w:jc w:val="center"/>
              <w:rPr>
                <w:rFonts w:hint="eastAsia" w:ascii="宋体" w:hAnsi="宋体" w:eastAsia="宋体" w:cs="宋体"/>
                <w:i w:val="0"/>
                <w:iCs w:val="0"/>
                <w:color w:val="333333"/>
                <w:sz w:val="18"/>
                <w:szCs w:val="18"/>
                <w:u w:val="none"/>
              </w:rPr>
            </w:pP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321F38F3">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E163F">
            <w:pPr>
              <w:snapToGrid w:val="0"/>
              <w:jc w:val="center"/>
              <w:rPr>
                <w:rFonts w:hint="eastAsia" w:ascii="宋体" w:hAnsi="宋体" w:eastAsia="宋体" w:cs="宋体"/>
                <w:i w:val="0"/>
                <w:iCs w:val="0"/>
                <w:color w:val="333333"/>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70B02">
            <w:pPr>
              <w:snapToGrid w:val="0"/>
              <w:jc w:val="center"/>
              <w:rPr>
                <w:rFonts w:hint="eastAsia" w:ascii="宋体" w:hAnsi="宋体" w:eastAsia="宋体" w:cs="宋体"/>
                <w:i w:val="0"/>
                <w:iCs w:val="0"/>
                <w:color w:val="333333"/>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265C7">
            <w:pPr>
              <w:snapToGrid w:val="0"/>
              <w:jc w:val="center"/>
              <w:rPr>
                <w:rFonts w:hint="eastAsia" w:ascii="宋体" w:hAnsi="宋体" w:eastAsia="宋体" w:cs="宋体"/>
                <w:i w:val="0"/>
                <w:iCs w:val="0"/>
                <w:color w:val="333333"/>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83D4">
            <w:pPr>
              <w:snapToGrid w:val="0"/>
              <w:jc w:val="center"/>
              <w:rPr>
                <w:rFonts w:hint="eastAsia" w:ascii="宋体" w:hAnsi="宋体" w:eastAsia="宋体" w:cs="宋体"/>
                <w:i w:val="0"/>
                <w:iCs w:val="0"/>
                <w:color w:val="000000"/>
                <w:sz w:val="18"/>
                <w:szCs w:val="18"/>
                <w:u w:val="none"/>
              </w:rPr>
            </w:pP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0684F9DF">
            <w:pPr>
              <w:snapToGrid w:val="0"/>
              <w:jc w:val="center"/>
              <w:rPr>
                <w:rFonts w:hint="eastAsia" w:ascii="宋体" w:hAnsi="宋体" w:eastAsia="宋体" w:cs="宋体"/>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F89C">
            <w:pPr>
              <w:snapToGrid w:val="0"/>
              <w:rPr>
                <w:rFonts w:hint="eastAsia" w:ascii="宋体" w:hAnsi="宋体" w:eastAsia="宋体" w:cs="宋体"/>
                <w:i w:val="0"/>
                <w:iCs w:val="0"/>
                <w:color w:val="000000"/>
                <w:sz w:val="18"/>
                <w:szCs w:val="18"/>
                <w:u w:val="none"/>
              </w:rPr>
            </w:pPr>
          </w:p>
        </w:tc>
      </w:tr>
      <w:tr w14:paraId="4063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C332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688" w:type="pct"/>
            <w:gridSpan w:val="2"/>
            <w:tcBorders>
              <w:top w:val="single" w:color="000000" w:sz="4" w:space="0"/>
              <w:left w:val="single" w:color="000000" w:sz="4" w:space="0"/>
              <w:bottom w:val="single" w:color="000000" w:sz="4" w:space="0"/>
              <w:right w:val="nil"/>
            </w:tcBorders>
            <w:shd w:val="clear" w:color="auto" w:fill="FFFFFF"/>
            <w:noWrap/>
            <w:vAlign w:val="center"/>
          </w:tcPr>
          <w:p w14:paraId="5C48222D">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0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04F7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BC7E4">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70E4E">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53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4" w:type="pct"/>
            <w:tcBorders>
              <w:top w:val="single" w:color="000000" w:sz="4" w:space="0"/>
              <w:left w:val="nil"/>
              <w:bottom w:val="single" w:color="000000" w:sz="4" w:space="0"/>
              <w:right w:val="single" w:color="000000" w:sz="4" w:space="0"/>
            </w:tcBorders>
            <w:shd w:val="clear" w:color="auto" w:fill="auto"/>
            <w:noWrap/>
            <w:vAlign w:val="center"/>
          </w:tcPr>
          <w:p w14:paraId="24E328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CFD5">
            <w:pPr>
              <w:snapToGrid w:val="0"/>
              <w:rPr>
                <w:rFonts w:hint="eastAsia" w:ascii="宋体" w:hAnsi="宋体" w:eastAsia="宋体" w:cs="宋体"/>
                <w:i w:val="0"/>
                <w:iCs w:val="0"/>
                <w:color w:val="000000"/>
                <w:sz w:val="18"/>
                <w:szCs w:val="18"/>
                <w:u w:val="none"/>
              </w:rPr>
            </w:pPr>
          </w:p>
        </w:tc>
      </w:tr>
    </w:tbl>
    <w:p w14:paraId="14C5E2E7">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yellow"/>
          <w:lang w:val="zh-CN" w:eastAsia="zh-CN"/>
        </w:rPr>
      </w:pPr>
    </w:p>
    <w:p w14:paraId="383837DA">
      <w:pPr>
        <w:pStyle w:val="5"/>
        <w:rPr>
          <w:rFonts w:hint="eastAsia" w:ascii="Times New Roman" w:hAnsi="Times New Roman" w:cs="宋体"/>
          <w:color w:val="auto"/>
          <w:kern w:val="0"/>
          <w:sz w:val="32"/>
          <w:szCs w:val="32"/>
          <w:highlight w:val="yellow"/>
          <w:shd w:val="clear" w:color="auto" w:fill="FFFFFF"/>
          <w:lang w:val="zh-CN"/>
        </w:rPr>
      </w:pPr>
    </w:p>
    <w:p w14:paraId="4C5F318C">
      <w:pPr>
        <w:rPr>
          <w:rFonts w:hint="eastAsia" w:ascii="Times New Roman" w:hAnsi="Times New Roman" w:eastAsia="黑体" w:cs="黑体"/>
          <w:color w:val="auto"/>
          <w:kern w:val="0"/>
          <w:sz w:val="32"/>
          <w:szCs w:val="32"/>
          <w:highlight w:val="none"/>
          <w:shd w:val="clear" w:color="auto" w:fill="FFFFFF"/>
          <w:lang w:val="zh-CN"/>
        </w:rPr>
      </w:pPr>
    </w:p>
    <w:p w14:paraId="75A19356">
      <w:pPr>
        <w:rPr>
          <w:rFonts w:hint="eastAsia" w:ascii="Times New Roman" w:hAnsi="Times New Roman" w:eastAsia="黑体" w:cs="黑体"/>
          <w:color w:val="auto"/>
          <w:kern w:val="0"/>
          <w:sz w:val="32"/>
          <w:szCs w:val="32"/>
          <w:highlight w:val="none"/>
          <w:shd w:val="clear" w:color="auto" w:fill="FFFFFF"/>
          <w:lang w:val="zh-CN"/>
        </w:rPr>
      </w:pPr>
    </w:p>
    <w:p w14:paraId="694F69A8">
      <w:pPr>
        <w:rPr>
          <w:rFonts w:hint="eastAsia" w:ascii="Times New Roman" w:hAnsi="Times New Roman" w:eastAsia="黑体" w:cs="黑体"/>
          <w:color w:val="auto"/>
          <w:kern w:val="0"/>
          <w:sz w:val="32"/>
          <w:szCs w:val="32"/>
          <w:highlight w:val="none"/>
          <w:shd w:val="clear" w:color="auto" w:fill="FFFFFF"/>
          <w:lang w:val="zh-CN"/>
        </w:rPr>
      </w:pPr>
    </w:p>
    <w:p w14:paraId="397BC629">
      <w:pPr>
        <w:rPr>
          <w:rFonts w:hint="eastAsia" w:ascii="Times New Roman" w:hAnsi="Times New Roman" w:eastAsia="黑体" w:cs="黑体"/>
          <w:color w:val="auto"/>
          <w:kern w:val="0"/>
          <w:sz w:val="32"/>
          <w:szCs w:val="32"/>
          <w:highlight w:val="none"/>
          <w:shd w:val="clear" w:color="auto" w:fill="FFFFFF"/>
          <w:lang w:val="zh-CN"/>
        </w:rPr>
      </w:pPr>
    </w:p>
    <w:p w14:paraId="4363298E">
      <w:pPr>
        <w:rPr>
          <w:rFonts w:hint="eastAsia" w:ascii="Times New Roman" w:hAnsi="Times New Roman" w:eastAsia="黑体" w:cs="黑体"/>
          <w:color w:val="auto"/>
          <w:kern w:val="0"/>
          <w:sz w:val="32"/>
          <w:szCs w:val="32"/>
          <w:highlight w:val="none"/>
          <w:shd w:val="clear" w:color="auto" w:fill="FFFFFF"/>
          <w:lang w:val="zh-CN"/>
        </w:rPr>
      </w:pPr>
    </w:p>
    <w:p w14:paraId="044D073C">
      <w:pPr>
        <w:rPr>
          <w:rFonts w:hint="eastAsia" w:ascii="Times New Roman" w:hAnsi="Times New Roman" w:eastAsia="黑体" w:cs="黑体"/>
          <w:color w:val="auto"/>
          <w:kern w:val="0"/>
          <w:sz w:val="32"/>
          <w:szCs w:val="32"/>
          <w:highlight w:val="none"/>
          <w:shd w:val="clear" w:color="auto" w:fill="FFFFFF"/>
          <w:lang w:val="zh-CN"/>
        </w:rPr>
      </w:pPr>
    </w:p>
    <w:p w14:paraId="0FE93A53">
      <w:pPr>
        <w:rPr>
          <w:rFonts w:hint="eastAsia" w:ascii="Times New Roman" w:hAnsi="Times New Roman" w:eastAsia="黑体" w:cs="黑体"/>
          <w:color w:val="auto"/>
          <w:kern w:val="0"/>
          <w:sz w:val="32"/>
          <w:szCs w:val="32"/>
          <w:highlight w:val="none"/>
          <w:shd w:val="clear" w:color="auto" w:fill="FFFFFF"/>
          <w:lang w:val="zh-CN"/>
        </w:rPr>
      </w:pPr>
    </w:p>
    <w:p w14:paraId="4075B5AA">
      <w:pPr>
        <w:rPr>
          <w:rFonts w:hint="eastAsia" w:ascii="Times New Roman" w:hAnsi="Times New Roman" w:eastAsia="黑体" w:cs="黑体"/>
          <w:color w:val="auto"/>
          <w:kern w:val="0"/>
          <w:sz w:val="32"/>
          <w:szCs w:val="32"/>
          <w:highlight w:val="none"/>
          <w:shd w:val="clear" w:color="auto" w:fill="FFFFFF"/>
          <w:lang w:val="zh-CN"/>
        </w:rPr>
      </w:pPr>
    </w:p>
    <w:p w14:paraId="0BD00B72">
      <w:pPr>
        <w:rPr>
          <w:rFonts w:hint="eastAsia" w:ascii="Times New Roman" w:hAnsi="Times New Roman" w:eastAsia="黑体" w:cs="黑体"/>
          <w:color w:val="auto"/>
          <w:kern w:val="0"/>
          <w:sz w:val="32"/>
          <w:szCs w:val="32"/>
          <w:highlight w:val="none"/>
          <w:shd w:val="clear" w:color="auto" w:fill="FFFFFF"/>
          <w:lang w:val="zh-CN"/>
        </w:rPr>
      </w:pPr>
    </w:p>
    <w:p w14:paraId="2049544B">
      <w:pPr>
        <w:rPr>
          <w:rFonts w:hint="eastAsia" w:ascii="Times New Roman" w:hAnsi="Times New Roman" w:eastAsia="黑体" w:cs="黑体"/>
          <w:color w:val="auto"/>
          <w:kern w:val="0"/>
          <w:sz w:val="32"/>
          <w:szCs w:val="32"/>
          <w:highlight w:val="none"/>
          <w:shd w:val="clear" w:color="auto" w:fill="FFFFFF"/>
          <w:lang w:val="zh-CN"/>
        </w:rPr>
      </w:pPr>
    </w:p>
    <w:p w14:paraId="3CA662D1">
      <w:pPr>
        <w:rPr>
          <w:rFonts w:hint="eastAsia" w:ascii="Times New Roman" w:hAnsi="Times New Roman" w:eastAsia="黑体" w:cs="黑体"/>
          <w:color w:val="auto"/>
          <w:kern w:val="0"/>
          <w:sz w:val="32"/>
          <w:szCs w:val="32"/>
          <w:highlight w:val="none"/>
          <w:shd w:val="clear" w:color="auto" w:fill="FFFFFF"/>
          <w:lang w:val="zh-CN"/>
        </w:rPr>
      </w:pPr>
    </w:p>
    <w:p w14:paraId="022282A6">
      <w:pPr>
        <w:rPr>
          <w:rFonts w:hint="eastAsia" w:ascii="Times New Roman" w:hAnsi="Times New Roman" w:eastAsia="黑体" w:cs="黑体"/>
          <w:color w:val="auto"/>
          <w:kern w:val="0"/>
          <w:sz w:val="32"/>
          <w:szCs w:val="32"/>
          <w:highlight w:val="none"/>
          <w:shd w:val="clear" w:color="auto" w:fill="FFFFFF"/>
          <w:lang w:val="zh-CN"/>
        </w:rPr>
      </w:pPr>
    </w:p>
    <w:p w14:paraId="57B6D4C5">
      <w:pPr>
        <w:rPr>
          <w:rFonts w:hint="eastAsia" w:ascii="Times New Roman" w:hAnsi="Times New Roman" w:eastAsia="黑体" w:cs="黑体"/>
          <w:color w:val="auto"/>
          <w:kern w:val="0"/>
          <w:sz w:val="32"/>
          <w:szCs w:val="32"/>
          <w:highlight w:val="none"/>
          <w:shd w:val="clear" w:color="auto" w:fill="FFFFFF"/>
          <w:lang w:val="zh-CN"/>
        </w:rPr>
      </w:pPr>
    </w:p>
    <w:p w14:paraId="10C2A8C0">
      <w:pPr>
        <w:rPr>
          <w:rFonts w:hint="eastAsia" w:ascii="Times New Roman" w:hAnsi="Times New Roman" w:eastAsia="黑体" w:cs="黑体"/>
          <w:color w:val="auto"/>
          <w:kern w:val="0"/>
          <w:sz w:val="32"/>
          <w:szCs w:val="32"/>
          <w:highlight w:val="none"/>
          <w:shd w:val="clear" w:color="auto" w:fill="FFFFFF"/>
          <w:lang w:val="zh-CN"/>
        </w:rPr>
      </w:pPr>
    </w:p>
    <w:p w14:paraId="62CE0ED2">
      <w:pPr>
        <w:rPr>
          <w:rFonts w:hint="eastAsia" w:ascii="Times New Roman" w:hAnsi="Times New Roman" w:eastAsia="黑体" w:cs="黑体"/>
          <w:color w:val="auto"/>
          <w:kern w:val="0"/>
          <w:sz w:val="32"/>
          <w:szCs w:val="32"/>
          <w:highlight w:val="none"/>
          <w:shd w:val="clear" w:color="auto" w:fill="FFFFFF"/>
          <w:lang w:val="zh-CN"/>
        </w:rPr>
      </w:pPr>
    </w:p>
    <w:p w14:paraId="425A724C">
      <w:pPr>
        <w:rPr>
          <w:rFonts w:hint="eastAsia" w:ascii="Times New Roman" w:hAnsi="Times New Roman" w:eastAsia="黑体" w:cs="黑体"/>
          <w:color w:val="auto"/>
          <w:kern w:val="0"/>
          <w:sz w:val="32"/>
          <w:szCs w:val="32"/>
          <w:highlight w:val="none"/>
          <w:shd w:val="clear" w:color="auto" w:fill="FFFFFF"/>
          <w:lang w:val="zh-CN"/>
        </w:rPr>
      </w:pPr>
    </w:p>
    <w:p w14:paraId="7FCB619B">
      <w:pPr>
        <w:pStyle w:val="5"/>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1B33576E">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0D67CF56">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14:paraId="067D56FF">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70B83A4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color w:val="auto"/>
          <w:sz w:val="32"/>
          <w:szCs w:val="32"/>
          <w:highlight w:val="none"/>
          <w:lang w:val="zh-CN"/>
        </w:rPr>
      </w:pPr>
      <w:r>
        <w:rPr>
          <w:rFonts w:hint="eastAsia"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lang w:val="zh-CN"/>
        </w:rPr>
        <w:t>项目概况</w:t>
      </w:r>
    </w:p>
    <w:p w14:paraId="1D1F74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4620D4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1.设立背景。</w:t>
      </w:r>
    </w:p>
    <w:p w14:paraId="1481AF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（1）组织执行党的路线、方针、政策和国家法律法规。</w:t>
      </w:r>
    </w:p>
    <w:p w14:paraId="0A776A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（2）贯彻国务院颁布的《粮食流通管理条例》。</w:t>
      </w:r>
    </w:p>
    <w:p w14:paraId="78430E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（3）负责全区粮食流通的行政执法和监督检查，保护粮食生产者的积极性，维护经营者和消费者权益，保障全区粮食安全，维护粮食市场秩序。</w:t>
      </w:r>
    </w:p>
    <w:p w14:paraId="66E651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（4）负责全区粮食流通行政监督，行业指导，加强粮食宏观调控，发挥粮食部门的主渠道作用。</w:t>
      </w:r>
    </w:p>
    <w:p w14:paraId="35619F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（5）负责监管区级储备粮油，保障储备粮油的安全，建立粮食应急机制，应对突发事件。</w:t>
      </w:r>
    </w:p>
    <w:p w14:paraId="32AA6F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2.项目立项、资金申报的依据，包括但不限于：项目涉及的中省相关政策文件和规划、项目设立论证资料、资金安排相关文件等。附相关文件资料。</w:t>
      </w:r>
    </w:p>
    <w:p w14:paraId="09D6F4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i w:val="0"/>
          <w:iCs w:val="0"/>
          <w:caps w:val="0"/>
          <w:color w:val="auto"/>
          <w:spacing w:val="0"/>
          <w:kern w:val="0"/>
          <w:sz w:val="32"/>
          <w:szCs w:val="32"/>
          <w:lang w:val="en-US" w:eastAsia="zh-CN" w:bidi="ar"/>
        </w:rPr>
        <w:t>按照《粮食流通管理条例》和“三定方案”的要求，金口河区粮食和物资储备中心承担全区粮油和物资储备任务。为了保证全区居民口粮供应，应对自然灾害和保障粮油市场稳定工作，我中心在2024年部门预算中，主要用于稻谷2000吨、大米100吨、菜油10吨的保管费、轮换费及银行借款利息。其依据为金府发[2013]4号，《乐山市金口河区级储备粮油管理办法》第十七条：区级储备粮的储备费用按储备总量（原粮）每年0.05元/斤补贴,轮换费用按储备总量（原粮）每年0.05元/斤补贴；区级储备油的储备费、轮换费和利息合计4万元。第十八条：区级储备粮、油的借款利息按农业发展银行同期农副产品收购贷款利率，由区财政局据实拨付。有关粮食行政主管部门粮油执法、统计经费列入。</w:t>
      </w:r>
    </w:p>
    <w:p w14:paraId="0B65AE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仿宋_GB2312" w:hAnsi="仿宋_GB2312" w:eastAsia="仿宋_GB2312" w:cs="仿宋_GB2312"/>
          <w:i w:val="0"/>
          <w:iCs w:val="0"/>
          <w:caps w:val="0"/>
          <w:color w:val="auto"/>
          <w:spacing w:val="0"/>
          <w:kern w:val="0"/>
          <w:sz w:val="32"/>
          <w:szCs w:val="32"/>
          <w:lang w:val="en-US" w:eastAsia="zh-CN" w:bidi="ar"/>
        </w:rPr>
        <w:t>按照《粮食流通管理条例》和“三定方案”的要求，金口河区粮食和物资储备中心承担全区粮油和物资储备任务。为了保证全区居民口粮供应，应对自然灾害和保障粮油市场稳定工作，我中心在2024年部门预算中，主要用于稻谷2000吨、大米100吨、菜油10吨的保管费、轮换费及银行借款利息。其依据为金府发[2013]4号，《乐山市金口河区级储备粮油管理办法》第十七条：区级储备粮的储备费用按储备总量（原粮）每年0.05元/斤补贴,轮换费用按储备总量（原粮）每年0.05元/斤补贴；区级储备油的储备费、轮换费和利息合计4万元。第十八条：区级储备粮、油的借款利息按农业发展银行同期农副产品收购贷款利率，由区财政局据实拨付。有关粮食行政主管部门粮油执法、统计经费列入。</w:t>
      </w:r>
    </w:p>
    <w:p w14:paraId="04FBA88A">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3A455AF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640" w:firstLineChars="200"/>
        <w:contextualSpacing/>
        <w:jc w:val="left"/>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i w:val="0"/>
          <w:iCs w:val="0"/>
          <w:caps w:val="0"/>
          <w:color w:val="auto"/>
          <w:spacing w:val="0"/>
          <w:kern w:val="0"/>
          <w:sz w:val="32"/>
          <w:szCs w:val="32"/>
          <w:lang w:val="en-US" w:eastAsia="zh-CN" w:bidi="ar"/>
        </w:rPr>
        <w:t>稻谷2000吨、大米100吨、菜油10吨的保管费、轮换费及银行借款利息。</w:t>
      </w:r>
    </w:p>
    <w:p w14:paraId="26B59761">
      <w:pPr>
        <w:widowControl/>
        <w:numPr>
          <w:ilvl w:val="0"/>
          <w:numId w:val="4"/>
        </w:numPr>
        <w:adjustRightInd w:val="0"/>
        <w:snapToGrid w:val="0"/>
        <w:spacing w:line="580" w:lineRule="exact"/>
        <w:ind w:left="0" w:leftChars="0" w:firstLine="643" w:firstLineChars="200"/>
        <w:contextualSpacing/>
        <w:jc w:val="left"/>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项目绩效目标设置。</w:t>
      </w:r>
    </w:p>
    <w:p w14:paraId="1E1140F0">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zh-CN"/>
        </w:rPr>
        <w:t>储备粮轮换，确保粮食安全。我中心高度重视储备粮轮换工作，将储备粮轮换列入重点工作抓紧抓实，积极指导督促承储企业严格执行政治纪律和管理制度规定，加强轮换过程管理，杜绝以陈顶新、应轮未轮、弄虚作假、以次充好等行为。</w:t>
      </w:r>
    </w:p>
    <w:p w14:paraId="2A9D0064">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val="zh-CN"/>
        </w:rPr>
        <w:t>按照政策性粮油轮换要求，我区202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val="zh-CN"/>
        </w:rPr>
        <w:t>年全部轮出区级储备粮成品大米</w:t>
      </w:r>
      <w:r>
        <w:rPr>
          <w:rFonts w:hint="eastAsia" w:ascii="仿宋_GB2312" w:hAnsi="仿宋_GB2312" w:eastAsia="仿宋_GB2312" w:cs="仿宋_GB2312"/>
          <w:color w:val="auto"/>
          <w:kern w:val="0"/>
          <w:sz w:val="32"/>
          <w:szCs w:val="32"/>
          <w:shd w:val="clear" w:color="auto" w:fill="FFFFFF"/>
          <w:lang w:val="en-US" w:eastAsia="zh-CN"/>
        </w:rPr>
        <w:t>100</w:t>
      </w:r>
      <w:r>
        <w:rPr>
          <w:rFonts w:hint="eastAsia" w:ascii="仿宋_GB2312" w:hAnsi="仿宋_GB2312" w:eastAsia="仿宋_GB2312" w:cs="仿宋_GB2312"/>
          <w:color w:val="auto"/>
          <w:kern w:val="0"/>
          <w:sz w:val="32"/>
          <w:szCs w:val="32"/>
          <w:shd w:val="clear" w:color="auto" w:fill="FFFFFF"/>
          <w:lang w:val="zh-CN"/>
        </w:rPr>
        <w:t>吨，原粮稻谷</w:t>
      </w:r>
      <w:r>
        <w:rPr>
          <w:rFonts w:hint="eastAsia" w:ascii="仿宋_GB2312" w:hAnsi="仿宋_GB2312" w:eastAsia="仿宋_GB2312" w:cs="仿宋_GB2312"/>
          <w:color w:val="auto"/>
          <w:kern w:val="0"/>
          <w:sz w:val="32"/>
          <w:szCs w:val="32"/>
          <w:shd w:val="clear" w:color="auto" w:fill="FFFFFF"/>
          <w:lang w:val="en-US" w:eastAsia="zh-CN"/>
        </w:rPr>
        <w:t>1000吨。轮入</w:t>
      </w:r>
      <w:r>
        <w:rPr>
          <w:rFonts w:hint="eastAsia" w:ascii="仿宋_GB2312" w:hAnsi="仿宋_GB2312" w:eastAsia="仿宋_GB2312" w:cs="仿宋_GB2312"/>
          <w:color w:val="auto"/>
          <w:kern w:val="0"/>
          <w:sz w:val="32"/>
          <w:szCs w:val="32"/>
          <w:shd w:val="clear" w:color="auto" w:fill="FFFFFF"/>
          <w:lang w:val="zh-CN"/>
        </w:rPr>
        <w:t>区级储备粮成品大米</w:t>
      </w:r>
      <w:r>
        <w:rPr>
          <w:rFonts w:hint="eastAsia" w:ascii="仿宋_GB2312" w:hAnsi="仿宋_GB2312" w:eastAsia="仿宋_GB2312" w:cs="仿宋_GB2312"/>
          <w:color w:val="auto"/>
          <w:kern w:val="0"/>
          <w:sz w:val="32"/>
          <w:szCs w:val="32"/>
          <w:shd w:val="clear" w:color="auto" w:fill="FFFFFF"/>
          <w:lang w:val="en-US" w:eastAsia="zh-CN"/>
        </w:rPr>
        <w:t>100</w:t>
      </w:r>
      <w:r>
        <w:rPr>
          <w:rFonts w:hint="eastAsia" w:ascii="仿宋_GB2312" w:hAnsi="仿宋_GB2312" w:eastAsia="仿宋_GB2312" w:cs="仿宋_GB2312"/>
          <w:color w:val="auto"/>
          <w:kern w:val="0"/>
          <w:sz w:val="32"/>
          <w:szCs w:val="32"/>
          <w:shd w:val="clear" w:color="auto" w:fill="FFFFFF"/>
          <w:lang w:val="zh-CN"/>
        </w:rPr>
        <w:t>吨，原粮稻谷</w:t>
      </w:r>
      <w:r>
        <w:rPr>
          <w:rFonts w:hint="eastAsia" w:ascii="仿宋_GB2312" w:hAnsi="仿宋_GB2312" w:eastAsia="仿宋_GB2312" w:cs="仿宋_GB2312"/>
          <w:color w:val="auto"/>
          <w:kern w:val="0"/>
          <w:sz w:val="32"/>
          <w:szCs w:val="32"/>
          <w:shd w:val="clear" w:color="auto" w:fill="FFFFFF"/>
          <w:lang w:val="en-US" w:eastAsia="zh-CN"/>
        </w:rPr>
        <w:t>1000吨。</w:t>
      </w:r>
    </w:p>
    <w:p w14:paraId="7CC79A7A">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3.按照政策性粮油储备要求，我区2024年全区共储备2000吨原粮稻谷、100吨成品大米、10吨成品菜籽油。</w:t>
      </w:r>
    </w:p>
    <w:p w14:paraId="2694E7EE">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4.开展粮食安全执法。对全区社会面20余家大米、面粉、成品油经营、加工企业和个体工商户进行全覆盖检查，发放食品安全宣传单。</w:t>
      </w:r>
    </w:p>
    <w:p w14:paraId="1D859E9C">
      <w:pPr>
        <w:widowControl/>
        <w:adjustRightInd w:val="0"/>
        <w:snapToGrid w:val="0"/>
        <w:spacing w:line="580" w:lineRule="exact"/>
        <w:ind w:firstLine="640" w:firstLineChars="200"/>
        <w:contextualSpacing/>
        <w:jc w:val="left"/>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5.物资储备保管。对市级前置物资和区级储备救灾抢险物资进行保管。</w:t>
      </w:r>
    </w:p>
    <w:p w14:paraId="7189C1EB">
      <w:pPr>
        <w:widowControl/>
        <w:adjustRightInd w:val="0"/>
        <w:snapToGrid w:val="0"/>
        <w:spacing w:line="580" w:lineRule="exact"/>
        <w:ind w:firstLine="640" w:firstLineChars="200"/>
        <w:contextualSpacing/>
        <w:jc w:val="left"/>
        <w:rPr>
          <w:rFonts w:hint="default" w:ascii="Times New Roman" w:hAnsi="Times New Roman"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color w:val="auto"/>
          <w:kern w:val="0"/>
          <w:sz w:val="32"/>
          <w:szCs w:val="32"/>
          <w:shd w:val="clear" w:color="auto" w:fill="FFFFFF"/>
          <w:lang w:val="en-US" w:eastAsia="zh-CN"/>
        </w:rPr>
        <w:t>6.日常行政机构运转。对机构人员日常工资发放，退休人员慰问，支付厂房租赁费用，保证机构日常运转。</w:t>
      </w:r>
    </w:p>
    <w:p w14:paraId="5637881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rPr>
        <w:t>二、</w:t>
      </w:r>
      <w:r>
        <w:rPr>
          <w:rFonts w:hint="eastAsia" w:ascii="Times New Roman" w:hAnsi="Times New Roman" w:eastAsia="黑体"/>
          <w:color w:val="auto"/>
          <w:sz w:val="32"/>
          <w:szCs w:val="32"/>
          <w:highlight w:val="none"/>
          <w:lang w:eastAsia="zh-CN"/>
        </w:rPr>
        <w:t>评价实施</w:t>
      </w:r>
    </w:p>
    <w:p w14:paraId="24A18A56">
      <w:pPr>
        <w:widowControl/>
        <w:adjustRightInd w:val="0"/>
        <w:snapToGrid w:val="0"/>
        <w:spacing w:line="58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0B8298A5">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color w:val="auto"/>
          <w:kern w:val="0"/>
          <w:sz w:val="32"/>
          <w:szCs w:val="32"/>
          <w:shd w:val="clear" w:color="auto" w:fill="FFFFFF"/>
          <w:lang w:val="en-US" w:eastAsia="zh-CN"/>
        </w:rPr>
        <w:t>紧紧围绕工作重点和主要目标，认真贯彻落实习近平总书记关于粮食安全系列讲话重要指示批示精神，以高度的政治自觉性统领粮食工作，积极做好保民生、促稳定的粮食安全工作。</w:t>
      </w:r>
    </w:p>
    <w:p w14:paraId="1ADFAC39">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666AAB92">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1.《粮食流通管理条例》宣传力度不够，群众特别是个别粮食经营户对粮油行政执法工作不理解。</w:t>
      </w:r>
    </w:p>
    <w:p w14:paraId="5E4A5EB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b w:val="0"/>
          <w:bCs w:val="0"/>
          <w:color w:val="auto"/>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2.工作开展情况记录不完整。</w:t>
      </w:r>
    </w:p>
    <w:p w14:paraId="56BCDA3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5A9AD31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val="0"/>
          <w:bCs/>
          <w:color w:val="auto"/>
          <w:sz w:val="32"/>
          <w:szCs w:val="32"/>
          <w:highlight w:val="none"/>
          <w:u w:val="none"/>
          <w:lang w:val="en-US" w:eastAsia="zh-CN"/>
        </w:rPr>
      </w:pPr>
      <w:r>
        <w:rPr>
          <w:rFonts w:hint="eastAsia" w:eastAsia="楷体_GB2312"/>
          <w:b w:val="0"/>
          <w:bCs/>
          <w:color w:val="auto"/>
          <w:sz w:val="32"/>
          <w:szCs w:val="32"/>
          <w:highlight w:val="none"/>
          <w:u w:val="none"/>
          <w:lang w:val="en-US" w:eastAsia="zh-CN"/>
        </w:rPr>
        <w:t>本单位</w:t>
      </w:r>
    </w:p>
    <w:p w14:paraId="731D0F5F">
      <w:pPr>
        <w:widowControl/>
        <w:adjustRightInd w:val="0"/>
        <w:snapToGrid w:val="0"/>
        <w:spacing w:line="58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0D761276">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7E18AB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1B2FE7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Cs/>
          <w:color w:val="auto"/>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14:paraId="2E62C794">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213FED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年度目标完成情况 预期目标 实际完成目标</w:t>
      </w:r>
    </w:p>
    <w:p w14:paraId="72E555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维护全区粮食流通秩序，保障城乡居民、部队、学校口粮供应，保障全区粮食原粮的卫生安全及全区粮食供应总量平衡，维护社会稳定。</w:t>
      </w:r>
    </w:p>
    <w:p w14:paraId="4B9958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维护全区粮食流通秩序，保障城乡居民、部队、学校口粮供应，保障全区粮食原粮的卫生安全及全区粮食供应总量平衡，维护社会稳定。</w:t>
      </w:r>
    </w:p>
    <w:p w14:paraId="0266A6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绩效指标完成情况 一级指标 二级指标 三级指标 预期指标值(包含数字及文字描述) 实际完成指标值(包含数字及文字描述)</w:t>
      </w:r>
    </w:p>
    <w:p w14:paraId="6C7FB8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项目完成指标 数量 粮食数量 储备2000吨原粮、</w:t>
      </w:r>
    </w:p>
    <w:p w14:paraId="670EB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10吨菜籽油、100吨大米 储备2000吨原粮、</w:t>
      </w:r>
    </w:p>
    <w:p w14:paraId="63F2BE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10吨菜籽油、100吨大米</w:t>
      </w:r>
    </w:p>
    <w:p w14:paraId="3E47CF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项目完成指标 质量 安全完整 保证2000吨原粮安全完整 保证2000吨原粮安全完整</w:t>
      </w:r>
    </w:p>
    <w:p w14:paraId="3EDC15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满意度指标 满意度 满意 满意 满意</w:t>
      </w:r>
    </w:p>
    <w:p w14:paraId="7A7EAA5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p>
    <w:p w14:paraId="49F08D01">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zh-CN" w:eastAsia="zh-CN" w:bidi="ar-SA"/>
        </w:rPr>
        <w:t>项目决策。</w:t>
      </w:r>
    </w:p>
    <w:p w14:paraId="3F2A89B8">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rPr>
        <w:t>2024年我中心</w:t>
      </w:r>
      <w:r>
        <w:rPr>
          <w:rFonts w:hint="eastAsia" w:ascii="仿宋_GB2312" w:hAnsi="宋体" w:eastAsia="仿宋_GB2312" w:cs="宋体"/>
          <w:color w:val="auto"/>
          <w:kern w:val="0"/>
          <w:sz w:val="32"/>
          <w:szCs w:val="32"/>
          <w:shd w:val="clear" w:color="auto" w:fill="FFFFFF"/>
          <w:lang w:val="zh-CN" w:eastAsia="zh-CN"/>
        </w:rPr>
        <w:t>特定目标类项目有：100</w:t>
      </w:r>
      <w:r>
        <w:rPr>
          <w:rFonts w:hint="eastAsia" w:ascii="仿宋_GB2312" w:hAnsi="宋体" w:eastAsia="仿宋_GB2312" w:cs="宋体"/>
          <w:color w:val="auto"/>
          <w:kern w:val="0"/>
          <w:sz w:val="32"/>
          <w:szCs w:val="32"/>
          <w:shd w:val="clear" w:color="auto" w:fill="FFFFFF"/>
          <w:lang w:val="zh-CN"/>
        </w:rPr>
        <w:t>吨大米轮换采购资金</w:t>
      </w:r>
      <w:r>
        <w:rPr>
          <w:rFonts w:hint="eastAsia" w:ascii="仿宋_GB2312" w:hAnsi="宋体" w:eastAsia="仿宋_GB2312" w:cs="宋体"/>
          <w:color w:val="auto"/>
          <w:kern w:val="0"/>
          <w:sz w:val="32"/>
          <w:szCs w:val="32"/>
          <w:shd w:val="clear" w:color="auto" w:fill="FFFFFF"/>
          <w:lang w:val="en-US" w:eastAsia="zh-CN"/>
        </w:rPr>
        <w:t>80</w:t>
      </w:r>
      <w:r>
        <w:rPr>
          <w:rFonts w:hint="eastAsia" w:ascii="仿宋_GB2312" w:hAnsi="宋体" w:eastAsia="仿宋_GB2312" w:cs="宋体"/>
          <w:color w:val="auto"/>
          <w:kern w:val="0"/>
          <w:sz w:val="32"/>
          <w:szCs w:val="32"/>
          <w:shd w:val="clear" w:color="auto" w:fill="FFFFFF"/>
          <w:lang w:val="zh-CN"/>
        </w:rPr>
        <w:t>万元;退休人员事务</w:t>
      </w:r>
      <w:r>
        <w:rPr>
          <w:rFonts w:hint="eastAsia" w:ascii="仿宋_GB2312" w:hAnsi="宋体" w:eastAsia="仿宋_GB2312" w:cs="宋体"/>
          <w:color w:val="auto"/>
          <w:kern w:val="0"/>
          <w:sz w:val="32"/>
          <w:szCs w:val="32"/>
          <w:shd w:val="clear" w:color="auto" w:fill="FFFFFF"/>
          <w:lang w:val="en-US" w:eastAsia="zh-CN"/>
        </w:rPr>
        <w:t>3.5万</w:t>
      </w:r>
      <w:r>
        <w:rPr>
          <w:rFonts w:hint="eastAsia" w:ascii="仿宋_GB2312" w:hAnsi="宋体" w:eastAsia="仿宋_GB2312" w:cs="宋体"/>
          <w:color w:val="auto"/>
          <w:kern w:val="0"/>
          <w:sz w:val="32"/>
          <w:szCs w:val="32"/>
          <w:shd w:val="clear" w:color="auto" w:fill="FFFFFF"/>
          <w:lang w:val="zh-CN"/>
        </w:rPr>
        <w:t>元；储备粮油费用补贴</w:t>
      </w:r>
      <w:r>
        <w:rPr>
          <w:rFonts w:hint="eastAsia" w:ascii="仿宋_GB2312" w:hAnsi="宋体" w:eastAsia="仿宋_GB2312" w:cs="宋体"/>
          <w:color w:val="auto"/>
          <w:kern w:val="0"/>
          <w:sz w:val="32"/>
          <w:szCs w:val="32"/>
          <w:shd w:val="clear" w:color="auto" w:fill="FFFFFF"/>
          <w:lang w:val="en-US" w:eastAsia="zh-CN"/>
        </w:rPr>
        <w:t>70.5</w:t>
      </w:r>
      <w:r>
        <w:rPr>
          <w:rFonts w:hint="eastAsia" w:ascii="仿宋_GB2312" w:hAnsi="宋体" w:eastAsia="仿宋_GB2312" w:cs="宋体"/>
          <w:color w:val="auto"/>
          <w:kern w:val="0"/>
          <w:sz w:val="32"/>
          <w:szCs w:val="32"/>
          <w:shd w:val="clear" w:color="auto" w:fill="FFFFFF"/>
          <w:lang w:val="zh-CN"/>
        </w:rPr>
        <w:t>万元；10吨成品油轮换采购资金及保管费</w:t>
      </w:r>
      <w:r>
        <w:rPr>
          <w:rFonts w:hint="eastAsia" w:ascii="仿宋_GB2312" w:hAnsi="宋体" w:eastAsia="仿宋_GB2312" w:cs="宋体"/>
          <w:color w:val="auto"/>
          <w:kern w:val="0"/>
          <w:sz w:val="32"/>
          <w:szCs w:val="32"/>
          <w:shd w:val="clear" w:color="auto" w:fill="FFFFFF"/>
          <w:lang w:val="en-US" w:eastAsia="zh-CN"/>
        </w:rPr>
        <w:t>16.6</w:t>
      </w:r>
      <w:r>
        <w:rPr>
          <w:rFonts w:hint="eastAsia" w:ascii="仿宋_GB2312" w:hAnsi="宋体" w:eastAsia="仿宋_GB2312" w:cs="宋体"/>
          <w:color w:val="auto"/>
          <w:kern w:val="0"/>
          <w:sz w:val="32"/>
          <w:szCs w:val="32"/>
          <w:shd w:val="clear" w:color="auto" w:fill="FFFFFF"/>
          <w:lang w:val="zh-CN"/>
        </w:rPr>
        <w:t>万元；100吨大米保管费用</w:t>
      </w:r>
      <w:r>
        <w:rPr>
          <w:rFonts w:hint="eastAsia" w:ascii="仿宋_GB2312" w:hAnsi="宋体" w:eastAsia="仿宋_GB2312" w:cs="宋体"/>
          <w:color w:val="auto"/>
          <w:kern w:val="0"/>
          <w:sz w:val="32"/>
          <w:szCs w:val="32"/>
          <w:shd w:val="clear" w:color="auto" w:fill="FFFFFF"/>
          <w:lang w:val="en-US" w:eastAsia="zh-CN"/>
        </w:rPr>
        <w:t>2.2</w:t>
      </w:r>
      <w:r>
        <w:rPr>
          <w:rFonts w:hint="eastAsia" w:ascii="仿宋_GB2312" w:hAnsi="宋体" w:eastAsia="仿宋_GB2312" w:cs="宋体"/>
          <w:color w:val="auto"/>
          <w:kern w:val="0"/>
          <w:sz w:val="32"/>
          <w:szCs w:val="32"/>
          <w:shd w:val="clear" w:color="auto" w:fill="FFFFFF"/>
          <w:lang w:val="zh-CN"/>
        </w:rPr>
        <w:t>万元</w:t>
      </w:r>
      <w:r>
        <w:rPr>
          <w:rFonts w:hint="eastAsia" w:ascii="仿宋_GB2312" w:hAnsi="宋体" w:eastAsia="仿宋_GB2312" w:cs="宋体"/>
          <w:color w:val="auto"/>
          <w:kern w:val="0"/>
          <w:sz w:val="32"/>
          <w:szCs w:val="32"/>
          <w:shd w:val="clear" w:color="auto" w:fill="FFFFFF"/>
          <w:lang w:val="en-US" w:eastAsia="zh-CN"/>
        </w:rPr>
        <w:t>;物资储备保管费用3万元；粮食执法经费3</w:t>
      </w:r>
      <w:r>
        <w:rPr>
          <w:rFonts w:hint="eastAsia" w:ascii="仿宋_GB2312" w:hAnsi="宋体" w:eastAsia="仿宋_GB2312" w:cs="宋体"/>
          <w:color w:val="auto"/>
          <w:kern w:val="0"/>
          <w:sz w:val="32"/>
          <w:szCs w:val="32"/>
          <w:shd w:val="clear" w:color="auto" w:fill="FFFFFF"/>
          <w:lang w:val="zh-CN"/>
        </w:rPr>
        <w:t>万元</w:t>
      </w:r>
      <w:r>
        <w:rPr>
          <w:rFonts w:hint="eastAsia" w:ascii="仿宋_GB2312" w:hAnsi="宋体" w:eastAsia="仿宋_GB2312" w:cs="宋体"/>
          <w:color w:val="auto"/>
          <w:kern w:val="0"/>
          <w:sz w:val="32"/>
          <w:szCs w:val="32"/>
          <w:shd w:val="clear" w:color="auto" w:fill="FFFFFF"/>
          <w:lang w:val="en-US" w:eastAsia="zh-CN"/>
        </w:rPr>
        <w:t>;储备库租金5万元。预算执行均为100%</w:t>
      </w:r>
    </w:p>
    <w:p w14:paraId="5FEE990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2.</w:t>
      </w:r>
      <w:r>
        <w:rPr>
          <w:rFonts w:hint="eastAsia" w:ascii="Times New Roman" w:hAnsi="Times New Roman" w:eastAsia="仿宋_GB2312" w:cs="仿宋_GB2312"/>
          <w:b w:val="0"/>
          <w:bCs w:val="0"/>
          <w:color w:val="auto"/>
          <w:kern w:val="0"/>
          <w:position w:val="0"/>
          <w:sz w:val="32"/>
          <w:szCs w:val="32"/>
          <w:highlight w:val="none"/>
          <w:lang w:val="zh-CN" w:eastAsia="zh-CN" w:bidi="ar-SA"/>
        </w:rPr>
        <w:t>项目管理。</w:t>
      </w:r>
    </w:p>
    <w:p w14:paraId="39C5C5A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区委、区政府的正确领导和上级主管部门的直接领导下，紧紧围绕工作重点和主要目标，认真贯彻落实习近平总书记关于粮食安全系列讲话重要指示批示精神，以高度的政治自觉性统领粮食工作，积极做好保民生、促稳定的粮食安全工作。</w:t>
      </w:r>
    </w:p>
    <w:p w14:paraId="69302D04">
      <w:pPr>
        <w:widowControl/>
        <w:numPr>
          <w:ilvl w:val="0"/>
          <w:numId w:val="0"/>
        </w:numPr>
        <w:adjustRightInd w:val="0"/>
        <w:snapToGrid w:val="0"/>
        <w:spacing w:line="580" w:lineRule="exact"/>
        <w:ind w:left="640" w:leftChars="0"/>
        <w:contextualSpacing/>
        <w:jc w:val="left"/>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eastAsia="仿宋_GB2312" w:cs="仿宋_GB2312"/>
          <w:b w:val="0"/>
          <w:bCs w:val="0"/>
          <w:color w:val="auto"/>
          <w:kern w:val="0"/>
          <w:position w:val="0"/>
          <w:sz w:val="32"/>
          <w:szCs w:val="32"/>
          <w:highlight w:val="none"/>
          <w:lang w:val="en-US" w:eastAsia="zh-CN" w:bidi="ar-SA"/>
        </w:rPr>
        <w:t>3.</w:t>
      </w:r>
      <w:r>
        <w:rPr>
          <w:rFonts w:hint="eastAsia" w:ascii="Times New Roman" w:hAnsi="Times New Roman" w:eastAsia="仿宋_GB2312" w:cs="仿宋_GB2312"/>
          <w:b w:val="0"/>
          <w:bCs w:val="0"/>
          <w:color w:val="auto"/>
          <w:kern w:val="0"/>
          <w:position w:val="0"/>
          <w:sz w:val="32"/>
          <w:szCs w:val="32"/>
          <w:highlight w:val="none"/>
          <w:lang w:val="en-US" w:eastAsia="zh-CN" w:bidi="ar-SA"/>
        </w:rPr>
        <w:t>项目实施。</w:t>
      </w:r>
    </w:p>
    <w:p w14:paraId="0F7E13CD">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zh-CN"/>
        </w:rPr>
        <w:t>储备粮轮换，确保粮食安全。我中心高度重视储备粮轮换工作，将储备粮轮换列入重点工作抓紧抓实，积极指导督促承储企业严格执行政治纪律和管理制度规定，加强轮换过程管理，杜绝以陈顶新、应轮未轮、弄虚作假、以次充好等行为。</w:t>
      </w:r>
    </w:p>
    <w:p w14:paraId="2FA3A4F5">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val="zh-CN"/>
        </w:rPr>
        <w:t>按照政策性粮油轮换要求，我区202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val="zh-CN"/>
        </w:rPr>
        <w:t>年全部轮出区级储备粮成品大米</w:t>
      </w:r>
      <w:r>
        <w:rPr>
          <w:rFonts w:hint="eastAsia" w:ascii="仿宋_GB2312" w:hAnsi="仿宋_GB2312" w:eastAsia="仿宋_GB2312" w:cs="仿宋_GB2312"/>
          <w:color w:val="auto"/>
          <w:kern w:val="0"/>
          <w:sz w:val="32"/>
          <w:szCs w:val="32"/>
          <w:shd w:val="clear" w:color="auto" w:fill="FFFFFF"/>
          <w:lang w:val="en-US" w:eastAsia="zh-CN"/>
        </w:rPr>
        <w:t>100</w:t>
      </w:r>
      <w:r>
        <w:rPr>
          <w:rFonts w:hint="eastAsia" w:ascii="仿宋_GB2312" w:hAnsi="仿宋_GB2312" w:eastAsia="仿宋_GB2312" w:cs="仿宋_GB2312"/>
          <w:color w:val="auto"/>
          <w:kern w:val="0"/>
          <w:sz w:val="32"/>
          <w:szCs w:val="32"/>
          <w:shd w:val="clear" w:color="auto" w:fill="FFFFFF"/>
          <w:lang w:val="zh-CN"/>
        </w:rPr>
        <w:t>吨，原粮稻谷</w:t>
      </w:r>
      <w:r>
        <w:rPr>
          <w:rFonts w:hint="eastAsia" w:ascii="仿宋_GB2312" w:hAnsi="仿宋_GB2312" w:eastAsia="仿宋_GB2312" w:cs="仿宋_GB2312"/>
          <w:color w:val="auto"/>
          <w:kern w:val="0"/>
          <w:sz w:val="32"/>
          <w:szCs w:val="32"/>
          <w:shd w:val="clear" w:color="auto" w:fill="FFFFFF"/>
          <w:lang w:val="en-US" w:eastAsia="zh-CN"/>
        </w:rPr>
        <w:t>1000吨。轮入</w:t>
      </w:r>
      <w:r>
        <w:rPr>
          <w:rFonts w:hint="eastAsia" w:ascii="仿宋_GB2312" w:hAnsi="仿宋_GB2312" w:eastAsia="仿宋_GB2312" w:cs="仿宋_GB2312"/>
          <w:color w:val="auto"/>
          <w:kern w:val="0"/>
          <w:sz w:val="32"/>
          <w:szCs w:val="32"/>
          <w:shd w:val="clear" w:color="auto" w:fill="FFFFFF"/>
          <w:lang w:val="zh-CN"/>
        </w:rPr>
        <w:t>区级储备粮成品大米</w:t>
      </w:r>
      <w:r>
        <w:rPr>
          <w:rFonts w:hint="eastAsia" w:ascii="仿宋_GB2312" w:hAnsi="仿宋_GB2312" w:eastAsia="仿宋_GB2312" w:cs="仿宋_GB2312"/>
          <w:color w:val="auto"/>
          <w:kern w:val="0"/>
          <w:sz w:val="32"/>
          <w:szCs w:val="32"/>
          <w:shd w:val="clear" w:color="auto" w:fill="FFFFFF"/>
          <w:lang w:val="en-US" w:eastAsia="zh-CN"/>
        </w:rPr>
        <w:t>100</w:t>
      </w:r>
      <w:r>
        <w:rPr>
          <w:rFonts w:hint="eastAsia" w:ascii="仿宋_GB2312" w:hAnsi="仿宋_GB2312" w:eastAsia="仿宋_GB2312" w:cs="仿宋_GB2312"/>
          <w:color w:val="auto"/>
          <w:kern w:val="0"/>
          <w:sz w:val="32"/>
          <w:szCs w:val="32"/>
          <w:shd w:val="clear" w:color="auto" w:fill="FFFFFF"/>
          <w:lang w:val="zh-CN"/>
        </w:rPr>
        <w:t>吨，原粮稻谷</w:t>
      </w:r>
      <w:r>
        <w:rPr>
          <w:rFonts w:hint="eastAsia" w:ascii="仿宋_GB2312" w:hAnsi="仿宋_GB2312" w:eastAsia="仿宋_GB2312" w:cs="仿宋_GB2312"/>
          <w:color w:val="auto"/>
          <w:kern w:val="0"/>
          <w:sz w:val="32"/>
          <w:szCs w:val="32"/>
          <w:shd w:val="clear" w:color="auto" w:fill="FFFFFF"/>
          <w:lang w:val="en-US" w:eastAsia="zh-CN"/>
        </w:rPr>
        <w:t>1000吨。</w:t>
      </w:r>
    </w:p>
    <w:p w14:paraId="0EC0D1D0">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3.按照政策性粮油储备要求，我区2024年全区共储备2000吨原粮稻谷、100吨成品大米、10吨成品菜籽油。</w:t>
      </w:r>
    </w:p>
    <w:p w14:paraId="506B2604">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4.开展粮食安全执法。对全区社会面20余家大米、面粉、成品油经营、加工企业和个体工商户进行全覆盖检查，发放食品安全宣传单。</w:t>
      </w:r>
    </w:p>
    <w:p w14:paraId="3F2B1FEC">
      <w:pPr>
        <w:widowControl/>
        <w:adjustRightInd w:val="0"/>
        <w:snapToGrid w:val="0"/>
        <w:spacing w:line="580" w:lineRule="exact"/>
        <w:ind w:firstLine="640" w:firstLineChars="200"/>
        <w:contextualSpacing/>
        <w:jc w:val="left"/>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5.物资储备保管。对市级前置物资和区级储备救灾抢险物资进行保管。</w:t>
      </w:r>
    </w:p>
    <w:p w14:paraId="10DFDDFF">
      <w:pPr>
        <w:widowControl/>
        <w:adjustRightInd w:val="0"/>
        <w:snapToGrid w:val="0"/>
        <w:spacing w:line="580" w:lineRule="exact"/>
        <w:ind w:firstLine="640" w:firstLineChars="200"/>
        <w:contextualSpacing/>
        <w:jc w:val="left"/>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6.日常行政机构运转。对机构人员日常工资发放，退休人员慰问，支付厂房租赁费用，保证机构日常运转。</w:t>
      </w:r>
    </w:p>
    <w:p w14:paraId="4C164EAC">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p>
    <w:p w14:paraId="022A21AC">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eastAsia="仿宋_GB2312" w:cs="仿宋_GB2312"/>
          <w:b w:val="0"/>
          <w:bCs w:val="0"/>
          <w:color w:val="auto"/>
          <w:kern w:val="0"/>
          <w:position w:val="0"/>
          <w:sz w:val="32"/>
          <w:szCs w:val="32"/>
          <w:highlight w:val="none"/>
          <w:lang w:val="en-US" w:eastAsia="zh-CN" w:bidi="ar-SA"/>
        </w:rPr>
        <w:t>4.</w:t>
      </w:r>
      <w:r>
        <w:rPr>
          <w:rFonts w:hint="eastAsia" w:ascii="Times New Roman" w:hAnsi="Times New Roman" w:eastAsia="仿宋_GB2312" w:cs="仿宋_GB2312"/>
          <w:b w:val="0"/>
          <w:bCs w:val="0"/>
          <w:color w:val="auto"/>
          <w:kern w:val="0"/>
          <w:position w:val="0"/>
          <w:sz w:val="32"/>
          <w:szCs w:val="32"/>
          <w:highlight w:val="none"/>
          <w:lang w:val="en-US" w:eastAsia="zh-CN" w:bidi="ar-SA"/>
        </w:rPr>
        <w:t>项目结果。</w:t>
      </w:r>
    </w:p>
    <w:p w14:paraId="7C30EBC9">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仿宋_GB2312" w:hAnsi="宋体" w:eastAsia="仿宋_GB2312" w:cs="宋体"/>
          <w:color w:val="auto"/>
          <w:kern w:val="0"/>
          <w:sz w:val="32"/>
          <w:szCs w:val="32"/>
          <w:shd w:val="clear" w:color="auto" w:fill="FFFFFF"/>
          <w:lang w:val="zh-CN"/>
        </w:rPr>
        <w:t>所有指标都基本达到了预期的效果，所有项目经费都实现了价值的最大化。</w:t>
      </w:r>
    </w:p>
    <w:p w14:paraId="1C3C4A1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eastAsia" w:ascii="Times New Roman" w:hAnsi="Times New Roman" w:eastAsia="仿宋_GB2312" w:cs="仿宋_GB2312"/>
          <w:b w:val="0"/>
          <w:bCs w:val="0"/>
          <w:color w:val="auto"/>
          <w:kern w:val="0"/>
          <w:position w:val="0"/>
          <w:sz w:val="32"/>
          <w:szCs w:val="32"/>
          <w:highlight w:val="none"/>
          <w:lang w:val="zh-CN" w:eastAsia="zh-CN" w:bidi="ar-SA"/>
        </w:rPr>
        <w:t>根据</w:t>
      </w:r>
      <w:r>
        <w:rPr>
          <w:rFonts w:hint="eastAsia" w:ascii="Times New Roman" w:hAnsi="Times New Roman" w:eastAsia="仿宋_GB2312" w:cs="仿宋_GB2312"/>
          <w:b w:val="0"/>
          <w:bCs w:val="0"/>
          <w:color w:val="auto"/>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color w:val="auto"/>
          <w:kern w:val="0"/>
          <w:position w:val="0"/>
          <w:sz w:val="32"/>
          <w:szCs w:val="32"/>
          <w:highlight w:val="none"/>
          <w:lang w:val="zh-CN" w:eastAsia="zh-CN" w:bidi="ar-SA"/>
        </w:rPr>
        <w:t>包括产业发展、民生保障、基础设施、行政运转等方面。</w:t>
      </w:r>
    </w:p>
    <w:p w14:paraId="7EF287B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1.产业发展。围绕符合性、成长性、经济性进行绩效分析。</w:t>
      </w:r>
    </w:p>
    <w:p w14:paraId="76D9725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2.</w:t>
      </w:r>
      <w:r>
        <w:rPr>
          <w:rFonts w:hint="eastAsia" w:ascii="Times New Roman" w:hAnsi="Times New Roman" w:eastAsia="仿宋_GB2312" w:cs="仿宋_GB2312"/>
          <w:b w:val="0"/>
          <w:bCs w:val="0"/>
          <w:color w:val="auto"/>
          <w:kern w:val="0"/>
          <w:position w:val="0"/>
          <w:sz w:val="32"/>
          <w:szCs w:val="32"/>
          <w:highlight w:val="none"/>
          <w:lang w:val="zh-CN" w:eastAsia="zh-CN" w:bidi="ar-SA"/>
        </w:rPr>
        <w:t>民生保障。</w:t>
      </w:r>
      <w:r>
        <w:rPr>
          <w:rFonts w:hint="eastAsia" w:ascii="Times New Roman" w:hAnsi="Times New Roman" w:eastAsia="仿宋_GB2312" w:cs="仿宋_GB2312"/>
          <w:b w:val="0"/>
          <w:bCs w:val="0"/>
          <w:color w:val="auto"/>
          <w:kern w:val="0"/>
          <w:position w:val="0"/>
          <w:sz w:val="32"/>
          <w:szCs w:val="32"/>
          <w:highlight w:val="none"/>
          <w:lang w:val="en-US" w:eastAsia="zh-CN" w:bidi="ar-SA"/>
        </w:rPr>
        <w:t>围绕区域均衡性、对象精准性、标准合理性、群众满意度进行绩效分析。</w:t>
      </w:r>
    </w:p>
    <w:p w14:paraId="4325070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color w:val="auto"/>
          <w:kern w:val="0"/>
          <w:position w:val="0"/>
          <w:sz w:val="32"/>
          <w:szCs w:val="32"/>
          <w:highlight w:val="none"/>
          <w:lang w:val="zh-CN" w:eastAsia="zh-CN" w:bidi="ar-SA"/>
        </w:rPr>
        <w:t>绩效分析。</w:t>
      </w:r>
    </w:p>
    <w:p w14:paraId="7E120F0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4.</w:t>
      </w:r>
      <w:r>
        <w:rPr>
          <w:rFonts w:hint="eastAsia" w:ascii="Times New Roman" w:hAnsi="Times New Roman" w:eastAsia="仿宋_GB2312" w:cs="仿宋_GB2312"/>
          <w:b w:val="0"/>
          <w:bCs w:val="0"/>
          <w:color w:val="auto"/>
          <w:kern w:val="0"/>
          <w:position w:val="0"/>
          <w:sz w:val="32"/>
          <w:szCs w:val="32"/>
          <w:highlight w:val="none"/>
          <w:lang w:val="zh-CN" w:eastAsia="zh-CN" w:bidi="ar-SA"/>
        </w:rPr>
        <w:t>行政运转。围绕用途合规性、程序合规性、标准合规性进行绩效分析。</w:t>
      </w:r>
    </w:p>
    <w:p w14:paraId="1893BDF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eastAsia" w:ascii="Times New Roman" w:hAnsi="Times New Roman" w:eastAsia="仿宋_GB2312" w:cs="仿宋_GB2312"/>
          <w:b w:val="0"/>
          <w:bCs w:val="0"/>
          <w:color w:val="auto"/>
          <w:kern w:val="0"/>
          <w:position w:val="0"/>
          <w:sz w:val="32"/>
          <w:szCs w:val="32"/>
          <w:highlight w:val="none"/>
          <w:lang w:val="zh-CN" w:eastAsia="zh-CN" w:bidi="ar-SA"/>
        </w:rPr>
        <w:t>根据项目个性自行设定部分指标，反映该项指标执行完成情况。</w:t>
      </w:r>
    </w:p>
    <w:p w14:paraId="293CE1A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color w:val="auto"/>
          <w:kern w:val="0"/>
          <w:position w:val="0"/>
          <w:sz w:val="32"/>
          <w:szCs w:val="32"/>
          <w:highlight w:val="none"/>
          <w:lang w:val="en-US" w:eastAsia="zh-CN" w:bidi="ar-SA"/>
        </w:rPr>
      </w:pPr>
      <w:r>
        <w:rPr>
          <w:rFonts w:hint="eastAsia" w:ascii="黑体" w:hAnsi="黑体" w:eastAsia="黑体" w:cs="黑体"/>
          <w:b w:val="0"/>
          <w:bCs w:val="0"/>
          <w:color w:val="auto"/>
          <w:kern w:val="0"/>
          <w:position w:val="0"/>
          <w:sz w:val="32"/>
          <w:szCs w:val="32"/>
          <w:highlight w:val="none"/>
          <w:lang w:val="en-US" w:eastAsia="zh-CN" w:bidi="ar-SA"/>
        </w:rPr>
        <w:t>四、评价结论</w:t>
      </w:r>
    </w:p>
    <w:p w14:paraId="3584383C">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根据考核评分细则，我单位严格按照国家的相关财务管理制度规定，财务制度健全、会计核算规范，依照计划管理使用。按照部门整体支出绩效评价指标体系对照打分得出结果，分数为99分。</w:t>
      </w:r>
    </w:p>
    <w:p w14:paraId="08B27A4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color w:val="auto"/>
          <w:kern w:val="0"/>
          <w:position w:val="0"/>
          <w:sz w:val="32"/>
          <w:szCs w:val="32"/>
          <w:highlight w:val="none"/>
          <w:lang w:val="en-US" w:eastAsia="zh-CN" w:bidi="ar-SA"/>
        </w:rPr>
      </w:pPr>
      <w:r>
        <w:rPr>
          <w:rFonts w:hint="eastAsia" w:ascii="黑体" w:hAnsi="黑体" w:eastAsia="黑体" w:cs="黑体"/>
          <w:b w:val="0"/>
          <w:bCs w:val="0"/>
          <w:color w:val="auto"/>
          <w:kern w:val="0"/>
          <w:position w:val="0"/>
          <w:sz w:val="32"/>
          <w:szCs w:val="32"/>
          <w:highlight w:val="none"/>
          <w:lang w:val="en-US" w:eastAsia="zh-CN" w:bidi="ar-SA"/>
        </w:rPr>
        <w:t>五、存在主要问题</w:t>
      </w:r>
    </w:p>
    <w:p w14:paraId="18E65994">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1.《粮食流通管理条例》宣传力度不够，群众特别是个别粮食经营户对粮油行政执法工作不理解。</w:t>
      </w:r>
    </w:p>
    <w:p w14:paraId="17B00F95">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楷体_GB2312" w:hAnsi="宋体" w:eastAsia="楷体_GB2312" w:cs="宋体"/>
          <w:color w:val="auto"/>
          <w:kern w:val="0"/>
          <w:szCs w:val="32"/>
          <w:shd w:val="clear" w:color="auto" w:fill="FFFFFF"/>
          <w:lang w:val="zh-CN"/>
        </w:rPr>
      </w:pPr>
      <w:r>
        <w:rPr>
          <w:rFonts w:hint="eastAsia" w:ascii="仿宋" w:hAnsi="仿宋" w:eastAsia="仿宋" w:cs="仿宋"/>
          <w:color w:val="auto"/>
          <w:kern w:val="0"/>
          <w:sz w:val="32"/>
          <w:szCs w:val="32"/>
          <w:shd w:val="clear" w:color="auto" w:fill="FFFFFF"/>
          <w:lang w:val="zh-CN"/>
        </w:rPr>
        <w:t>2.工作开展情况记录不完整。</w:t>
      </w:r>
    </w:p>
    <w:p w14:paraId="6E1DD4B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color w:val="auto"/>
          <w:kern w:val="0"/>
          <w:position w:val="0"/>
          <w:sz w:val="32"/>
          <w:szCs w:val="32"/>
          <w:highlight w:val="none"/>
          <w:lang w:val="zh-CN" w:eastAsia="zh-CN" w:bidi="ar-SA"/>
        </w:rPr>
      </w:pPr>
      <w:r>
        <w:rPr>
          <w:rFonts w:hint="eastAsia" w:ascii="黑体" w:hAnsi="黑体" w:eastAsia="黑体" w:cs="黑体"/>
          <w:b w:val="0"/>
          <w:bCs w:val="0"/>
          <w:color w:val="auto"/>
          <w:kern w:val="0"/>
          <w:position w:val="0"/>
          <w:sz w:val="32"/>
          <w:szCs w:val="32"/>
          <w:highlight w:val="none"/>
          <w:lang w:val="zh-CN" w:eastAsia="zh-CN" w:bidi="ar-SA"/>
        </w:rPr>
        <w:t>六、改进建议</w:t>
      </w:r>
    </w:p>
    <w:p w14:paraId="1AB228C0">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1.年初预算时，加强部门与财政的沟通，继续执行预算三上三下程序，既厉行节约，又保证必需。</w:t>
      </w:r>
    </w:p>
    <w:p w14:paraId="73D256BC">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2.继续完善部门内财政管理方面的制度，加强财务管理，充分发挥财政资金的经济效益和社会效益。</w:t>
      </w:r>
    </w:p>
    <w:p w14:paraId="77DF93C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p>
    <w:p w14:paraId="495D3ED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p>
    <w:p w14:paraId="533FA8E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bookmarkStart w:id="54" w:name="_Toc15396618"/>
    </w:p>
    <w:p w14:paraId="77247AE0">
      <w:pPr>
        <w:widowControl/>
        <w:jc w:val="center"/>
        <w:rPr>
          <w:rFonts w:hint="eastAsia" w:ascii="Times New Roman" w:hAnsi="Times New Roman" w:eastAsia="黑体"/>
          <w:color w:val="auto"/>
          <w:sz w:val="44"/>
          <w:szCs w:val="44"/>
          <w:highlight w:val="none"/>
        </w:rPr>
      </w:pPr>
    </w:p>
    <w:p w14:paraId="1CB00D16">
      <w:pPr>
        <w:widowControl/>
        <w:jc w:val="center"/>
        <w:rPr>
          <w:rFonts w:hint="eastAsia" w:ascii="Times New Roman" w:hAnsi="Times New Roman" w:eastAsia="黑体"/>
          <w:color w:val="auto"/>
          <w:sz w:val="44"/>
          <w:szCs w:val="44"/>
          <w:highlight w:val="none"/>
        </w:rPr>
      </w:pPr>
    </w:p>
    <w:p w14:paraId="30667BFE">
      <w:pPr>
        <w:widowControl/>
        <w:jc w:val="center"/>
        <w:rPr>
          <w:rFonts w:hint="eastAsia" w:ascii="Times New Roman" w:hAnsi="Times New Roman" w:eastAsia="黑体"/>
          <w:color w:val="auto"/>
          <w:sz w:val="44"/>
          <w:szCs w:val="44"/>
          <w:highlight w:val="none"/>
        </w:rPr>
      </w:pPr>
    </w:p>
    <w:p w14:paraId="739C9423">
      <w:pPr>
        <w:widowControl/>
        <w:jc w:val="center"/>
        <w:rPr>
          <w:rFonts w:hint="eastAsia" w:ascii="Times New Roman" w:hAnsi="Times New Roman" w:eastAsia="黑体"/>
          <w:color w:val="auto"/>
          <w:sz w:val="44"/>
          <w:szCs w:val="44"/>
          <w:highlight w:val="none"/>
        </w:rPr>
      </w:pPr>
    </w:p>
    <w:p w14:paraId="06B7E408">
      <w:pPr>
        <w:widowControl/>
        <w:jc w:val="center"/>
        <w:rPr>
          <w:rFonts w:hint="eastAsia" w:ascii="Times New Roman" w:hAnsi="Times New Roman" w:eastAsia="黑体"/>
          <w:color w:val="auto"/>
          <w:sz w:val="44"/>
          <w:szCs w:val="44"/>
          <w:highlight w:val="none"/>
        </w:rPr>
      </w:pPr>
    </w:p>
    <w:p w14:paraId="5BCE07C1">
      <w:pPr>
        <w:widowControl/>
        <w:jc w:val="center"/>
        <w:rPr>
          <w:rFonts w:hint="eastAsia" w:ascii="Times New Roman" w:hAnsi="Times New Roman" w:eastAsia="黑体"/>
          <w:color w:val="auto"/>
          <w:sz w:val="44"/>
          <w:szCs w:val="44"/>
          <w:highlight w:val="none"/>
        </w:rPr>
      </w:pPr>
    </w:p>
    <w:p w14:paraId="638E4B20">
      <w:pPr>
        <w:widowControl/>
        <w:jc w:val="center"/>
        <w:rPr>
          <w:rFonts w:hint="eastAsia" w:ascii="Times New Roman" w:hAnsi="Times New Roman" w:eastAsia="黑体"/>
          <w:color w:val="auto"/>
          <w:sz w:val="44"/>
          <w:szCs w:val="44"/>
          <w:highlight w:val="none"/>
        </w:rPr>
      </w:pPr>
    </w:p>
    <w:p w14:paraId="25F383BE">
      <w:pPr>
        <w:widowControl/>
        <w:jc w:val="center"/>
        <w:rPr>
          <w:rFonts w:hint="eastAsia" w:ascii="Times New Roman" w:hAnsi="Times New Roman" w:eastAsia="黑体"/>
          <w:color w:val="auto"/>
          <w:sz w:val="44"/>
          <w:szCs w:val="44"/>
          <w:highlight w:val="none"/>
        </w:rPr>
      </w:pPr>
    </w:p>
    <w:p w14:paraId="402A7B29">
      <w:pPr>
        <w:widowControl/>
        <w:jc w:val="center"/>
        <w:rPr>
          <w:rFonts w:hint="eastAsia" w:ascii="Times New Roman" w:hAnsi="Times New Roman" w:eastAsia="黑体"/>
          <w:color w:val="auto"/>
          <w:sz w:val="44"/>
          <w:szCs w:val="44"/>
          <w:highlight w:val="none"/>
        </w:rPr>
      </w:pPr>
    </w:p>
    <w:p w14:paraId="0A84D7EE">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2"/>
      <w:bookmarkEnd w:id="54"/>
      <w:bookmarkStart w:id="55" w:name="_Toc15396619"/>
    </w:p>
    <w:p w14:paraId="6BE1FE2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E14260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6D11824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0322FDB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02B71EB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304164B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3CEFC89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0F535DA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36E1226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22EAF13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3DD9CD5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18F8902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8D6BDE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30187A1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4B2E1D97">
      <w:pPr>
        <w:rPr>
          <w:rFonts w:hint="eastAsia" w:ascii="Times New Roman" w:hAnsi="Times New Roman"/>
          <w:color w:val="auto"/>
          <w:lang w:eastAsia="zh-CN"/>
        </w:rPr>
      </w:pPr>
    </w:p>
    <w:p w14:paraId="6CAA4C5A">
      <w:pPr>
        <w:rPr>
          <w:rFonts w:hint="eastAsia" w:ascii="Times New Roman" w:hAnsi="Times New Roman"/>
          <w:color w:val="auto"/>
          <w:lang w:eastAsia="zh-CN"/>
        </w:rPr>
      </w:pPr>
    </w:p>
    <w:p w14:paraId="32A7EEE3">
      <w:pPr>
        <w:rPr>
          <w:rFonts w:hint="eastAsia" w:ascii="Times New Roman" w:hAnsi="Times New Roman"/>
          <w:color w:val="auto"/>
          <w:lang w:eastAsia="zh-CN"/>
        </w:rPr>
      </w:pPr>
    </w:p>
    <w:p w14:paraId="06426377">
      <w:pPr>
        <w:rPr>
          <w:rFonts w:hint="eastAsia" w:ascii="Times New Roman" w:hAnsi="Times New Roman"/>
          <w:color w:val="auto"/>
          <w:lang w:eastAsia="zh-CN"/>
        </w:rPr>
      </w:pPr>
    </w:p>
    <w:p w14:paraId="0257ED47">
      <w:pPr>
        <w:rPr>
          <w:rFonts w:hint="eastAsia" w:ascii="Times New Roman" w:hAnsi="Times New Roman"/>
          <w:color w:val="auto"/>
          <w:lang w:eastAsia="zh-CN"/>
        </w:rPr>
      </w:pPr>
    </w:p>
    <w:p w14:paraId="36686D17">
      <w:pPr>
        <w:rPr>
          <w:rFonts w:hint="eastAsia" w:ascii="Times New Roman" w:hAnsi="Times New Roman"/>
          <w:color w:val="auto"/>
          <w:lang w:eastAsia="zh-CN"/>
        </w:rPr>
      </w:pPr>
    </w:p>
    <w:sectPr>
      <w:footerReference r:id="rId10" w:type="firs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755C">
    <w:pPr>
      <w:pStyle w:val="11"/>
      <w:jc w:val="center"/>
    </w:pPr>
  </w:p>
  <w:p w14:paraId="6ED70169">
    <w:pPr>
      <w:pStyle w:val="11"/>
      <w:ind w:firstLine="3960" w:firstLineChars="2200"/>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0B81">
    <w:pPr>
      <w:pStyle w:val="11"/>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BCD">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2701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E927018">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40DE8F84">
    <w:pPr>
      <w:pStyle w:val="11"/>
      <w:ind w:firstLine="3960" w:firstLineChars="2200"/>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1B1A">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4846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7148462">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2C96AEC6">
    <w:pPr>
      <w:pStyle w:val="11"/>
      <w:ind w:firstLine="3960" w:firstLineChars="2200"/>
      <w:rPr>
        <w:rFonts w:hint="eastAsia" w:eastAsia="宋体"/>
        <w:lang w:val="en-US" w:eastAsia="zh-CN"/>
      </w:rPr>
    </w:pPr>
    <w:r>
      <w:rPr>
        <w:rFonts w:hint="eastAsia"/>
        <w:lang w:val="en-US" w:eastAsia="zh-CN"/>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6E097">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A0B2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FDA0B2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5DF7D">
    <w:pPr>
      <w:pStyle w:val="1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DA48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6BDA488">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3A019505">
    <w:pPr>
      <w:pStyle w:val="11"/>
      <w:ind w:firstLine="3960" w:firstLineChars="2200"/>
      <w:rPr>
        <w:rFonts w:hint="eastAsia"/>
        <w:lang w:val="en-US"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D7100">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2CDE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472CDE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58A5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C2E0"/>
    <w:multiLevelType w:val="singleLevel"/>
    <w:tmpl w:val="870DC2E0"/>
    <w:lvl w:ilvl="0" w:tentative="0">
      <w:start w:val="1"/>
      <w:numFmt w:val="chineseCounting"/>
      <w:suff w:val="nothing"/>
      <w:lvlText w:val="%1、"/>
      <w:lvlJc w:val="left"/>
      <w:rPr>
        <w:rFonts w:hint="eastAsia"/>
      </w:rPr>
    </w:lvl>
  </w:abstractNum>
  <w:abstractNum w:abstractNumId="1">
    <w:nsid w:val="A2BD9782"/>
    <w:multiLevelType w:val="singleLevel"/>
    <w:tmpl w:val="A2BD9782"/>
    <w:lvl w:ilvl="0" w:tentative="0">
      <w:start w:val="2"/>
      <w:numFmt w:val="chineseCounting"/>
      <w:suff w:val="nothing"/>
      <w:lvlText w:val="（%1）"/>
      <w:lvlJc w:val="left"/>
      <w:rPr>
        <w:rFonts w:hint="eastAsia"/>
      </w:rPr>
    </w:lvl>
  </w:abstractNum>
  <w:abstractNum w:abstractNumId="2">
    <w:nsid w:val="DC9E9BFC"/>
    <w:multiLevelType w:val="singleLevel"/>
    <w:tmpl w:val="DC9E9BFC"/>
    <w:lvl w:ilvl="0" w:tentative="0">
      <w:start w:val="2"/>
      <w:numFmt w:val="chineseCounting"/>
      <w:suff w:val="nothing"/>
      <w:lvlText w:val="（%1）"/>
      <w:lvlJc w:val="left"/>
      <w:rPr>
        <w:rFonts w:hint="eastAsia"/>
      </w:rPr>
    </w:lvl>
  </w:abstractNum>
  <w:abstractNum w:abstractNumId="3">
    <w:nsid w:val="4821712C"/>
    <w:multiLevelType w:val="singleLevel"/>
    <w:tmpl w:val="4821712C"/>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RjYzFmZDMyZjVhOTJhMjUxYjkwYTJiMmFkNz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1278"/>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06D"/>
    <w:rsid w:val="00FD3CC1"/>
    <w:rsid w:val="00FF1E02"/>
    <w:rsid w:val="00FF30B4"/>
    <w:rsid w:val="012A5EC2"/>
    <w:rsid w:val="012D0479"/>
    <w:rsid w:val="015975B8"/>
    <w:rsid w:val="02FEBE30"/>
    <w:rsid w:val="04477DC8"/>
    <w:rsid w:val="04916F1E"/>
    <w:rsid w:val="05CF7D50"/>
    <w:rsid w:val="061E35DE"/>
    <w:rsid w:val="066E0107"/>
    <w:rsid w:val="07996F6E"/>
    <w:rsid w:val="07DFD8BA"/>
    <w:rsid w:val="09867E8F"/>
    <w:rsid w:val="0A2032A3"/>
    <w:rsid w:val="0B4C689D"/>
    <w:rsid w:val="0C4D5E73"/>
    <w:rsid w:val="0CA8290A"/>
    <w:rsid w:val="0D35B1ED"/>
    <w:rsid w:val="0E254B6B"/>
    <w:rsid w:val="0F98263C"/>
    <w:rsid w:val="101860EC"/>
    <w:rsid w:val="101F47CC"/>
    <w:rsid w:val="10C055FF"/>
    <w:rsid w:val="11694EBD"/>
    <w:rsid w:val="11772AA4"/>
    <w:rsid w:val="118107EC"/>
    <w:rsid w:val="12E24EE2"/>
    <w:rsid w:val="13D50BC4"/>
    <w:rsid w:val="14485C1B"/>
    <w:rsid w:val="14601BF9"/>
    <w:rsid w:val="14B17F78"/>
    <w:rsid w:val="15CE592F"/>
    <w:rsid w:val="165E0673"/>
    <w:rsid w:val="16B831D5"/>
    <w:rsid w:val="16BB723D"/>
    <w:rsid w:val="17982698"/>
    <w:rsid w:val="17E50567"/>
    <w:rsid w:val="17EF6030"/>
    <w:rsid w:val="186504BB"/>
    <w:rsid w:val="19A445FC"/>
    <w:rsid w:val="1BE8440E"/>
    <w:rsid w:val="1CFC7225"/>
    <w:rsid w:val="1D155CEE"/>
    <w:rsid w:val="1D1638FE"/>
    <w:rsid w:val="1E312DEB"/>
    <w:rsid w:val="1E740ACF"/>
    <w:rsid w:val="1FF35744"/>
    <w:rsid w:val="1FF6BC77"/>
    <w:rsid w:val="205A3B7D"/>
    <w:rsid w:val="2186353C"/>
    <w:rsid w:val="21A460DD"/>
    <w:rsid w:val="22772A15"/>
    <w:rsid w:val="23860B96"/>
    <w:rsid w:val="240371BF"/>
    <w:rsid w:val="244F3473"/>
    <w:rsid w:val="24C97D99"/>
    <w:rsid w:val="24FB4266"/>
    <w:rsid w:val="25056E93"/>
    <w:rsid w:val="255D0A7D"/>
    <w:rsid w:val="25A718F0"/>
    <w:rsid w:val="25BB59F6"/>
    <w:rsid w:val="25C44658"/>
    <w:rsid w:val="260F557C"/>
    <w:rsid w:val="26970054"/>
    <w:rsid w:val="281408E2"/>
    <w:rsid w:val="28AF339E"/>
    <w:rsid w:val="29FD04D3"/>
    <w:rsid w:val="2B3109E2"/>
    <w:rsid w:val="2BFF7BC6"/>
    <w:rsid w:val="2C097269"/>
    <w:rsid w:val="2C8A61B5"/>
    <w:rsid w:val="2DF04E50"/>
    <w:rsid w:val="2E586DFA"/>
    <w:rsid w:val="2F040D46"/>
    <w:rsid w:val="2F6B035B"/>
    <w:rsid w:val="2F776BDF"/>
    <w:rsid w:val="2FAE5751"/>
    <w:rsid w:val="2FB1A395"/>
    <w:rsid w:val="2FD9A7D8"/>
    <w:rsid w:val="2FDBF714"/>
    <w:rsid w:val="2FF87D20"/>
    <w:rsid w:val="30AB6865"/>
    <w:rsid w:val="317A6513"/>
    <w:rsid w:val="319F7F4E"/>
    <w:rsid w:val="32BD1EF1"/>
    <w:rsid w:val="3304709D"/>
    <w:rsid w:val="33243718"/>
    <w:rsid w:val="33A773CB"/>
    <w:rsid w:val="349D6851"/>
    <w:rsid w:val="36AA5135"/>
    <w:rsid w:val="36BE0DA7"/>
    <w:rsid w:val="36DD37CC"/>
    <w:rsid w:val="376B6AA6"/>
    <w:rsid w:val="376D39B2"/>
    <w:rsid w:val="37E16F03"/>
    <w:rsid w:val="37F53A3B"/>
    <w:rsid w:val="389B6C89"/>
    <w:rsid w:val="38D469F0"/>
    <w:rsid w:val="39627CCD"/>
    <w:rsid w:val="397BAF1F"/>
    <w:rsid w:val="39E3407B"/>
    <w:rsid w:val="3A1C460B"/>
    <w:rsid w:val="3A3C4CAD"/>
    <w:rsid w:val="3AB79AF3"/>
    <w:rsid w:val="3AE834C0"/>
    <w:rsid w:val="3B7EF35A"/>
    <w:rsid w:val="3B9FDB6C"/>
    <w:rsid w:val="3BF5BC2F"/>
    <w:rsid w:val="3CEBA265"/>
    <w:rsid w:val="3D98207C"/>
    <w:rsid w:val="3DEE7CF3"/>
    <w:rsid w:val="3E65226D"/>
    <w:rsid w:val="3E740A63"/>
    <w:rsid w:val="3E78745D"/>
    <w:rsid w:val="3EE17838"/>
    <w:rsid w:val="3F55381A"/>
    <w:rsid w:val="3F7F7599"/>
    <w:rsid w:val="3FDF05B5"/>
    <w:rsid w:val="3FF4CAE0"/>
    <w:rsid w:val="3FF57712"/>
    <w:rsid w:val="3FF7B227"/>
    <w:rsid w:val="403F72A5"/>
    <w:rsid w:val="418C2076"/>
    <w:rsid w:val="41BB0BAE"/>
    <w:rsid w:val="42733236"/>
    <w:rsid w:val="44E268DA"/>
    <w:rsid w:val="450D13D7"/>
    <w:rsid w:val="45506656"/>
    <w:rsid w:val="486A6C7A"/>
    <w:rsid w:val="486E697A"/>
    <w:rsid w:val="487F7B36"/>
    <w:rsid w:val="48847F4B"/>
    <w:rsid w:val="49C66341"/>
    <w:rsid w:val="4A627F82"/>
    <w:rsid w:val="4B0E749A"/>
    <w:rsid w:val="4B2477C4"/>
    <w:rsid w:val="4B4F25DA"/>
    <w:rsid w:val="4BE068DB"/>
    <w:rsid w:val="4CB132D9"/>
    <w:rsid w:val="4D553C64"/>
    <w:rsid w:val="4D577224"/>
    <w:rsid w:val="4D897DB2"/>
    <w:rsid w:val="4DBF1CEB"/>
    <w:rsid w:val="4DF0007C"/>
    <w:rsid w:val="4EAB630A"/>
    <w:rsid w:val="4ECE2238"/>
    <w:rsid w:val="4F833267"/>
    <w:rsid w:val="4FE9BD67"/>
    <w:rsid w:val="4FFB052F"/>
    <w:rsid w:val="50772144"/>
    <w:rsid w:val="510E1828"/>
    <w:rsid w:val="521C7446"/>
    <w:rsid w:val="537E6D0A"/>
    <w:rsid w:val="53F74C96"/>
    <w:rsid w:val="542720D3"/>
    <w:rsid w:val="55170BA8"/>
    <w:rsid w:val="553218C9"/>
    <w:rsid w:val="567E1AA5"/>
    <w:rsid w:val="56A31EE4"/>
    <w:rsid w:val="56E47B74"/>
    <w:rsid w:val="57175D52"/>
    <w:rsid w:val="577E025B"/>
    <w:rsid w:val="57BD3DD4"/>
    <w:rsid w:val="582F1556"/>
    <w:rsid w:val="595219A0"/>
    <w:rsid w:val="59D45EB2"/>
    <w:rsid w:val="5AF92295"/>
    <w:rsid w:val="5B250254"/>
    <w:rsid w:val="5BDD79E6"/>
    <w:rsid w:val="5BF561CA"/>
    <w:rsid w:val="5BFF5DFC"/>
    <w:rsid w:val="5CD71FC4"/>
    <w:rsid w:val="5D1F11B5"/>
    <w:rsid w:val="5D695134"/>
    <w:rsid w:val="5DAE1B18"/>
    <w:rsid w:val="5DB93D9B"/>
    <w:rsid w:val="5DE7D9E5"/>
    <w:rsid w:val="5ECEC941"/>
    <w:rsid w:val="5FBF9FF3"/>
    <w:rsid w:val="5FCD4E2C"/>
    <w:rsid w:val="5FEF394A"/>
    <w:rsid w:val="5FF67715"/>
    <w:rsid w:val="60F670B5"/>
    <w:rsid w:val="628A5603"/>
    <w:rsid w:val="62BF3928"/>
    <w:rsid w:val="63155F18"/>
    <w:rsid w:val="63943403"/>
    <w:rsid w:val="63B3701E"/>
    <w:rsid w:val="64526CF8"/>
    <w:rsid w:val="647F5392"/>
    <w:rsid w:val="65E66580"/>
    <w:rsid w:val="664B1D71"/>
    <w:rsid w:val="664B4E8E"/>
    <w:rsid w:val="67277B67"/>
    <w:rsid w:val="67AA3209"/>
    <w:rsid w:val="698D0931"/>
    <w:rsid w:val="69A753F0"/>
    <w:rsid w:val="6A7FE5F3"/>
    <w:rsid w:val="6B053271"/>
    <w:rsid w:val="6BDD78B3"/>
    <w:rsid w:val="6C4A05C8"/>
    <w:rsid w:val="6C8742B8"/>
    <w:rsid w:val="6CEE3336"/>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AB5C99"/>
    <w:rsid w:val="72233669"/>
    <w:rsid w:val="72734D90"/>
    <w:rsid w:val="73160E6D"/>
    <w:rsid w:val="7332FE48"/>
    <w:rsid w:val="73532145"/>
    <w:rsid w:val="73AB61DA"/>
    <w:rsid w:val="73AD73D5"/>
    <w:rsid w:val="73B6EB34"/>
    <w:rsid w:val="73FA497D"/>
    <w:rsid w:val="744731E5"/>
    <w:rsid w:val="748C590E"/>
    <w:rsid w:val="74BBD01D"/>
    <w:rsid w:val="74ED5379"/>
    <w:rsid w:val="75DEEEC2"/>
    <w:rsid w:val="75E32345"/>
    <w:rsid w:val="75E672A0"/>
    <w:rsid w:val="76E3355F"/>
    <w:rsid w:val="76FF5125"/>
    <w:rsid w:val="776F6FFA"/>
    <w:rsid w:val="778769C8"/>
    <w:rsid w:val="77A75DCA"/>
    <w:rsid w:val="77DC22F5"/>
    <w:rsid w:val="783E271A"/>
    <w:rsid w:val="78504A25"/>
    <w:rsid w:val="78616DE9"/>
    <w:rsid w:val="78E875D7"/>
    <w:rsid w:val="79086DAD"/>
    <w:rsid w:val="79BA1833"/>
    <w:rsid w:val="79D7FD79"/>
    <w:rsid w:val="79EE5BA4"/>
    <w:rsid w:val="7A894339"/>
    <w:rsid w:val="7AD284E8"/>
    <w:rsid w:val="7AFF7572"/>
    <w:rsid w:val="7B1D3764"/>
    <w:rsid w:val="7B6C7DFB"/>
    <w:rsid w:val="7BBFBED0"/>
    <w:rsid w:val="7BC3E394"/>
    <w:rsid w:val="7C1F3737"/>
    <w:rsid w:val="7CBFC87B"/>
    <w:rsid w:val="7CFD1A52"/>
    <w:rsid w:val="7CFE0F48"/>
    <w:rsid w:val="7D272ABC"/>
    <w:rsid w:val="7D7EC23E"/>
    <w:rsid w:val="7E8ADEBF"/>
    <w:rsid w:val="7E955D07"/>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cs="Courier New"/>
      <w:color w:val="000000"/>
      <w:spacing w:val="20"/>
      <w:szCs w:val="21"/>
    </w:r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0"/>
    <w:pPr>
      <w:widowControl w:val="0"/>
      <w:spacing w:before="240" w:after="60"/>
      <w:jc w:val="center"/>
      <w:outlineLvl w:val="0"/>
    </w:pPr>
    <w:rPr>
      <w:rFonts w:hint="default" w:ascii="Cambria" w:hAnsi="Cambria" w:cs="Times New Roman"/>
      <w:b/>
      <w:kern w:val="2"/>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2"/>
    <w:qFormat/>
    <w:uiPriority w:val="9"/>
    <w:rPr>
      <w:rFonts w:ascii="Times New Roman" w:hAnsi="Times New Roman"/>
      <w:b/>
      <w:bCs/>
      <w:kern w:val="44"/>
      <w:sz w:val="44"/>
      <w:szCs w:val="44"/>
    </w:rPr>
  </w:style>
  <w:style w:type="character" w:customStyle="1" w:styleId="31">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024&#24180;&#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24&#24180;&#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24&#24180;&#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024&#24180;&#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024&#24180;&#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024&#24180;&#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manualLayout>
          <c:layoutTarget val="inner"/>
          <c:xMode val="edge"/>
          <c:yMode val="edge"/>
          <c:x val="0.0708684210526316"/>
          <c:y val="0.172916666666667"/>
          <c:w val="0.900184210526316"/>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[图表.xlsx]Sheet1!$F$76:$F$77</c:f>
              <c:strCache>
                <c:ptCount val="2"/>
                <c:pt idx="0">
                  <c:v>2023年收支总计</c:v>
                </c:pt>
                <c:pt idx="1">
                  <c:v>2024年收支总计</c:v>
                </c:pt>
              </c:strCache>
            </c:strRef>
          </c:cat>
          <c:val>
            <c:numRef>
              <c:f>[图表.xlsx]Sheet1!$G$76:$G$77</c:f>
              <c:numCache>
                <c:formatCode>General</c:formatCode>
                <c:ptCount val="2"/>
                <c:pt idx="0">
                  <c:v>306.45</c:v>
                </c:pt>
                <c:pt idx="1">
                  <c:v>320.52</c:v>
                </c:pt>
              </c:numCache>
            </c:numRef>
          </c:val>
        </c:ser>
        <c:dLbls>
          <c:showLegendKey val="0"/>
          <c:showVal val="1"/>
          <c:showCatName val="0"/>
          <c:showSerName val="0"/>
          <c:showPercent val="0"/>
          <c:showBubbleSize val="0"/>
        </c:dLbls>
        <c:gapWidth val="246"/>
        <c:overlap val="-28"/>
        <c:axId val="911860159"/>
        <c:axId val="332249765"/>
      </c:barChart>
      <c:catAx>
        <c:axId val="911860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249765"/>
        <c:crosses val="autoZero"/>
        <c:auto val="1"/>
        <c:lblAlgn val="ctr"/>
        <c:lblOffset val="100"/>
        <c:noMultiLvlLbl val="0"/>
      </c:catAx>
      <c:valAx>
        <c:axId val="33224976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860159"/>
        <c:crosses val="autoZero"/>
        <c:crossBetween val="between"/>
      </c:valAx>
      <c:spPr>
        <a:noFill/>
        <a:ln>
          <a:noFill/>
        </a:ln>
        <a:effectLst/>
      </c:spPr>
    </c:plotArea>
    <c:plotVisOnly val="1"/>
    <c:dispBlanksAs val="gap"/>
    <c:showDLblsOverMax val="0"/>
    <c:extLst>
      <c:ext uri="{0b15fc19-7d7d-44ad-8c2d-2c3a37ce22c3}">
        <chartProps xmlns="https://web.wps.cn/et/2018/main" chartId="{967b425a-f2f6-4394-a7c8-6070e99d5d0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c:formatCode>
                <c:ptCount val="8"/>
                <c:pt idx="0">
                  <c:v>1</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aa6e6d-3c52-424e-bbc6-19330e1c3b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291885800150263"/>
          <c:y val="0.054315027157513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[图表.xlsx]Sheet1!$A$24:$A$28</c:f>
              <c:strCache>
                <c:ptCount val="5"/>
                <c:pt idx="0">
                  <c:v>基本支出</c:v>
                </c:pt>
                <c:pt idx="1">
                  <c:v>项目支出</c:v>
                </c:pt>
                <c:pt idx="2">
                  <c:v>上缴上级支出</c:v>
                </c:pt>
                <c:pt idx="3">
                  <c:v>经营支出</c:v>
                </c:pt>
                <c:pt idx="4">
                  <c:v>对附属单位补助支出</c:v>
                </c:pt>
              </c:strCache>
            </c:strRef>
          </c:cat>
          <c:val>
            <c:numRef>
              <c:f>[图表.xlsx]Sheet1!$B$24:$B$28</c:f>
              <c:numCache>
                <c:formatCode>0.00%</c:formatCode>
                <c:ptCount val="5"/>
                <c:pt idx="0">
                  <c:v>0.462</c:v>
                </c:pt>
                <c:pt idx="1">
                  <c:v>0.538</c:v>
                </c:pt>
                <c:pt idx="2" c:formatCode="General">
                  <c:v>0</c:v>
                </c:pt>
                <c:pt idx="4"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5f54c4b-2161-4995-9b73-751107078b7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2024年度财政拨款收、支总计变化图（万元）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[图表.xlsx]Sheet1!$N$71:$N$72</c:f>
              <c:strCache>
                <c:ptCount val="2"/>
                <c:pt idx="0">
                  <c:v>2023年财政收支总计</c:v>
                </c:pt>
                <c:pt idx="1">
                  <c:v>2024年财政收支总计</c:v>
                </c:pt>
              </c:strCache>
            </c:strRef>
          </c:cat>
          <c:val>
            <c:numRef>
              <c:f>[图表.xlsx]Sheet1!$O$71:$O$72</c:f>
              <c:numCache>
                <c:formatCode>General</c:formatCode>
                <c:ptCount val="2"/>
                <c:pt idx="0">
                  <c:v>306.45</c:v>
                </c:pt>
                <c:pt idx="1">
                  <c:v>320.52</c:v>
                </c:pt>
              </c:numCache>
            </c:numRef>
          </c:val>
        </c:ser>
        <c:dLbls>
          <c:showLegendKey val="0"/>
          <c:showVal val="1"/>
          <c:showCatName val="0"/>
          <c:showSerName val="0"/>
          <c:showPercent val="0"/>
          <c:showBubbleSize val="0"/>
        </c:dLbls>
        <c:gapWidth val="246"/>
        <c:overlap val="-28"/>
        <c:axId val="570818900"/>
        <c:axId val="617479351"/>
      </c:barChart>
      <c:catAx>
        <c:axId val="5708189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7479351"/>
        <c:crosses val="autoZero"/>
        <c:auto val="1"/>
        <c:lblAlgn val="ctr"/>
        <c:lblOffset val="100"/>
        <c:noMultiLvlLbl val="0"/>
      </c:catAx>
      <c:valAx>
        <c:axId val="61747935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818900"/>
        <c:crosses val="autoZero"/>
        <c:crossBetween val="between"/>
      </c:valAx>
      <c:spPr>
        <a:noFill/>
        <a:ln>
          <a:noFill/>
        </a:ln>
        <a:effectLst/>
      </c:spPr>
    </c:plotArea>
    <c:plotVisOnly val="1"/>
    <c:dispBlanksAs val="gap"/>
    <c:showDLblsOverMax val="0"/>
    <c:extLst>
      <c:ext uri="{0b15fc19-7d7d-44ad-8c2d-2c3a37ce22c3}">
        <chartProps xmlns="https://web.wps.cn/et/2018/main" chartId="{e2d456de-641a-4c72-88ef-d3ae9a430a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[图表.xlsx]Sheet1!$A$100:$A$101</c:f>
              <c:strCache>
                <c:ptCount val="2"/>
                <c:pt idx="0">
                  <c:v>2023年一般公共预算财政拨款支出</c:v>
                </c:pt>
                <c:pt idx="1">
                  <c:v>2024年一般公共预算财政拨款支出</c:v>
                </c:pt>
              </c:strCache>
            </c:strRef>
          </c:cat>
          <c:val>
            <c:numRef>
              <c:f>[图表.xlsx]Sheet1!$B$100:$B$101</c:f>
              <c:numCache>
                <c:formatCode>General</c:formatCode>
                <c:ptCount val="2"/>
                <c:pt idx="0">
                  <c:v>306.45</c:v>
                </c:pt>
                <c:pt idx="1">
                  <c:v>320.52</c:v>
                </c:pt>
              </c:numCache>
            </c:numRef>
          </c:val>
        </c:ser>
        <c:dLbls>
          <c:showLegendKey val="0"/>
          <c:showVal val="1"/>
          <c:showCatName val="0"/>
          <c:showSerName val="0"/>
          <c:showPercent val="0"/>
          <c:showBubbleSize val="0"/>
        </c:dLbls>
        <c:gapWidth val="246"/>
        <c:overlap val="-28"/>
        <c:axId val="966488145"/>
        <c:axId val="603200119"/>
      </c:barChart>
      <c:catAx>
        <c:axId val="9664881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3200119"/>
        <c:crosses val="autoZero"/>
        <c:auto val="1"/>
        <c:lblAlgn val="ctr"/>
        <c:lblOffset val="100"/>
        <c:noMultiLvlLbl val="0"/>
      </c:catAx>
      <c:valAx>
        <c:axId val="6032001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6488145"/>
        <c:crosses val="autoZero"/>
        <c:crossBetween val="between"/>
      </c:valAx>
      <c:spPr>
        <a:noFill/>
        <a:ln>
          <a:noFill/>
        </a:ln>
        <a:effectLst/>
      </c:spPr>
    </c:plotArea>
    <c:plotVisOnly val="1"/>
    <c:dispBlanksAs val="gap"/>
    <c:showDLblsOverMax val="0"/>
    <c:extLst>
      <c:ext uri="{0b15fc19-7d7d-44ad-8c2d-2c3a37ce22c3}">
        <chartProps xmlns="https://web.wps.cn/et/2018/main" chartId="{c50778e9-fdf4-40a8-949f-54e93ded970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endParaRPr lang="en-US" altLang="zh-CN"/>
          </a:p>
        </c:rich>
      </c:tx>
      <c:layout>
        <c:manualLayout>
          <c:xMode val="edge"/>
          <c:yMode val="edge"/>
          <c:x val="0.1756962410592"/>
          <c:y val="0.061946902654867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[图表.xlsx]Sheet1!$R$1:$R$4</c:f>
              <c:strCache>
                <c:ptCount val="4"/>
                <c:pt idx="0">
                  <c:v>粮油物资储备支出</c:v>
                </c:pt>
                <c:pt idx="1">
                  <c:v>社会保障和就业支出</c:v>
                </c:pt>
                <c:pt idx="2">
                  <c:v>卫生健康支出</c:v>
                </c:pt>
                <c:pt idx="3">
                  <c:v>住房保障支出</c:v>
                </c:pt>
              </c:strCache>
            </c:strRef>
          </c:cat>
          <c:val>
            <c:numRef>
              <c:f>[图表.xlsx]Sheet1!$S$1:$S$4</c:f>
              <c:numCache>
                <c:formatCode>0.00%</c:formatCode>
                <c:ptCount val="4"/>
                <c:pt idx="0">
                  <c:v>0.8586</c:v>
                </c:pt>
                <c:pt idx="1">
                  <c:v>0.0918</c:v>
                </c:pt>
                <c:pt idx="2">
                  <c:v>0.0169</c:v>
                </c:pt>
                <c:pt idx="3">
                  <c:v>0.0327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a6dbc71-9836-46de-8915-57a84265dc4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经费支出结构图</a:t>
            </a:r>
            <a:endParaRPr lang="en-US" altLang="zh-CN"/>
          </a:p>
        </c:rich>
      </c:tx>
      <c:layout>
        <c:manualLayout>
          <c:xMode val="edge"/>
          <c:yMode val="edge"/>
          <c:x val="0.333552631578947"/>
          <c:y val="0.0277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[图表.xlsx]Sheet1!$S$71:$S$73</c:f>
              <c:strCache>
                <c:ptCount val="3"/>
                <c:pt idx="0">
                  <c:v>因公出国（境）费支出</c:v>
                </c:pt>
                <c:pt idx="1">
                  <c:v>公务用车购置及运行维护费支出</c:v>
                </c:pt>
                <c:pt idx="2">
                  <c:v>公务接待费支出</c:v>
                </c:pt>
              </c:strCache>
            </c:strRef>
          </c:cat>
          <c:val>
            <c:numRef>
              <c:f>[图表.xlsx]Sheet1!$T$71:$T$73</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ad99410-e918-4f65-941f-f0071a6358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11751</Words>
  <Characters>12589</Characters>
  <Lines>61</Lines>
  <Paragraphs>17</Paragraphs>
  <TotalTime>1</TotalTime>
  <ScaleCrop>false</ScaleCrop>
  <LinksUpToDate>false</LinksUpToDate>
  <CharactersWithSpaces>12667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燃点</cp:lastModifiedBy>
  <cp:lastPrinted>2025-08-06T17:34:00Z</cp:lastPrinted>
  <dcterms:modified xsi:type="dcterms:W3CDTF">2025-09-26T05:10:43Z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71E6BBD249D843E090CCC2928F86A0B0_13</vt:lpwstr>
  </property>
  <property fmtid="{D5CDD505-2E9C-101B-9397-08002B2CF9AE}" pid="4" name="KSOTemplateDocerSaveRecord">
    <vt:lpwstr>eyJoZGlkIjoiZDE0NTkwY2JhZDYxM2IyNGY0ZjEzNTY5NzIxZDExZTciLCJ1c2VySWQiOiIxMDQ5Mjk0MjY4In0=</vt:lpwstr>
  </property>
</Properties>
</file>