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B5A1E">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96597"/>
      <w:bookmarkStart w:id="2" w:name="_Toc15377425"/>
      <w:bookmarkStart w:id="3" w:name="_Toc15396475"/>
      <w:bookmarkStart w:id="4" w:name="_Toc15378441"/>
      <w:bookmarkStart w:id="5" w:name="_Toc15306267"/>
    </w:p>
    <w:p w14:paraId="45B4EE40">
      <w:pPr>
        <w:rPr>
          <w:rFonts w:ascii="Times New Roman" w:hAnsi="Times New Roman"/>
        </w:rPr>
      </w:pPr>
    </w:p>
    <w:p w14:paraId="0ADF7FFD">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75473CF7">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584FC61B">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6360645E">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09A29ED1">
      <w:pPr>
        <w:pStyle w:val="8"/>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8442"/>
      <w:bookmarkStart w:id="7" w:name="_Toc15377194"/>
      <w:bookmarkStart w:id="8" w:name="_Toc15377426"/>
      <w:bookmarkStart w:id="9" w:name="_Toc15396476"/>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乐山市金口河区人大常务委员会</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561B5AA0">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4A86E8EB">
      <w:pPr>
        <w:widowControl/>
        <w:jc w:val="center"/>
        <w:rPr>
          <w:rFonts w:ascii="Times New Roman" w:hAnsi="Times New Roman" w:eastAsia="黑体" w:cstheme="minorBidi"/>
          <w:color w:val="auto"/>
          <w:sz w:val="28"/>
          <w:szCs w:val="28"/>
          <w:highlight w:val="none"/>
        </w:rPr>
      </w:pPr>
    </w:p>
    <w:p w14:paraId="1FBCF21C">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23 </w:t>
      </w:r>
      <w:r>
        <w:rPr>
          <w:rFonts w:hint="eastAsia" w:ascii="Times New Roman" w:hAnsi="Times New Roman" w:eastAsia="仿宋_GB2312" w:cs="仿宋_GB2312"/>
          <w:color w:val="auto"/>
          <w:sz w:val="32"/>
          <w:szCs w:val="32"/>
          <w:highlight w:val="none"/>
        </w:rPr>
        <w:t>日</w:t>
      </w:r>
    </w:p>
    <w:p w14:paraId="55256DEB">
      <w:pPr>
        <w:rPr>
          <w:rFonts w:ascii="Times New Roman" w:hAnsi="Times New Roman"/>
          <w:color w:val="auto"/>
          <w:highlight w:val="none"/>
        </w:rPr>
      </w:pPr>
    </w:p>
    <w:p w14:paraId="642C1168">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64F122D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28F8A34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07A5AE88">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6</w:t>
      </w:r>
    </w:p>
    <w:p w14:paraId="451EFD9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610EC5C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5D1696B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322A15E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6BCBBEF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75BD6B8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19EA97F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181AFA2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3B1F072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13408D1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28235719">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18</w:t>
      </w:r>
    </w:p>
    <w:p w14:paraId="11A36751">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1FDE8816">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40</w:t>
      </w:r>
    </w:p>
    <w:p w14:paraId="4CE3C2F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5BC626F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4146FBE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1CA9EEB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00539F3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0E294E5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3AC404F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60BF9C3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5A65637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71D1F18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0D865AC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1262AEB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347B1B5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723DE4C6">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7DBDF3BC">
      <w:pPr>
        <w:pStyle w:val="5"/>
        <w:jc w:val="center"/>
        <w:rPr>
          <w:rStyle w:val="3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12"/>
      <w:bookmarkEnd w:id="13"/>
    </w:p>
    <w:p w14:paraId="31D46562">
      <w:pPr>
        <w:widowControl/>
        <w:jc w:val="left"/>
        <w:rPr>
          <w:rFonts w:ascii="Times New Roman" w:hAnsi="Times New Roman" w:eastAsia="黑体"/>
          <w:color w:val="auto"/>
          <w:sz w:val="32"/>
          <w:szCs w:val="32"/>
          <w:highlight w:val="none"/>
        </w:rPr>
      </w:pPr>
    </w:p>
    <w:p w14:paraId="62100196">
      <w:pPr>
        <w:pStyle w:val="6"/>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7E737AE5">
      <w:pPr>
        <w:keepNext w:val="0"/>
        <w:keepLines w:val="0"/>
        <w:widowControl/>
        <w:suppressLineNumbers w:val="0"/>
        <w:ind w:firstLine="640" w:firstLineChars="200"/>
        <w:jc w:val="left"/>
        <w:rPr>
          <w:sz w:val="32"/>
          <w:szCs w:val="32"/>
        </w:rPr>
      </w:pPr>
      <w:r>
        <w:rPr>
          <w:rFonts w:ascii="仿宋_GB2312" w:hAnsi="仿宋_GB2312" w:eastAsia="仿宋_GB2312" w:cs="仿宋_GB2312"/>
          <w:color w:val="333333"/>
          <w:kern w:val="0"/>
          <w:sz w:val="32"/>
          <w:szCs w:val="32"/>
          <w:lang w:val="en-US" w:eastAsia="zh-CN" w:bidi="ar"/>
        </w:rPr>
        <w:t xml:space="preserve">1、金口河区人大常委会办公室主要职责是承担区人 </w:t>
      </w:r>
    </w:p>
    <w:p w14:paraId="79C0727D">
      <w:pPr>
        <w:keepNext w:val="0"/>
        <w:keepLines w:val="0"/>
        <w:widowControl/>
        <w:suppressLineNumbers w:val="0"/>
        <w:jc w:val="left"/>
        <w:rPr>
          <w:sz w:val="32"/>
          <w:szCs w:val="32"/>
        </w:rPr>
      </w:pPr>
      <w:r>
        <w:rPr>
          <w:rFonts w:ascii="仿宋_GB2312" w:hAnsi="仿宋_GB2312" w:eastAsia="仿宋_GB2312" w:cs="仿宋_GB2312"/>
          <w:color w:val="333333"/>
          <w:kern w:val="0"/>
          <w:sz w:val="32"/>
          <w:szCs w:val="32"/>
          <w:lang w:val="en-US" w:eastAsia="zh-CN" w:bidi="ar"/>
        </w:rPr>
        <w:t xml:space="preserve">民代表大会会议、人大常委会会议、主任会议的筹备和会务 </w:t>
      </w:r>
    </w:p>
    <w:p w14:paraId="12A17974">
      <w:pPr>
        <w:keepNext w:val="0"/>
        <w:keepLines w:val="0"/>
        <w:widowControl/>
        <w:suppressLineNumbers w:val="0"/>
        <w:jc w:val="left"/>
        <w:rPr>
          <w:rFonts w:hint="eastAsia" w:ascii="仿宋_GB2312" w:hAnsi="仿宋_GB2312" w:eastAsia="仿宋_GB2312" w:cs="仿宋_GB2312"/>
          <w:color w:val="333333"/>
          <w:kern w:val="0"/>
          <w:sz w:val="32"/>
          <w:szCs w:val="32"/>
          <w:lang w:val="en-US" w:eastAsia="zh-CN" w:bidi="ar"/>
        </w:rPr>
      </w:pPr>
      <w:r>
        <w:rPr>
          <w:rFonts w:ascii="仿宋_GB2312" w:hAnsi="仿宋_GB2312" w:eastAsia="仿宋_GB2312" w:cs="仿宋_GB2312"/>
          <w:color w:val="333333"/>
          <w:kern w:val="0"/>
          <w:sz w:val="32"/>
          <w:szCs w:val="32"/>
          <w:lang w:val="en-US" w:eastAsia="zh-CN" w:bidi="ar"/>
        </w:rPr>
        <w:t>工作，承担区人民代表大会换届选举的各种事务工作；</w:t>
      </w:r>
      <w:r>
        <w:rPr>
          <w:rFonts w:hint="eastAsia" w:ascii="仿宋_GB2312" w:hAnsi="仿宋_GB2312" w:eastAsia="仿宋_GB2312" w:cs="仿宋_GB2312"/>
          <w:color w:val="333333"/>
          <w:kern w:val="0"/>
          <w:sz w:val="32"/>
          <w:szCs w:val="32"/>
          <w:lang w:val="en-US" w:eastAsia="zh-CN" w:bidi="ar"/>
        </w:rPr>
        <w:t xml:space="preserve">  </w:t>
      </w:r>
    </w:p>
    <w:p w14:paraId="6542348D">
      <w:pPr>
        <w:keepNext w:val="0"/>
        <w:keepLines w:val="0"/>
        <w:widowControl/>
        <w:numPr>
          <w:ilvl w:val="0"/>
          <w:numId w:val="2"/>
        </w:numPr>
        <w:suppressLineNumbers w:val="0"/>
        <w:ind w:firstLine="640" w:firstLineChars="200"/>
        <w:jc w:val="left"/>
        <w:rPr>
          <w:rFonts w:ascii="仿宋_GB2312" w:hAnsi="仿宋_GB2312" w:eastAsia="仿宋_GB2312" w:cs="仿宋_GB2312"/>
          <w:color w:val="333333"/>
          <w:kern w:val="0"/>
          <w:sz w:val="32"/>
          <w:szCs w:val="32"/>
          <w:lang w:val="en-US" w:eastAsia="zh-CN" w:bidi="ar"/>
        </w:rPr>
      </w:pPr>
      <w:r>
        <w:rPr>
          <w:rFonts w:ascii="仿宋_GB2312" w:hAnsi="仿宋_GB2312" w:eastAsia="仿宋_GB2312" w:cs="仿宋_GB2312"/>
          <w:color w:val="333333"/>
          <w:kern w:val="0"/>
          <w:sz w:val="32"/>
          <w:szCs w:val="32"/>
          <w:lang w:val="en-US" w:eastAsia="zh-CN" w:bidi="ar"/>
        </w:rPr>
        <w:t>负责对“一府两院”办公室、民族、法治、财经、农业、城环、教科文卫方面对口部门的工作联系，负责省、市、区人大代表的工作联系，协助常委会组织好代表视察工作，负责联系乡镇综合性的工作；协助区人大常委会指导乡镇人大换届选举工作、指导乡镇人大主席团工作。</w:t>
      </w:r>
    </w:p>
    <w:p w14:paraId="5F87A733">
      <w:pPr>
        <w:keepNext w:val="0"/>
        <w:keepLines w:val="0"/>
        <w:widowControl/>
        <w:numPr>
          <w:ilvl w:val="0"/>
          <w:numId w:val="2"/>
        </w:numPr>
        <w:suppressLineNumbers w:val="0"/>
        <w:ind w:left="0" w:leftChars="0" w:firstLine="640" w:firstLineChars="200"/>
        <w:jc w:val="left"/>
        <w:rPr>
          <w:rFonts w:ascii="仿宋_GB2312" w:hAnsi="仿宋_GB2312" w:eastAsia="仿宋_GB2312" w:cs="仿宋_GB2312"/>
          <w:color w:val="333333"/>
          <w:kern w:val="0"/>
          <w:sz w:val="32"/>
          <w:szCs w:val="32"/>
          <w:lang w:val="en-US" w:eastAsia="zh-CN" w:bidi="ar"/>
        </w:rPr>
      </w:pPr>
      <w:r>
        <w:rPr>
          <w:rFonts w:ascii="仿宋_GB2312" w:hAnsi="仿宋_GB2312" w:eastAsia="仿宋_GB2312" w:cs="仿宋_GB2312"/>
          <w:color w:val="333333"/>
          <w:kern w:val="0"/>
          <w:sz w:val="32"/>
          <w:szCs w:val="32"/>
          <w:lang w:val="en-US" w:eastAsia="zh-CN" w:bidi="ar"/>
        </w:rPr>
        <w:t>负责常委会综合性文稿的起草、审核、校对，编印人民代表大会《会刊》、 常委会《公报》、常委会审议议题《参阅材料》。</w:t>
      </w:r>
    </w:p>
    <w:p w14:paraId="0B484A40">
      <w:pPr>
        <w:keepNext w:val="0"/>
        <w:keepLines w:val="0"/>
        <w:widowControl/>
        <w:numPr>
          <w:ilvl w:val="0"/>
          <w:numId w:val="2"/>
        </w:numPr>
        <w:suppressLineNumbers w:val="0"/>
        <w:ind w:left="0" w:leftChars="0" w:firstLine="640" w:firstLineChars="200"/>
        <w:jc w:val="left"/>
        <w:rPr>
          <w:rFonts w:ascii="仿宋_GB2312" w:hAnsi="仿宋_GB2312" w:eastAsia="仿宋_GB2312" w:cs="仿宋_GB2312"/>
          <w:color w:val="333333"/>
          <w:kern w:val="0"/>
          <w:sz w:val="32"/>
          <w:szCs w:val="32"/>
          <w:lang w:val="en-US" w:eastAsia="zh-CN" w:bidi="ar"/>
        </w:rPr>
      </w:pPr>
      <w:r>
        <w:rPr>
          <w:rFonts w:ascii="仿宋_GB2312" w:hAnsi="仿宋_GB2312" w:eastAsia="仿宋_GB2312" w:cs="仿宋_GB2312"/>
          <w:color w:val="333333"/>
          <w:kern w:val="0"/>
          <w:sz w:val="32"/>
          <w:szCs w:val="32"/>
          <w:lang w:val="en-US" w:eastAsia="zh-CN" w:bidi="ar"/>
        </w:rPr>
        <w:t>凡新颁布的法律法规实施一周年后，对其实施情况进行检查。</w:t>
      </w:r>
    </w:p>
    <w:p w14:paraId="0C7886A8">
      <w:pPr>
        <w:keepNext w:val="0"/>
        <w:keepLines w:val="0"/>
        <w:widowControl/>
        <w:numPr>
          <w:ilvl w:val="0"/>
          <w:numId w:val="0"/>
        </w:numPr>
        <w:suppressLineNumbers w:val="0"/>
        <w:ind w:firstLine="640" w:firstLineChars="200"/>
        <w:jc w:val="left"/>
        <w:rPr>
          <w:rFonts w:ascii="仿宋_GB2312" w:hAnsi="仿宋_GB2312" w:eastAsia="仿宋_GB2312" w:cs="仿宋_GB2312"/>
          <w:color w:val="333333"/>
          <w:kern w:val="0"/>
          <w:sz w:val="32"/>
          <w:szCs w:val="32"/>
          <w:lang w:val="en-US" w:eastAsia="zh-CN" w:bidi="ar"/>
        </w:rPr>
      </w:pPr>
      <w:r>
        <w:rPr>
          <w:rFonts w:ascii="仿宋_GB2312" w:hAnsi="仿宋_GB2312" w:eastAsia="仿宋_GB2312" w:cs="仿宋_GB2312"/>
          <w:color w:val="333333"/>
          <w:kern w:val="0"/>
          <w:sz w:val="32"/>
          <w:szCs w:val="32"/>
          <w:lang w:val="en-US" w:eastAsia="zh-CN" w:bidi="ar"/>
        </w:rPr>
        <w:t>5、 围绕常委会、主任会议议题，开展财政经济、农业、工业、城乡建设、环境保护、民族、法治、教科文卫方面的调查研究和上述有关方面的法律、法规和方针、政策贯彻实施情况进行调查研究，开展执法检查活动，提供有关综合情况和参阅资料。</w:t>
      </w:r>
    </w:p>
    <w:p w14:paraId="79B4C1A7">
      <w:pPr>
        <w:keepNext w:val="0"/>
        <w:keepLines w:val="0"/>
        <w:widowControl/>
        <w:suppressLineNumbers w:val="0"/>
        <w:ind w:firstLine="640" w:firstLineChars="200"/>
        <w:jc w:val="left"/>
        <w:rPr>
          <w:sz w:val="32"/>
          <w:szCs w:val="32"/>
        </w:rPr>
      </w:pPr>
      <w:r>
        <w:rPr>
          <w:rFonts w:ascii="仿宋_GB2312" w:hAnsi="仿宋_GB2312" w:eastAsia="仿宋_GB2312" w:cs="仿宋_GB2312"/>
          <w:color w:val="333333"/>
          <w:kern w:val="0"/>
          <w:sz w:val="32"/>
          <w:szCs w:val="32"/>
          <w:lang w:val="en-US" w:eastAsia="zh-CN" w:bidi="ar"/>
        </w:rPr>
        <w:t>6</w:t>
      </w:r>
      <w:r>
        <w:rPr>
          <w:rFonts w:hint="eastAsia" w:ascii="仿宋_GB2312" w:hAnsi="仿宋_GB2312" w:eastAsia="仿宋_GB2312" w:cs="仿宋_GB2312"/>
          <w:color w:val="333333"/>
          <w:kern w:val="0"/>
          <w:sz w:val="32"/>
          <w:szCs w:val="32"/>
          <w:lang w:val="en-US" w:eastAsia="zh-CN" w:bidi="ar"/>
        </w:rPr>
        <w:t>、</w:t>
      </w:r>
      <w:r>
        <w:rPr>
          <w:rFonts w:ascii="仿宋_GB2312" w:hAnsi="仿宋_GB2312" w:eastAsia="仿宋_GB2312" w:cs="仿宋_GB2312"/>
          <w:color w:val="333333"/>
          <w:kern w:val="0"/>
          <w:sz w:val="32"/>
          <w:szCs w:val="32"/>
          <w:lang w:val="en-US" w:eastAsia="zh-CN" w:bidi="ar"/>
        </w:rPr>
        <w:t xml:space="preserve">负责做好与区委组织部有关干部人事任免工作 </w:t>
      </w:r>
    </w:p>
    <w:p w14:paraId="50E4D768">
      <w:pPr>
        <w:keepNext w:val="0"/>
        <w:keepLines w:val="0"/>
        <w:widowControl/>
        <w:suppressLineNumbers w:val="0"/>
        <w:jc w:val="left"/>
        <w:rPr>
          <w:rFonts w:hint="eastAsia"/>
          <w:lang w:eastAsia="zh-CN"/>
        </w:rPr>
      </w:pPr>
      <w:r>
        <w:rPr>
          <w:rFonts w:ascii="仿宋_GB2312" w:hAnsi="仿宋_GB2312" w:eastAsia="仿宋_GB2312" w:cs="仿宋_GB2312"/>
          <w:color w:val="333333"/>
          <w:kern w:val="0"/>
          <w:sz w:val="32"/>
          <w:szCs w:val="32"/>
          <w:lang w:val="en-US" w:eastAsia="zh-CN" w:bidi="ar"/>
        </w:rPr>
        <w:t>的联络，为区人大常委会任免干部做好工作准备等。</w:t>
      </w:r>
    </w:p>
    <w:p w14:paraId="682AA4F2">
      <w:pPr>
        <w:pStyle w:val="6"/>
        <w:rPr>
          <w:rStyle w:val="32"/>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14"/>
      <w:bookmarkEnd w:id="15"/>
    </w:p>
    <w:p w14:paraId="42A3C123">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乐山市金口河区人民代表大会常务委员会(办公室)</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04C1EC59">
      <w:pPr>
        <w:pStyle w:val="8"/>
        <w:adjustRightInd w:val="0"/>
        <w:snapToGrid w:val="0"/>
        <w:spacing w:before="93" w:line="600" w:lineRule="exact"/>
        <w:ind w:firstLine="672" w:firstLineChars="210"/>
        <w:rPr>
          <w:rFonts w:ascii="Times New Roman" w:hAnsi="Times New Roman" w:eastAsia="仿宋"/>
          <w:color w:val="auto"/>
          <w:kern w:val="0"/>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乐山市金口河区人民代表大会常务委员会(办公室)</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r>
        <w:rPr>
          <w:rFonts w:ascii="Times New Roman" w:hAnsi="Times New Roman" w:eastAsia="仿宋"/>
          <w:color w:val="auto"/>
          <w:sz w:val="32"/>
          <w:szCs w:val="32"/>
          <w:highlight w:val="none"/>
        </w:rPr>
        <w:br w:type="page"/>
      </w:r>
    </w:p>
    <w:p w14:paraId="6700AF17">
      <w:pPr>
        <w:pStyle w:val="5"/>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17DF4535">
      <w:pPr>
        <w:rPr>
          <w:rFonts w:ascii="Times New Roman" w:hAnsi="Times New Roman"/>
          <w:color w:val="auto"/>
          <w:highlight w:val="none"/>
        </w:rPr>
      </w:pPr>
    </w:p>
    <w:p w14:paraId="2CA5E8F4">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8"/>
      <w:bookmarkEnd w:id="19"/>
    </w:p>
    <w:p w14:paraId="48CB1736">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val="en-US" w:eastAsia="zh-CN"/>
        </w:rPr>
      </w:pPr>
      <w:r>
        <w:drawing>
          <wp:anchor distT="0" distB="0" distL="114300" distR="114300" simplePos="0" relativeHeight="251659264" behindDoc="0" locked="0" layoutInCell="1" allowOverlap="1">
            <wp:simplePos x="0" y="0"/>
            <wp:positionH relativeFrom="column">
              <wp:posOffset>260985</wp:posOffset>
            </wp:positionH>
            <wp:positionV relativeFrom="paragraph">
              <wp:posOffset>1102995</wp:posOffset>
            </wp:positionV>
            <wp:extent cx="4826000" cy="2743200"/>
            <wp:effectExtent l="4445" t="4445" r="8255" b="14605"/>
            <wp:wrapNone/>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673.2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187.22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21.76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人员经费和公用经费的减少。</w:t>
      </w:r>
    </w:p>
    <w:p w14:paraId="62DBD8CC">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0594E7F9">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5F5ADBDB">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6C0BB794">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A2229E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89405BC">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180966EE">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14:paraId="2158E4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76303C9">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p>
    <w:p w14:paraId="30ED544B">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0"/>
      <w:bookmarkEnd w:id="21"/>
    </w:p>
    <w:p w14:paraId="646D4BA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673万元，其中：一般公共预算财政拨款收入672.98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99.99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0.02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color w:val="auto"/>
          <w:sz w:val="32"/>
          <w:szCs w:val="32"/>
          <w:highlight w:val="none"/>
          <w:lang w:eastAsia="zh-CN"/>
        </w:rPr>
        <w:t>%。</w:t>
      </w:r>
    </w:p>
    <w:p w14:paraId="5B7753D4">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68190" cy="2505075"/>
            <wp:effectExtent l="4445" t="4445" r="18415" b="508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ABCA75">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2"/>
      <w:bookmarkEnd w:id="23"/>
    </w:p>
    <w:p w14:paraId="1FED2436">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673.03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567.9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84.3</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105.13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15.62</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53CF7E80">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15C2C133">
      <w:pPr>
        <w:ind w:firstLine="420" w:firstLineChars="0"/>
        <w:rPr>
          <w:rFonts w:hint="eastAsia" w:ascii="Times New Roman" w:hAnsi="Times New Roman" w:eastAsia="仿宋_GB2312" w:cs="仿宋_GB2312"/>
          <w:color w:val="auto"/>
          <w:sz w:val="32"/>
          <w:szCs w:val="32"/>
          <w:highlight w:val="none"/>
          <w:lang w:eastAsia="zh-CN"/>
        </w:rPr>
      </w:pPr>
      <w:r>
        <w:drawing>
          <wp:inline distT="0" distB="0" distL="114300" distR="114300">
            <wp:extent cx="4826000" cy="2743200"/>
            <wp:effectExtent l="4445" t="4445" r="8255" b="14605"/>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45D2ED">
      <w:pPr>
        <w:spacing w:line="600" w:lineRule="exact"/>
        <w:ind w:firstLine="640" w:firstLineChars="200"/>
        <w:outlineLvl w:val="1"/>
        <w:rPr>
          <w:rStyle w:val="32"/>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4"/>
      <w:bookmarkEnd w:id="25"/>
    </w:p>
    <w:p w14:paraId="082CBB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673.01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187.22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21.76</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人员经费和公用经费的减少。</w:t>
      </w:r>
    </w:p>
    <w:p w14:paraId="3344694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24B70D1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D600F1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0EF36D7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BC74FF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1019D847">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02FF6B0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2338AFFC">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271145</wp:posOffset>
            </wp:positionH>
            <wp:positionV relativeFrom="paragraph">
              <wp:posOffset>-2453005</wp:posOffset>
            </wp:positionV>
            <wp:extent cx="4826000" cy="2743200"/>
            <wp:effectExtent l="4445" t="4445" r="8255" b="14605"/>
            <wp:wrapNone/>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6DABE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0D0374C">
      <w:pPr>
        <w:spacing w:line="600" w:lineRule="exact"/>
        <w:ind w:firstLine="640" w:firstLineChars="200"/>
        <w:outlineLvl w:val="1"/>
        <w:rPr>
          <w:rStyle w:val="32"/>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6"/>
      <w:bookmarkEnd w:id="27"/>
    </w:p>
    <w:p w14:paraId="642FD07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170A0C27">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672.98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99.99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%。与2023年度相比，一般公共预算财政拨款支出减少187.02万元，下降21.75%。主要变动原因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人员经费和公用经费的减少。</w:t>
      </w:r>
    </w:p>
    <w:p w14:paraId="1FD1EECA">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val="en-US" w:eastAsia="zh-CN"/>
        </w:rPr>
      </w:pPr>
      <w:r>
        <w:drawing>
          <wp:anchor distT="0" distB="0" distL="114300" distR="114300" simplePos="0" relativeHeight="251661312" behindDoc="0" locked="0" layoutInCell="1" allowOverlap="1">
            <wp:simplePos x="0" y="0"/>
            <wp:positionH relativeFrom="column">
              <wp:posOffset>410845</wp:posOffset>
            </wp:positionH>
            <wp:positionV relativeFrom="paragraph">
              <wp:posOffset>76835</wp:posOffset>
            </wp:positionV>
            <wp:extent cx="4826000" cy="2670175"/>
            <wp:effectExtent l="4445" t="4445" r="8255" b="11430"/>
            <wp:wrapNone/>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F81AAFB">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38C106D3">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631C4FF7">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64E474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4EE986A0">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14:paraId="035BD6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89A24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2C711BD0">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672.98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517.51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76.9</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103.03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15.31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37.26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5.53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农林水支出1.23万元，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0.18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FF535E7">
      <w:pPr>
        <w:spacing w:line="600" w:lineRule="exact"/>
        <w:ind w:firstLine="420" w:firstLineChars="200"/>
        <w:outlineLvl w:val="2"/>
        <w:rPr>
          <w:rFonts w:hint="eastAsia" w:ascii="Times New Roman" w:hAnsi="Times New Roman" w:eastAsia="楷体_GB2312" w:cs="楷体_GB2312"/>
          <w:b/>
          <w:color w:val="auto"/>
          <w:sz w:val="32"/>
          <w:szCs w:val="32"/>
          <w:highlight w:val="none"/>
        </w:rPr>
      </w:pPr>
      <w:bookmarkStart w:id="30" w:name="_Toc15377212"/>
      <w:r>
        <w:drawing>
          <wp:anchor distT="0" distB="0" distL="114300" distR="114300" simplePos="0" relativeHeight="251662336" behindDoc="0" locked="0" layoutInCell="1" allowOverlap="1">
            <wp:simplePos x="0" y="0"/>
            <wp:positionH relativeFrom="column">
              <wp:posOffset>239395</wp:posOffset>
            </wp:positionH>
            <wp:positionV relativeFrom="paragraph">
              <wp:posOffset>330200</wp:posOffset>
            </wp:positionV>
            <wp:extent cx="4826000" cy="2743200"/>
            <wp:effectExtent l="4445" t="4445" r="8255" b="14605"/>
            <wp:wrapNone/>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5058DB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6572CBB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3ED9986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A4159F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3DAC40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68161B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13B4D8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D87A33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6E03E2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296F99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213"/>
      <w:bookmarkStart w:id="32" w:name="_Toc15377444"/>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672.98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190553B3">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人大事务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418.75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7A43FB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人大事务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49.69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91565F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人大事务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人大会议</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 xml:space="preserve">。    </w:t>
      </w:r>
    </w:p>
    <w:p w14:paraId="63420B3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人大事务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人大监督</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AC17BF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人大事务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人大代表履职能力提升</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AF3EA3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人大事务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代表工作</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D247DE0">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B313CD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36.86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4DB5A3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（款）其他行政事业单位养老支出（项）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61.5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7E43DD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残疾人事业</w:t>
      </w:r>
      <w:r>
        <w:rPr>
          <w:rFonts w:hint="eastAsia" w:ascii="Times New Roman" w:hAnsi="Times New Roman" w:eastAsia="仿宋_GB2312" w:cs="仿宋_GB2312"/>
          <w:color w:val="auto"/>
          <w:kern w:val="2"/>
          <w:sz w:val="32"/>
          <w:szCs w:val="32"/>
          <w:highlight w:val="none"/>
          <w:lang w:val="en-US" w:eastAsia="zh-CN" w:bidi="ar-SA"/>
        </w:rPr>
        <w:t>（款）残疾人就业（项）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5.76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6F7D4E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9.51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FD3B82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11.54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67C694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70BB05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巩固脱贫攻坚成果衔接乡村振兴支出</w:t>
      </w:r>
      <w:r>
        <w:rPr>
          <w:rFonts w:hint="eastAsia" w:ascii="Times New Roman" w:hAnsi="Times New Roman" w:eastAsia="仿宋_GB2312" w:cs="仿宋_GB2312"/>
          <w:color w:val="auto"/>
          <w:kern w:val="2"/>
          <w:sz w:val="32"/>
          <w:szCs w:val="32"/>
          <w:highlight w:val="none"/>
          <w:lang w:val="en-US" w:eastAsia="zh-CN" w:bidi="ar-SA"/>
        </w:rPr>
        <w:t>（款）其他巩固脱贫攻坚成果衔接乡村振兴支出（项）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 xml:space="preserve">。   </w:t>
      </w:r>
    </w:p>
    <w:p w14:paraId="1C659E2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住房改革支出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58F3DEC">
      <w:pPr>
        <w:spacing w:line="600" w:lineRule="exact"/>
        <w:ind w:firstLine="640"/>
        <w:rPr>
          <w:rFonts w:hint="eastAsia" w:eastAsia="仿宋_GB2312" w:cs="仿宋_GB2312"/>
          <w:color w:val="auto"/>
          <w:kern w:val="2"/>
          <w:sz w:val="32"/>
          <w:szCs w:val="32"/>
          <w:highlight w:val="none"/>
          <w:lang w:val="en-US" w:eastAsia="zh-CN" w:bidi="ar-SA"/>
        </w:rPr>
      </w:pPr>
    </w:p>
    <w:p w14:paraId="47FB54B8">
      <w:pPr>
        <w:tabs>
          <w:tab w:val="right" w:pos="8306"/>
        </w:tabs>
        <w:spacing w:line="600" w:lineRule="exact"/>
        <w:ind w:firstLine="640"/>
        <w:outlineLvl w:val="1"/>
        <w:rPr>
          <w:rStyle w:val="32"/>
          <w:rFonts w:ascii="Times New Roman" w:hAnsi="Times New Roman"/>
          <w:color w:val="auto"/>
          <w:highlight w:val="none"/>
        </w:rPr>
      </w:pPr>
      <w:bookmarkStart w:id="34" w:name="_Toc15377214"/>
      <w:bookmarkStart w:id="3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4"/>
      <w:bookmarkEnd w:id="35"/>
      <w:r>
        <w:rPr>
          <w:rStyle w:val="32"/>
          <w:rFonts w:ascii="Times New Roman" w:hAnsi="Times New Roman" w:eastAsia="黑体"/>
          <w:b w:val="0"/>
          <w:color w:val="auto"/>
          <w:highlight w:val="none"/>
        </w:rPr>
        <w:tab/>
      </w:r>
    </w:p>
    <w:p w14:paraId="7A7F25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567.85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3D78D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483.45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84.4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69A4A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6EDB24F">
      <w:pPr>
        <w:spacing w:line="600" w:lineRule="exact"/>
        <w:ind w:firstLine="640"/>
        <w:outlineLvl w:val="1"/>
        <w:rPr>
          <w:rStyle w:val="32"/>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6"/>
      <w:bookmarkEnd w:id="37"/>
    </w:p>
    <w:p w14:paraId="5340AF5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27687E3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3.5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87.33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1.27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26.57</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例行节约、无公务用车运行费、公务接待费减少。</w:t>
      </w:r>
    </w:p>
    <w:p w14:paraId="07BDC3C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6B031D5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3.5</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1B72ADC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2FE3D22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0AD5863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1DB3FB3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68206A3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68423B3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4774ACA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57C7F96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7DB7607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4C6A76A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6E65072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24FE803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410845</wp:posOffset>
            </wp:positionH>
            <wp:positionV relativeFrom="paragraph">
              <wp:posOffset>-2453005</wp:posOffset>
            </wp:positionV>
            <wp:extent cx="4826000" cy="2743200"/>
            <wp:effectExtent l="4445" t="4445" r="8255" b="14605"/>
            <wp:wrapNone/>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439A0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w:t>
      </w:r>
      <w:r>
        <w:rPr>
          <w:rFonts w:hint="eastAsia" w:eastAsia="仿宋_GB2312" w:cs="仿宋_GB2312"/>
          <w:color w:val="auto"/>
          <w:kern w:val="2"/>
          <w:sz w:val="32"/>
          <w:szCs w:val="32"/>
          <w:highlight w:val="none"/>
          <w:lang w:val="en-US" w:eastAsia="zh-CN" w:bidi="ar-SA"/>
        </w:rPr>
        <w:t>年度</w:t>
      </w:r>
      <w:r>
        <w:rPr>
          <w:rFonts w:hint="eastAsia" w:ascii="Times New Roman" w:hAnsi="Times New Roman" w:eastAsia="仿宋_GB2312" w:cs="仿宋_GB2312"/>
          <w:color w:val="auto"/>
          <w:kern w:val="2"/>
          <w:sz w:val="32"/>
          <w:szCs w:val="32"/>
          <w:highlight w:val="none"/>
          <w:lang w:val="en-US" w:eastAsia="zh-CN" w:bidi="ar-SA"/>
        </w:rPr>
        <w:t>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6BA6E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68" w:name="_GoBack"/>
      <w:bookmarkEnd w:id="68"/>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787F6A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29F90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3B3905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3.5万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87.33</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1.24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26.09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例行节约</w:t>
      </w:r>
      <w:r>
        <w:rPr>
          <w:rFonts w:hint="eastAsia" w:ascii="Times New Roman" w:hAnsi="Times New Roman" w:eastAsia="仿宋_GB2312" w:cs="仿宋_GB2312"/>
          <w:color w:val="auto"/>
          <w:kern w:val="2"/>
          <w:sz w:val="32"/>
          <w:szCs w:val="32"/>
          <w:highlight w:val="none"/>
          <w:lang w:val="en-US" w:eastAsia="zh-CN" w:bidi="ar-SA"/>
        </w:rPr>
        <w:t>。其中：</w:t>
      </w:r>
    </w:p>
    <w:p w14:paraId="12DC62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45</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350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3.5</w:t>
      </w:r>
      <w:r>
        <w:rPr>
          <w:rFonts w:hint="eastAsia" w:ascii="Times New Roman" w:hAnsi="Times New Roman" w:eastAsia="仿宋_GB2312" w:cs="仿宋_GB2312"/>
          <w:color w:val="auto"/>
          <w:kern w:val="2"/>
          <w:sz w:val="32"/>
          <w:szCs w:val="32"/>
          <w:highlight w:val="none"/>
          <w:lang w:val="en-US" w:eastAsia="zh-CN" w:bidi="ar-SA"/>
        </w:rPr>
        <w:t>万元。</w:t>
      </w:r>
    </w:p>
    <w:p w14:paraId="52BA13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0" w:name="_Toc15377218"/>
      <w:bookmarkStart w:id="41" w:name="_Toc15396610"/>
    </w:p>
    <w:p w14:paraId="7FE0A4F3">
      <w:pPr>
        <w:spacing w:line="600" w:lineRule="exact"/>
        <w:ind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0"/>
      <w:bookmarkEnd w:id="41"/>
    </w:p>
    <w:p w14:paraId="0ADE6E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06A185B">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2" w:name="_Toc15396611"/>
      <w:bookmarkStart w:id="43"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2"/>
      <w:bookmarkEnd w:id="43"/>
    </w:p>
    <w:p w14:paraId="1A3C5A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EB3AAD0">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4" w:name="_Toc15396612"/>
      <w:bookmarkStart w:id="45"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4"/>
      <w:bookmarkEnd w:id="45"/>
    </w:p>
    <w:p w14:paraId="6EE85DF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4D39EC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乐山市金口河区人民代表大会常务委员会(办公室)</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84.4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2.13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2.59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例行节约。</w:t>
      </w:r>
    </w:p>
    <w:p w14:paraId="33F64C4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354971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乐山市金口河区人民代表大会常务委员会(办公室)</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006CAB9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10006B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乐山市金口河区人民代表大会常务委员会(办公室)</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辆，其他用车主要是用于公务。单价100万元（含）以上设备（不含车辆）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A6BE6D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43C39C8">
      <w:pPr>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outlineLvl w:val="2"/>
        <w:rPr>
          <w:rFonts w:hint="eastAsia" w:eastAsia="楷体_GB2312" w:cs="楷体_GB2312"/>
          <w:b/>
          <w:sz w:val="32"/>
          <w:szCs w:val="32"/>
          <w:lang w:val="en-US" w:eastAsia="zh-CN"/>
        </w:rPr>
      </w:pPr>
      <w:r>
        <w:rPr>
          <w:rFonts w:hint="eastAsia" w:eastAsia="楷体_GB2312" w:cs="楷体_GB2312"/>
          <w:b/>
          <w:sz w:val="32"/>
          <w:szCs w:val="32"/>
          <w:lang w:val="en-US" w:eastAsia="zh-CN"/>
        </w:rPr>
        <w:t>1.预决算编制情况</w:t>
      </w:r>
    </w:p>
    <w:p w14:paraId="7C91E5E9">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outlineLvl w:val="2"/>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严格按照《中华人民共和国预算法》以及财政部门有关管理的规定及本单位实际工作需要编制和执行年度预算，无随意调整预算情况，各项收支均纳入预算管理。</w:t>
      </w:r>
    </w:p>
    <w:p w14:paraId="6AC997D7">
      <w:pPr>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outlineLvl w:val="2"/>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2.</w:t>
      </w:r>
      <w:r>
        <w:rPr>
          <w:rFonts w:hint="eastAsia" w:ascii="仿宋" w:hAnsi="仿宋" w:eastAsia="仿宋" w:cs="仿宋"/>
          <w:b/>
          <w:bCs/>
          <w:color w:val="auto"/>
          <w:sz w:val="32"/>
          <w:szCs w:val="32"/>
          <w:shd w:val="clear" w:color="auto" w:fill="FFFFFF"/>
          <w:lang w:eastAsia="zh-CN"/>
        </w:rPr>
        <w:t>执行管理情况</w:t>
      </w:r>
    </w:p>
    <w:p w14:paraId="284DC5CE">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outlineLvl w:val="2"/>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我</w:t>
      </w:r>
      <w:r>
        <w:rPr>
          <w:rFonts w:hint="eastAsia" w:ascii="仿宋_GB2312"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lang w:eastAsia="zh-CN"/>
        </w:rPr>
        <w:t>按照上级主管部门下达的年初目标任务，结合单位实际，进一步完善了财务管理制度，使财政收支预算执行得到良好的制度保障和实施效果。</w:t>
      </w:r>
    </w:p>
    <w:p w14:paraId="6748A26B">
      <w:pPr>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outlineLvl w:val="2"/>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3.</w:t>
      </w:r>
      <w:r>
        <w:rPr>
          <w:rFonts w:hint="eastAsia" w:ascii="仿宋" w:hAnsi="仿宋" w:eastAsia="仿宋" w:cs="仿宋"/>
          <w:b/>
          <w:bCs/>
          <w:color w:val="auto"/>
          <w:sz w:val="32"/>
          <w:szCs w:val="32"/>
          <w:shd w:val="clear" w:color="auto" w:fill="FFFFFF"/>
          <w:lang w:eastAsia="zh-CN"/>
        </w:rPr>
        <w:t>综合管理情况</w:t>
      </w:r>
    </w:p>
    <w:p w14:paraId="3DA3112D">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outlineLvl w:val="2"/>
        <w:rPr>
          <w:rFonts w:hint="eastAsia" w:ascii="仿宋_GB2312" w:hAnsi="仿宋_GB2312" w:eastAsia="仿宋_GB2312" w:cs="仿宋_GB2312"/>
          <w:color w:val="auto"/>
          <w:sz w:val="32"/>
          <w:szCs w:val="32"/>
          <w:shd w:val="clear" w:color="auto" w:fill="FFFFFF"/>
          <w:lang w:eastAsia="zh-CN"/>
        </w:rPr>
      </w:pPr>
      <w:r>
        <w:rPr>
          <w:rFonts w:hint="eastAsia"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1</w:t>
      </w:r>
      <w:r>
        <w:rPr>
          <w:rFonts w:hint="eastAsia"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eastAsia="zh-CN"/>
        </w:rPr>
        <w:t>按照区财政局关于单位预算、决算、政府采购、绩效等信息公开的时间，在规定时间内完成本单位的相关信息公开，做到及时、真实、不弄虚作假。</w:t>
      </w:r>
    </w:p>
    <w:p w14:paraId="17A36B48">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2</w:t>
      </w:r>
      <w:r>
        <w:rPr>
          <w:rFonts w:hint="eastAsia"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eastAsia="zh-CN"/>
        </w:rPr>
        <w:t>我</w:t>
      </w:r>
      <w:r>
        <w:rPr>
          <w:rFonts w:hint="eastAsia"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lang w:eastAsia="zh-CN"/>
        </w:rPr>
        <w:t>建立健全有效的内控制度，采取定期公开式的财务管理制度，严格执行财务管理制度，强化项目资金管理和使用。同时严格遵守国家、省、市财务管理法律法规，本着勤俭节约原则，管理好用好每笔资金。杜绝违规违法事件的发生。财务活动接受审计、财政、纪检监察等部门的监督检查，无反馈问题。</w:t>
      </w:r>
    </w:p>
    <w:p w14:paraId="39941B1B">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lang w:eastAsia="zh-CN"/>
        </w:rPr>
        <w:t>内所有资产必须实现资产归口管理和明确使用责任，细化到人，每半年对资产进行清查盘点，对账实不符的情况及时进行处理；严格按照规定处置资产。</w:t>
      </w:r>
    </w:p>
    <w:p w14:paraId="6650A0E4">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4.</w:t>
      </w:r>
      <w:r>
        <w:rPr>
          <w:rFonts w:hint="eastAsia" w:ascii="仿宋" w:hAnsi="仿宋" w:eastAsia="仿宋" w:cs="仿宋"/>
          <w:b/>
          <w:bCs/>
          <w:color w:val="auto"/>
          <w:sz w:val="32"/>
          <w:szCs w:val="32"/>
          <w:shd w:val="clear" w:color="auto" w:fill="FFFFFF"/>
          <w:lang w:eastAsia="zh-CN"/>
        </w:rPr>
        <w:t>整体绩效</w:t>
      </w:r>
    </w:p>
    <w:p w14:paraId="6FD39BD5">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① </w:t>
      </w:r>
      <w:r>
        <w:rPr>
          <w:rFonts w:hint="eastAsia" w:ascii="仿宋" w:hAnsi="仿宋" w:eastAsia="仿宋" w:cs="仿宋"/>
          <w:b/>
          <w:bCs/>
          <w:color w:val="auto"/>
          <w:sz w:val="32"/>
          <w:szCs w:val="32"/>
          <w:shd w:val="clear" w:color="auto" w:fill="FFFFFF"/>
          <w:lang w:eastAsia="zh-CN"/>
        </w:rPr>
        <w:t>资金绩效分配情况</w:t>
      </w:r>
    </w:p>
    <w:p w14:paraId="73479EBF">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认真贯彻执行《四川省省级财政专项资金绩效分配管理暂行办法》实施绩效分配。资金分配科学合理，分配过程符合相关规定。建立健全专项资金绩效分配机制，实现了财政资金资源有效配置。</w:t>
      </w:r>
    </w:p>
    <w:p w14:paraId="4D65C895">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② </w:t>
      </w:r>
      <w:r>
        <w:rPr>
          <w:rFonts w:hint="eastAsia" w:ascii="仿宋" w:hAnsi="仿宋" w:eastAsia="仿宋" w:cs="仿宋"/>
          <w:b/>
          <w:bCs/>
          <w:color w:val="auto"/>
          <w:sz w:val="32"/>
          <w:szCs w:val="32"/>
          <w:shd w:val="clear" w:color="auto" w:fill="FFFFFF"/>
          <w:lang w:eastAsia="zh-CN"/>
        </w:rPr>
        <w:t>项目资金管理情况</w:t>
      </w:r>
    </w:p>
    <w:p w14:paraId="7044FBCD">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加强对项目资金的管理，严格按照资金的使用范围专款专用，支付有依据，严格开支标准。无截留、挤占、挪用专项资金和虚列资金及大额度现金支出现象。</w:t>
      </w:r>
    </w:p>
    <w:p w14:paraId="080880F4">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③ </w:t>
      </w:r>
      <w:r>
        <w:rPr>
          <w:rFonts w:hint="eastAsia" w:ascii="仿宋" w:hAnsi="仿宋" w:eastAsia="仿宋" w:cs="仿宋"/>
          <w:b/>
          <w:bCs/>
          <w:color w:val="auto"/>
          <w:sz w:val="32"/>
          <w:szCs w:val="32"/>
          <w:shd w:val="clear" w:color="auto" w:fill="FFFFFF"/>
          <w:lang w:eastAsia="zh-CN"/>
        </w:rPr>
        <w:t>绩效目标完成情况</w:t>
      </w:r>
    </w:p>
    <w:p w14:paraId="37BC1E60">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rPr>
        <w:t>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年绩效目标全面完成，取得了一定经济和社会效益。单位财务制度健全，管理规范，得到有效执行。三公经费控制率较好，未超预算。总之，通过加强绩效预算，使财政资金得到有效使用，行政效率得到提高，促进了各项工作顺利开展。</w:t>
      </w:r>
    </w:p>
    <w:p w14:paraId="494A3F15">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5.</w:t>
      </w:r>
      <w:r>
        <w:rPr>
          <w:rFonts w:hint="eastAsia" w:ascii="仿宋" w:hAnsi="仿宋" w:eastAsia="仿宋" w:cs="仿宋"/>
          <w:b/>
          <w:bCs/>
          <w:color w:val="auto"/>
          <w:sz w:val="32"/>
          <w:szCs w:val="32"/>
          <w:shd w:val="clear" w:color="auto" w:fill="FFFFFF"/>
          <w:lang w:eastAsia="zh-CN"/>
        </w:rPr>
        <w:t>改进建议</w:t>
      </w:r>
    </w:p>
    <w:p w14:paraId="0E0D3A44">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rPr>
        <w:t>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年绩效目标全面完成，取得了一定经济和社会效益。单位财务制度健全，管理规范，得到有效执行。三公经费控制率较好，未超预算。总之，通过加强绩效预算，使财政资金得到有效使用，行政效率得到提高，促进了各项工作顺利开展。</w:t>
      </w:r>
    </w:p>
    <w:p w14:paraId="67E1E262">
      <w:pPr>
        <w:pStyle w:val="3"/>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color w:val="auto"/>
        </w:rPr>
      </w:pPr>
      <w:r>
        <w:rPr>
          <w:rFonts w:hint="eastAsia" w:ascii="仿宋" w:hAnsi="仿宋" w:eastAsia="仿宋" w:cs="仿宋"/>
          <w:color w:val="auto"/>
          <w:sz w:val="32"/>
          <w:szCs w:val="32"/>
          <w:shd w:val="clear" w:color="auto" w:fill="FFFFFF"/>
          <w:lang w:eastAsia="zh-CN"/>
        </w:rPr>
        <w:t>今后工作中在预算编制的准确性上下功夫，通过积极组织、认真论证、领导决策等程序，确保做实预算，保证预算与实际需要基本相符；对项目实施有科学规划，依据项目年内可完成进度分年度下达预算指标，当年预算才能全部执行，提高预算管理质量。</w:t>
      </w:r>
    </w:p>
    <w:p w14:paraId="728DFA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AD3A4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F4BED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9ACDF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E847D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04033F">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761483A2">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96613"/>
      <w:bookmarkStart w:id="50"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183B4ACF">
      <w:pPr>
        <w:spacing w:line="600" w:lineRule="exact"/>
        <w:jc w:val="left"/>
        <w:rPr>
          <w:rFonts w:ascii="Times New Roman" w:hAnsi="Times New Roman"/>
          <w:b/>
          <w:color w:val="auto"/>
          <w:sz w:val="44"/>
          <w:szCs w:val="44"/>
          <w:highlight w:val="none"/>
        </w:rPr>
      </w:pPr>
    </w:p>
    <w:p w14:paraId="7519F2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56988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6675AF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5FB861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6EC5AA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1BF0DB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468173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3CECB4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3519EE93">
      <w:pPr>
        <w:keepNext w:val="0"/>
        <w:keepLines w:val="0"/>
        <w:widowControl/>
        <w:suppressLineNumbers w:val="0"/>
        <w:ind w:firstLine="640" w:firstLineChars="200"/>
        <w:jc w:val="left"/>
      </w:pPr>
      <w:r>
        <w:rPr>
          <w:rFonts w:hint="eastAsia" w:ascii="Times New Roman" w:hAnsi="Times New Roman" w:eastAsia="仿宋_GB2312" w:cs="仿宋_GB2312"/>
          <w:color w:val="auto"/>
          <w:kern w:val="2"/>
          <w:sz w:val="32"/>
          <w:szCs w:val="32"/>
          <w:highlight w:val="none"/>
          <w:lang w:val="en-US" w:eastAsia="zh-CN" w:bidi="ar-SA"/>
        </w:rPr>
        <w:t>9.</w:t>
      </w:r>
      <w:r>
        <w:rPr>
          <w:rFonts w:ascii="仿宋_GB2312" w:hAnsi="仿宋_GB2312" w:eastAsia="仿宋_GB2312" w:cs="仿宋_GB2312"/>
          <w:color w:val="000000"/>
          <w:kern w:val="0"/>
          <w:sz w:val="31"/>
          <w:szCs w:val="31"/>
          <w:lang w:val="en-US" w:eastAsia="zh-CN" w:bidi="ar"/>
        </w:rPr>
        <w:t xml:space="preserve">一般公共服务（类）人大事务（款）行政运行（项）： </w:t>
      </w:r>
    </w:p>
    <w:p w14:paraId="34F1DF07">
      <w:pPr>
        <w:keepNext w:val="0"/>
        <w:keepLines w:val="0"/>
        <w:widowControl/>
        <w:suppressLineNumbers w:val="0"/>
        <w:ind w:left="638" w:hanging="620" w:hanging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指行政单位（包括实行公务员管理的事业单位）的基本支出</w:t>
      </w:r>
    </w:p>
    <w:p w14:paraId="1F00CA03">
      <w:pPr>
        <w:keepNext w:val="0"/>
        <w:keepLines w:val="0"/>
        <w:widowControl/>
        <w:numPr>
          <w:ilvl w:val="0"/>
          <w:numId w:val="3"/>
        </w:numPr>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一般公共服务（类）人大事务（款）一般行政管理事务（项）： 指行政单位（包括实行公务员管理的事业单位）未单独设置 项级科目的其他项目支出；</w:t>
      </w:r>
    </w:p>
    <w:p w14:paraId="3B3C91B6">
      <w:pPr>
        <w:keepNext w:val="0"/>
        <w:keepLines w:val="0"/>
        <w:widowControl/>
        <w:numPr>
          <w:ilvl w:val="0"/>
          <w:numId w:val="0"/>
        </w:numPr>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11.</w:t>
      </w:r>
      <w:r>
        <w:rPr>
          <w:rFonts w:ascii="仿宋_GB2312" w:hAnsi="仿宋_GB2312" w:eastAsia="仿宋_GB2312" w:cs="仿宋_GB2312"/>
          <w:color w:val="000000"/>
          <w:kern w:val="0"/>
          <w:sz w:val="31"/>
          <w:szCs w:val="31"/>
          <w:lang w:val="en-US" w:eastAsia="zh-CN" w:bidi="ar"/>
        </w:rPr>
        <w:t>一般公共服务（类）人大事务（款）人大会议（项）：指反映各级人大召开人民代表大会等专门会议的支出；</w:t>
      </w:r>
    </w:p>
    <w:p w14:paraId="59D09FC9">
      <w:pPr>
        <w:keepNext w:val="0"/>
        <w:keepLines w:val="0"/>
        <w:widowControl/>
        <w:numPr>
          <w:ilvl w:val="0"/>
          <w:numId w:val="0"/>
        </w:numPr>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12.</w:t>
      </w:r>
      <w:r>
        <w:rPr>
          <w:rFonts w:ascii="仿宋_GB2312" w:hAnsi="仿宋_GB2312" w:eastAsia="仿宋_GB2312" w:cs="仿宋_GB2312"/>
          <w:color w:val="000000"/>
          <w:kern w:val="0"/>
          <w:sz w:val="31"/>
          <w:szCs w:val="31"/>
          <w:lang w:val="en-US" w:eastAsia="zh-CN" w:bidi="ar"/>
        </w:rPr>
        <w:t>一般公共服务（类）人大事务（款）人大监督（项）：指反映各级人大开展监督工作的支出；</w:t>
      </w:r>
    </w:p>
    <w:p w14:paraId="6B218520">
      <w:pPr>
        <w:keepNext w:val="0"/>
        <w:keepLines w:val="0"/>
        <w:widowControl/>
        <w:numPr>
          <w:ilvl w:val="0"/>
          <w:numId w:val="0"/>
        </w:numPr>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13.</w:t>
      </w:r>
      <w:r>
        <w:rPr>
          <w:rFonts w:ascii="仿宋_GB2312" w:hAnsi="仿宋_GB2312" w:eastAsia="仿宋_GB2312" w:cs="仿宋_GB2312"/>
          <w:color w:val="000000"/>
          <w:kern w:val="0"/>
          <w:sz w:val="31"/>
          <w:szCs w:val="31"/>
          <w:lang w:val="en-US" w:eastAsia="zh-CN" w:bidi="ar"/>
        </w:rPr>
        <w:t>一般公共服务（类）人大事务（款）代表工作（项）：指反映人大代表开展各类视察等方面的支出</w:t>
      </w:r>
      <w:r>
        <w:rPr>
          <w:rFonts w:hint="eastAsia" w:ascii="仿宋_GB2312" w:hAnsi="仿宋_GB2312" w:eastAsia="仿宋_GB2312" w:cs="仿宋_GB2312"/>
          <w:color w:val="000000"/>
          <w:kern w:val="0"/>
          <w:sz w:val="31"/>
          <w:szCs w:val="31"/>
          <w:lang w:val="en-US" w:eastAsia="zh-CN" w:bidi="ar"/>
        </w:rPr>
        <w:t>；</w:t>
      </w:r>
    </w:p>
    <w:p w14:paraId="5C1E5101">
      <w:pPr>
        <w:keepNext w:val="0"/>
        <w:keepLines w:val="0"/>
        <w:widowControl/>
        <w:suppressLineNumbers w:val="0"/>
        <w:ind w:firstLine="640" w:firstLineChars="200"/>
        <w:jc w:val="left"/>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ascii="仿宋_GB2312" w:hAnsi="仿宋_GB2312" w:eastAsia="仿宋_GB2312" w:cs="仿宋_GB2312"/>
          <w:color w:val="000000"/>
          <w:kern w:val="0"/>
          <w:sz w:val="31"/>
          <w:szCs w:val="31"/>
          <w:lang w:val="en-US" w:eastAsia="zh-CN" w:bidi="ar"/>
        </w:rPr>
        <w:t xml:space="preserve">社会保障和就业（类）行政事业单位养老支出（款） </w:t>
      </w:r>
    </w:p>
    <w:p w14:paraId="02FAFF3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机关事业单位基本养老保险缴费支出（项）：指机关事业单 </w:t>
      </w:r>
    </w:p>
    <w:p w14:paraId="18BE0A89">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位实施养老保险制度由单位缴纳的基本养老保险支出。</w:t>
      </w:r>
    </w:p>
    <w:p w14:paraId="5F4FFE8B">
      <w:pPr>
        <w:keepNext w:val="0"/>
        <w:keepLines w:val="0"/>
        <w:widowControl/>
        <w:numPr>
          <w:ilvl w:val="0"/>
          <w:numId w:val="4"/>
        </w:numPr>
        <w:suppressLineNumbers w:val="0"/>
        <w:ind w:firstLine="620" w:firstLineChars="200"/>
        <w:jc w:val="left"/>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社会保障和就业（类）行政事业单位养老支出（款）机关事业单位职业年金缴费支出（项）：指机关事业单位实施养老保险制度由单位缴纳的职业年金支出</w:t>
      </w:r>
      <w:r>
        <w:rPr>
          <w:rFonts w:hint="eastAsia" w:ascii="仿宋_GB2312" w:hAnsi="仿宋_GB2312" w:eastAsia="仿宋_GB2312" w:cs="仿宋_GB2312"/>
          <w:color w:val="000000"/>
          <w:kern w:val="0"/>
          <w:sz w:val="31"/>
          <w:szCs w:val="31"/>
          <w:lang w:val="en-US" w:eastAsia="zh-CN" w:bidi="ar"/>
        </w:rPr>
        <w:t>；</w:t>
      </w:r>
    </w:p>
    <w:p w14:paraId="56A57086">
      <w:pPr>
        <w:keepNext w:val="0"/>
        <w:keepLines w:val="0"/>
        <w:widowControl/>
        <w:numPr>
          <w:ilvl w:val="0"/>
          <w:numId w:val="0"/>
        </w:numPr>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16.</w:t>
      </w:r>
      <w:r>
        <w:rPr>
          <w:rFonts w:ascii="仿宋_GB2312" w:hAnsi="仿宋_GB2312" w:eastAsia="仿宋_GB2312" w:cs="仿宋_GB2312"/>
          <w:color w:val="000000"/>
          <w:kern w:val="0"/>
          <w:sz w:val="31"/>
          <w:szCs w:val="31"/>
          <w:lang w:val="en-US" w:eastAsia="zh-CN" w:bidi="ar"/>
        </w:rPr>
        <w:t>社会保障和就业（类）行政事业单位养老支出（款）其他行政事业单位养老支出（项）：指反映除上述项目以外其他用于行政事业单位养老方面的支出。</w:t>
      </w:r>
    </w:p>
    <w:p w14:paraId="16E5521D">
      <w:pPr>
        <w:keepNext w:val="0"/>
        <w:keepLines w:val="0"/>
        <w:widowControl/>
        <w:numPr>
          <w:ilvl w:val="0"/>
          <w:numId w:val="0"/>
        </w:numPr>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17.</w:t>
      </w:r>
      <w:r>
        <w:rPr>
          <w:rFonts w:ascii="仿宋_GB2312" w:hAnsi="仿宋_GB2312" w:eastAsia="仿宋_GB2312" w:cs="仿宋_GB2312"/>
          <w:color w:val="000000"/>
          <w:kern w:val="0"/>
          <w:sz w:val="31"/>
          <w:szCs w:val="31"/>
          <w:lang w:val="en-US" w:eastAsia="zh-CN" w:bidi="ar"/>
        </w:rPr>
        <w:t xml:space="preserve">社会保障和就业（类）抚恤（款）死亡抚恤（项）： </w:t>
      </w:r>
    </w:p>
    <w:p w14:paraId="0F9FAF61">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指按规定用于烈士和牺牲、病故人员家属的一次性和定期抚 </w:t>
      </w:r>
    </w:p>
    <w:p w14:paraId="41D14CD1">
      <w:pPr>
        <w:keepNext w:val="0"/>
        <w:keepLines w:val="0"/>
        <w:widowControl/>
        <w:suppressLineNumbers w:val="0"/>
        <w:jc w:val="left"/>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恤金以及丧葬补助费</w:t>
      </w:r>
      <w:r>
        <w:rPr>
          <w:rFonts w:hint="eastAsia" w:ascii="仿宋_GB2312" w:hAnsi="仿宋_GB2312" w:eastAsia="仿宋_GB2312" w:cs="仿宋_GB2312"/>
          <w:color w:val="000000"/>
          <w:kern w:val="0"/>
          <w:sz w:val="31"/>
          <w:szCs w:val="31"/>
          <w:lang w:val="en-US" w:eastAsia="zh-CN" w:bidi="ar"/>
        </w:rPr>
        <w:t>；</w:t>
      </w:r>
    </w:p>
    <w:p w14:paraId="6739620F">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18.</w:t>
      </w:r>
      <w:r>
        <w:rPr>
          <w:rFonts w:ascii="仿宋_GB2312" w:hAnsi="仿宋_GB2312" w:eastAsia="仿宋_GB2312" w:cs="仿宋_GB2312"/>
          <w:color w:val="000000"/>
          <w:kern w:val="0"/>
          <w:sz w:val="31"/>
          <w:szCs w:val="31"/>
          <w:lang w:val="en-US" w:eastAsia="zh-CN" w:bidi="ar"/>
        </w:rPr>
        <w:t>社会保障和就业（类）其他社会保障和就业支出（款）其他社会保障和就业支出（项）：指反映除上述项目以外其他用于社会保障和就业方面的支出。</w:t>
      </w:r>
    </w:p>
    <w:p w14:paraId="768A684E">
      <w:pPr>
        <w:keepNext w:val="0"/>
        <w:keepLines w:val="0"/>
        <w:widowControl/>
        <w:suppressLineNumbers w:val="0"/>
        <w:ind w:firstLine="640" w:firstLineChars="200"/>
        <w:jc w:val="left"/>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w:t>
      </w:r>
      <w:r>
        <w:rPr>
          <w:rFonts w:ascii="仿宋_GB2312" w:hAnsi="仿宋_GB2312" w:eastAsia="仿宋_GB2312" w:cs="仿宋_GB2312"/>
          <w:color w:val="000000"/>
          <w:kern w:val="0"/>
          <w:sz w:val="31"/>
          <w:szCs w:val="31"/>
          <w:lang w:val="en-US" w:eastAsia="zh-CN" w:bidi="ar"/>
        </w:rPr>
        <w:t xml:space="preserve">卫生健康支出（类）行政事业单位医疗（款）行政 </w:t>
      </w:r>
    </w:p>
    <w:p w14:paraId="1C2B2C8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单位医疗（项）：指财政部门安排的行政单位（包括实行公 </w:t>
      </w:r>
    </w:p>
    <w:p w14:paraId="1738083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务员管理的事业单位，下同）基本医疗保险缴费经费，未参 </w:t>
      </w:r>
    </w:p>
    <w:p w14:paraId="5CA97F75">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加医疗保险的行政单位的公费医疗经费，按国家规定享受离 </w:t>
      </w:r>
    </w:p>
    <w:p w14:paraId="4DAE6BC9">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休人员、红军老战士待遇人员的医疗经费。</w:t>
      </w:r>
    </w:p>
    <w:p w14:paraId="115E4828">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val="en-US" w:eastAsia="zh-CN" w:bidi="ar"/>
        </w:rPr>
        <w:t>.农林水支出（类）</w:t>
      </w:r>
      <w:r>
        <w:rPr>
          <w:rFonts w:hint="eastAsia" w:ascii="仿宋_GB2312" w:hAnsi="仿宋_GB2312" w:eastAsia="仿宋_GB2312" w:cs="仿宋_GB2312"/>
          <w:color w:val="000000"/>
          <w:kern w:val="0"/>
          <w:sz w:val="31"/>
          <w:szCs w:val="31"/>
          <w:lang w:val="en-US" w:eastAsia="zh-CN" w:bidi="ar"/>
        </w:rPr>
        <w:t>巩固脱贫攻坚成果衔接乡村振兴支出</w:t>
      </w:r>
      <w:r>
        <w:rPr>
          <w:rFonts w:ascii="仿宋_GB2312" w:hAnsi="仿宋_GB2312" w:eastAsia="仿宋_GB2312" w:cs="仿宋_GB2312"/>
          <w:color w:val="000000"/>
          <w:kern w:val="0"/>
          <w:sz w:val="31"/>
          <w:szCs w:val="31"/>
          <w:lang w:val="en-US" w:eastAsia="zh-CN" w:bidi="ar"/>
        </w:rPr>
        <w:t>（款）</w:t>
      </w:r>
      <w:r>
        <w:rPr>
          <w:rFonts w:hint="eastAsia" w:ascii="仿宋_GB2312" w:hAnsi="仿宋_GB2312" w:eastAsia="仿宋_GB2312" w:cs="仿宋_GB2312"/>
          <w:color w:val="000000"/>
          <w:kern w:val="0"/>
          <w:sz w:val="31"/>
          <w:szCs w:val="31"/>
          <w:lang w:val="en-US" w:eastAsia="zh-CN" w:bidi="ar"/>
        </w:rPr>
        <w:t>其他巩固脱贫攻坚成果衔接乡村振兴支出</w:t>
      </w:r>
      <w:r>
        <w:rPr>
          <w:rFonts w:ascii="仿宋_GB2312" w:hAnsi="仿宋_GB2312" w:eastAsia="仿宋_GB2312" w:cs="仿宋_GB2312"/>
          <w:color w:val="000000"/>
          <w:kern w:val="0"/>
          <w:sz w:val="31"/>
          <w:szCs w:val="31"/>
          <w:lang w:val="en-US" w:eastAsia="zh-CN" w:bidi="ar"/>
        </w:rPr>
        <w:t xml:space="preserve">（项）： </w:t>
      </w:r>
    </w:p>
    <w:p w14:paraId="345A3E6D">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指其他用于</w:t>
      </w:r>
      <w:r>
        <w:rPr>
          <w:rFonts w:hint="eastAsia" w:ascii="仿宋_GB2312" w:hAnsi="仿宋_GB2312" w:eastAsia="仿宋_GB2312" w:cs="仿宋_GB2312"/>
          <w:color w:val="000000"/>
          <w:kern w:val="0"/>
          <w:sz w:val="31"/>
          <w:szCs w:val="31"/>
          <w:lang w:val="en-US" w:eastAsia="zh-CN" w:bidi="ar"/>
        </w:rPr>
        <w:t>脱贫攻坚</w:t>
      </w:r>
      <w:r>
        <w:rPr>
          <w:rFonts w:ascii="仿宋_GB2312" w:hAnsi="仿宋_GB2312" w:eastAsia="仿宋_GB2312" w:cs="仿宋_GB2312"/>
          <w:color w:val="000000"/>
          <w:kern w:val="0"/>
          <w:sz w:val="31"/>
          <w:szCs w:val="31"/>
          <w:lang w:val="en-US" w:eastAsia="zh-CN" w:bidi="ar"/>
        </w:rPr>
        <w:t xml:space="preserve">方面的支出。 </w:t>
      </w:r>
    </w:p>
    <w:p w14:paraId="3AAD6F81">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21</w:t>
      </w:r>
      <w:r>
        <w:rPr>
          <w:rFonts w:ascii="仿宋_GB2312" w:hAnsi="仿宋_GB2312" w:eastAsia="仿宋_GB2312" w:cs="仿宋_GB2312"/>
          <w:color w:val="000000"/>
          <w:kern w:val="0"/>
          <w:sz w:val="31"/>
          <w:szCs w:val="31"/>
          <w:lang w:val="en-US" w:eastAsia="zh-CN" w:bidi="ar"/>
        </w:rPr>
        <w:t xml:space="preserve">. 住房保障支出（类）住房改革支出（款）住房公积 </w:t>
      </w:r>
    </w:p>
    <w:p w14:paraId="71FE3E3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金（项）：指行政事业单位按人力资源和社会保障部、财政 </w:t>
      </w:r>
    </w:p>
    <w:p w14:paraId="7B063E0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部规定的基本工资和津贴补贴以及规定比例为职工缴纳的住房公积金。</w:t>
      </w:r>
    </w:p>
    <w:p w14:paraId="23498B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50FE13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762170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04D4EB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D2B78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3EEE1A">
      <w:pPr>
        <w:spacing w:line="600" w:lineRule="exact"/>
        <w:jc w:val="center"/>
        <w:rPr>
          <w:rFonts w:hint="eastAsia" w:ascii="Times New Roman" w:hAnsi="Times New Roman" w:eastAsia="黑体"/>
          <w:color w:val="auto"/>
          <w:sz w:val="44"/>
          <w:szCs w:val="44"/>
          <w:highlight w:val="none"/>
        </w:rPr>
      </w:pPr>
      <w:bookmarkStart w:id="51" w:name="_Toc15396614"/>
      <w:bookmarkStart w:id="52" w:name="_Toc15377226"/>
    </w:p>
    <w:p w14:paraId="179D087A">
      <w:pPr>
        <w:spacing w:line="600" w:lineRule="exact"/>
        <w:jc w:val="center"/>
        <w:rPr>
          <w:rFonts w:hint="eastAsia" w:ascii="Times New Roman" w:hAnsi="Times New Roman" w:eastAsia="黑体"/>
          <w:color w:val="auto"/>
          <w:sz w:val="44"/>
          <w:szCs w:val="44"/>
          <w:highlight w:val="none"/>
        </w:rPr>
      </w:pPr>
    </w:p>
    <w:p w14:paraId="2FA98F6A">
      <w:pPr>
        <w:spacing w:line="600" w:lineRule="exact"/>
        <w:jc w:val="center"/>
        <w:rPr>
          <w:rFonts w:hint="eastAsia" w:ascii="Times New Roman" w:hAnsi="Times New Roman" w:eastAsia="黑体"/>
          <w:color w:val="auto"/>
          <w:sz w:val="44"/>
          <w:szCs w:val="44"/>
          <w:highlight w:val="none"/>
        </w:rPr>
      </w:pPr>
    </w:p>
    <w:p w14:paraId="0B9D4BB5">
      <w:pPr>
        <w:spacing w:line="600" w:lineRule="exact"/>
        <w:jc w:val="center"/>
        <w:rPr>
          <w:rFonts w:hint="eastAsia" w:ascii="Times New Roman" w:hAnsi="Times New Roman" w:eastAsia="黑体"/>
          <w:color w:val="auto"/>
          <w:sz w:val="44"/>
          <w:szCs w:val="44"/>
          <w:highlight w:val="none"/>
        </w:rPr>
      </w:pPr>
    </w:p>
    <w:p w14:paraId="1E5E2C68">
      <w:pPr>
        <w:spacing w:line="600" w:lineRule="exact"/>
        <w:jc w:val="center"/>
        <w:rPr>
          <w:rFonts w:hint="eastAsia" w:ascii="Times New Roman" w:hAnsi="Times New Roman" w:eastAsia="黑体"/>
          <w:color w:val="auto"/>
          <w:sz w:val="44"/>
          <w:szCs w:val="44"/>
          <w:highlight w:val="none"/>
        </w:rPr>
      </w:pPr>
    </w:p>
    <w:p w14:paraId="0BBD4286">
      <w:pPr>
        <w:spacing w:line="600" w:lineRule="exact"/>
        <w:jc w:val="center"/>
        <w:rPr>
          <w:rFonts w:hint="eastAsia" w:ascii="Times New Roman" w:hAnsi="Times New Roman" w:eastAsia="黑体"/>
          <w:color w:val="auto"/>
          <w:sz w:val="44"/>
          <w:szCs w:val="44"/>
          <w:highlight w:val="none"/>
        </w:rPr>
      </w:pPr>
    </w:p>
    <w:p w14:paraId="25FBCFB7">
      <w:pPr>
        <w:spacing w:line="600" w:lineRule="exact"/>
        <w:jc w:val="center"/>
        <w:rPr>
          <w:rFonts w:hint="eastAsia" w:ascii="Times New Roman" w:hAnsi="Times New Roman" w:eastAsia="黑体"/>
          <w:color w:val="auto"/>
          <w:sz w:val="44"/>
          <w:szCs w:val="44"/>
          <w:highlight w:val="none"/>
        </w:rPr>
      </w:pPr>
    </w:p>
    <w:p w14:paraId="24AD6777">
      <w:pPr>
        <w:spacing w:line="600" w:lineRule="exact"/>
        <w:jc w:val="center"/>
        <w:rPr>
          <w:rFonts w:hint="eastAsia" w:ascii="Times New Roman" w:hAnsi="Times New Roman" w:eastAsia="黑体"/>
          <w:color w:val="auto"/>
          <w:sz w:val="44"/>
          <w:szCs w:val="44"/>
          <w:highlight w:val="none"/>
        </w:rPr>
      </w:pPr>
    </w:p>
    <w:p w14:paraId="5FABEF32">
      <w:pPr>
        <w:spacing w:line="600" w:lineRule="exact"/>
        <w:jc w:val="center"/>
        <w:rPr>
          <w:rFonts w:hint="eastAsia" w:ascii="Times New Roman" w:hAnsi="Times New Roman" w:eastAsia="黑体"/>
          <w:color w:val="auto"/>
          <w:sz w:val="44"/>
          <w:szCs w:val="44"/>
          <w:highlight w:val="none"/>
        </w:rPr>
      </w:pPr>
    </w:p>
    <w:p w14:paraId="74AC984B">
      <w:pPr>
        <w:spacing w:line="600" w:lineRule="exact"/>
        <w:jc w:val="center"/>
        <w:rPr>
          <w:rFonts w:hint="eastAsia" w:ascii="Times New Roman" w:hAnsi="Times New Roman" w:eastAsia="黑体"/>
          <w:color w:val="auto"/>
          <w:sz w:val="44"/>
          <w:szCs w:val="44"/>
          <w:highlight w:val="none"/>
        </w:rPr>
      </w:pPr>
    </w:p>
    <w:p w14:paraId="41EE3821">
      <w:pPr>
        <w:spacing w:line="600" w:lineRule="exact"/>
        <w:jc w:val="center"/>
        <w:rPr>
          <w:rFonts w:hint="eastAsia" w:ascii="Times New Roman" w:hAnsi="Times New Roman" w:eastAsia="黑体"/>
          <w:color w:val="auto"/>
          <w:sz w:val="44"/>
          <w:szCs w:val="44"/>
          <w:highlight w:val="none"/>
        </w:rPr>
      </w:pPr>
    </w:p>
    <w:p w14:paraId="00ACCA74">
      <w:pPr>
        <w:spacing w:line="600" w:lineRule="exact"/>
        <w:jc w:val="center"/>
        <w:rPr>
          <w:rFonts w:hint="eastAsia" w:ascii="Times New Roman" w:hAnsi="Times New Roman" w:eastAsia="黑体"/>
          <w:color w:val="auto"/>
          <w:sz w:val="44"/>
          <w:szCs w:val="44"/>
          <w:highlight w:val="none"/>
        </w:rPr>
      </w:pPr>
    </w:p>
    <w:p w14:paraId="2A0630F3">
      <w:pPr>
        <w:spacing w:line="600" w:lineRule="exact"/>
        <w:jc w:val="center"/>
        <w:rPr>
          <w:rFonts w:hint="eastAsia" w:ascii="Times New Roman" w:hAnsi="Times New Roman" w:eastAsia="黑体"/>
          <w:color w:val="auto"/>
          <w:sz w:val="44"/>
          <w:szCs w:val="44"/>
          <w:highlight w:val="none"/>
        </w:rPr>
      </w:pPr>
    </w:p>
    <w:p w14:paraId="1B60513F">
      <w:pPr>
        <w:spacing w:line="600" w:lineRule="exact"/>
        <w:jc w:val="both"/>
        <w:rPr>
          <w:rFonts w:hint="eastAsia" w:ascii="Times New Roman" w:hAnsi="Times New Roman" w:eastAsia="黑体"/>
          <w:color w:val="auto"/>
          <w:sz w:val="44"/>
          <w:szCs w:val="44"/>
          <w:highlight w:val="none"/>
        </w:rPr>
      </w:pPr>
    </w:p>
    <w:p w14:paraId="377640D8">
      <w:pPr>
        <w:spacing w:line="600" w:lineRule="exact"/>
        <w:jc w:val="center"/>
        <w:rPr>
          <w:rStyle w:val="31"/>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1"/>
    </w:p>
    <w:p w14:paraId="1D4992C6">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6FC5E5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755A4D1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19A9B3F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5D942D78">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000000"/>
          <w:kern w:val="0"/>
          <w:sz w:val="24"/>
          <w:szCs w:val="32"/>
          <w:highlight w:val="none"/>
          <w:shd w:val="clear" w:color="auto" w:fill="FFFFFF"/>
        </w:rPr>
      </w:pPr>
    </w:p>
    <w:p w14:paraId="65F2118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06D0FF3B">
      <w:pPr>
        <w:keepNext w:val="0"/>
        <w:keepLines w:val="0"/>
        <w:widowControl/>
        <w:suppressLineNumbers w:val="0"/>
        <w:ind w:firstLine="643" w:firstLineChars="200"/>
        <w:jc w:val="left"/>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2749F264">
      <w:pPr>
        <w:keepNext w:val="0"/>
        <w:keepLines w:val="0"/>
        <w:widowControl/>
        <w:suppressLineNumbers w:val="0"/>
        <w:ind w:firstLine="620" w:firstLineChars="200"/>
        <w:jc w:val="left"/>
      </w:pPr>
      <w:r>
        <w:rPr>
          <w:rFonts w:ascii="仿宋_GB2312" w:hAnsi="仿宋_GB2312" w:eastAsia="仿宋_GB2312" w:cs="仿宋_GB2312"/>
          <w:color w:val="333333"/>
          <w:kern w:val="0"/>
          <w:sz w:val="31"/>
          <w:szCs w:val="31"/>
          <w:lang w:val="en-US" w:eastAsia="zh-CN" w:bidi="ar"/>
        </w:rPr>
        <w:t xml:space="preserve">我办属独立编制、独立核算的机构，机构数 1 个，内设 </w:t>
      </w:r>
    </w:p>
    <w:p w14:paraId="1A3474B8">
      <w:pPr>
        <w:keepNext w:val="0"/>
        <w:keepLines w:val="0"/>
        <w:widowControl/>
        <w:suppressLineNumbers w:val="0"/>
        <w:jc w:val="left"/>
      </w:pPr>
      <w:r>
        <w:rPr>
          <w:rFonts w:ascii="仿宋_GB2312" w:hAnsi="仿宋_GB2312" w:eastAsia="仿宋_GB2312" w:cs="仿宋_GB2312"/>
          <w:color w:val="333333"/>
          <w:kern w:val="0"/>
          <w:sz w:val="31"/>
          <w:szCs w:val="31"/>
          <w:lang w:val="en-US" w:eastAsia="zh-CN" w:bidi="ar"/>
        </w:rPr>
        <w:t xml:space="preserve">办公室、财政预算经济工作委员会、城乡建设环境资源保护 </w:t>
      </w:r>
    </w:p>
    <w:p w14:paraId="27C1AA49">
      <w:pPr>
        <w:keepNext w:val="0"/>
        <w:keepLines w:val="0"/>
        <w:widowControl/>
        <w:suppressLineNumbers w:val="0"/>
        <w:jc w:val="left"/>
      </w:pPr>
      <w:r>
        <w:rPr>
          <w:rFonts w:ascii="仿宋_GB2312" w:hAnsi="仿宋_GB2312" w:eastAsia="仿宋_GB2312" w:cs="仿宋_GB2312"/>
          <w:color w:val="333333"/>
          <w:kern w:val="0"/>
          <w:sz w:val="31"/>
          <w:szCs w:val="31"/>
          <w:lang w:val="en-US" w:eastAsia="zh-CN" w:bidi="ar"/>
        </w:rPr>
        <w:t xml:space="preserve">工作委员会、人事代表工作委员会、民族宗教法治和监察司 </w:t>
      </w:r>
    </w:p>
    <w:p w14:paraId="6CE3728A">
      <w:pPr>
        <w:keepNext w:val="0"/>
        <w:keepLines w:val="0"/>
        <w:widowControl/>
        <w:suppressLineNumbers w:val="0"/>
        <w:jc w:val="left"/>
      </w:pPr>
      <w:r>
        <w:rPr>
          <w:rFonts w:ascii="仿宋_GB2312" w:hAnsi="仿宋_GB2312" w:eastAsia="仿宋_GB2312" w:cs="仿宋_GB2312"/>
          <w:color w:val="333333"/>
          <w:kern w:val="0"/>
          <w:sz w:val="31"/>
          <w:szCs w:val="31"/>
          <w:lang w:val="en-US" w:eastAsia="zh-CN" w:bidi="ar"/>
        </w:rPr>
        <w:t xml:space="preserve">法工作委员会、社会建设和社会事业工作委员会、农业农村 </w:t>
      </w:r>
    </w:p>
    <w:p w14:paraId="5C653856">
      <w:pPr>
        <w:keepNext w:val="0"/>
        <w:keepLines w:val="0"/>
        <w:widowControl/>
        <w:suppressLineNumbers w:val="0"/>
        <w:jc w:val="left"/>
        <w:rPr>
          <w:rFonts w:hint="default" w:ascii="Times New Roman" w:hAnsi="Times New Roman" w:cs="Times New Roman"/>
          <w:szCs w:val="32"/>
        </w:rPr>
      </w:pPr>
      <w:r>
        <w:rPr>
          <w:rFonts w:ascii="仿宋_GB2312" w:hAnsi="仿宋_GB2312" w:eastAsia="仿宋_GB2312" w:cs="仿宋_GB2312"/>
          <w:color w:val="333333"/>
          <w:kern w:val="0"/>
          <w:sz w:val="31"/>
          <w:szCs w:val="31"/>
          <w:lang w:val="en-US" w:eastAsia="zh-CN" w:bidi="ar"/>
        </w:rPr>
        <w:t>工作委员会。</w:t>
      </w:r>
    </w:p>
    <w:p w14:paraId="6BD860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00DC42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333333"/>
          <w:sz w:val="32"/>
          <w:szCs w:val="32"/>
          <w:shd w:val="clear" w:color="auto" w:fill="auto"/>
          <w:lang w:eastAsia="zh-CN"/>
        </w:rPr>
      </w:pPr>
      <w:r>
        <w:rPr>
          <w:rFonts w:hint="eastAsia" w:ascii="仿宋" w:hAnsi="仿宋" w:eastAsia="仿宋" w:cs="仿宋"/>
          <w:b w:val="0"/>
          <w:bCs w:val="0"/>
          <w:color w:val="333333"/>
          <w:sz w:val="32"/>
          <w:szCs w:val="32"/>
          <w:shd w:val="clear" w:color="auto" w:fill="auto"/>
        </w:rPr>
        <w:t>（1）金口河区人大常委会办公室主要职责是承担区人民代表大会会议、人大常委会会议、主任会议的筹备和会务工作，承担区人民代表大会换届选举的各种事务工作</w:t>
      </w:r>
      <w:r>
        <w:rPr>
          <w:rFonts w:hint="eastAsia" w:ascii="仿宋" w:hAnsi="仿宋" w:eastAsia="仿宋" w:cs="仿宋"/>
          <w:b w:val="0"/>
          <w:bCs w:val="0"/>
          <w:color w:val="333333"/>
          <w:sz w:val="32"/>
          <w:szCs w:val="32"/>
          <w:shd w:val="clear" w:color="auto" w:fill="auto"/>
          <w:lang w:eastAsia="zh-CN"/>
        </w:rPr>
        <w:t>。</w:t>
      </w:r>
    </w:p>
    <w:p w14:paraId="238794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333333"/>
          <w:sz w:val="32"/>
          <w:szCs w:val="32"/>
          <w:shd w:val="clear" w:color="auto" w:fill="auto"/>
        </w:rPr>
      </w:pPr>
      <w:r>
        <w:rPr>
          <w:rFonts w:hint="eastAsia" w:ascii="仿宋" w:hAnsi="仿宋" w:eastAsia="仿宋" w:cs="仿宋"/>
          <w:b w:val="0"/>
          <w:bCs w:val="0"/>
          <w:color w:val="333333"/>
          <w:sz w:val="32"/>
          <w:szCs w:val="32"/>
          <w:shd w:val="clear" w:color="auto" w:fill="auto"/>
        </w:rPr>
        <w:t>（2）负责对“一府两院”办公室、民族、法制、财经、农业、城环、教科文卫方面对口部门的工作联系，负责省、市、区人大代表的工作联系，协助常委会组织好代表视察工作，负责联系乡镇综合性的工作；协助区人大常委会指导乡镇人大换届选举工作、指导乡镇人大主席团工作。</w:t>
      </w:r>
    </w:p>
    <w:p w14:paraId="2DF4F3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333333"/>
          <w:sz w:val="32"/>
          <w:szCs w:val="32"/>
          <w:shd w:val="clear" w:color="auto" w:fill="auto"/>
        </w:rPr>
      </w:pPr>
      <w:r>
        <w:rPr>
          <w:rFonts w:hint="eastAsia" w:ascii="仿宋" w:hAnsi="仿宋" w:eastAsia="仿宋" w:cs="仿宋"/>
          <w:b w:val="0"/>
          <w:bCs w:val="0"/>
          <w:color w:val="333333"/>
          <w:sz w:val="32"/>
          <w:szCs w:val="32"/>
          <w:shd w:val="clear" w:color="auto" w:fill="auto"/>
        </w:rPr>
        <w:t>（3）负责常委会综合性文稿的起草、审核、校对，编印人代会《会刊》、常委会《公报》、常委会审议议题《参阅材料》。</w:t>
      </w:r>
    </w:p>
    <w:p w14:paraId="52E008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333333"/>
          <w:sz w:val="32"/>
          <w:szCs w:val="32"/>
          <w:shd w:val="clear" w:color="auto" w:fill="auto"/>
        </w:rPr>
      </w:pPr>
      <w:r>
        <w:rPr>
          <w:rFonts w:hint="eastAsia" w:ascii="仿宋" w:hAnsi="仿宋" w:eastAsia="仿宋" w:cs="仿宋"/>
          <w:b w:val="0"/>
          <w:bCs w:val="0"/>
          <w:color w:val="333333"/>
          <w:sz w:val="32"/>
          <w:szCs w:val="32"/>
          <w:shd w:val="clear" w:color="auto" w:fill="auto"/>
        </w:rPr>
        <w:t>（4）凡新颁布的法律法规实施一周年后，对其实施情况进行检查。</w:t>
      </w:r>
    </w:p>
    <w:p w14:paraId="4A2A3E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333333"/>
          <w:sz w:val="32"/>
          <w:szCs w:val="32"/>
          <w:shd w:val="clear" w:color="auto" w:fill="auto"/>
        </w:rPr>
      </w:pPr>
      <w:r>
        <w:rPr>
          <w:rFonts w:hint="eastAsia" w:ascii="仿宋" w:hAnsi="仿宋" w:eastAsia="仿宋" w:cs="仿宋"/>
          <w:b w:val="0"/>
          <w:bCs w:val="0"/>
          <w:color w:val="333333"/>
          <w:sz w:val="32"/>
          <w:szCs w:val="32"/>
          <w:shd w:val="clear" w:color="auto" w:fill="auto"/>
        </w:rPr>
        <w:t>（5）围绕常委会、主任会议议题，开展财政经济、农业、工业、城乡建设、环境保护、民族、法制、教科文卫方面的调查研究和上述有关方面的法律、法规和方针、政策贯彻实施情况进行调查研究，开展执法检查活动，提供有关综合情况和参阅资料。</w:t>
      </w:r>
    </w:p>
    <w:p w14:paraId="0C7EDF59">
      <w:pPr>
        <w:ind w:firstLine="640" w:firstLineChars="200"/>
        <w:rPr>
          <w:rFonts w:hint="default" w:ascii="Times New Roman" w:hAnsi="Times New Roman" w:eastAsia="楷体_GB2312" w:cs="Times New Roman"/>
          <w:b w:val="0"/>
          <w:bCs w:val="0"/>
          <w:color w:val="000000"/>
          <w:kern w:val="0"/>
          <w:szCs w:val="32"/>
          <w:highlight w:val="none"/>
          <w:shd w:val="clear" w:color="auto" w:fill="auto"/>
          <w:lang w:val="zh-CN"/>
        </w:rPr>
      </w:pPr>
      <w:r>
        <w:rPr>
          <w:rFonts w:hint="eastAsia" w:ascii="仿宋" w:hAnsi="仿宋" w:eastAsia="仿宋" w:cs="仿宋"/>
          <w:b w:val="0"/>
          <w:bCs w:val="0"/>
          <w:color w:val="333333"/>
          <w:sz w:val="32"/>
          <w:szCs w:val="32"/>
          <w:shd w:val="clear" w:color="auto" w:fill="auto"/>
        </w:rPr>
        <w:t>（6）负责做好与区委组织部有关干部人事任免工作的联络，为区人大常委会任免干部做好工作准备等。</w:t>
      </w:r>
    </w:p>
    <w:p w14:paraId="557B8A07">
      <w:pPr>
        <w:spacing w:line="360" w:lineRule="auto"/>
        <w:ind w:firstLineChars="200"/>
        <w:jc w:val="left"/>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0D503EAE">
      <w:pPr>
        <w:spacing w:line="360" w:lineRule="auto"/>
        <w:ind w:firstLineChars="200"/>
        <w:jc w:val="left"/>
        <w:rPr>
          <w:rFonts w:hint="default" w:ascii="仿宋" w:hAnsi="仿宋" w:eastAsia="仿宋"/>
          <w:sz w:val="30"/>
          <w:szCs w:val="30"/>
        </w:rPr>
      </w:pPr>
      <w:r>
        <w:rPr>
          <w:rFonts w:ascii="仿宋_GB2312" w:hAnsi="仿宋_GB2312" w:eastAsia="仿宋_GB2312" w:cs="仿宋_GB2312"/>
          <w:b w:val="0"/>
          <w:bCs w:val="0"/>
          <w:color w:val="000000"/>
          <w:sz w:val="31"/>
          <w:szCs w:val="31"/>
        </w:rPr>
        <w:t>金口河区人大常委会办公室现有编制10个，其中：机关人员编制8个，工勤编制2个。截止 2024 年末财政实际供养人数在职15人，行政人员13人，机关人员15人，工勤人员2人，退休26人。</w:t>
      </w:r>
    </w:p>
    <w:p w14:paraId="1802F53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0A1786F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3C6794F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2024年年初预算收入601.21万元。决算报表收入673.2万元。</w:t>
      </w:r>
      <w:r>
        <w:rPr>
          <w:rFonts w:hint="eastAsia" w:ascii="仿宋" w:hAnsi="仿宋" w:eastAsia="仿宋" w:cs="仿宋"/>
          <w:b w:val="0"/>
          <w:bCs w:val="0"/>
          <w:sz w:val="32"/>
          <w:szCs w:val="32"/>
          <w:lang w:eastAsia="zh-CN"/>
        </w:rPr>
        <w:t>其中：一般公共预算财政拨款收入</w:t>
      </w:r>
      <w:r>
        <w:rPr>
          <w:rFonts w:hint="eastAsia" w:ascii="仿宋" w:hAnsi="仿宋" w:eastAsia="仿宋" w:cs="仿宋"/>
          <w:b w:val="0"/>
          <w:bCs w:val="0"/>
          <w:sz w:val="32"/>
          <w:szCs w:val="32"/>
          <w:lang w:val="en-US" w:eastAsia="zh-CN"/>
        </w:rPr>
        <w:t>672.98</w:t>
      </w:r>
      <w:r>
        <w:rPr>
          <w:rFonts w:hint="eastAsia" w:ascii="仿宋" w:hAnsi="仿宋" w:eastAsia="仿宋" w:cs="仿宋"/>
          <w:b w:val="0"/>
          <w:bCs w:val="0"/>
          <w:sz w:val="32"/>
          <w:szCs w:val="32"/>
          <w:lang w:eastAsia="zh-CN"/>
        </w:rPr>
        <w:t>万元，</w:t>
      </w:r>
      <w:r>
        <w:rPr>
          <w:rFonts w:hint="eastAsia" w:ascii="仿宋" w:hAnsi="仿宋" w:eastAsia="仿宋" w:cs="仿宋"/>
          <w:b w:val="0"/>
          <w:bCs w:val="0"/>
          <w:sz w:val="32"/>
          <w:szCs w:val="32"/>
          <w:lang w:val="en-US" w:eastAsia="zh-CN"/>
        </w:rPr>
        <w:t>其他收入0.02万元，</w:t>
      </w:r>
      <w:r>
        <w:rPr>
          <w:rFonts w:hint="eastAsia" w:ascii="仿宋" w:hAnsi="仿宋" w:eastAsia="仿宋" w:cs="仿宋"/>
          <w:b w:val="0"/>
          <w:bCs w:val="0"/>
          <w:sz w:val="32"/>
          <w:szCs w:val="32"/>
          <w:lang w:eastAsia="zh-CN"/>
        </w:rPr>
        <w:t>年初结转和结余</w:t>
      </w:r>
      <w:r>
        <w:rPr>
          <w:rFonts w:hint="eastAsia" w:ascii="仿宋" w:hAnsi="仿宋" w:eastAsia="仿宋" w:cs="仿宋"/>
          <w:b w:val="0"/>
          <w:bCs w:val="0"/>
          <w:sz w:val="32"/>
          <w:szCs w:val="32"/>
          <w:lang w:val="en-US" w:eastAsia="zh-CN"/>
        </w:rPr>
        <w:t>0.2</w:t>
      </w:r>
      <w:r>
        <w:rPr>
          <w:rFonts w:hint="eastAsia" w:ascii="仿宋" w:hAnsi="仿宋" w:eastAsia="仿宋" w:cs="仿宋"/>
          <w:b w:val="0"/>
          <w:bCs w:val="0"/>
          <w:sz w:val="32"/>
          <w:szCs w:val="32"/>
          <w:lang w:eastAsia="zh-CN"/>
        </w:rPr>
        <w:t>万元。</w:t>
      </w:r>
    </w:p>
    <w:p w14:paraId="42C7C427">
      <w:pPr>
        <w:keepNext w:val="0"/>
        <w:keepLines w:val="0"/>
        <w:pageBreakBefore w:val="0"/>
        <w:widowControl/>
        <w:numPr>
          <w:ilvl w:val="0"/>
          <w:numId w:val="5"/>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cs="仿宋"/>
          <w:b w:val="0"/>
          <w:bCs w:val="0"/>
          <w:sz w:val="32"/>
          <w:szCs w:val="32"/>
          <w:lang w:val="en-US" w:eastAsia="zh-CN"/>
        </w:rPr>
        <w:t>2024年年</w:t>
      </w:r>
      <w:r>
        <w:rPr>
          <w:rFonts w:hint="eastAsia" w:ascii="仿宋" w:hAnsi="仿宋" w:eastAsia="仿宋" w:cs="仿宋"/>
          <w:sz w:val="32"/>
          <w:szCs w:val="32"/>
          <w:lang w:val="en-US" w:eastAsia="zh-CN"/>
        </w:rPr>
        <w:t>初预算支出601.21万元。决算报表支出673.2万元。</w:t>
      </w:r>
      <w:r>
        <w:rPr>
          <w:rFonts w:hint="eastAsia" w:ascii="仿宋" w:hAnsi="仿宋" w:eastAsia="仿宋" w:cs="仿宋"/>
          <w:b w:val="0"/>
          <w:bCs w:val="0"/>
          <w:kern w:val="2"/>
          <w:sz w:val="32"/>
          <w:szCs w:val="32"/>
          <w:lang w:val="en-US" w:eastAsia="zh-CN" w:bidi="ar"/>
        </w:rPr>
        <w:t>其中：基本支出567.9万元，项目支出105.13万元。</w:t>
      </w:r>
    </w:p>
    <w:p w14:paraId="243F9A4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0944C25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en-US" w:eastAsia="zh-CN"/>
        </w:rPr>
      </w:pPr>
      <w:r>
        <w:rPr>
          <w:rFonts w:hint="eastAsia" w:ascii="Times New Roman" w:hAnsi="Times New Roman" w:eastAsia="仿宋_GB2312" w:cs="Times New Roman"/>
          <w:sz w:val="32"/>
          <w:szCs w:val="32"/>
          <w:lang w:val="en-US" w:eastAsia="zh-CN"/>
        </w:rPr>
        <w:t>2024年决算报表</w:t>
      </w:r>
      <w:r>
        <w:rPr>
          <w:rFonts w:hint="default" w:ascii="Times New Roman" w:hAnsi="Times New Roman" w:eastAsia="仿宋_GB2312" w:cs="Times New Roman"/>
          <w:sz w:val="32"/>
          <w:szCs w:val="32"/>
          <w:lang w:val="en-US" w:eastAsia="zh-CN"/>
        </w:rPr>
        <w:t>结转结余</w:t>
      </w:r>
      <w:r>
        <w:rPr>
          <w:rFonts w:hint="eastAsia" w:eastAsia="仿宋_GB2312" w:cs="Times New Roman"/>
          <w:sz w:val="32"/>
          <w:szCs w:val="32"/>
          <w:lang w:val="en-US" w:eastAsia="zh-CN"/>
        </w:rPr>
        <w:t>0.2万元。</w:t>
      </w:r>
    </w:p>
    <w:p w14:paraId="3C7BC64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66C53FDB">
      <w:pPr>
        <w:pStyle w:val="17"/>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43D56AF7">
      <w:pPr>
        <w:pStyle w:val="1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auto"/>
          <w:kern w:val="2"/>
          <w:sz w:val="32"/>
          <w:szCs w:val="32"/>
          <w:highlight w:val="none"/>
          <w:lang w:val="zh-CN" w:eastAsia="zh-CN" w:bidi="ar-SA"/>
        </w:rPr>
      </w:pPr>
      <w:r>
        <w:rPr>
          <w:rFonts w:hint="eastAsia" w:ascii="仿宋_GB2312" w:hAnsi="仿宋_GB2312" w:eastAsia="仿宋_GB2312" w:cs="仿宋_GB2312"/>
          <w:sz w:val="32"/>
          <w:szCs w:val="32"/>
          <w:lang w:val="zh-CN"/>
        </w:rPr>
        <w:t>按照区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r>
        <w:rPr>
          <w:rFonts w:hint="eastAsia" w:ascii="仿宋_GB2312" w:hAnsi="仿宋_GB2312" w:eastAsia="仿宋_GB2312" w:cs="仿宋_GB2312"/>
          <w:sz w:val="32"/>
          <w:szCs w:val="32"/>
          <w:lang w:val="zh-CN" w:eastAsia="zh-CN"/>
        </w:rPr>
        <w:t>。按照预算金额申请经费，并严格控制支出，无违规记录。</w:t>
      </w:r>
    </w:p>
    <w:p w14:paraId="07BF376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785931EA">
      <w:pPr>
        <w:pStyle w:val="1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仿宋_GB2312" w:hAnsi="仿宋_GB2312" w:eastAsia="仿宋_GB2312" w:cs="仿宋_GB2312"/>
          <w:sz w:val="32"/>
          <w:szCs w:val="32"/>
          <w:lang w:val="zh-CN"/>
        </w:rPr>
        <w:t>按照区财政局部门预算编制通知要求，按时完成部门年初预算编制工作，</w:t>
      </w:r>
      <w:r>
        <w:rPr>
          <w:rFonts w:hint="eastAsia" w:ascii="仿宋_GB2312" w:hAnsi="仿宋_GB2312" w:eastAsia="仿宋_GB2312" w:cs="仿宋_GB2312"/>
          <w:sz w:val="32"/>
          <w:szCs w:val="32"/>
          <w:lang w:val="zh-CN" w:eastAsia="zh-CN"/>
        </w:rPr>
        <w:t>按照预算金额申请经费，并严格控制支出。</w:t>
      </w:r>
    </w:p>
    <w:p w14:paraId="6398371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p>
    <w:p w14:paraId="76992BE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严格执行预算管理制度。</w:t>
      </w:r>
    </w:p>
    <w:p w14:paraId="17157F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p>
    <w:p w14:paraId="28956C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仿宋_GB2312" w:hAnsi="仿宋_GB2312" w:eastAsia="仿宋_GB2312" w:cs="仿宋_GB2312"/>
          <w:i w:val="0"/>
          <w:iCs w:val="0"/>
          <w:caps w:val="0"/>
          <w:color w:val="auto"/>
          <w:spacing w:val="0"/>
          <w:kern w:val="0"/>
          <w:sz w:val="32"/>
          <w:szCs w:val="32"/>
          <w:lang w:val="en-US" w:eastAsia="zh-CN" w:bidi="ar"/>
        </w:rPr>
        <w:t>财务管理制度、会计核算及账务处理按本单位财务管理制度，会计核算办法及账务处理办法执行，财务处理及时，会计核算规范。</w:t>
      </w:r>
    </w:p>
    <w:p w14:paraId="6617E7EB">
      <w:pPr>
        <w:numPr>
          <w:ilvl w:val="0"/>
          <w:numId w:val="0"/>
        </w:numPr>
        <w:spacing w:line="360" w:lineRule="auto"/>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p>
    <w:p w14:paraId="0C5D6D01">
      <w:pPr>
        <w:numPr>
          <w:ilvl w:val="0"/>
          <w:numId w:val="0"/>
        </w:numPr>
        <w:spacing w:line="360" w:lineRule="auto"/>
        <w:ind w:firstLine="600" w:firstLineChars="200"/>
        <w:jc w:val="left"/>
        <w:rPr>
          <w:rFonts w:hint="eastAsia" w:ascii="仿宋" w:hAnsi="仿宋" w:eastAsia="仿宋" w:cs="Times New Roman"/>
          <w:color w:val="auto"/>
          <w:sz w:val="30"/>
          <w:szCs w:val="30"/>
          <w:lang w:val="en-US" w:eastAsia="zh-CN"/>
        </w:rPr>
      </w:pPr>
      <w:r>
        <w:rPr>
          <w:rFonts w:hint="eastAsia" w:ascii="仿宋" w:hAnsi="仿宋" w:eastAsia="仿宋" w:cs="Times New Roman"/>
          <w:color w:val="auto"/>
          <w:sz w:val="30"/>
          <w:szCs w:val="30"/>
          <w:lang w:val="en-US" w:eastAsia="zh-CN"/>
        </w:rPr>
        <w:t>一是加强会计核算工作。严格执行现行固定资产管理制度，对已完工的基建工程、购入的固定资产、收到的捐赠资产等及时入账，并按照数量、金额登记明细账，编制固定资产卡片，确保账面上能真实、完整的反映单位的固定资产情况，并结合本单位的实际情况，完善固定资产管理制度。</w:t>
      </w:r>
    </w:p>
    <w:p w14:paraId="3E2E577C">
      <w:pPr>
        <w:numPr>
          <w:ilvl w:val="0"/>
          <w:numId w:val="0"/>
        </w:numPr>
        <w:spacing w:line="360" w:lineRule="auto"/>
        <w:ind w:firstLine="600" w:firstLineChars="200"/>
        <w:jc w:val="left"/>
        <w:rPr>
          <w:rFonts w:hint="eastAsia" w:ascii="仿宋" w:hAnsi="仿宋" w:eastAsia="仿宋" w:cs="Times New Roman"/>
          <w:color w:val="auto"/>
          <w:sz w:val="30"/>
          <w:szCs w:val="30"/>
          <w:lang w:val="en-US" w:eastAsia="zh-CN"/>
        </w:rPr>
      </w:pPr>
      <w:r>
        <w:rPr>
          <w:rFonts w:hint="eastAsia" w:ascii="仿宋" w:hAnsi="仿宋" w:eastAsia="仿宋" w:cs="Times New Roman"/>
          <w:color w:val="auto"/>
          <w:sz w:val="30"/>
          <w:szCs w:val="30"/>
          <w:lang w:val="en-US" w:eastAsia="zh-CN"/>
        </w:rPr>
        <w:t>二是加强程序管理。对纳入政府采购目录范围内的资产采购，必须报政府采购中心进行政府采购；未纳入政府采购目录范围内的资产采购，采用其他形式采购。未纳入预算的固定资产，不得随意采购，确需急用，必须经相关部门批准。</w:t>
      </w:r>
    </w:p>
    <w:p w14:paraId="0E4CF873">
      <w:pPr>
        <w:numPr>
          <w:ilvl w:val="0"/>
          <w:numId w:val="0"/>
        </w:numPr>
        <w:spacing w:line="360" w:lineRule="auto"/>
        <w:ind w:firstLine="60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仿宋" w:hAnsi="仿宋" w:eastAsia="仿宋" w:cs="Times New Roman"/>
          <w:color w:val="auto"/>
          <w:sz w:val="30"/>
          <w:szCs w:val="30"/>
          <w:lang w:val="en-US" w:eastAsia="zh-CN"/>
        </w:rPr>
        <w:t>三是加强内部监督。定期或不定期的对固定资产进行抽查。检查固定资产的购置、领用、处置等程序是否合规，账实是否相符等，防止国有资产的流失。</w:t>
      </w:r>
    </w:p>
    <w:p w14:paraId="12C5F1D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p>
    <w:p w14:paraId="0496C2B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严格执行采购管理制度。</w:t>
      </w:r>
    </w:p>
    <w:p w14:paraId="0E1AD041">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236E0CC2">
      <w:pPr>
        <w:keepNext w:val="0"/>
        <w:keepLines w:val="0"/>
        <w:pageBreakBefore w:val="0"/>
        <w:kinsoku/>
        <w:overflowPunct/>
        <w:autoSpaceDE/>
        <w:autoSpaceDN/>
        <w:bidi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p>
    <w:p w14:paraId="5642A771">
      <w:pPr>
        <w:keepNext w:val="0"/>
        <w:keepLines w:val="0"/>
        <w:pageBreakBefore w:val="0"/>
        <w:kinsoku/>
        <w:overflowPunct/>
        <w:autoSpaceDE/>
        <w:autoSpaceDN/>
        <w:bidi w:val="0"/>
        <w:spacing w:line="600" w:lineRule="exact"/>
        <w:ind w:firstLine="640" w:firstLineChars="200"/>
        <w:jc w:val="left"/>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rPr>
        <w:t>单位特定目标类预算项目程序严密、严格按照财经纪律和预算管理要求执行，规划合理、结果符合、分配科学、分配及时、专项预算绩效目标按时完成、专款专用、无任何违规记录。</w:t>
      </w:r>
    </w:p>
    <w:p w14:paraId="7CE561B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p>
    <w:p w14:paraId="39C5C5A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0"/>
          <w:sz w:val="32"/>
          <w:szCs w:val="32"/>
          <w:shd w:val="clear" w:color="auto" w:fill="FFFFFF"/>
          <w:lang w:val="en-US" w:eastAsia="zh-CN"/>
        </w:rPr>
      </w:pPr>
      <w:r>
        <w:rPr>
          <w:rFonts w:hint="eastAsia" w:eastAsia="仿宋_GB2312" w:cs="仿宋_GB2312"/>
          <w:color w:val="auto"/>
          <w:kern w:val="2"/>
          <w:sz w:val="32"/>
          <w:szCs w:val="32"/>
          <w:highlight w:val="none"/>
          <w:lang w:val="en-US" w:eastAsia="zh-CN" w:bidi="ar-SA"/>
        </w:rPr>
        <w:t>按照</w:t>
      </w:r>
      <w:r>
        <w:rPr>
          <w:rFonts w:hint="eastAsia" w:ascii="仿宋_GB2312" w:hAnsi="仿宋_GB2312" w:eastAsia="仿宋_GB2312" w:cs="仿宋_GB2312"/>
          <w:color w:val="auto"/>
          <w:kern w:val="0"/>
          <w:sz w:val="32"/>
          <w:szCs w:val="32"/>
          <w:shd w:val="clear" w:color="auto" w:fill="FFFFFF"/>
          <w:lang w:val="en-US" w:eastAsia="zh-CN"/>
        </w:rPr>
        <w:t>区委、区政府的正确领导和上级主管部门的直接领导下，紧紧围绕工作重点和主要目标，认真贯彻落实习近平总书记重要指示批示精神，以高度的政治自觉性统领工作，积极做好保民生、促稳定的安全工作。</w:t>
      </w:r>
    </w:p>
    <w:p w14:paraId="3C89DF1D">
      <w:pPr>
        <w:spacing w:line="560"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p>
    <w:p w14:paraId="48A98DAB">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按照区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p>
    <w:p w14:paraId="5188BD6F">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p>
    <w:p w14:paraId="02A2EFAA">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仿宋_GB2312" w:hAnsi="宋体" w:eastAsia="仿宋_GB2312" w:cs="宋体"/>
          <w:color w:val="auto"/>
          <w:kern w:val="0"/>
          <w:sz w:val="32"/>
          <w:szCs w:val="32"/>
          <w:shd w:val="clear" w:color="auto" w:fill="FFFFFF"/>
          <w:lang w:val="zh-CN"/>
        </w:rPr>
        <w:t>所有指标都基本达到了预期的效果，所有项目经费都实现了价值的最大化。</w:t>
      </w:r>
    </w:p>
    <w:p w14:paraId="314810C2">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1E300C06">
      <w:pPr>
        <w:keepNext w:val="0"/>
        <w:keepLines w:val="0"/>
        <w:pageBreakBefore w:val="0"/>
        <w:widowControl w:val="0"/>
        <w:kinsoku/>
        <w:wordWrap/>
        <w:overflowPunct/>
        <w:topLinePunct w:val="0"/>
        <w:autoSpaceDE/>
        <w:autoSpaceDN/>
        <w:bidi w:val="0"/>
        <w:snapToGrid w:val="0"/>
        <w:spacing w:line="600" w:lineRule="exact"/>
        <w:ind w:firstLine="620" w:firstLineChars="200"/>
        <w:textAlignment w:val="auto"/>
        <w:rPr>
          <w:rFonts w:hint="default" w:ascii="Times New Roman" w:hAnsi="Times New Roman" w:eastAsia="仿宋_GB2312" w:cs="Times New Roman"/>
          <w:sz w:val="32"/>
          <w:szCs w:val="32"/>
          <w:highlight w:val="none"/>
          <w:u w:val="none"/>
          <w:lang w:bidi="ar"/>
        </w:rPr>
      </w:pPr>
      <w:r>
        <w:rPr>
          <w:rFonts w:ascii="仿宋_GB2312" w:hAnsi="仿宋_GB2312" w:eastAsia="仿宋_GB2312" w:cs="仿宋_GB2312"/>
          <w:b w:val="0"/>
          <w:bCs w:val="0"/>
          <w:color w:val="000000"/>
          <w:sz w:val="31"/>
          <w:szCs w:val="31"/>
        </w:rPr>
        <w:t>包括绩效自评公开、评价结果整改和应用结果反馈等情况。按照财政安排，在规定的时间之前公开绩效自评。着力加强绩 效评价结果应用，建立绩效评价结果反馈整改机制，严格反馈整改， 硬化激励约束，切实提高财政资金使用绩效。 进一步深化绩效评价结果应用。对评价结果不同等级的项目， 采用优先安排、适当安排、压缩直至不安排等方式，分类管理，分 类施策。对一次性项目在绩效评价达到预期目标和实施效果后，动态调整，及时退出。</w:t>
      </w:r>
    </w:p>
    <w:p w14:paraId="777789D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1C6B889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242E8268">
      <w:pPr>
        <w:keepNext w:val="0"/>
        <w:keepLines w:val="0"/>
        <w:pageBreakBefore w:val="0"/>
        <w:widowControl/>
        <w:kinsoku/>
        <w:wordWrap/>
        <w:overflowPunct/>
        <w:topLinePunct w:val="0"/>
        <w:autoSpaceDE/>
        <w:autoSpaceDN/>
        <w:bidi w:val="0"/>
        <w:adjustRightInd w:val="0"/>
        <w:snapToGrid w:val="0"/>
        <w:spacing w:line="578" w:lineRule="exact"/>
        <w:ind w:firstLine="620" w:firstLineChars="200"/>
        <w:contextualSpacing/>
        <w:jc w:val="left"/>
        <w:textAlignment w:val="auto"/>
        <w:outlineLvl w:val="9"/>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2024 年金口河区人大常务委员会办公室按照国家的法律法规 加强预算管理，不断完善内控制度，取得了较好的预算执行效果。 认真完成了 2024 年部门预算和决算汇总工作，能够按照财政部门 批复的预算组织实施。财务管理健全规范，没有发生违法违规现象。 我办 2024 年的部门整体支出做到了使用规范、程序透明、达到预 期绩效目标，确保了机关的正常运行和各委室职能的正常履行，保 证了目标任务的圆满完成。评价得分 96 分。</w:t>
      </w:r>
    </w:p>
    <w:p w14:paraId="768EC0F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28922541">
      <w:pPr>
        <w:keepNext w:val="0"/>
        <w:keepLines w:val="0"/>
        <w:pageBreakBefore w:val="0"/>
        <w:widowControl/>
        <w:kinsoku/>
        <w:wordWrap/>
        <w:overflowPunct/>
        <w:topLinePunct w:val="0"/>
        <w:autoSpaceDE/>
        <w:autoSpaceDN/>
        <w:bidi w:val="0"/>
        <w:adjustRightInd w:val="0"/>
        <w:snapToGrid w:val="0"/>
        <w:spacing w:line="578" w:lineRule="exact"/>
        <w:ind w:firstLine="620" w:firstLineChars="200"/>
        <w:contextualSpacing/>
        <w:jc w:val="left"/>
        <w:textAlignment w:val="auto"/>
        <w:outlineLvl w:val="9"/>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2024 年由于个别项目推进不及时，在加上年底财政国库资金 紧张，导致一些费用拨付不及时。</w:t>
      </w:r>
    </w:p>
    <w:p w14:paraId="289DA0B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3" w:name="_Hlk110546638"/>
    </w:p>
    <w:p w14:paraId="51FC9FC3">
      <w:pPr>
        <w:keepNext w:val="0"/>
        <w:keepLines w:val="0"/>
        <w:pageBreakBefore w:val="0"/>
        <w:widowControl/>
        <w:kinsoku/>
        <w:wordWrap/>
        <w:overflowPunct/>
        <w:topLinePunct w:val="0"/>
        <w:autoSpaceDE/>
        <w:autoSpaceDN/>
        <w:bidi w:val="0"/>
        <w:adjustRightInd w:val="0"/>
        <w:snapToGrid w:val="0"/>
        <w:spacing w:line="578" w:lineRule="exact"/>
        <w:ind w:firstLine="62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ascii="仿宋_GB2312" w:hAnsi="仿宋_GB2312" w:eastAsia="仿宋_GB2312" w:cs="仿宋_GB2312"/>
          <w:b w:val="0"/>
          <w:bCs w:val="0"/>
          <w:color w:val="000000"/>
          <w:sz w:val="31"/>
          <w:szCs w:val="31"/>
        </w:rPr>
        <w:t>进一步加强项目资金管理，加强项目预算的计划性、科学性、 确保专项资金使用公开、公平、公正；加强财政资金绩效管理，实 现财政资金使用安全、高效、透明。</w:t>
      </w:r>
    </w:p>
    <w:bookmarkEnd w:id="53"/>
    <w:p w14:paraId="4F98C585">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60"/>
        <w:gridCol w:w="665"/>
        <w:gridCol w:w="667"/>
        <w:gridCol w:w="1877"/>
        <w:gridCol w:w="988"/>
        <w:gridCol w:w="988"/>
        <w:gridCol w:w="972"/>
        <w:gridCol w:w="483"/>
        <w:gridCol w:w="634"/>
      </w:tblGrid>
      <w:tr w14:paraId="7913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292404A0">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bookmarkStart w:id="54" w:name="_Toc15396618"/>
            <w:r>
              <w:rPr>
                <w:rFonts w:hint="eastAsia" w:ascii="宋体" w:hAnsi="宋体" w:eastAsia="宋体" w:cs="宋体"/>
                <w:b/>
                <w:bCs/>
                <w:i w:val="0"/>
                <w:iCs w:val="0"/>
                <w:color w:val="000000"/>
                <w:kern w:val="0"/>
                <w:sz w:val="18"/>
                <w:szCs w:val="18"/>
                <w:u w:val="none"/>
                <w:lang w:val="en-US" w:eastAsia="zh-CN" w:bidi="ar"/>
              </w:rPr>
              <w:t>区级项目支出绩效自评表</w:t>
            </w:r>
          </w:p>
        </w:tc>
      </w:tr>
      <w:tr w14:paraId="094C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2CD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7E7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区人大代表活动费</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F63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c>
          <w:tcPr>
            <w:tcW w:w="17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88F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r>
      <w:tr w14:paraId="751C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8AF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8F8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乐山市金口河区人大常务委员会办公室</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030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63E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乐山市金口河区人大常务委员会办公室</w:t>
            </w:r>
          </w:p>
        </w:tc>
      </w:tr>
      <w:tr w14:paraId="5E7B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CF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项目资金（万元）</w:t>
            </w:r>
          </w:p>
        </w:tc>
      </w:tr>
      <w:tr w14:paraId="01C9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1" w:type="pct"/>
            <w:gridSpan w:val="2"/>
            <w:tcBorders>
              <w:top w:val="single" w:color="000000" w:sz="4" w:space="0"/>
              <w:left w:val="single" w:color="000000" w:sz="4" w:space="0"/>
              <w:bottom w:val="single" w:color="000000" w:sz="4" w:space="0"/>
              <w:right w:val="nil"/>
            </w:tcBorders>
            <w:shd w:val="clear" w:color="auto" w:fill="auto"/>
            <w:noWrap/>
            <w:vAlign w:val="center"/>
          </w:tcPr>
          <w:p w14:paraId="6DC38F4E">
            <w:pPr>
              <w:snapToGrid w:val="0"/>
              <w:jc w:val="center"/>
              <w:rPr>
                <w:rFonts w:hint="eastAsia" w:ascii="宋体" w:hAnsi="宋体" w:eastAsia="宋体" w:cs="宋体"/>
                <w:i w:val="0"/>
                <w:iCs w:val="0"/>
                <w:color w:val="000000"/>
                <w:sz w:val="18"/>
                <w:szCs w:val="18"/>
                <w:u w:val="none"/>
              </w:rPr>
            </w:pP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DE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DE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67F3">
            <w:pPr>
              <w:keepNext w:val="0"/>
              <w:keepLines w:val="0"/>
              <w:widowControl/>
              <w:suppressLineNumbers w:val="0"/>
              <w:tabs>
                <w:tab w:val="left" w:pos="3780"/>
                <w:tab w:val="left" w:pos="3990"/>
              </w:tabs>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r>
      <w:tr w14:paraId="06FA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6D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8F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F4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0B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BCE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78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8A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9F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5C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B93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6F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5B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00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DC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#DIV/0!</w:t>
            </w:r>
          </w:p>
        </w:tc>
      </w:tr>
      <w:tr w14:paraId="79C7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778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5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6A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17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C5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346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A4EB">
            <w:pPr>
              <w:snapToGrid w:val="0"/>
              <w:jc w:val="left"/>
              <w:rPr>
                <w:rFonts w:hint="eastAsia" w:ascii="宋体" w:hAnsi="宋体" w:eastAsia="宋体" w:cs="宋体"/>
                <w:i w:val="0"/>
                <w:iCs w:val="0"/>
                <w:color w:val="000000"/>
                <w:sz w:val="18"/>
                <w:szCs w:val="18"/>
                <w:u w:val="none"/>
              </w:rPr>
            </w:pPr>
          </w:p>
        </w:tc>
        <w:tc>
          <w:tcPr>
            <w:tcW w:w="2556" w:type="pct"/>
            <w:gridSpan w:val="4"/>
            <w:tcBorders>
              <w:top w:val="single" w:color="000000" w:sz="4" w:space="0"/>
              <w:left w:val="single" w:color="000000" w:sz="4" w:space="0"/>
              <w:bottom w:val="nil"/>
              <w:right w:val="single" w:color="000000" w:sz="4" w:space="0"/>
            </w:tcBorders>
            <w:shd w:val="clear" w:color="auto" w:fill="auto"/>
            <w:noWrap/>
            <w:vAlign w:val="center"/>
          </w:tcPr>
          <w:p w14:paraId="01FBF99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组织区人大代表开展活动</w:t>
            </w:r>
          </w:p>
        </w:tc>
        <w:tc>
          <w:tcPr>
            <w:tcW w:w="17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F6F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14:paraId="5550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D6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91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99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2B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E0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9A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5CADDA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EA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205AF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9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1C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67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A2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E266">
            <w:pPr>
              <w:snapToGrid w:val="0"/>
              <w:jc w:val="center"/>
              <w:rPr>
                <w:rFonts w:hint="eastAsia" w:ascii="宋体" w:hAnsi="宋体" w:eastAsia="宋体" w:cs="宋体"/>
                <w:i w:val="0"/>
                <w:iCs w:val="0"/>
                <w:color w:val="000000"/>
                <w:sz w:val="18"/>
                <w:szCs w:val="18"/>
                <w:u w:val="none"/>
              </w:rPr>
            </w:pPr>
          </w:p>
        </w:tc>
      </w:tr>
      <w:tr w14:paraId="5999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5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0C48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9134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619D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5C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18C3E1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283D">
            <w:pPr>
              <w:snapToGrid w:val="0"/>
              <w:rPr>
                <w:rFonts w:hint="eastAsia" w:ascii="宋体" w:hAnsi="宋体" w:eastAsia="宋体" w:cs="宋体"/>
                <w:i w:val="0"/>
                <w:iCs w:val="0"/>
                <w:color w:val="000000"/>
                <w:sz w:val="18"/>
                <w:szCs w:val="18"/>
                <w:u w:val="none"/>
              </w:rPr>
            </w:pPr>
          </w:p>
        </w:tc>
      </w:tr>
      <w:tr w14:paraId="7C26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5C23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6045C68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D3DD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代表开展活动</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15B1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≥25次</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24D1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25次</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56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763E17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32A8">
            <w:pPr>
              <w:snapToGrid w:val="0"/>
              <w:rPr>
                <w:rFonts w:hint="eastAsia" w:ascii="宋体" w:hAnsi="宋体" w:eastAsia="宋体" w:cs="宋体"/>
                <w:i w:val="0"/>
                <w:iCs w:val="0"/>
                <w:color w:val="000000"/>
                <w:sz w:val="18"/>
                <w:szCs w:val="18"/>
                <w:u w:val="none"/>
              </w:rPr>
            </w:pPr>
          </w:p>
        </w:tc>
      </w:tr>
      <w:tr w14:paraId="5771D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0EF19">
            <w:pPr>
              <w:snapToGrid w:val="0"/>
              <w:jc w:val="center"/>
              <w:rPr>
                <w:rFonts w:hint="eastAsia" w:ascii="宋体" w:hAnsi="宋体" w:eastAsia="宋体" w:cs="宋体"/>
                <w:i w:val="0"/>
                <w:iCs w:val="0"/>
                <w:color w:val="333333"/>
                <w:sz w:val="18"/>
                <w:szCs w:val="18"/>
                <w:u w:val="none"/>
              </w:rPr>
            </w:pP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002AF95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1A9D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高质量完成履职工作</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080C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1A58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AE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4F21F6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3FCD">
            <w:pPr>
              <w:snapToGrid w:val="0"/>
              <w:rPr>
                <w:rFonts w:hint="eastAsia" w:ascii="宋体" w:hAnsi="宋体" w:eastAsia="宋体" w:cs="宋体"/>
                <w:i w:val="0"/>
                <w:iCs w:val="0"/>
                <w:color w:val="000000"/>
                <w:sz w:val="18"/>
                <w:szCs w:val="18"/>
                <w:u w:val="none"/>
              </w:rPr>
            </w:pPr>
          </w:p>
        </w:tc>
      </w:tr>
      <w:tr w14:paraId="0184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68FBD">
            <w:pPr>
              <w:snapToGrid w:val="0"/>
              <w:jc w:val="center"/>
              <w:rPr>
                <w:rFonts w:hint="eastAsia" w:ascii="宋体" w:hAnsi="宋体" w:eastAsia="宋体" w:cs="宋体"/>
                <w:i w:val="0"/>
                <w:iCs w:val="0"/>
                <w:color w:val="333333"/>
                <w:sz w:val="18"/>
                <w:szCs w:val="18"/>
                <w:u w:val="none"/>
              </w:rPr>
            </w:pP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427E7C7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3CAE6">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E0A03">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9336E">
            <w:pPr>
              <w:snapToGrid w:val="0"/>
              <w:jc w:val="center"/>
              <w:rPr>
                <w:rFonts w:hint="eastAsia" w:ascii="宋体" w:hAnsi="宋体" w:eastAsia="宋体" w:cs="宋体"/>
                <w:i w:val="0"/>
                <w:iCs w:val="0"/>
                <w:color w:val="333333"/>
                <w:sz w:val="18"/>
                <w:szCs w:val="18"/>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8CC7">
            <w:pPr>
              <w:snapToGrid w:val="0"/>
              <w:jc w:val="center"/>
              <w:rPr>
                <w:rFonts w:hint="eastAsia" w:ascii="宋体" w:hAnsi="宋体" w:eastAsia="宋体" w:cs="宋体"/>
                <w:i w:val="0"/>
                <w:iCs w:val="0"/>
                <w:color w:val="000000"/>
                <w:sz w:val="18"/>
                <w:szCs w:val="18"/>
                <w:u w:val="none"/>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59A0CBB5">
            <w:pPr>
              <w:snapToGrid w:val="0"/>
              <w:jc w:val="center"/>
              <w:rPr>
                <w:rFonts w:hint="eastAsia" w:ascii="宋体" w:hAnsi="宋体" w:eastAsia="宋体" w:cs="宋体"/>
                <w:i w:val="0"/>
                <w:iCs w:val="0"/>
                <w:color w:val="000000"/>
                <w:sz w:val="18"/>
                <w:szCs w:val="18"/>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B3B8">
            <w:pPr>
              <w:snapToGrid w:val="0"/>
              <w:rPr>
                <w:rFonts w:hint="eastAsia" w:ascii="宋体" w:hAnsi="宋体" w:eastAsia="宋体" w:cs="宋体"/>
                <w:i w:val="0"/>
                <w:iCs w:val="0"/>
                <w:color w:val="000000"/>
                <w:sz w:val="18"/>
                <w:szCs w:val="18"/>
                <w:u w:val="none"/>
              </w:rPr>
            </w:pPr>
          </w:p>
        </w:tc>
      </w:tr>
      <w:tr w14:paraId="3BC2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F10F1">
            <w:pPr>
              <w:snapToGrid w:val="0"/>
              <w:jc w:val="center"/>
              <w:rPr>
                <w:rFonts w:hint="eastAsia" w:ascii="宋体" w:hAnsi="宋体" w:eastAsia="宋体" w:cs="宋体"/>
                <w:i w:val="0"/>
                <w:iCs w:val="0"/>
                <w:color w:val="333333"/>
                <w:sz w:val="18"/>
                <w:szCs w:val="18"/>
                <w:u w:val="none"/>
              </w:rPr>
            </w:pP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39F52EB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139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代表活动经费</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9D3F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4.5万元</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3B93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4.5万元</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BA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0CB6E4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AA99">
            <w:pPr>
              <w:snapToGrid w:val="0"/>
              <w:rPr>
                <w:rFonts w:hint="eastAsia" w:ascii="宋体" w:hAnsi="宋体" w:eastAsia="宋体" w:cs="宋体"/>
                <w:i w:val="0"/>
                <w:iCs w:val="0"/>
                <w:color w:val="000000"/>
                <w:sz w:val="18"/>
                <w:szCs w:val="18"/>
                <w:u w:val="none"/>
              </w:rPr>
            </w:pPr>
          </w:p>
        </w:tc>
      </w:tr>
      <w:tr w14:paraId="1C2C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E419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6A315A6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06713">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D5E13">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2A815">
            <w:pPr>
              <w:snapToGrid w:val="0"/>
              <w:jc w:val="center"/>
              <w:rPr>
                <w:rFonts w:hint="eastAsia" w:ascii="宋体" w:hAnsi="宋体" w:eastAsia="宋体" w:cs="宋体"/>
                <w:i w:val="0"/>
                <w:iCs w:val="0"/>
                <w:color w:val="333333"/>
                <w:sz w:val="18"/>
                <w:szCs w:val="18"/>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DA07">
            <w:pPr>
              <w:snapToGrid w:val="0"/>
              <w:jc w:val="center"/>
              <w:rPr>
                <w:rFonts w:hint="eastAsia" w:ascii="宋体" w:hAnsi="宋体" w:eastAsia="宋体" w:cs="宋体"/>
                <w:i w:val="0"/>
                <w:iCs w:val="0"/>
                <w:color w:val="000000"/>
                <w:sz w:val="18"/>
                <w:szCs w:val="18"/>
                <w:u w:val="none"/>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343F8918">
            <w:pPr>
              <w:snapToGrid w:val="0"/>
              <w:jc w:val="center"/>
              <w:rPr>
                <w:rFonts w:hint="eastAsia" w:ascii="宋体" w:hAnsi="宋体" w:eastAsia="宋体" w:cs="宋体"/>
                <w:i w:val="0"/>
                <w:iCs w:val="0"/>
                <w:color w:val="000000"/>
                <w:sz w:val="18"/>
                <w:szCs w:val="18"/>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3C9F">
            <w:pPr>
              <w:snapToGrid w:val="0"/>
              <w:rPr>
                <w:rFonts w:hint="eastAsia" w:ascii="宋体" w:hAnsi="宋体" w:eastAsia="宋体" w:cs="宋体"/>
                <w:i w:val="0"/>
                <w:iCs w:val="0"/>
                <w:color w:val="000000"/>
                <w:sz w:val="18"/>
                <w:szCs w:val="18"/>
                <w:u w:val="none"/>
              </w:rPr>
            </w:pPr>
          </w:p>
        </w:tc>
      </w:tr>
      <w:tr w14:paraId="1A7A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0B072">
            <w:pPr>
              <w:snapToGrid w:val="0"/>
              <w:jc w:val="center"/>
              <w:rPr>
                <w:rFonts w:hint="eastAsia" w:ascii="宋体" w:hAnsi="宋体" w:eastAsia="宋体" w:cs="宋体"/>
                <w:i w:val="0"/>
                <w:iCs w:val="0"/>
                <w:color w:val="333333"/>
                <w:sz w:val="18"/>
                <w:szCs w:val="18"/>
                <w:u w:val="none"/>
              </w:rPr>
            </w:pP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0899D12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F91E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充分发挥代表主体作用</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44CD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B174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FC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483957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2268">
            <w:pPr>
              <w:snapToGrid w:val="0"/>
              <w:rPr>
                <w:rFonts w:hint="eastAsia" w:ascii="宋体" w:hAnsi="宋体" w:eastAsia="宋体" w:cs="宋体"/>
                <w:i w:val="0"/>
                <w:iCs w:val="0"/>
                <w:color w:val="000000"/>
                <w:sz w:val="18"/>
                <w:szCs w:val="18"/>
                <w:u w:val="none"/>
              </w:rPr>
            </w:pPr>
          </w:p>
        </w:tc>
      </w:tr>
      <w:tr w14:paraId="6ED2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65752">
            <w:pPr>
              <w:snapToGrid w:val="0"/>
              <w:jc w:val="center"/>
              <w:rPr>
                <w:rFonts w:hint="eastAsia" w:ascii="宋体" w:hAnsi="宋体" w:eastAsia="宋体" w:cs="宋体"/>
                <w:i w:val="0"/>
                <w:iCs w:val="0"/>
                <w:color w:val="333333"/>
                <w:sz w:val="18"/>
                <w:szCs w:val="18"/>
                <w:u w:val="none"/>
              </w:rPr>
            </w:pP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3CFB20E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A92C3">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71B65">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07A73">
            <w:pPr>
              <w:snapToGrid w:val="0"/>
              <w:jc w:val="center"/>
              <w:rPr>
                <w:rFonts w:hint="eastAsia" w:ascii="宋体" w:hAnsi="宋体" w:eastAsia="宋体" w:cs="宋体"/>
                <w:i w:val="0"/>
                <w:iCs w:val="0"/>
                <w:color w:val="333333"/>
                <w:sz w:val="18"/>
                <w:szCs w:val="18"/>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8BD9">
            <w:pPr>
              <w:snapToGrid w:val="0"/>
              <w:jc w:val="center"/>
              <w:rPr>
                <w:rFonts w:hint="eastAsia" w:ascii="宋体" w:hAnsi="宋体" w:eastAsia="宋体" w:cs="宋体"/>
                <w:i w:val="0"/>
                <w:iCs w:val="0"/>
                <w:color w:val="000000"/>
                <w:sz w:val="18"/>
                <w:szCs w:val="18"/>
                <w:u w:val="none"/>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727E2AB7">
            <w:pPr>
              <w:snapToGrid w:val="0"/>
              <w:jc w:val="center"/>
              <w:rPr>
                <w:rFonts w:hint="eastAsia" w:ascii="宋体" w:hAnsi="宋体" w:eastAsia="宋体" w:cs="宋体"/>
                <w:i w:val="0"/>
                <w:iCs w:val="0"/>
                <w:color w:val="000000"/>
                <w:sz w:val="18"/>
                <w:szCs w:val="18"/>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C434">
            <w:pPr>
              <w:snapToGrid w:val="0"/>
              <w:rPr>
                <w:rFonts w:hint="eastAsia" w:ascii="宋体" w:hAnsi="宋体" w:eastAsia="宋体" w:cs="宋体"/>
                <w:i w:val="0"/>
                <w:iCs w:val="0"/>
                <w:color w:val="000000"/>
                <w:sz w:val="18"/>
                <w:szCs w:val="18"/>
                <w:u w:val="none"/>
              </w:rPr>
            </w:pPr>
          </w:p>
        </w:tc>
      </w:tr>
      <w:tr w14:paraId="3B1C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03003">
            <w:pPr>
              <w:snapToGrid w:val="0"/>
              <w:jc w:val="center"/>
              <w:rPr>
                <w:rFonts w:hint="eastAsia" w:ascii="宋体" w:hAnsi="宋体" w:eastAsia="宋体" w:cs="宋体"/>
                <w:i w:val="0"/>
                <w:iCs w:val="0"/>
                <w:color w:val="333333"/>
                <w:sz w:val="18"/>
                <w:szCs w:val="18"/>
                <w:u w:val="none"/>
              </w:rPr>
            </w:pP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6C2BC78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017B1">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B3015">
            <w:pPr>
              <w:snapToGrid w:val="0"/>
              <w:jc w:val="center"/>
              <w:rPr>
                <w:rFonts w:hint="eastAsia" w:ascii="宋体" w:hAnsi="宋体" w:eastAsia="宋体" w:cs="宋体"/>
                <w:i w:val="0"/>
                <w:iCs w:val="0"/>
                <w:color w:val="333333"/>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E0D8A">
            <w:pPr>
              <w:snapToGrid w:val="0"/>
              <w:jc w:val="center"/>
              <w:rPr>
                <w:rFonts w:hint="eastAsia" w:ascii="宋体" w:hAnsi="宋体" w:eastAsia="宋体" w:cs="宋体"/>
                <w:i w:val="0"/>
                <w:iCs w:val="0"/>
                <w:color w:val="333333"/>
                <w:sz w:val="18"/>
                <w:szCs w:val="18"/>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E4EC">
            <w:pPr>
              <w:snapToGrid w:val="0"/>
              <w:jc w:val="center"/>
              <w:rPr>
                <w:rFonts w:hint="eastAsia" w:ascii="宋体" w:hAnsi="宋体" w:eastAsia="宋体" w:cs="宋体"/>
                <w:i w:val="0"/>
                <w:iCs w:val="0"/>
                <w:color w:val="000000"/>
                <w:sz w:val="18"/>
                <w:szCs w:val="18"/>
                <w:u w:val="none"/>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1B1BD0DD">
            <w:pPr>
              <w:snapToGrid w:val="0"/>
              <w:jc w:val="center"/>
              <w:rPr>
                <w:rFonts w:hint="eastAsia" w:ascii="宋体" w:hAnsi="宋体" w:eastAsia="宋体" w:cs="宋体"/>
                <w:i w:val="0"/>
                <w:iCs w:val="0"/>
                <w:color w:val="000000"/>
                <w:sz w:val="18"/>
                <w:szCs w:val="18"/>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273F">
            <w:pPr>
              <w:snapToGrid w:val="0"/>
              <w:rPr>
                <w:rFonts w:hint="eastAsia" w:ascii="宋体" w:hAnsi="宋体" w:eastAsia="宋体" w:cs="宋体"/>
                <w:i w:val="0"/>
                <w:iCs w:val="0"/>
                <w:color w:val="000000"/>
                <w:sz w:val="18"/>
                <w:szCs w:val="18"/>
                <w:u w:val="none"/>
              </w:rPr>
            </w:pPr>
          </w:p>
        </w:tc>
      </w:tr>
      <w:tr w14:paraId="5D28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7342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67" w:type="pct"/>
            <w:gridSpan w:val="2"/>
            <w:tcBorders>
              <w:top w:val="single" w:color="000000" w:sz="4" w:space="0"/>
              <w:left w:val="single" w:color="000000" w:sz="4" w:space="0"/>
              <w:bottom w:val="single" w:color="000000" w:sz="4" w:space="0"/>
              <w:right w:val="nil"/>
            </w:tcBorders>
            <w:shd w:val="clear" w:color="auto" w:fill="FFFFFF"/>
            <w:noWrap/>
            <w:vAlign w:val="center"/>
          </w:tcPr>
          <w:p w14:paraId="6B4F737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351D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B728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DF98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3A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27874E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EEB4">
            <w:pPr>
              <w:snapToGrid w:val="0"/>
              <w:rPr>
                <w:rFonts w:hint="eastAsia" w:ascii="宋体" w:hAnsi="宋体" w:eastAsia="宋体" w:cs="宋体"/>
                <w:i w:val="0"/>
                <w:iCs w:val="0"/>
                <w:color w:val="000000"/>
                <w:sz w:val="18"/>
                <w:szCs w:val="18"/>
                <w:u w:val="none"/>
              </w:rPr>
            </w:pPr>
          </w:p>
        </w:tc>
      </w:tr>
    </w:tbl>
    <w:p w14:paraId="2EDE5BCF">
      <w:pPr>
        <w:widowControl/>
        <w:jc w:val="center"/>
        <w:rPr>
          <w:rFonts w:hint="eastAsia" w:ascii="Times New Roman" w:hAnsi="Times New Roman" w:eastAsia="黑体"/>
          <w:color w:val="auto"/>
          <w:sz w:val="44"/>
          <w:szCs w:val="44"/>
          <w:highlight w:val="none"/>
        </w:rPr>
      </w:pPr>
    </w:p>
    <w:p w14:paraId="25CA25EB">
      <w:pPr>
        <w:pStyle w:val="2"/>
        <w:rPr>
          <w:rFonts w:hint="eastAsia" w:ascii="Times New Roman" w:hAnsi="Times New Roman" w:eastAsia="黑体"/>
          <w:color w:val="auto"/>
          <w:sz w:val="44"/>
          <w:szCs w:val="44"/>
          <w:highlight w:val="none"/>
        </w:rPr>
      </w:pPr>
    </w:p>
    <w:p w14:paraId="2F229C67">
      <w:pPr>
        <w:pStyle w:val="3"/>
        <w:rPr>
          <w:rFonts w:hint="eastAsia" w:ascii="Times New Roman" w:hAnsi="Times New Roman" w:eastAsia="黑体"/>
          <w:color w:val="auto"/>
          <w:sz w:val="44"/>
          <w:szCs w:val="44"/>
          <w:highlight w:val="none"/>
        </w:rPr>
      </w:pPr>
    </w:p>
    <w:p w14:paraId="4C49AF41">
      <w:pPr>
        <w:rPr>
          <w:rFonts w:hint="eastAsia" w:ascii="Times New Roman" w:hAnsi="Times New Roman" w:eastAsia="黑体"/>
          <w:color w:val="auto"/>
          <w:sz w:val="44"/>
          <w:szCs w:val="44"/>
          <w:highlight w:val="none"/>
        </w:rPr>
      </w:pPr>
    </w:p>
    <w:p w14:paraId="4348DD61">
      <w:pPr>
        <w:pStyle w:val="2"/>
        <w:rPr>
          <w:rFonts w:hint="eastAsia" w:ascii="Times New Roman" w:hAnsi="Times New Roman" w:eastAsia="黑体"/>
          <w:color w:val="auto"/>
          <w:sz w:val="44"/>
          <w:szCs w:val="44"/>
          <w:highlight w:val="none"/>
        </w:rPr>
      </w:pPr>
    </w:p>
    <w:p w14:paraId="57E39A6E">
      <w:pPr>
        <w:pStyle w:val="3"/>
        <w:rPr>
          <w:rFonts w:hint="eastAsia" w:ascii="Times New Roman" w:hAnsi="Times New Roman" w:eastAsia="黑体"/>
          <w:color w:val="auto"/>
          <w:sz w:val="44"/>
          <w:szCs w:val="44"/>
          <w:highlight w:val="none"/>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67"/>
        <w:gridCol w:w="1344"/>
        <w:gridCol w:w="1344"/>
        <w:gridCol w:w="871"/>
        <w:gridCol w:w="2654"/>
        <w:gridCol w:w="396"/>
        <w:gridCol w:w="396"/>
        <w:gridCol w:w="262"/>
      </w:tblGrid>
      <w:tr w14:paraId="506D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3"/>
          <w:wAfter w:w="1054" w:type="dxa"/>
          <w:trHeight w:val="0" w:hRule="atLeast"/>
          <w:jc w:val="center"/>
        </w:trPr>
        <w:tc>
          <w:tcPr>
            <w:tcW w:w="5000" w:type="pct"/>
            <w:gridSpan w:val="5"/>
            <w:tcBorders>
              <w:top w:val="nil"/>
              <w:left w:val="nil"/>
              <w:bottom w:val="nil"/>
              <w:right w:val="nil"/>
            </w:tcBorders>
            <w:shd w:val="clear" w:color="auto" w:fill="auto"/>
            <w:noWrap/>
            <w:vAlign w:val="center"/>
          </w:tcPr>
          <w:p w14:paraId="755F695D">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06D5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92C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9AC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县级领导基金费用</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FDE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470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3FFC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C6A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1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4B0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50B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227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r>
      <w:tr w14:paraId="0147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FF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78F3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1000" w:type="pct"/>
            <w:tcBorders>
              <w:top w:val="single" w:color="000000" w:sz="4" w:space="0"/>
              <w:left w:val="single" w:color="000000" w:sz="4" w:space="0"/>
              <w:bottom w:val="single" w:color="000000" w:sz="4" w:space="0"/>
              <w:right w:val="nil"/>
            </w:tcBorders>
            <w:shd w:val="clear" w:color="auto" w:fill="auto"/>
            <w:noWrap/>
            <w:vAlign w:val="center"/>
          </w:tcPr>
          <w:p w14:paraId="1340D24E">
            <w:pPr>
              <w:snapToGrid w:val="0"/>
              <w:jc w:val="center"/>
              <w:rPr>
                <w:rFonts w:hint="eastAsia" w:ascii="宋体" w:hAnsi="宋体" w:eastAsia="宋体" w:cs="宋体"/>
                <w:i w:val="0"/>
                <w:iCs w:val="0"/>
                <w:color w:val="000000"/>
                <w:sz w:val="20"/>
                <w:szCs w:val="20"/>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C9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73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1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B5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4A92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41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FC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AD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8C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A0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65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4E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FF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B6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7A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CE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10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05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1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AB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7599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126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C3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2D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9AF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3"/>
          <w:wAfter w:w="1054" w:type="dxa"/>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2141">
            <w:pPr>
              <w:snapToGrid w:val="0"/>
              <w:jc w:val="left"/>
              <w:rPr>
                <w:rFonts w:hint="eastAsia" w:ascii="宋体" w:hAnsi="宋体" w:eastAsia="宋体" w:cs="宋体"/>
                <w:i w:val="0"/>
                <w:iCs w:val="0"/>
                <w:color w:val="000000"/>
                <w:sz w:val="20"/>
                <w:szCs w:val="20"/>
                <w:u w:val="none"/>
              </w:rPr>
            </w:pPr>
          </w:p>
        </w:tc>
        <w:tc>
          <w:tcPr>
            <w:tcW w:w="2830" w:type="pct"/>
            <w:gridSpan w:val="3"/>
            <w:tcBorders>
              <w:top w:val="single" w:color="000000" w:sz="4" w:space="0"/>
              <w:left w:val="single" w:color="000000" w:sz="4" w:space="0"/>
              <w:bottom w:val="nil"/>
              <w:right w:val="single" w:color="000000" w:sz="4" w:space="0"/>
            </w:tcBorders>
            <w:shd w:val="clear" w:color="auto" w:fill="auto"/>
            <w:vAlign w:val="center"/>
          </w:tcPr>
          <w:p w14:paraId="052E424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对困难群众、几天给与帮助，解决实际困难。巩固脱贫成果，推动乡村振兴，提升联系村基层治理能力</w:t>
            </w:r>
          </w:p>
        </w:tc>
        <w:tc>
          <w:tcPr>
            <w:tcW w:w="2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900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解决联系村的急难险重任务，群众实际困难，巩固脱贫成果，推动乡村振兴，提升联系村基层治理能力</w:t>
            </w:r>
          </w:p>
        </w:tc>
      </w:tr>
      <w:tr w14:paraId="43B8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33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4F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31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13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BE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B3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091C0F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64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786B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658" w:type="dxa"/>
          <w:trHeight w:val="0" w:hRule="atLeast"/>
          <w:jc w:val="center"/>
        </w:trPr>
        <w:tc>
          <w:tcPr>
            <w:tcW w:w="28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05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D4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FF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302F">
            <w:pPr>
              <w:snapToGrid w:val="0"/>
              <w:jc w:val="center"/>
              <w:rPr>
                <w:rFonts w:hint="eastAsia" w:ascii="宋体" w:hAnsi="宋体" w:eastAsia="宋体" w:cs="宋体"/>
                <w:i w:val="0"/>
                <w:iCs w:val="0"/>
                <w:color w:val="000000"/>
                <w:sz w:val="18"/>
                <w:szCs w:val="18"/>
                <w:u w:val="none"/>
              </w:rPr>
            </w:pPr>
          </w:p>
        </w:tc>
      </w:tr>
      <w:tr w14:paraId="5AE4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262" w:type="dxa"/>
          <w:trHeight w:val="0" w:hRule="atLeast"/>
          <w:jc w:val="center"/>
        </w:trPr>
        <w:tc>
          <w:tcPr>
            <w:tcW w:w="21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3297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0B23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207E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D5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49B59A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C64E">
            <w:pPr>
              <w:snapToGrid w:val="0"/>
              <w:rPr>
                <w:rFonts w:hint="eastAsia" w:ascii="宋体" w:hAnsi="宋体" w:eastAsia="宋体" w:cs="宋体"/>
                <w:i w:val="0"/>
                <w:iCs w:val="0"/>
                <w:color w:val="000000"/>
                <w:sz w:val="18"/>
                <w:szCs w:val="18"/>
                <w:u w:val="none"/>
              </w:rPr>
            </w:pPr>
          </w:p>
        </w:tc>
      </w:tr>
      <w:tr w14:paraId="3311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3FD9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3A6D105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0838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帮助解决问题</w:t>
            </w: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088E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＞5次</w:t>
            </w: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5605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35次</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76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67FC95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85D2">
            <w:pPr>
              <w:snapToGrid w:val="0"/>
              <w:rPr>
                <w:rFonts w:hint="eastAsia" w:ascii="宋体" w:hAnsi="宋体" w:eastAsia="宋体" w:cs="宋体"/>
                <w:i w:val="0"/>
                <w:iCs w:val="0"/>
                <w:color w:val="000000"/>
                <w:sz w:val="18"/>
                <w:szCs w:val="18"/>
                <w:u w:val="none"/>
              </w:rPr>
            </w:pPr>
          </w:p>
        </w:tc>
      </w:tr>
      <w:tr w14:paraId="2130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EB34A">
            <w:pPr>
              <w:snapToGrid w:val="0"/>
              <w:jc w:val="center"/>
              <w:rPr>
                <w:rFonts w:hint="eastAsia" w:ascii="宋体" w:hAnsi="宋体" w:eastAsia="宋体" w:cs="宋体"/>
                <w:i w:val="0"/>
                <w:iCs w:val="0"/>
                <w:color w:val="333333"/>
                <w:sz w:val="18"/>
                <w:szCs w:val="18"/>
                <w:u w:val="none"/>
              </w:rPr>
            </w:pP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2E3AAA8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5852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及时高质量解决问题</w:t>
            </w: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6E49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AE52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4C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7A9A66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EAB6">
            <w:pPr>
              <w:snapToGrid w:val="0"/>
              <w:rPr>
                <w:rFonts w:hint="eastAsia" w:ascii="宋体" w:hAnsi="宋体" w:eastAsia="宋体" w:cs="宋体"/>
                <w:i w:val="0"/>
                <w:iCs w:val="0"/>
                <w:color w:val="000000"/>
                <w:sz w:val="18"/>
                <w:szCs w:val="18"/>
                <w:u w:val="none"/>
              </w:rPr>
            </w:pPr>
          </w:p>
        </w:tc>
      </w:tr>
      <w:tr w14:paraId="26A0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5F67F">
            <w:pPr>
              <w:snapToGrid w:val="0"/>
              <w:jc w:val="center"/>
              <w:rPr>
                <w:rFonts w:hint="eastAsia" w:ascii="宋体" w:hAnsi="宋体" w:eastAsia="宋体" w:cs="宋体"/>
                <w:i w:val="0"/>
                <w:iCs w:val="0"/>
                <w:color w:val="333333"/>
                <w:sz w:val="18"/>
                <w:szCs w:val="18"/>
                <w:u w:val="none"/>
              </w:rPr>
            </w:pP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4C1074A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28AC5">
            <w:pPr>
              <w:snapToGrid w:val="0"/>
              <w:jc w:val="center"/>
              <w:rPr>
                <w:rFonts w:hint="eastAsia" w:ascii="宋体" w:hAnsi="宋体" w:eastAsia="宋体" w:cs="宋体"/>
                <w:i w:val="0"/>
                <w:iCs w:val="0"/>
                <w:color w:val="333333"/>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788DE">
            <w:pPr>
              <w:snapToGrid w:val="0"/>
              <w:jc w:val="center"/>
              <w:rPr>
                <w:rFonts w:hint="eastAsia" w:ascii="宋体" w:hAnsi="宋体" w:eastAsia="宋体" w:cs="宋体"/>
                <w:i w:val="0"/>
                <w:iCs w:val="0"/>
                <w:color w:val="333333"/>
                <w:sz w:val="18"/>
                <w:szCs w:val="18"/>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A8829">
            <w:pPr>
              <w:snapToGrid w:val="0"/>
              <w:jc w:val="center"/>
              <w:rPr>
                <w:rFonts w:hint="eastAsia" w:ascii="宋体" w:hAnsi="宋体" w:eastAsia="宋体" w:cs="宋体"/>
                <w:i w:val="0"/>
                <w:iCs w:val="0"/>
                <w:color w:val="333333"/>
                <w:sz w:val="18"/>
                <w:szCs w:val="18"/>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806B">
            <w:pPr>
              <w:snapToGrid w:val="0"/>
              <w:jc w:val="center"/>
              <w:rPr>
                <w:rFonts w:hint="eastAsia" w:ascii="宋体" w:hAnsi="宋体" w:eastAsia="宋体" w:cs="宋体"/>
                <w:i w:val="0"/>
                <w:iCs w:val="0"/>
                <w:color w:val="000000"/>
                <w:sz w:val="18"/>
                <w:szCs w:val="18"/>
                <w:u w:val="none"/>
              </w:rPr>
            </w:pP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3A9A27C5">
            <w:pPr>
              <w:snapToGrid w:val="0"/>
              <w:jc w:val="center"/>
              <w:rPr>
                <w:rFonts w:hint="eastAsia" w:ascii="宋体" w:hAnsi="宋体" w:eastAsia="宋体" w:cs="宋体"/>
                <w:i w:val="0"/>
                <w:iCs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F530">
            <w:pPr>
              <w:snapToGrid w:val="0"/>
              <w:rPr>
                <w:rFonts w:hint="eastAsia" w:ascii="宋体" w:hAnsi="宋体" w:eastAsia="宋体" w:cs="宋体"/>
                <w:i w:val="0"/>
                <w:iCs w:val="0"/>
                <w:color w:val="000000"/>
                <w:sz w:val="18"/>
                <w:szCs w:val="18"/>
                <w:u w:val="none"/>
              </w:rPr>
            </w:pPr>
          </w:p>
        </w:tc>
      </w:tr>
      <w:tr w14:paraId="53DB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771D9">
            <w:pPr>
              <w:snapToGrid w:val="0"/>
              <w:jc w:val="center"/>
              <w:rPr>
                <w:rFonts w:hint="eastAsia" w:ascii="宋体" w:hAnsi="宋体" w:eastAsia="宋体" w:cs="宋体"/>
                <w:i w:val="0"/>
                <w:iCs w:val="0"/>
                <w:color w:val="333333"/>
                <w:sz w:val="18"/>
                <w:szCs w:val="18"/>
                <w:u w:val="none"/>
              </w:rPr>
            </w:pP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0670547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6D38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解决困难执行支出</w:t>
            </w: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B55B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25万元</w:t>
            </w: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2099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25万元</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50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1E858C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1E44">
            <w:pPr>
              <w:snapToGrid w:val="0"/>
              <w:rPr>
                <w:rFonts w:hint="eastAsia" w:ascii="宋体" w:hAnsi="宋体" w:eastAsia="宋体" w:cs="宋体"/>
                <w:i w:val="0"/>
                <w:iCs w:val="0"/>
                <w:color w:val="000000"/>
                <w:sz w:val="18"/>
                <w:szCs w:val="18"/>
                <w:u w:val="none"/>
              </w:rPr>
            </w:pPr>
          </w:p>
        </w:tc>
      </w:tr>
      <w:tr w14:paraId="33A6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4746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455B7B3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2BE7F">
            <w:pPr>
              <w:snapToGrid w:val="0"/>
              <w:jc w:val="center"/>
              <w:rPr>
                <w:rFonts w:hint="eastAsia" w:ascii="宋体" w:hAnsi="宋体" w:eastAsia="宋体" w:cs="宋体"/>
                <w:i w:val="0"/>
                <w:iCs w:val="0"/>
                <w:color w:val="333333"/>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57FB1">
            <w:pPr>
              <w:snapToGrid w:val="0"/>
              <w:jc w:val="center"/>
              <w:rPr>
                <w:rFonts w:hint="eastAsia" w:ascii="宋体" w:hAnsi="宋体" w:eastAsia="宋体" w:cs="宋体"/>
                <w:i w:val="0"/>
                <w:iCs w:val="0"/>
                <w:color w:val="333333"/>
                <w:sz w:val="18"/>
                <w:szCs w:val="18"/>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E2EE1">
            <w:pPr>
              <w:snapToGrid w:val="0"/>
              <w:jc w:val="center"/>
              <w:rPr>
                <w:rFonts w:hint="eastAsia" w:ascii="宋体" w:hAnsi="宋体" w:eastAsia="宋体" w:cs="宋体"/>
                <w:i w:val="0"/>
                <w:iCs w:val="0"/>
                <w:color w:val="333333"/>
                <w:sz w:val="18"/>
                <w:szCs w:val="18"/>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EF92">
            <w:pPr>
              <w:snapToGrid w:val="0"/>
              <w:jc w:val="center"/>
              <w:rPr>
                <w:rFonts w:hint="eastAsia" w:ascii="宋体" w:hAnsi="宋体" w:eastAsia="宋体" w:cs="宋体"/>
                <w:i w:val="0"/>
                <w:iCs w:val="0"/>
                <w:color w:val="000000"/>
                <w:sz w:val="18"/>
                <w:szCs w:val="18"/>
                <w:u w:val="none"/>
              </w:rPr>
            </w:pP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49B4FF3D">
            <w:pPr>
              <w:snapToGrid w:val="0"/>
              <w:jc w:val="center"/>
              <w:rPr>
                <w:rFonts w:hint="eastAsia" w:ascii="宋体" w:hAnsi="宋体" w:eastAsia="宋体" w:cs="宋体"/>
                <w:i w:val="0"/>
                <w:iCs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430C">
            <w:pPr>
              <w:snapToGrid w:val="0"/>
              <w:rPr>
                <w:rFonts w:hint="eastAsia" w:ascii="宋体" w:hAnsi="宋体" w:eastAsia="宋体" w:cs="宋体"/>
                <w:i w:val="0"/>
                <w:iCs w:val="0"/>
                <w:color w:val="000000"/>
                <w:sz w:val="18"/>
                <w:szCs w:val="18"/>
                <w:u w:val="none"/>
              </w:rPr>
            </w:pPr>
          </w:p>
        </w:tc>
      </w:tr>
      <w:tr w14:paraId="654F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E0893">
            <w:pPr>
              <w:snapToGrid w:val="0"/>
              <w:jc w:val="center"/>
              <w:rPr>
                <w:rFonts w:hint="eastAsia" w:ascii="宋体" w:hAnsi="宋体" w:eastAsia="宋体" w:cs="宋体"/>
                <w:i w:val="0"/>
                <w:iCs w:val="0"/>
                <w:color w:val="333333"/>
                <w:sz w:val="18"/>
                <w:szCs w:val="18"/>
                <w:u w:val="none"/>
              </w:rPr>
            </w:pP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26DB903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CF13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有效解决问题</w:t>
            </w: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1A75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255D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26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6049E3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7AC8">
            <w:pPr>
              <w:snapToGrid w:val="0"/>
              <w:rPr>
                <w:rFonts w:hint="eastAsia" w:ascii="宋体" w:hAnsi="宋体" w:eastAsia="宋体" w:cs="宋体"/>
                <w:i w:val="0"/>
                <w:iCs w:val="0"/>
                <w:color w:val="000000"/>
                <w:sz w:val="18"/>
                <w:szCs w:val="18"/>
                <w:u w:val="none"/>
              </w:rPr>
            </w:pPr>
          </w:p>
        </w:tc>
      </w:tr>
      <w:tr w14:paraId="4BBC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36868">
            <w:pPr>
              <w:snapToGrid w:val="0"/>
              <w:jc w:val="center"/>
              <w:rPr>
                <w:rFonts w:hint="eastAsia" w:ascii="宋体" w:hAnsi="宋体" w:eastAsia="宋体" w:cs="宋体"/>
                <w:i w:val="0"/>
                <w:iCs w:val="0"/>
                <w:color w:val="333333"/>
                <w:sz w:val="18"/>
                <w:szCs w:val="18"/>
                <w:u w:val="none"/>
              </w:rPr>
            </w:pP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1A6235B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8826E">
            <w:pPr>
              <w:snapToGrid w:val="0"/>
              <w:jc w:val="center"/>
              <w:rPr>
                <w:rFonts w:hint="eastAsia" w:ascii="宋体" w:hAnsi="宋体" w:eastAsia="宋体" w:cs="宋体"/>
                <w:i w:val="0"/>
                <w:iCs w:val="0"/>
                <w:color w:val="333333"/>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E8360">
            <w:pPr>
              <w:snapToGrid w:val="0"/>
              <w:jc w:val="center"/>
              <w:rPr>
                <w:rFonts w:hint="eastAsia" w:ascii="宋体" w:hAnsi="宋体" w:eastAsia="宋体" w:cs="宋体"/>
                <w:i w:val="0"/>
                <w:iCs w:val="0"/>
                <w:color w:val="333333"/>
                <w:sz w:val="18"/>
                <w:szCs w:val="18"/>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67B96">
            <w:pPr>
              <w:snapToGrid w:val="0"/>
              <w:jc w:val="center"/>
              <w:rPr>
                <w:rFonts w:hint="eastAsia" w:ascii="宋体" w:hAnsi="宋体" w:eastAsia="宋体" w:cs="宋体"/>
                <w:i w:val="0"/>
                <w:iCs w:val="0"/>
                <w:color w:val="333333"/>
                <w:sz w:val="18"/>
                <w:szCs w:val="18"/>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A242">
            <w:pPr>
              <w:snapToGrid w:val="0"/>
              <w:jc w:val="center"/>
              <w:rPr>
                <w:rFonts w:hint="eastAsia" w:ascii="宋体" w:hAnsi="宋体" w:eastAsia="宋体" w:cs="宋体"/>
                <w:i w:val="0"/>
                <w:iCs w:val="0"/>
                <w:color w:val="000000"/>
                <w:sz w:val="18"/>
                <w:szCs w:val="18"/>
                <w:u w:val="none"/>
              </w:rPr>
            </w:pP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1A64DCEC">
            <w:pPr>
              <w:snapToGrid w:val="0"/>
              <w:jc w:val="center"/>
              <w:rPr>
                <w:rFonts w:hint="eastAsia" w:ascii="宋体" w:hAnsi="宋体" w:eastAsia="宋体" w:cs="宋体"/>
                <w:i w:val="0"/>
                <w:iCs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F240">
            <w:pPr>
              <w:snapToGrid w:val="0"/>
              <w:rPr>
                <w:rFonts w:hint="eastAsia" w:ascii="宋体" w:hAnsi="宋体" w:eastAsia="宋体" w:cs="宋体"/>
                <w:i w:val="0"/>
                <w:iCs w:val="0"/>
                <w:color w:val="000000"/>
                <w:sz w:val="18"/>
                <w:szCs w:val="18"/>
                <w:u w:val="none"/>
              </w:rPr>
            </w:pPr>
          </w:p>
        </w:tc>
      </w:tr>
      <w:tr w14:paraId="0A15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720E3">
            <w:pPr>
              <w:snapToGrid w:val="0"/>
              <w:jc w:val="center"/>
              <w:rPr>
                <w:rFonts w:hint="eastAsia" w:ascii="宋体" w:hAnsi="宋体" w:eastAsia="宋体" w:cs="宋体"/>
                <w:i w:val="0"/>
                <w:iCs w:val="0"/>
                <w:color w:val="333333"/>
                <w:sz w:val="18"/>
                <w:szCs w:val="18"/>
                <w:u w:val="none"/>
              </w:rPr>
            </w:pP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3A02347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A8986">
            <w:pPr>
              <w:snapToGrid w:val="0"/>
              <w:jc w:val="center"/>
              <w:rPr>
                <w:rFonts w:hint="eastAsia" w:ascii="宋体" w:hAnsi="宋体" w:eastAsia="宋体" w:cs="宋体"/>
                <w:i w:val="0"/>
                <w:iCs w:val="0"/>
                <w:color w:val="333333"/>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6D5CB">
            <w:pPr>
              <w:snapToGrid w:val="0"/>
              <w:jc w:val="center"/>
              <w:rPr>
                <w:rFonts w:hint="eastAsia" w:ascii="宋体" w:hAnsi="宋体" w:eastAsia="宋体" w:cs="宋体"/>
                <w:i w:val="0"/>
                <w:iCs w:val="0"/>
                <w:color w:val="333333"/>
                <w:sz w:val="18"/>
                <w:szCs w:val="18"/>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41546">
            <w:pPr>
              <w:snapToGrid w:val="0"/>
              <w:jc w:val="center"/>
              <w:rPr>
                <w:rFonts w:hint="eastAsia" w:ascii="宋体" w:hAnsi="宋体" w:eastAsia="宋体" w:cs="宋体"/>
                <w:i w:val="0"/>
                <w:iCs w:val="0"/>
                <w:color w:val="333333"/>
                <w:sz w:val="18"/>
                <w:szCs w:val="18"/>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1FFE">
            <w:pPr>
              <w:snapToGrid w:val="0"/>
              <w:jc w:val="center"/>
              <w:rPr>
                <w:rFonts w:hint="eastAsia" w:ascii="宋体" w:hAnsi="宋体" w:eastAsia="宋体" w:cs="宋体"/>
                <w:i w:val="0"/>
                <w:iCs w:val="0"/>
                <w:color w:val="000000"/>
                <w:sz w:val="18"/>
                <w:szCs w:val="18"/>
                <w:u w:val="none"/>
              </w:rPr>
            </w:pP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60FF06A8">
            <w:pPr>
              <w:snapToGrid w:val="0"/>
              <w:jc w:val="center"/>
              <w:rPr>
                <w:rFonts w:hint="eastAsia" w:ascii="宋体" w:hAnsi="宋体" w:eastAsia="宋体" w:cs="宋体"/>
                <w:i w:val="0"/>
                <w:iCs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3DC5">
            <w:pPr>
              <w:snapToGrid w:val="0"/>
              <w:rPr>
                <w:rFonts w:hint="eastAsia" w:ascii="宋体" w:hAnsi="宋体" w:eastAsia="宋体" w:cs="宋体"/>
                <w:i w:val="0"/>
                <w:iCs w:val="0"/>
                <w:color w:val="000000"/>
                <w:sz w:val="18"/>
                <w:szCs w:val="18"/>
                <w:u w:val="none"/>
              </w:rPr>
            </w:pPr>
          </w:p>
        </w:tc>
      </w:tr>
      <w:tr w14:paraId="7BCD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6556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000" w:type="pct"/>
            <w:tcBorders>
              <w:top w:val="single" w:color="000000" w:sz="4" w:space="0"/>
              <w:left w:val="single" w:color="000000" w:sz="4" w:space="0"/>
              <w:bottom w:val="single" w:color="000000" w:sz="4" w:space="0"/>
              <w:right w:val="nil"/>
            </w:tcBorders>
            <w:shd w:val="clear" w:color="auto" w:fill="FFFFFF"/>
            <w:noWrap/>
            <w:vAlign w:val="center"/>
          </w:tcPr>
          <w:p w14:paraId="2CD38E3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1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66F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w:t>
            </w:r>
          </w:p>
        </w:tc>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A2A6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8800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57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pct"/>
            <w:tcBorders>
              <w:top w:val="single" w:color="000000" w:sz="4" w:space="0"/>
              <w:left w:val="nil"/>
              <w:bottom w:val="single" w:color="000000" w:sz="4" w:space="0"/>
              <w:right w:val="single" w:color="000000" w:sz="4" w:space="0"/>
            </w:tcBorders>
            <w:shd w:val="clear" w:color="auto" w:fill="auto"/>
            <w:noWrap/>
            <w:vAlign w:val="center"/>
          </w:tcPr>
          <w:p w14:paraId="3707AE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D698">
            <w:pPr>
              <w:snapToGrid w:val="0"/>
              <w:rPr>
                <w:rFonts w:hint="eastAsia" w:ascii="宋体" w:hAnsi="宋体" w:eastAsia="宋体" w:cs="宋体"/>
                <w:i w:val="0"/>
                <w:iCs w:val="0"/>
                <w:color w:val="000000"/>
                <w:sz w:val="18"/>
                <w:szCs w:val="18"/>
                <w:u w:val="none"/>
              </w:rPr>
            </w:pPr>
          </w:p>
        </w:tc>
      </w:tr>
    </w:tbl>
    <w:p w14:paraId="434B2E5F">
      <w:pPr>
        <w:rPr>
          <w:rFonts w:hint="eastAsia" w:ascii="Times New Roman" w:hAnsi="Times New Roman" w:eastAsia="黑体"/>
          <w:color w:val="auto"/>
          <w:sz w:val="44"/>
          <w:szCs w:val="44"/>
          <w:highlight w:val="none"/>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59"/>
        <w:gridCol w:w="608"/>
        <w:gridCol w:w="603"/>
        <w:gridCol w:w="1968"/>
        <w:gridCol w:w="987"/>
        <w:gridCol w:w="901"/>
        <w:gridCol w:w="885"/>
        <w:gridCol w:w="460"/>
        <w:gridCol w:w="863"/>
      </w:tblGrid>
      <w:tr w14:paraId="18A0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5A6F538C">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5A55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29B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87E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区人代会经费</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C72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77A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4D10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9C1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5D1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133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392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r>
      <w:tr w14:paraId="462D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3B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47EA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nil"/>
            </w:tcBorders>
            <w:shd w:val="clear" w:color="auto" w:fill="auto"/>
            <w:noWrap/>
            <w:vAlign w:val="center"/>
          </w:tcPr>
          <w:p w14:paraId="7AC5278B">
            <w:pPr>
              <w:snapToGrid w:val="0"/>
              <w:jc w:val="center"/>
              <w:rPr>
                <w:rFonts w:hint="eastAsia" w:ascii="宋体" w:hAnsi="宋体" w:eastAsia="宋体" w:cs="宋体"/>
                <w:i w:val="0"/>
                <w:iCs w:val="0"/>
                <w:color w:val="000000"/>
                <w:sz w:val="20"/>
                <w:szCs w:val="20"/>
                <w:u w:val="none"/>
              </w:rPr>
            </w:pP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21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664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5B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25BE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25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88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97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CD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20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C0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11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FA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CB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43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52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4C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94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BC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48C0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D07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BB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C2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1BC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D17F">
            <w:pPr>
              <w:snapToGrid w:val="0"/>
              <w:jc w:val="left"/>
              <w:rPr>
                <w:rFonts w:hint="eastAsia" w:ascii="宋体" w:hAnsi="宋体" w:eastAsia="宋体" w:cs="宋体"/>
                <w:i w:val="0"/>
                <w:iCs w:val="0"/>
                <w:color w:val="000000"/>
                <w:sz w:val="20"/>
                <w:szCs w:val="20"/>
                <w:u w:val="none"/>
              </w:rPr>
            </w:pPr>
          </w:p>
        </w:tc>
        <w:tc>
          <w:tcPr>
            <w:tcW w:w="2530" w:type="pct"/>
            <w:gridSpan w:val="4"/>
            <w:tcBorders>
              <w:top w:val="single" w:color="000000" w:sz="4" w:space="0"/>
              <w:left w:val="single" w:color="000000" w:sz="4" w:space="0"/>
              <w:bottom w:val="nil"/>
              <w:right w:val="single" w:color="000000" w:sz="4" w:space="0"/>
            </w:tcBorders>
            <w:shd w:val="clear" w:color="auto" w:fill="auto"/>
            <w:noWrap/>
            <w:vAlign w:val="center"/>
          </w:tcPr>
          <w:p w14:paraId="6B5B566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按时召开区十一届人代会</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98D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r>
      <w:tr w14:paraId="7C03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2D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A2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EB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62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E3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85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0629D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4B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420F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2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56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1A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3F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F633">
            <w:pPr>
              <w:snapToGrid w:val="0"/>
              <w:jc w:val="center"/>
              <w:rPr>
                <w:rFonts w:hint="eastAsia" w:ascii="宋体" w:hAnsi="宋体" w:eastAsia="宋体" w:cs="宋体"/>
                <w:i w:val="0"/>
                <w:iCs w:val="0"/>
                <w:color w:val="000000"/>
                <w:sz w:val="18"/>
                <w:szCs w:val="18"/>
                <w:u w:val="none"/>
              </w:rPr>
            </w:pPr>
          </w:p>
        </w:tc>
      </w:tr>
      <w:tr w14:paraId="100A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D3DE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8CE6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71C8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3B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D6BA7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15FB">
            <w:pPr>
              <w:snapToGrid w:val="0"/>
              <w:rPr>
                <w:rFonts w:hint="eastAsia" w:ascii="宋体" w:hAnsi="宋体" w:eastAsia="宋体" w:cs="宋体"/>
                <w:i w:val="0"/>
                <w:iCs w:val="0"/>
                <w:color w:val="000000"/>
                <w:sz w:val="18"/>
                <w:szCs w:val="18"/>
                <w:u w:val="none"/>
              </w:rPr>
            </w:pPr>
          </w:p>
        </w:tc>
      </w:tr>
      <w:tr w14:paraId="2196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7967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C2267A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2CE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召开区十一届人代会</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BA7B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＞1次</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F96E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12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2D97E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2297">
            <w:pPr>
              <w:snapToGrid w:val="0"/>
              <w:rPr>
                <w:rFonts w:hint="eastAsia" w:ascii="宋体" w:hAnsi="宋体" w:eastAsia="宋体" w:cs="宋体"/>
                <w:i w:val="0"/>
                <w:iCs w:val="0"/>
                <w:color w:val="000000"/>
                <w:sz w:val="18"/>
                <w:szCs w:val="18"/>
                <w:u w:val="none"/>
              </w:rPr>
            </w:pPr>
          </w:p>
        </w:tc>
      </w:tr>
      <w:tr w14:paraId="64F4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EA105">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3C44AA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4B0E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完成会议各项议程</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21C5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7FA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3C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FF844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20C7">
            <w:pPr>
              <w:snapToGrid w:val="0"/>
              <w:rPr>
                <w:rFonts w:hint="eastAsia" w:ascii="宋体" w:hAnsi="宋体" w:eastAsia="宋体" w:cs="宋体"/>
                <w:i w:val="0"/>
                <w:iCs w:val="0"/>
                <w:color w:val="000000"/>
                <w:sz w:val="18"/>
                <w:szCs w:val="18"/>
                <w:u w:val="none"/>
              </w:rPr>
            </w:pPr>
          </w:p>
        </w:tc>
      </w:tr>
      <w:tr w14:paraId="21DE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32227">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C30CB3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43342">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26B78">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39CD7">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639C">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E2C866C">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B91E">
            <w:pPr>
              <w:snapToGrid w:val="0"/>
              <w:rPr>
                <w:rFonts w:hint="eastAsia" w:ascii="宋体" w:hAnsi="宋体" w:eastAsia="宋体" w:cs="宋体"/>
                <w:i w:val="0"/>
                <w:iCs w:val="0"/>
                <w:color w:val="000000"/>
                <w:sz w:val="18"/>
                <w:szCs w:val="18"/>
                <w:u w:val="none"/>
              </w:rPr>
            </w:pPr>
          </w:p>
        </w:tc>
      </w:tr>
      <w:tr w14:paraId="119C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B34F4">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06F89A4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6685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召开会议成本支出</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D398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15万元</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462F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15万元</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76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1E0EF6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8ACB">
            <w:pPr>
              <w:snapToGrid w:val="0"/>
              <w:rPr>
                <w:rFonts w:hint="eastAsia" w:ascii="宋体" w:hAnsi="宋体" w:eastAsia="宋体" w:cs="宋体"/>
                <w:i w:val="0"/>
                <w:iCs w:val="0"/>
                <w:color w:val="000000"/>
                <w:sz w:val="18"/>
                <w:szCs w:val="18"/>
                <w:u w:val="none"/>
              </w:rPr>
            </w:pPr>
          </w:p>
        </w:tc>
      </w:tr>
      <w:tr w14:paraId="4B8B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AC91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2F1EBB0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B14DB">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A3603">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7906F">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9A2D">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C95DC24">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E7E1">
            <w:pPr>
              <w:snapToGrid w:val="0"/>
              <w:rPr>
                <w:rFonts w:hint="eastAsia" w:ascii="宋体" w:hAnsi="宋体" w:eastAsia="宋体" w:cs="宋体"/>
                <w:i w:val="0"/>
                <w:iCs w:val="0"/>
                <w:color w:val="000000"/>
                <w:sz w:val="18"/>
                <w:szCs w:val="18"/>
                <w:u w:val="none"/>
              </w:rPr>
            </w:pPr>
          </w:p>
        </w:tc>
      </w:tr>
      <w:tr w14:paraId="4AE8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1682E">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AF283D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66A9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代表交办意见建议</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3674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1344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B0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01A3C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4E12">
            <w:pPr>
              <w:snapToGrid w:val="0"/>
              <w:rPr>
                <w:rFonts w:hint="eastAsia" w:ascii="宋体" w:hAnsi="宋体" w:eastAsia="宋体" w:cs="宋体"/>
                <w:i w:val="0"/>
                <w:iCs w:val="0"/>
                <w:color w:val="000000"/>
                <w:sz w:val="18"/>
                <w:szCs w:val="18"/>
                <w:u w:val="none"/>
              </w:rPr>
            </w:pPr>
          </w:p>
        </w:tc>
      </w:tr>
      <w:tr w14:paraId="3D79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52BBD">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5EBF951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799CE">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81325">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7A356">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9DF1">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A4DFE82">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8C95">
            <w:pPr>
              <w:snapToGrid w:val="0"/>
              <w:rPr>
                <w:rFonts w:hint="eastAsia" w:ascii="宋体" w:hAnsi="宋体" w:eastAsia="宋体" w:cs="宋体"/>
                <w:i w:val="0"/>
                <w:iCs w:val="0"/>
                <w:color w:val="000000"/>
                <w:sz w:val="18"/>
                <w:szCs w:val="18"/>
                <w:u w:val="none"/>
              </w:rPr>
            </w:pPr>
          </w:p>
        </w:tc>
      </w:tr>
      <w:tr w14:paraId="37FA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39566">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47AFC77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5BA06">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B631E">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62085">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B9B7">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8DB8EF1">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A195">
            <w:pPr>
              <w:snapToGrid w:val="0"/>
              <w:rPr>
                <w:rFonts w:hint="eastAsia" w:ascii="宋体" w:hAnsi="宋体" w:eastAsia="宋体" w:cs="宋体"/>
                <w:i w:val="0"/>
                <w:iCs w:val="0"/>
                <w:color w:val="000000"/>
                <w:sz w:val="18"/>
                <w:szCs w:val="18"/>
                <w:u w:val="none"/>
              </w:rPr>
            </w:pPr>
          </w:p>
        </w:tc>
      </w:tr>
      <w:tr w14:paraId="40D88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A25C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54DB27F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B31C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F29C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6AB3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4D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732004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8F0E">
            <w:pPr>
              <w:snapToGrid w:val="0"/>
              <w:rPr>
                <w:rFonts w:hint="eastAsia" w:ascii="宋体" w:hAnsi="宋体" w:eastAsia="宋体" w:cs="宋体"/>
                <w:i w:val="0"/>
                <w:iCs w:val="0"/>
                <w:color w:val="000000"/>
                <w:sz w:val="18"/>
                <w:szCs w:val="18"/>
                <w:u w:val="none"/>
              </w:rPr>
            </w:pPr>
          </w:p>
        </w:tc>
      </w:tr>
    </w:tbl>
    <w:p w14:paraId="5064939D">
      <w:pPr>
        <w:pStyle w:val="2"/>
        <w:rPr>
          <w:rFonts w:hint="eastAsia" w:ascii="Times New Roman" w:hAnsi="Times New Roman" w:eastAsia="黑体"/>
          <w:color w:val="auto"/>
          <w:sz w:val="44"/>
          <w:szCs w:val="44"/>
          <w:highlight w:val="none"/>
        </w:rPr>
      </w:pPr>
    </w:p>
    <w:p w14:paraId="50112C16">
      <w:pPr>
        <w:pStyle w:val="3"/>
        <w:rPr>
          <w:rFonts w:hint="eastAsia" w:ascii="Times New Roman" w:hAnsi="Times New Roman" w:eastAsia="黑体"/>
          <w:color w:val="auto"/>
          <w:sz w:val="44"/>
          <w:szCs w:val="44"/>
          <w:highlight w:val="none"/>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56"/>
        <w:gridCol w:w="607"/>
        <w:gridCol w:w="602"/>
        <w:gridCol w:w="1980"/>
        <w:gridCol w:w="985"/>
        <w:gridCol w:w="900"/>
        <w:gridCol w:w="883"/>
        <w:gridCol w:w="459"/>
        <w:gridCol w:w="862"/>
      </w:tblGrid>
      <w:tr w14:paraId="4573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7F735264">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48FB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DA5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60F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预算审查监督管理费</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563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8A0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413E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16B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52B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807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BF9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r>
      <w:tr w14:paraId="42DB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A3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2ED63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nil"/>
            </w:tcBorders>
            <w:shd w:val="clear" w:color="auto" w:fill="auto"/>
            <w:noWrap/>
            <w:vAlign w:val="center"/>
          </w:tcPr>
          <w:p w14:paraId="55098D92">
            <w:pPr>
              <w:snapToGrid w:val="0"/>
              <w:jc w:val="center"/>
              <w:rPr>
                <w:rFonts w:hint="eastAsia" w:ascii="宋体" w:hAnsi="宋体" w:eastAsia="宋体" w:cs="宋体"/>
                <w:i w:val="0"/>
                <w:iCs w:val="0"/>
                <w:color w:val="000000"/>
                <w:sz w:val="20"/>
                <w:szCs w:val="20"/>
                <w:u w:val="none"/>
              </w:rPr>
            </w:pP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01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02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96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7070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DB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29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1F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A5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B93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47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C7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60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5A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320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20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E4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EF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84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00E0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4CE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97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97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58C9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091D">
            <w:pPr>
              <w:snapToGrid w:val="0"/>
              <w:jc w:val="left"/>
              <w:rPr>
                <w:rFonts w:hint="eastAsia" w:ascii="宋体" w:hAnsi="宋体" w:eastAsia="宋体" w:cs="宋体"/>
                <w:i w:val="0"/>
                <w:iCs w:val="0"/>
                <w:color w:val="000000"/>
                <w:sz w:val="20"/>
                <w:szCs w:val="20"/>
                <w:u w:val="none"/>
              </w:rPr>
            </w:pPr>
          </w:p>
        </w:tc>
        <w:tc>
          <w:tcPr>
            <w:tcW w:w="2530" w:type="pct"/>
            <w:gridSpan w:val="4"/>
            <w:tcBorders>
              <w:top w:val="single" w:color="000000" w:sz="4" w:space="0"/>
              <w:left w:val="single" w:color="000000" w:sz="4" w:space="0"/>
              <w:bottom w:val="nil"/>
              <w:right w:val="single" w:color="000000" w:sz="4" w:space="0"/>
            </w:tcBorders>
            <w:shd w:val="clear" w:color="auto" w:fill="auto"/>
            <w:noWrap/>
            <w:vAlign w:val="center"/>
          </w:tcPr>
          <w:p w14:paraId="1340FC4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开展预算审查和监督工作</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C4C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r>
      <w:tr w14:paraId="6DB5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06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BE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B0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CF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5A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36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12E0D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61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3942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2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79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57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3C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D200">
            <w:pPr>
              <w:snapToGrid w:val="0"/>
              <w:jc w:val="center"/>
              <w:rPr>
                <w:rFonts w:hint="eastAsia" w:ascii="宋体" w:hAnsi="宋体" w:eastAsia="宋体" w:cs="宋体"/>
                <w:i w:val="0"/>
                <w:iCs w:val="0"/>
                <w:color w:val="000000"/>
                <w:sz w:val="18"/>
                <w:szCs w:val="18"/>
                <w:u w:val="none"/>
              </w:rPr>
            </w:pPr>
          </w:p>
        </w:tc>
      </w:tr>
      <w:tr w14:paraId="286C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C8C4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9A42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D7A3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5A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FD7870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0B25">
            <w:pPr>
              <w:snapToGrid w:val="0"/>
              <w:rPr>
                <w:rFonts w:hint="eastAsia" w:ascii="宋体" w:hAnsi="宋体" w:eastAsia="宋体" w:cs="宋体"/>
                <w:i w:val="0"/>
                <w:iCs w:val="0"/>
                <w:color w:val="000000"/>
                <w:sz w:val="18"/>
                <w:szCs w:val="18"/>
                <w:u w:val="none"/>
              </w:rPr>
            </w:pPr>
          </w:p>
        </w:tc>
      </w:tr>
      <w:tr w14:paraId="47AA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160A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459719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0317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开展审查和监督工作</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706C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＞2次</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00DD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76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F34A6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E5A7">
            <w:pPr>
              <w:snapToGrid w:val="0"/>
              <w:rPr>
                <w:rFonts w:hint="eastAsia" w:ascii="宋体" w:hAnsi="宋体" w:eastAsia="宋体" w:cs="宋体"/>
                <w:i w:val="0"/>
                <w:iCs w:val="0"/>
                <w:color w:val="000000"/>
                <w:sz w:val="18"/>
                <w:szCs w:val="18"/>
                <w:u w:val="none"/>
              </w:rPr>
            </w:pPr>
          </w:p>
        </w:tc>
      </w:tr>
      <w:tr w14:paraId="302F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EA59F">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49F8127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9DE3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审查和监督工作符合实际</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451D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91B0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C0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D878E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6BE9">
            <w:pPr>
              <w:snapToGrid w:val="0"/>
              <w:rPr>
                <w:rFonts w:hint="eastAsia" w:ascii="宋体" w:hAnsi="宋体" w:eastAsia="宋体" w:cs="宋体"/>
                <w:i w:val="0"/>
                <w:iCs w:val="0"/>
                <w:color w:val="000000"/>
                <w:sz w:val="18"/>
                <w:szCs w:val="18"/>
                <w:u w:val="none"/>
              </w:rPr>
            </w:pPr>
          </w:p>
        </w:tc>
      </w:tr>
      <w:tr w14:paraId="14A0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4254B">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4F364C2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F8380">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BF074">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12B3D">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C189">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65DA1F3">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4A3F">
            <w:pPr>
              <w:snapToGrid w:val="0"/>
              <w:rPr>
                <w:rFonts w:hint="eastAsia" w:ascii="宋体" w:hAnsi="宋体" w:eastAsia="宋体" w:cs="宋体"/>
                <w:i w:val="0"/>
                <w:iCs w:val="0"/>
                <w:color w:val="000000"/>
                <w:sz w:val="18"/>
                <w:szCs w:val="18"/>
                <w:u w:val="none"/>
              </w:rPr>
            </w:pPr>
          </w:p>
        </w:tc>
      </w:tr>
      <w:tr w14:paraId="01DE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4B39F">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9042A7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9BB2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审查和监督工作相关费用</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E33E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1万元</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A9D5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0万元</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8E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2A3AC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86EC">
            <w:pPr>
              <w:snapToGrid w:val="0"/>
              <w:rPr>
                <w:rFonts w:hint="eastAsia" w:ascii="宋体" w:hAnsi="宋体" w:eastAsia="宋体" w:cs="宋体"/>
                <w:i w:val="0"/>
                <w:iCs w:val="0"/>
                <w:color w:val="000000"/>
                <w:sz w:val="18"/>
                <w:szCs w:val="18"/>
                <w:u w:val="none"/>
              </w:rPr>
            </w:pPr>
          </w:p>
        </w:tc>
      </w:tr>
      <w:tr w14:paraId="3425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6502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088A05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797F8">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DA362">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B9D22">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5472">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7C831BF">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C363">
            <w:pPr>
              <w:snapToGrid w:val="0"/>
              <w:rPr>
                <w:rFonts w:hint="eastAsia" w:ascii="宋体" w:hAnsi="宋体" w:eastAsia="宋体" w:cs="宋体"/>
                <w:i w:val="0"/>
                <w:iCs w:val="0"/>
                <w:color w:val="000000"/>
                <w:sz w:val="18"/>
                <w:szCs w:val="18"/>
                <w:u w:val="none"/>
              </w:rPr>
            </w:pPr>
          </w:p>
        </w:tc>
      </w:tr>
      <w:tr w14:paraId="193D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06D9E">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F19B90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9580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高质量完成审查和监督工作</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ED60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9F5E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33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14A3F9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8DD6">
            <w:pPr>
              <w:snapToGrid w:val="0"/>
              <w:rPr>
                <w:rFonts w:hint="eastAsia" w:ascii="宋体" w:hAnsi="宋体" w:eastAsia="宋体" w:cs="宋体"/>
                <w:i w:val="0"/>
                <w:iCs w:val="0"/>
                <w:color w:val="000000"/>
                <w:sz w:val="18"/>
                <w:szCs w:val="18"/>
                <w:u w:val="none"/>
              </w:rPr>
            </w:pPr>
          </w:p>
        </w:tc>
      </w:tr>
      <w:tr w14:paraId="3FFA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AC3F3">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BDEDBA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4A424">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C8BAE">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0B0FC">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6FFC">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025F4D6">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73E9">
            <w:pPr>
              <w:snapToGrid w:val="0"/>
              <w:rPr>
                <w:rFonts w:hint="eastAsia" w:ascii="宋体" w:hAnsi="宋体" w:eastAsia="宋体" w:cs="宋体"/>
                <w:i w:val="0"/>
                <w:iCs w:val="0"/>
                <w:color w:val="000000"/>
                <w:sz w:val="18"/>
                <w:szCs w:val="18"/>
                <w:u w:val="none"/>
              </w:rPr>
            </w:pPr>
          </w:p>
        </w:tc>
      </w:tr>
      <w:tr w14:paraId="7D2C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6B0C2">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A70AA9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B316A">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E764C">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AEBE6">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4B4D">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51BE1FF6">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0B8A">
            <w:pPr>
              <w:snapToGrid w:val="0"/>
              <w:rPr>
                <w:rFonts w:hint="eastAsia" w:ascii="宋体" w:hAnsi="宋体" w:eastAsia="宋体" w:cs="宋体"/>
                <w:i w:val="0"/>
                <w:iCs w:val="0"/>
                <w:color w:val="000000"/>
                <w:sz w:val="18"/>
                <w:szCs w:val="18"/>
                <w:u w:val="none"/>
              </w:rPr>
            </w:pPr>
          </w:p>
        </w:tc>
      </w:tr>
      <w:tr w14:paraId="3726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58A4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50D0AB0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4BE6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F221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A434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59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10C877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C113">
            <w:pPr>
              <w:snapToGrid w:val="0"/>
              <w:rPr>
                <w:rFonts w:hint="eastAsia" w:ascii="宋体" w:hAnsi="宋体" w:eastAsia="宋体" w:cs="宋体"/>
                <w:i w:val="0"/>
                <w:iCs w:val="0"/>
                <w:color w:val="000000"/>
                <w:sz w:val="18"/>
                <w:szCs w:val="18"/>
                <w:u w:val="none"/>
              </w:rPr>
            </w:pPr>
          </w:p>
        </w:tc>
      </w:tr>
    </w:tbl>
    <w:p w14:paraId="05878239">
      <w:pPr>
        <w:rPr>
          <w:rFonts w:hint="eastAsia" w:ascii="Times New Roman" w:hAnsi="Times New Roman" w:eastAsia="黑体"/>
          <w:color w:val="auto"/>
          <w:sz w:val="44"/>
          <w:szCs w:val="44"/>
          <w:highlight w:val="none"/>
        </w:rPr>
      </w:pPr>
    </w:p>
    <w:p w14:paraId="4BA19122">
      <w:pPr>
        <w:pStyle w:val="2"/>
        <w:rPr>
          <w:rFonts w:hint="eastAsia" w:ascii="Times New Roman" w:hAnsi="Times New Roman" w:eastAsia="黑体"/>
          <w:color w:val="auto"/>
          <w:sz w:val="44"/>
          <w:szCs w:val="44"/>
          <w:highlight w:val="none"/>
        </w:rPr>
      </w:pPr>
    </w:p>
    <w:p w14:paraId="171386B9">
      <w:pPr>
        <w:pStyle w:val="3"/>
        <w:rPr>
          <w:rFonts w:hint="eastAsia" w:ascii="Times New Roman" w:hAnsi="Times New Roman" w:eastAsia="黑体"/>
          <w:color w:val="auto"/>
          <w:sz w:val="44"/>
          <w:szCs w:val="44"/>
          <w:highlight w:val="none"/>
        </w:rPr>
      </w:pPr>
    </w:p>
    <w:p w14:paraId="2D4E232A">
      <w:pPr>
        <w:rPr>
          <w:rFonts w:hint="eastAsia" w:ascii="Times New Roman" w:hAnsi="Times New Roman" w:eastAsia="黑体"/>
          <w:color w:val="auto"/>
          <w:sz w:val="44"/>
          <w:szCs w:val="44"/>
          <w:highlight w:val="none"/>
        </w:rPr>
      </w:pPr>
    </w:p>
    <w:p w14:paraId="3FDC88E5">
      <w:pPr>
        <w:pStyle w:val="2"/>
        <w:rPr>
          <w:rFonts w:hint="eastAsia" w:ascii="Times New Roman" w:hAnsi="Times New Roman" w:eastAsia="黑体"/>
          <w:color w:val="auto"/>
          <w:sz w:val="44"/>
          <w:szCs w:val="44"/>
          <w:highlight w:val="none"/>
        </w:rPr>
      </w:pPr>
    </w:p>
    <w:p w14:paraId="19EC7D35">
      <w:pPr>
        <w:pStyle w:val="3"/>
        <w:rPr>
          <w:rFonts w:hint="eastAsia"/>
        </w:rPr>
      </w:pPr>
    </w:p>
    <w:p w14:paraId="5FACB28D">
      <w:pPr>
        <w:pStyle w:val="2"/>
        <w:rPr>
          <w:rFonts w:hint="eastAsia" w:ascii="Times New Roman" w:hAnsi="Times New Roman" w:eastAsia="黑体"/>
          <w:color w:val="auto"/>
          <w:sz w:val="44"/>
          <w:szCs w:val="44"/>
          <w:highlight w:val="none"/>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59"/>
        <w:gridCol w:w="608"/>
        <w:gridCol w:w="603"/>
        <w:gridCol w:w="1968"/>
        <w:gridCol w:w="987"/>
        <w:gridCol w:w="901"/>
        <w:gridCol w:w="885"/>
        <w:gridCol w:w="460"/>
        <w:gridCol w:w="863"/>
      </w:tblGrid>
      <w:tr w14:paraId="2613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2C1D715C">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45C5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D6B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192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驻村工作队员工作经费</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EAC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1CA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244B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9BE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1BF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C42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C8D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r>
      <w:tr w14:paraId="7172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CE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6334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nil"/>
            </w:tcBorders>
            <w:shd w:val="clear" w:color="auto" w:fill="auto"/>
            <w:noWrap/>
            <w:vAlign w:val="center"/>
          </w:tcPr>
          <w:p w14:paraId="5DF983A4">
            <w:pPr>
              <w:snapToGrid w:val="0"/>
              <w:jc w:val="center"/>
              <w:rPr>
                <w:rFonts w:hint="eastAsia" w:ascii="宋体" w:hAnsi="宋体" w:eastAsia="宋体" w:cs="宋体"/>
                <w:i w:val="0"/>
                <w:iCs w:val="0"/>
                <w:color w:val="000000"/>
                <w:sz w:val="20"/>
                <w:szCs w:val="20"/>
                <w:u w:val="none"/>
              </w:rPr>
            </w:pP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73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C1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0B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5EB5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94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A6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2C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71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7E9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32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6A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E4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67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FC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A3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01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41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C9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2485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332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B3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0B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16EF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424F">
            <w:pPr>
              <w:snapToGrid w:val="0"/>
              <w:jc w:val="left"/>
              <w:rPr>
                <w:rFonts w:hint="eastAsia" w:ascii="宋体" w:hAnsi="宋体" w:eastAsia="宋体" w:cs="宋体"/>
                <w:i w:val="0"/>
                <w:iCs w:val="0"/>
                <w:color w:val="000000"/>
                <w:sz w:val="20"/>
                <w:szCs w:val="20"/>
                <w:u w:val="none"/>
              </w:rPr>
            </w:pPr>
          </w:p>
        </w:tc>
        <w:tc>
          <w:tcPr>
            <w:tcW w:w="2530" w:type="pct"/>
            <w:gridSpan w:val="4"/>
            <w:tcBorders>
              <w:top w:val="single" w:color="000000" w:sz="4" w:space="0"/>
              <w:left w:val="single" w:color="000000" w:sz="4" w:space="0"/>
              <w:bottom w:val="nil"/>
              <w:right w:val="single" w:color="000000" w:sz="4" w:space="0"/>
            </w:tcBorders>
            <w:shd w:val="clear" w:color="auto" w:fill="auto"/>
            <w:noWrap/>
            <w:vAlign w:val="center"/>
          </w:tcPr>
          <w:p w14:paraId="558C60A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驻村工作补助</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928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r>
      <w:tr w14:paraId="57B2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C8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91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32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FE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C6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DB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BDF5F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51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30C5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2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46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36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23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FC07">
            <w:pPr>
              <w:snapToGrid w:val="0"/>
              <w:jc w:val="center"/>
              <w:rPr>
                <w:rFonts w:hint="eastAsia" w:ascii="宋体" w:hAnsi="宋体" w:eastAsia="宋体" w:cs="宋体"/>
                <w:i w:val="0"/>
                <w:iCs w:val="0"/>
                <w:color w:val="000000"/>
                <w:sz w:val="18"/>
                <w:szCs w:val="18"/>
                <w:u w:val="none"/>
              </w:rPr>
            </w:pPr>
          </w:p>
        </w:tc>
      </w:tr>
      <w:tr w14:paraId="2B9B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8188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00FB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6A12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09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FD96B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7929">
            <w:pPr>
              <w:snapToGrid w:val="0"/>
              <w:rPr>
                <w:rFonts w:hint="eastAsia" w:ascii="宋体" w:hAnsi="宋体" w:eastAsia="宋体" w:cs="宋体"/>
                <w:i w:val="0"/>
                <w:iCs w:val="0"/>
                <w:color w:val="000000"/>
                <w:sz w:val="18"/>
                <w:szCs w:val="18"/>
                <w:u w:val="none"/>
              </w:rPr>
            </w:pPr>
          </w:p>
        </w:tc>
      </w:tr>
      <w:tr w14:paraId="4EBC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4F58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320028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A4FA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驻村工作队员人数</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1BF2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1人</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983E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C7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D59E6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E470">
            <w:pPr>
              <w:snapToGrid w:val="0"/>
              <w:rPr>
                <w:rFonts w:hint="eastAsia" w:ascii="宋体" w:hAnsi="宋体" w:eastAsia="宋体" w:cs="宋体"/>
                <w:i w:val="0"/>
                <w:iCs w:val="0"/>
                <w:color w:val="000000"/>
                <w:sz w:val="18"/>
                <w:szCs w:val="18"/>
                <w:u w:val="none"/>
              </w:rPr>
            </w:pPr>
          </w:p>
        </w:tc>
      </w:tr>
      <w:tr w14:paraId="7D44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5CD9B">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ABBBDA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259F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高质量完成帮扶工作</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C245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BDAC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A8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890C4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982A">
            <w:pPr>
              <w:snapToGrid w:val="0"/>
              <w:rPr>
                <w:rFonts w:hint="eastAsia" w:ascii="宋体" w:hAnsi="宋体" w:eastAsia="宋体" w:cs="宋体"/>
                <w:i w:val="0"/>
                <w:iCs w:val="0"/>
                <w:color w:val="000000"/>
                <w:sz w:val="18"/>
                <w:szCs w:val="18"/>
                <w:u w:val="none"/>
              </w:rPr>
            </w:pPr>
          </w:p>
        </w:tc>
      </w:tr>
      <w:tr w14:paraId="2B07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38CA9">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7E4817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1CB89">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0C417">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E3B87">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B505">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B2CBD6B">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4FF0">
            <w:pPr>
              <w:snapToGrid w:val="0"/>
              <w:rPr>
                <w:rFonts w:hint="eastAsia" w:ascii="宋体" w:hAnsi="宋体" w:eastAsia="宋体" w:cs="宋体"/>
                <w:i w:val="0"/>
                <w:iCs w:val="0"/>
                <w:color w:val="000000"/>
                <w:sz w:val="18"/>
                <w:szCs w:val="18"/>
                <w:u w:val="none"/>
              </w:rPr>
            </w:pPr>
          </w:p>
        </w:tc>
      </w:tr>
      <w:tr w14:paraId="4ADC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D027C">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04A3D19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3194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驻村补助</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CD29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50元/天</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2275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50元/天</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19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6CD7C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C5B2">
            <w:pPr>
              <w:snapToGrid w:val="0"/>
              <w:rPr>
                <w:rFonts w:hint="eastAsia" w:ascii="宋体" w:hAnsi="宋体" w:eastAsia="宋体" w:cs="宋体"/>
                <w:i w:val="0"/>
                <w:iCs w:val="0"/>
                <w:color w:val="000000"/>
                <w:sz w:val="18"/>
                <w:szCs w:val="18"/>
                <w:u w:val="none"/>
              </w:rPr>
            </w:pPr>
          </w:p>
        </w:tc>
      </w:tr>
      <w:tr w14:paraId="6572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33F4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16A3F6E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F0814">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ADA43">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71EAF">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56C4">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64B6210">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EB54">
            <w:pPr>
              <w:snapToGrid w:val="0"/>
              <w:rPr>
                <w:rFonts w:hint="eastAsia" w:ascii="宋体" w:hAnsi="宋体" w:eastAsia="宋体" w:cs="宋体"/>
                <w:i w:val="0"/>
                <w:iCs w:val="0"/>
                <w:color w:val="000000"/>
                <w:sz w:val="18"/>
                <w:szCs w:val="18"/>
                <w:u w:val="none"/>
              </w:rPr>
            </w:pPr>
          </w:p>
        </w:tc>
      </w:tr>
      <w:tr w14:paraId="4189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4A81C">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4587D21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04AD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脱贫成果得到巩固</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F5FF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2A5D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85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68650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8D15">
            <w:pPr>
              <w:snapToGrid w:val="0"/>
              <w:rPr>
                <w:rFonts w:hint="eastAsia" w:ascii="宋体" w:hAnsi="宋体" w:eastAsia="宋体" w:cs="宋体"/>
                <w:i w:val="0"/>
                <w:iCs w:val="0"/>
                <w:color w:val="000000"/>
                <w:sz w:val="18"/>
                <w:szCs w:val="18"/>
                <w:u w:val="none"/>
              </w:rPr>
            </w:pPr>
          </w:p>
        </w:tc>
      </w:tr>
      <w:tr w14:paraId="7D7D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52C32">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765FB8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89325">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D24BF">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BD505">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89B8">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90D6B50">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B5A3">
            <w:pPr>
              <w:snapToGrid w:val="0"/>
              <w:rPr>
                <w:rFonts w:hint="eastAsia" w:ascii="宋体" w:hAnsi="宋体" w:eastAsia="宋体" w:cs="宋体"/>
                <w:i w:val="0"/>
                <w:iCs w:val="0"/>
                <w:color w:val="000000"/>
                <w:sz w:val="18"/>
                <w:szCs w:val="18"/>
                <w:u w:val="none"/>
              </w:rPr>
            </w:pPr>
          </w:p>
        </w:tc>
      </w:tr>
      <w:tr w14:paraId="7787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57BA7">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4A6C90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6AF6A">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0D005">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F8C68">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2496">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88C8F96">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FF15">
            <w:pPr>
              <w:snapToGrid w:val="0"/>
              <w:rPr>
                <w:rFonts w:hint="eastAsia" w:ascii="宋体" w:hAnsi="宋体" w:eastAsia="宋体" w:cs="宋体"/>
                <w:i w:val="0"/>
                <w:iCs w:val="0"/>
                <w:color w:val="000000"/>
                <w:sz w:val="18"/>
                <w:szCs w:val="18"/>
                <w:u w:val="none"/>
              </w:rPr>
            </w:pPr>
          </w:p>
        </w:tc>
      </w:tr>
      <w:tr w14:paraId="3175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7B5F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569B134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1B28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5AAB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666B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A9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22953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908F">
            <w:pPr>
              <w:snapToGrid w:val="0"/>
              <w:rPr>
                <w:rFonts w:hint="eastAsia" w:ascii="宋体" w:hAnsi="宋体" w:eastAsia="宋体" w:cs="宋体"/>
                <w:i w:val="0"/>
                <w:iCs w:val="0"/>
                <w:color w:val="000000"/>
                <w:sz w:val="18"/>
                <w:szCs w:val="18"/>
                <w:u w:val="none"/>
              </w:rPr>
            </w:pPr>
          </w:p>
        </w:tc>
      </w:tr>
    </w:tbl>
    <w:p w14:paraId="387091F0">
      <w:pPr>
        <w:pStyle w:val="3"/>
        <w:rPr>
          <w:rFonts w:hint="eastAsia" w:ascii="Times New Roman" w:hAnsi="Times New Roman" w:eastAsia="黑体"/>
          <w:color w:val="auto"/>
          <w:sz w:val="44"/>
          <w:szCs w:val="44"/>
          <w:highlight w:val="none"/>
        </w:rPr>
      </w:pPr>
    </w:p>
    <w:p w14:paraId="59AEA2C8">
      <w:pPr>
        <w:rPr>
          <w:rFonts w:hint="eastAsia" w:ascii="Times New Roman" w:hAnsi="Times New Roman" w:eastAsia="黑体"/>
          <w:color w:val="auto"/>
          <w:sz w:val="44"/>
          <w:szCs w:val="44"/>
          <w:highlight w:val="none"/>
        </w:rPr>
      </w:pPr>
    </w:p>
    <w:p w14:paraId="415A635F">
      <w:pPr>
        <w:pStyle w:val="2"/>
        <w:rPr>
          <w:rFonts w:hint="eastAsia" w:ascii="Times New Roman" w:hAnsi="Times New Roman" w:eastAsia="黑体"/>
          <w:color w:val="auto"/>
          <w:sz w:val="44"/>
          <w:szCs w:val="44"/>
          <w:highlight w:val="none"/>
        </w:rPr>
      </w:pPr>
    </w:p>
    <w:p w14:paraId="2CF6FA25">
      <w:pPr>
        <w:pStyle w:val="3"/>
        <w:rPr>
          <w:rFonts w:hint="eastAsia" w:ascii="Times New Roman" w:hAnsi="Times New Roman" w:eastAsia="黑体"/>
          <w:color w:val="auto"/>
          <w:sz w:val="44"/>
          <w:szCs w:val="44"/>
          <w:highlight w:val="none"/>
        </w:rPr>
      </w:pPr>
    </w:p>
    <w:p w14:paraId="20DCDAAB">
      <w:pPr>
        <w:rPr>
          <w:rFonts w:hint="eastAsia" w:ascii="Times New Roman" w:hAnsi="Times New Roman" w:eastAsia="黑体"/>
          <w:color w:val="auto"/>
          <w:sz w:val="44"/>
          <w:szCs w:val="44"/>
          <w:highlight w:val="none"/>
        </w:rPr>
      </w:pPr>
    </w:p>
    <w:p w14:paraId="13938DE5">
      <w:pPr>
        <w:pStyle w:val="2"/>
        <w:rPr>
          <w:rFonts w:hint="eastAsia" w:ascii="Times New Roman" w:hAnsi="Times New Roman" w:eastAsia="黑体"/>
          <w:color w:val="auto"/>
          <w:sz w:val="44"/>
          <w:szCs w:val="44"/>
          <w:highlight w:val="none"/>
        </w:rPr>
      </w:pPr>
    </w:p>
    <w:p w14:paraId="14E5C80D">
      <w:pPr>
        <w:pStyle w:val="3"/>
        <w:rPr>
          <w:rFonts w:hint="eastAsia" w:ascii="Times New Roman" w:hAnsi="Times New Roman" w:eastAsia="黑体"/>
          <w:color w:val="auto"/>
          <w:sz w:val="44"/>
          <w:szCs w:val="44"/>
          <w:highlight w:val="none"/>
        </w:rPr>
      </w:pPr>
    </w:p>
    <w:p w14:paraId="07446170">
      <w:pPr>
        <w:rPr>
          <w:rFonts w:hint="eastAsia" w:ascii="Times New Roman" w:hAnsi="Times New Roman" w:eastAsia="黑体"/>
          <w:color w:val="auto"/>
          <w:sz w:val="44"/>
          <w:szCs w:val="44"/>
          <w:highlight w:val="none"/>
        </w:rPr>
      </w:pPr>
    </w:p>
    <w:p w14:paraId="55FCFE8A">
      <w:pPr>
        <w:pStyle w:val="2"/>
        <w:rPr>
          <w:rFonts w:hint="eastAsia"/>
        </w:rPr>
      </w:pPr>
    </w:p>
    <w:p w14:paraId="2468D687">
      <w:pPr>
        <w:rPr>
          <w:rFonts w:hint="eastAsia" w:ascii="Times New Roman" w:hAnsi="Times New Roman" w:eastAsia="黑体"/>
          <w:color w:val="auto"/>
          <w:sz w:val="44"/>
          <w:szCs w:val="44"/>
          <w:highlight w:val="none"/>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59"/>
        <w:gridCol w:w="608"/>
        <w:gridCol w:w="603"/>
        <w:gridCol w:w="1968"/>
        <w:gridCol w:w="987"/>
        <w:gridCol w:w="901"/>
        <w:gridCol w:w="885"/>
        <w:gridCol w:w="460"/>
        <w:gridCol w:w="863"/>
      </w:tblGrid>
      <w:tr w14:paraId="7241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5D46231E">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0034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0DA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5D6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人大视察与调研</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8EC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797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4A5E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989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F71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35F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6B2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r>
      <w:tr w14:paraId="0D72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6F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5F3B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nil"/>
            </w:tcBorders>
            <w:shd w:val="clear" w:color="auto" w:fill="auto"/>
            <w:noWrap/>
            <w:vAlign w:val="center"/>
          </w:tcPr>
          <w:p w14:paraId="5554D921">
            <w:pPr>
              <w:snapToGrid w:val="0"/>
              <w:jc w:val="center"/>
              <w:rPr>
                <w:rFonts w:hint="eastAsia" w:ascii="宋体" w:hAnsi="宋体" w:eastAsia="宋体" w:cs="宋体"/>
                <w:i w:val="0"/>
                <w:iCs w:val="0"/>
                <w:color w:val="000000"/>
                <w:sz w:val="20"/>
                <w:szCs w:val="20"/>
                <w:u w:val="none"/>
              </w:rPr>
            </w:pP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E7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AD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F2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377F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80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6D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29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7.4314</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77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0.550474074</w:t>
            </w:r>
          </w:p>
        </w:tc>
      </w:tr>
      <w:tr w14:paraId="787A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25D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BB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78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7.4314</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2A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0.550474074</w:t>
            </w:r>
          </w:p>
        </w:tc>
      </w:tr>
      <w:tr w14:paraId="5154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8C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C9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74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DF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5D93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77E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1F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2D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30D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E583">
            <w:pPr>
              <w:snapToGrid w:val="0"/>
              <w:jc w:val="left"/>
              <w:rPr>
                <w:rFonts w:hint="eastAsia" w:ascii="宋体" w:hAnsi="宋体" w:eastAsia="宋体" w:cs="宋体"/>
                <w:i w:val="0"/>
                <w:iCs w:val="0"/>
                <w:color w:val="000000"/>
                <w:sz w:val="20"/>
                <w:szCs w:val="20"/>
                <w:u w:val="none"/>
              </w:rPr>
            </w:pPr>
          </w:p>
        </w:tc>
        <w:tc>
          <w:tcPr>
            <w:tcW w:w="2530" w:type="pct"/>
            <w:gridSpan w:val="4"/>
            <w:tcBorders>
              <w:top w:val="single" w:color="000000" w:sz="4" w:space="0"/>
              <w:left w:val="single" w:color="000000" w:sz="4" w:space="0"/>
              <w:bottom w:val="nil"/>
              <w:right w:val="single" w:color="000000" w:sz="4" w:space="0"/>
            </w:tcBorders>
            <w:shd w:val="clear" w:color="auto" w:fill="auto"/>
            <w:noWrap/>
            <w:vAlign w:val="center"/>
          </w:tcPr>
          <w:p w14:paraId="0472CFA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人大视察与调研</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907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r>
      <w:tr w14:paraId="1177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80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C3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A5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FF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A6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56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7CBC9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D2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2366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2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F2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BF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FF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4705">
            <w:pPr>
              <w:snapToGrid w:val="0"/>
              <w:jc w:val="center"/>
              <w:rPr>
                <w:rFonts w:hint="eastAsia" w:ascii="宋体" w:hAnsi="宋体" w:eastAsia="宋体" w:cs="宋体"/>
                <w:i w:val="0"/>
                <w:iCs w:val="0"/>
                <w:color w:val="000000"/>
                <w:sz w:val="18"/>
                <w:szCs w:val="18"/>
                <w:u w:val="none"/>
              </w:rPr>
            </w:pPr>
          </w:p>
        </w:tc>
      </w:tr>
      <w:tr w14:paraId="2A5E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9794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F4E7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36D3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25.88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CB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7CDA41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495E">
            <w:pPr>
              <w:snapToGrid w:val="0"/>
              <w:rPr>
                <w:rFonts w:hint="eastAsia" w:ascii="宋体" w:hAnsi="宋体" w:eastAsia="宋体" w:cs="宋体"/>
                <w:i w:val="0"/>
                <w:iCs w:val="0"/>
                <w:color w:val="000000"/>
                <w:sz w:val="18"/>
                <w:szCs w:val="18"/>
                <w:u w:val="none"/>
              </w:rPr>
            </w:pPr>
          </w:p>
        </w:tc>
      </w:tr>
      <w:tr w14:paraId="3A27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B21B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6C62EA7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307A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开展视察调研工作</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2A29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＞10次</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7464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23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E7BBE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5D47">
            <w:pPr>
              <w:snapToGrid w:val="0"/>
              <w:rPr>
                <w:rFonts w:hint="eastAsia" w:ascii="宋体" w:hAnsi="宋体" w:eastAsia="宋体" w:cs="宋体"/>
                <w:i w:val="0"/>
                <w:iCs w:val="0"/>
                <w:color w:val="000000"/>
                <w:sz w:val="18"/>
                <w:szCs w:val="18"/>
                <w:u w:val="none"/>
              </w:rPr>
            </w:pPr>
          </w:p>
        </w:tc>
      </w:tr>
      <w:tr w14:paraId="390C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4AA42">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76993E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102B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视察调研工作符合实际</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6572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F8C9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3A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1DA4B6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F590">
            <w:pPr>
              <w:snapToGrid w:val="0"/>
              <w:rPr>
                <w:rFonts w:hint="eastAsia" w:ascii="宋体" w:hAnsi="宋体" w:eastAsia="宋体" w:cs="宋体"/>
                <w:i w:val="0"/>
                <w:iCs w:val="0"/>
                <w:color w:val="000000"/>
                <w:sz w:val="18"/>
                <w:szCs w:val="18"/>
                <w:u w:val="none"/>
              </w:rPr>
            </w:pPr>
          </w:p>
        </w:tc>
      </w:tr>
      <w:tr w14:paraId="4172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7B2EE">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2F7CD46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136FE">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730AF">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B43C4">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3F1A">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EB74F23">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57EE">
            <w:pPr>
              <w:snapToGrid w:val="0"/>
              <w:rPr>
                <w:rFonts w:hint="eastAsia" w:ascii="宋体" w:hAnsi="宋体" w:eastAsia="宋体" w:cs="宋体"/>
                <w:i w:val="0"/>
                <w:iCs w:val="0"/>
                <w:color w:val="000000"/>
                <w:sz w:val="18"/>
                <w:szCs w:val="18"/>
                <w:u w:val="none"/>
              </w:rPr>
            </w:pPr>
          </w:p>
        </w:tc>
      </w:tr>
      <w:tr w14:paraId="72ED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63B0C">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7701EC5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3EA0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视察调研相关经费</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1F00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17万元</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A539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7.43万元</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C1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1210FA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C4B5">
            <w:pPr>
              <w:snapToGrid w:val="0"/>
              <w:rPr>
                <w:rFonts w:hint="eastAsia" w:ascii="宋体" w:hAnsi="宋体" w:eastAsia="宋体" w:cs="宋体"/>
                <w:i w:val="0"/>
                <w:iCs w:val="0"/>
                <w:color w:val="000000"/>
                <w:sz w:val="18"/>
                <w:szCs w:val="18"/>
                <w:u w:val="none"/>
              </w:rPr>
            </w:pPr>
          </w:p>
        </w:tc>
      </w:tr>
      <w:tr w14:paraId="4760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B1B8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2D50C8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2A424">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FCADB">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682EF">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1075">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B442034">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3F9E">
            <w:pPr>
              <w:snapToGrid w:val="0"/>
              <w:rPr>
                <w:rFonts w:hint="eastAsia" w:ascii="宋体" w:hAnsi="宋体" w:eastAsia="宋体" w:cs="宋体"/>
                <w:i w:val="0"/>
                <w:iCs w:val="0"/>
                <w:color w:val="000000"/>
                <w:sz w:val="18"/>
                <w:szCs w:val="18"/>
                <w:u w:val="none"/>
              </w:rPr>
            </w:pPr>
          </w:p>
        </w:tc>
      </w:tr>
      <w:tr w14:paraId="19B3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52C3F">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31E499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6976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充分发挥代表主体作用</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4994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453B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E1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75496B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78C3">
            <w:pPr>
              <w:snapToGrid w:val="0"/>
              <w:rPr>
                <w:rFonts w:hint="eastAsia" w:ascii="宋体" w:hAnsi="宋体" w:eastAsia="宋体" w:cs="宋体"/>
                <w:i w:val="0"/>
                <w:iCs w:val="0"/>
                <w:color w:val="000000"/>
                <w:sz w:val="18"/>
                <w:szCs w:val="18"/>
                <w:u w:val="none"/>
              </w:rPr>
            </w:pPr>
          </w:p>
        </w:tc>
      </w:tr>
      <w:tr w14:paraId="050D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DE79B">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08C33B6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6779B">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615F4">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C19AC">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45AE">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0ECA21A">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F104">
            <w:pPr>
              <w:snapToGrid w:val="0"/>
              <w:rPr>
                <w:rFonts w:hint="eastAsia" w:ascii="宋体" w:hAnsi="宋体" w:eastAsia="宋体" w:cs="宋体"/>
                <w:i w:val="0"/>
                <w:iCs w:val="0"/>
                <w:color w:val="000000"/>
                <w:sz w:val="18"/>
                <w:szCs w:val="18"/>
                <w:u w:val="none"/>
              </w:rPr>
            </w:pPr>
          </w:p>
        </w:tc>
      </w:tr>
      <w:tr w14:paraId="7CC3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FD773">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D9534E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D2FA4">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12F39">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CD1AD">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DB10">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12CA871">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30AB">
            <w:pPr>
              <w:snapToGrid w:val="0"/>
              <w:rPr>
                <w:rFonts w:hint="eastAsia" w:ascii="宋体" w:hAnsi="宋体" w:eastAsia="宋体" w:cs="宋体"/>
                <w:i w:val="0"/>
                <w:iCs w:val="0"/>
                <w:color w:val="000000"/>
                <w:sz w:val="18"/>
                <w:szCs w:val="18"/>
                <w:u w:val="none"/>
              </w:rPr>
            </w:pPr>
          </w:p>
        </w:tc>
      </w:tr>
      <w:tr w14:paraId="2EB1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24DB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03F8CB8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B753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FBF4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D3E0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FD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5FE66E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6CD4">
            <w:pPr>
              <w:snapToGrid w:val="0"/>
              <w:rPr>
                <w:rFonts w:hint="eastAsia" w:ascii="宋体" w:hAnsi="宋体" w:eastAsia="宋体" w:cs="宋体"/>
                <w:i w:val="0"/>
                <w:iCs w:val="0"/>
                <w:color w:val="000000"/>
                <w:sz w:val="18"/>
                <w:szCs w:val="18"/>
                <w:u w:val="none"/>
              </w:rPr>
            </w:pPr>
          </w:p>
        </w:tc>
      </w:tr>
    </w:tbl>
    <w:p w14:paraId="3D85E59D">
      <w:pPr>
        <w:pStyle w:val="2"/>
        <w:rPr>
          <w:rFonts w:hint="eastAsia" w:ascii="Times New Roman" w:hAnsi="Times New Roman" w:eastAsia="黑体"/>
          <w:color w:val="auto"/>
          <w:sz w:val="44"/>
          <w:szCs w:val="44"/>
          <w:highlight w:val="none"/>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59"/>
        <w:gridCol w:w="608"/>
        <w:gridCol w:w="603"/>
        <w:gridCol w:w="1968"/>
        <w:gridCol w:w="987"/>
        <w:gridCol w:w="901"/>
        <w:gridCol w:w="885"/>
        <w:gridCol w:w="460"/>
        <w:gridCol w:w="863"/>
      </w:tblGrid>
      <w:tr w14:paraId="243D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16A2B186">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314BA715">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466A6021">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4633BD68">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63E37ACB">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6F895AEF">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6FF909CC">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1E5B4382">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2CD0F124">
            <w:pPr>
              <w:keepNext w:val="0"/>
              <w:keepLines w:val="0"/>
              <w:widowControl/>
              <w:suppressLineNumbers w:val="0"/>
              <w:snapToGrid w:val="0"/>
              <w:ind w:firstLine="2530" w:firstLineChars="70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6981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66F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0E7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区人大代表培训费</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0D6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374EA">
            <w:pPr>
              <w:keepNext w:val="0"/>
              <w:keepLines w:val="0"/>
              <w:widowControl/>
              <w:suppressLineNumbers w:val="0"/>
              <w:snapToGrid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w:t>
            </w:r>
          </w:p>
        </w:tc>
      </w:tr>
      <w:tr w14:paraId="52B7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0CE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6DB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3A8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82F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乐山市金口河区人大常务委员会办公室</w:t>
            </w:r>
          </w:p>
        </w:tc>
      </w:tr>
      <w:tr w14:paraId="70F4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C1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112D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nil"/>
            </w:tcBorders>
            <w:shd w:val="clear" w:color="auto" w:fill="auto"/>
            <w:noWrap/>
            <w:vAlign w:val="center"/>
          </w:tcPr>
          <w:p w14:paraId="6D6FD4A0">
            <w:pPr>
              <w:snapToGrid w:val="0"/>
              <w:jc w:val="center"/>
              <w:rPr>
                <w:rFonts w:hint="eastAsia" w:ascii="宋体" w:hAnsi="宋体" w:eastAsia="宋体" w:cs="宋体"/>
                <w:i w:val="0"/>
                <w:iCs w:val="0"/>
                <w:color w:val="000000"/>
                <w:sz w:val="20"/>
                <w:szCs w:val="20"/>
                <w:u w:val="none"/>
              </w:rPr>
            </w:pP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2A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22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7C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410E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52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91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70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C6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69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EC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BD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92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65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50A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2C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90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4E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02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4578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8A5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E8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82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011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7B33">
            <w:pPr>
              <w:snapToGrid w:val="0"/>
              <w:jc w:val="left"/>
              <w:rPr>
                <w:rFonts w:hint="eastAsia" w:ascii="宋体" w:hAnsi="宋体" w:eastAsia="宋体" w:cs="宋体"/>
                <w:i w:val="0"/>
                <w:iCs w:val="0"/>
                <w:color w:val="000000"/>
                <w:sz w:val="20"/>
                <w:szCs w:val="20"/>
                <w:u w:val="none"/>
              </w:rPr>
            </w:pPr>
          </w:p>
        </w:tc>
        <w:tc>
          <w:tcPr>
            <w:tcW w:w="2530" w:type="pct"/>
            <w:gridSpan w:val="4"/>
            <w:tcBorders>
              <w:top w:val="single" w:color="000000" w:sz="4" w:space="0"/>
              <w:left w:val="single" w:color="000000" w:sz="4" w:space="0"/>
              <w:bottom w:val="nil"/>
              <w:right w:val="single" w:color="000000" w:sz="4" w:space="0"/>
            </w:tcBorders>
            <w:shd w:val="clear" w:color="auto" w:fill="auto"/>
            <w:noWrap/>
            <w:vAlign w:val="center"/>
          </w:tcPr>
          <w:p w14:paraId="6EC5416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开展人大代表培训工作</w:t>
            </w:r>
          </w:p>
        </w:tc>
        <w:tc>
          <w:tcPr>
            <w:tcW w:w="17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A3D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r>
      <w:tr w14:paraId="5D15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21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41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FC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A1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8B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59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76041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55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0016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2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D3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F6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4B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0252">
            <w:pPr>
              <w:snapToGrid w:val="0"/>
              <w:jc w:val="center"/>
              <w:rPr>
                <w:rFonts w:hint="eastAsia" w:ascii="宋体" w:hAnsi="宋体" w:eastAsia="宋体" w:cs="宋体"/>
                <w:i w:val="0"/>
                <w:iCs w:val="0"/>
                <w:color w:val="000000"/>
                <w:sz w:val="18"/>
                <w:szCs w:val="18"/>
                <w:u w:val="none"/>
              </w:rPr>
            </w:pPr>
          </w:p>
        </w:tc>
      </w:tr>
      <w:tr w14:paraId="77D7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BF83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0A38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8476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61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8393D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8981">
            <w:pPr>
              <w:snapToGrid w:val="0"/>
              <w:rPr>
                <w:rFonts w:hint="eastAsia" w:ascii="宋体" w:hAnsi="宋体" w:eastAsia="宋体" w:cs="宋体"/>
                <w:i w:val="0"/>
                <w:iCs w:val="0"/>
                <w:color w:val="000000"/>
                <w:sz w:val="18"/>
                <w:szCs w:val="18"/>
                <w:u w:val="none"/>
              </w:rPr>
            </w:pPr>
          </w:p>
        </w:tc>
      </w:tr>
      <w:tr w14:paraId="48C5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5DBD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2F76165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E70A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开展人大代表培训</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30EF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＞1次</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73C4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90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1C7BEE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9C34">
            <w:pPr>
              <w:snapToGrid w:val="0"/>
              <w:rPr>
                <w:rFonts w:hint="eastAsia" w:ascii="宋体" w:hAnsi="宋体" w:eastAsia="宋体" w:cs="宋体"/>
                <w:i w:val="0"/>
                <w:iCs w:val="0"/>
                <w:color w:val="000000"/>
                <w:sz w:val="18"/>
                <w:szCs w:val="18"/>
                <w:u w:val="none"/>
              </w:rPr>
            </w:pPr>
          </w:p>
        </w:tc>
      </w:tr>
      <w:tr w14:paraId="1C25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BE69C">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D09DE8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87B6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培训人数</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AC92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141人</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F0C3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D1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8600E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4C26">
            <w:pPr>
              <w:snapToGrid w:val="0"/>
              <w:rPr>
                <w:rFonts w:hint="eastAsia" w:ascii="宋体" w:hAnsi="宋体" w:eastAsia="宋体" w:cs="宋体"/>
                <w:i w:val="0"/>
                <w:iCs w:val="0"/>
                <w:color w:val="000000"/>
                <w:sz w:val="18"/>
                <w:szCs w:val="18"/>
                <w:u w:val="none"/>
              </w:rPr>
            </w:pPr>
          </w:p>
        </w:tc>
      </w:tr>
      <w:tr w14:paraId="19B8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650E7">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4C98655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1668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培训内容符合</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3C18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0922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C6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90992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37AB">
            <w:pPr>
              <w:snapToGrid w:val="0"/>
              <w:rPr>
                <w:rFonts w:hint="eastAsia" w:ascii="宋体" w:hAnsi="宋体" w:eastAsia="宋体" w:cs="宋体"/>
                <w:i w:val="0"/>
                <w:iCs w:val="0"/>
                <w:color w:val="000000"/>
                <w:sz w:val="18"/>
                <w:szCs w:val="18"/>
                <w:u w:val="none"/>
              </w:rPr>
            </w:pPr>
          </w:p>
        </w:tc>
      </w:tr>
      <w:tr w14:paraId="0007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4ACE1">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47B8143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B5CF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完成时限</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5E02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70D9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D3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AB161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7268">
            <w:pPr>
              <w:snapToGrid w:val="0"/>
              <w:rPr>
                <w:rFonts w:hint="eastAsia" w:ascii="宋体" w:hAnsi="宋体" w:eastAsia="宋体" w:cs="宋体"/>
                <w:i w:val="0"/>
                <w:iCs w:val="0"/>
                <w:color w:val="000000"/>
                <w:sz w:val="18"/>
                <w:szCs w:val="18"/>
                <w:u w:val="none"/>
              </w:rPr>
            </w:pPr>
          </w:p>
        </w:tc>
      </w:tr>
      <w:tr w14:paraId="4451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A7E2F">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2CECCB3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9C3E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代表培训经费</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D18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8万元</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DA4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8万元</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5E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03F8B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7F7E">
            <w:pPr>
              <w:snapToGrid w:val="0"/>
              <w:rPr>
                <w:rFonts w:hint="eastAsia" w:ascii="宋体" w:hAnsi="宋体" w:eastAsia="宋体" w:cs="宋体"/>
                <w:i w:val="0"/>
                <w:iCs w:val="0"/>
                <w:color w:val="000000"/>
                <w:sz w:val="18"/>
                <w:szCs w:val="18"/>
                <w:u w:val="none"/>
              </w:rPr>
            </w:pPr>
          </w:p>
        </w:tc>
      </w:tr>
      <w:tr w14:paraId="118A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AA8E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1CEC40F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B3DC5">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9F3E1">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BDDF4">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5F73">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599F64F">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7274">
            <w:pPr>
              <w:snapToGrid w:val="0"/>
              <w:rPr>
                <w:rFonts w:hint="eastAsia" w:ascii="宋体" w:hAnsi="宋体" w:eastAsia="宋体" w:cs="宋体"/>
                <w:i w:val="0"/>
                <w:iCs w:val="0"/>
                <w:color w:val="000000"/>
                <w:sz w:val="18"/>
                <w:szCs w:val="18"/>
                <w:u w:val="none"/>
              </w:rPr>
            </w:pPr>
          </w:p>
        </w:tc>
      </w:tr>
      <w:tr w14:paraId="38C1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56B4E">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44873FC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908A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提高代表履职能力</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1D6E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52D8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90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5A301A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2003">
            <w:pPr>
              <w:snapToGrid w:val="0"/>
              <w:rPr>
                <w:rFonts w:hint="eastAsia" w:ascii="宋体" w:hAnsi="宋体" w:eastAsia="宋体" w:cs="宋体"/>
                <w:i w:val="0"/>
                <w:iCs w:val="0"/>
                <w:color w:val="000000"/>
                <w:sz w:val="18"/>
                <w:szCs w:val="18"/>
                <w:u w:val="none"/>
              </w:rPr>
            </w:pPr>
          </w:p>
        </w:tc>
      </w:tr>
      <w:tr w14:paraId="5877F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7050D">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C87135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E98E7">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78253">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0103F">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1F3A">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D1FC463">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5F7F">
            <w:pPr>
              <w:snapToGrid w:val="0"/>
              <w:rPr>
                <w:rFonts w:hint="eastAsia" w:ascii="宋体" w:hAnsi="宋体" w:eastAsia="宋体" w:cs="宋体"/>
                <w:i w:val="0"/>
                <w:iCs w:val="0"/>
                <w:color w:val="000000"/>
                <w:sz w:val="18"/>
                <w:szCs w:val="18"/>
                <w:u w:val="none"/>
              </w:rPr>
            </w:pPr>
          </w:p>
        </w:tc>
      </w:tr>
      <w:tr w14:paraId="5276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17649">
            <w:pPr>
              <w:snapToGrid w:val="0"/>
              <w:jc w:val="center"/>
              <w:rPr>
                <w:rFonts w:hint="eastAsia" w:ascii="宋体" w:hAnsi="宋体" w:eastAsia="宋体" w:cs="宋体"/>
                <w:i w:val="0"/>
                <w:iCs w:val="0"/>
                <w:color w:val="333333"/>
                <w:sz w:val="18"/>
                <w:szCs w:val="18"/>
                <w:u w:val="none"/>
              </w:rPr>
            </w:pP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3F09617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506F7">
            <w:pPr>
              <w:snapToGrid w:val="0"/>
              <w:jc w:val="center"/>
              <w:rPr>
                <w:rFonts w:hint="eastAsia" w:ascii="宋体" w:hAnsi="宋体" w:eastAsia="宋体" w:cs="宋体"/>
                <w:i w:val="0"/>
                <w:iCs w:val="0"/>
                <w:color w:val="333333"/>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4480C">
            <w:pPr>
              <w:snapToGrid w:val="0"/>
              <w:jc w:val="center"/>
              <w:rPr>
                <w:rFonts w:hint="eastAsia" w:ascii="宋体" w:hAnsi="宋体" w:eastAsia="宋体" w:cs="宋体"/>
                <w:i w:val="0"/>
                <w:iCs w:val="0"/>
                <w:color w:val="333333"/>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19240">
            <w:pPr>
              <w:snapToGrid w:val="0"/>
              <w:jc w:val="center"/>
              <w:rPr>
                <w:rFonts w:hint="eastAsia" w:ascii="宋体" w:hAnsi="宋体" w:eastAsia="宋体" w:cs="宋体"/>
                <w:i w:val="0"/>
                <w:iCs w:val="0"/>
                <w:color w:val="333333"/>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F15D">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D3C1142">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260A">
            <w:pPr>
              <w:snapToGrid w:val="0"/>
              <w:rPr>
                <w:rFonts w:hint="eastAsia" w:ascii="宋体" w:hAnsi="宋体" w:eastAsia="宋体" w:cs="宋体"/>
                <w:i w:val="0"/>
                <w:iCs w:val="0"/>
                <w:color w:val="000000"/>
                <w:sz w:val="18"/>
                <w:szCs w:val="18"/>
                <w:u w:val="none"/>
              </w:rPr>
            </w:pPr>
          </w:p>
        </w:tc>
      </w:tr>
      <w:tr w14:paraId="088C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29AD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699" w:type="pct"/>
            <w:gridSpan w:val="2"/>
            <w:tcBorders>
              <w:top w:val="single" w:color="000000" w:sz="4" w:space="0"/>
              <w:left w:val="single" w:color="000000" w:sz="4" w:space="0"/>
              <w:bottom w:val="single" w:color="000000" w:sz="4" w:space="0"/>
              <w:right w:val="nil"/>
            </w:tcBorders>
            <w:shd w:val="clear" w:color="auto" w:fill="FFFFFF"/>
            <w:noWrap/>
            <w:vAlign w:val="center"/>
          </w:tcPr>
          <w:p w14:paraId="56F110A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67C2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w:t>
            </w:r>
          </w:p>
        </w:tc>
        <w:tc>
          <w:tcPr>
            <w:tcW w:w="5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22F1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897F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C6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A27A6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42F3">
            <w:pPr>
              <w:snapToGrid w:val="0"/>
              <w:rPr>
                <w:rFonts w:hint="eastAsia" w:ascii="宋体" w:hAnsi="宋体" w:eastAsia="宋体" w:cs="宋体"/>
                <w:i w:val="0"/>
                <w:iCs w:val="0"/>
                <w:color w:val="000000"/>
                <w:sz w:val="18"/>
                <w:szCs w:val="18"/>
                <w:u w:val="none"/>
              </w:rPr>
            </w:pPr>
          </w:p>
        </w:tc>
      </w:tr>
    </w:tbl>
    <w:p w14:paraId="6C48BA8C">
      <w:pPr>
        <w:widowControl/>
        <w:jc w:val="center"/>
        <w:rPr>
          <w:rFonts w:hint="eastAsia" w:ascii="Times New Roman" w:hAnsi="Times New Roman" w:eastAsia="黑体"/>
          <w:color w:val="auto"/>
          <w:sz w:val="44"/>
          <w:szCs w:val="44"/>
          <w:highlight w:val="none"/>
        </w:rPr>
      </w:pPr>
    </w:p>
    <w:p w14:paraId="4A7F51AC">
      <w:pPr>
        <w:widowControl/>
        <w:jc w:val="center"/>
        <w:rPr>
          <w:rFonts w:hint="eastAsia" w:ascii="Times New Roman" w:hAnsi="Times New Roman" w:eastAsia="黑体"/>
          <w:color w:val="auto"/>
          <w:sz w:val="44"/>
          <w:szCs w:val="44"/>
          <w:highlight w:val="none"/>
        </w:rPr>
      </w:pPr>
    </w:p>
    <w:p w14:paraId="734502B0">
      <w:pPr>
        <w:widowControl/>
        <w:jc w:val="center"/>
        <w:rPr>
          <w:rFonts w:hint="eastAsia" w:ascii="Times New Roman" w:hAnsi="Times New Roman" w:eastAsia="黑体"/>
          <w:color w:val="auto"/>
          <w:sz w:val="44"/>
          <w:szCs w:val="44"/>
          <w:highlight w:val="none"/>
        </w:rPr>
      </w:pPr>
    </w:p>
    <w:p w14:paraId="79B7FB12">
      <w:pPr>
        <w:widowControl/>
        <w:jc w:val="center"/>
        <w:rPr>
          <w:rFonts w:hint="eastAsia" w:ascii="Times New Roman" w:hAnsi="Times New Roman" w:eastAsia="黑体"/>
          <w:color w:val="auto"/>
          <w:sz w:val="44"/>
          <w:szCs w:val="44"/>
          <w:highlight w:val="none"/>
        </w:rPr>
      </w:pPr>
    </w:p>
    <w:p w14:paraId="477AB526">
      <w:pPr>
        <w:pStyle w:val="2"/>
        <w:rPr>
          <w:rFonts w:hint="eastAsia" w:ascii="Times New Roman" w:hAnsi="Times New Roman" w:eastAsia="黑体"/>
          <w:color w:val="auto"/>
          <w:sz w:val="44"/>
          <w:szCs w:val="44"/>
          <w:highlight w:val="none"/>
        </w:rPr>
      </w:pPr>
    </w:p>
    <w:p w14:paraId="11A6A654">
      <w:pPr>
        <w:pStyle w:val="3"/>
        <w:rPr>
          <w:rFonts w:hint="eastAsia" w:ascii="Times New Roman" w:hAnsi="Times New Roman" w:eastAsia="黑体"/>
          <w:color w:val="auto"/>
          <w:sz w:val="44"/>
          <w:szCs w:val="44"/>
          <w:highlight w:val="none"/>
        </w:rPr>
      </w:pPr>
    </w:p>
    <w:p w14:paraId="5B3CAC0E">
      <w:pPr>
        <w:pStyle w:val="3"/>
        <w:rPr>
          <w:rFonts w:hint="eastAsia" w:ascii="Times New Roman" w:hAnsi="Times New Roman" w:eastAsia="黑体"/>
          <w:color w:val="auto"/>
          <w:sz w:val="44"/>
          <w:szCs w:val="44"/>
          <w:highlight w:val="none"/>
        </w:rPr>
      </w:pPr>
    </w:p>
    <w:p w14:paraId="5072A764">
      <w:pPr>
        <w:pStyle w:val="3"/>
        <w:rPr>
          <w:rFonts w:hint="eastAsia" w:ascii="Times New Roman" w:hAnsi="Times New Roman" w:eastAsia="黑体"/>
          <w:color w:val="auto"/>
          <w:sz w:val="44"/>
          <w:szCs w:val="44"/>
          <w:highlight w:val="none"/>
        </w:rPr>
      </w:pPr>
    </w:p>
    <w:p w14:paraId="719704AA">
      <w:pPr>
        <w:pStyle w:val="3"/>
        <w:rPr>
          <w:rFonts w:hint="eastAsia" w:ascii="Times New Roman" w:hAnsi="Times New Roman" w:eastAsia="黑体"/>
          <w:color w:val="auto"/>
          <w:sz w:val="44"/>
          <w:szCs w:val="44"/>
          <w:highlight w:val="none"/>
        </w:rPr>
      </w:pPr>
    </w:p>
    <w:p w14:paraId="05C24B27">
      <w:pPr>
        <w:pStyle w:val="3"/>
        <w:rPr>
          <w:rFonts w:hint="eastAsia" w:ascii="Times New Roman" w:hAnsi="Times New Roman" w:eastAsia="黑体"/>
          <w:color w:val="auto"/>
          <w:sz w:val="44"/>
          <w:szCs w:val="44"/>
          <w:highlight w:val="none"/>
        </w:rPr>
      </w:pPr>
    </w:p>
    <w:p w14:paraId="25469BCA">
      <w:pPr>
        <w:pStyle w:val="3"/>
        <w:rPr>
          <w:rFonts w:hint="eastAsia" w:ascii="Times New Roman" w:hAnsi="Times New Roman" w:eastAsia="黑体"/>
          <w:color w:val="auto"/>
          <w:sz w:val="44"/>
          <w:szCs w:val="44"/>
          <w:highlight w:val="none"/>
        </w:rPr>
      </w:pPr>
    </w:p>
    <w:p w14:paraId="5F78CBB7">
      <w:pPr>
        <w:pStyle w:val="8"/>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07EA4A0A">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506D9862">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专项预算项目绩效评价报告范本</w:t>
      </w:r>
    </w:p>
    <w:p w14:paraId="585C38B7">
      <w:pPr>
        <w:pStyle w:val="37"/>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2A75E96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3B461AA6">
      <w:pPr>
        <w:keepNext w:val="0"/>
        <w:keepLines w:val="0"/>
        <w:pageBreakBefore w:val="0"/>
        <w:numPr>
          <w:ilvl w:val="0"/>
          <w:numId w:val="0"/>
        </w:numPr>
        <w:kinsoku/>
        <w:overflowPunct/>
        <w:autoSpaceDE/>
        <w:autoSpaceDN/>
        <w:bidi w:val="0"/>
        <w:spacing w:line="600" w:lineRule="exact"/>
        <w:ind w:firstLine="643" w:firstLineChars="200"/>
        <w:jc w:val="left"/>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794B0115">
      <w:pPr>
        <w:keepNext w:val="0"/>
        <w:keepLines w:val="0"/>
        <w:pageBreakBefore w:val="0"/>
        <w:numPr>
          <w:ilvl w:val="0"/>
          <w:numId w:val="0"/>
        </w:numPr>
        <w:kinsoku/>
        <w:overflowPunct/>
        <w:autoSpaceDE/>
        <w:autoSpaceDN/>
        <w:bidi w:val="0"/>
        <w:spacing w:line="600" w:lineRule="exact"/>
        <w:ind w:firstLine="640" w:firstLineChars="200"/>
        <w:jc w:val="left"/>
        <w:rPr>
          <w:rFonts w:hint="eastAsia" w:ascii="仿宋_GB2312" w:hAnsi="宋体" w:eastAsia="仿宋_GB2312"/>
          <w:sz w:val="32"/>
          <w:szCs w:val="32"/>
          <w:lang w:eastAsia="zh-CN"/>
        </w:rPr>
      </w:pPr>
      <w:r>
        <w:rPr>
          <w:rFonts w:hint="eastAsia" w:ascii="仿宋_GB2312" w:hAnsi="宋体" w:eastAsia="仿宋_GB2312" w:cs="Times New Roman"/>
          <w:kern w:val="2"/>
          <w:sz w:val="32"/>
          <w:szCs w:val="32"/>
          <w:lang w:val="en-US" w:eastAsia="zh-CN" w:bidi="ar-SA"/>
        </w:rPr>
        <w:t>1.</w:t>
      </w:r>
      <w:r>
        <w:rPr>
          <w:rFonts w:hint="eastAsia" w:ascii="仿宋_GB2312" w:hAnsi="宋体" w:eastAsia="仿宋_GB2312"/>
          <w:sz w:val="32"/>
          <w:szCs w:val="32"/>
        </w:rPr>
        <w:t>金口河区人大常委会办公室主要职责是承担区人民代表大会会议、人大常委会会议、主任会议的筹备和会务工作，承担区人民代表大会换届选举的各种事务工作</w:t>
      </w:r>
      <w:r>
        <w:rPr>
          <w:rFonts w:hint="eastAsia" w:ascii="仿宋_GB2312" w:hAnsi="宋体" w:eastAsia="仿宋_GB2312"/>
          <w:sz w:val="32"/>
          <w:szCs w:val="32"/>
          <w:lang w:eastAsia="zh-CN"/>
        </w:rPr>
        <w:t>。</w:t>
      </w:r>
    </w:p>
    <w:p w14:paraId="7F9CEA97">
      <w:pPr>
        <w:keepNext w:val="0"/>
        <w:keepLines w:val="0"/>
        <w:pageBreakBefore w:val="0"/>
        <w:numPr>
          <w:ilvl w:val="0"/>
          <w:numId w:val="0"/>
        </w:numPr>
        <w:kinsoku/>
        <w:overflowPunct/>
        <w:autoSpaceDE/>
        <w:autoSpaceDN/>
        <w:bidi w:val="0"/>
        <w:spacing w:line="60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负责对“一府两院”办公室、民族、法制、财经、农业、城环、教科文卫方面对口部门的工作联系，负责省、市、区人大代表的工作联系，协助常委会组织好代表视察工作，负责联系乡镇综合性的工作；协助区人大常委会指导乡镇人大换届选举工作、指导乡镇人大主席团工作。</w:t>
      </w:r>
    </w:p>
    <w:p w14:paraId="6AFA3D84">
      <w:pPr>
        <w:keepNext w:val="0"/>
        <w:keepLines w:val="0"/>
        <w:pageBreakBefore w:val="0"/>
        <w:numPr>
          <w:ilvl w:val="0"/>
          <w:numId w:val="0"/>
        </w:numPr>
        <w:kinsoku/>
        <w:overflowPunct/>
        <w:autoSpaceDE/>
        <w:autoSpaceDN/>
        <w:bidi w:val="0"/>
        <w:spacing w:line="60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负责常委会综合性文稿的起草、审核、校对，编印人代会《会刊》、常委会《公报》、常委会审议议题《参阅材料》。</w:t>
      </w:r>
    </w:p>
    <w:p w14:paraId="6F6856ED">
      <w:pPr>
        <w:keepNext w:val="0"/>
        <w:keepLines w:val="0"/>
        <w:pageBreakBefore w:val="0"/>
        <w:numPr>
          <w:ilvl w:val="0"/>
          <w:numId w:val="0"/>
        </w:numPr>
        <w:kinsoku/>
        <w:overflowPunct/>
        <w:autoSpaceDE/>
        <w:autoSpaceDN/>
        <w:bidi w:val="0"/>
        <w:spacing w:line="60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凡新颁布的法律法规实施一周年后，对其实施情况进行检查。</w:t>
      </w:r>
    </w:p>
    <w:p w14:paraId="09A45C17">
      <w:pPr>
        <w:keepNext w:val="0"/>
        <w:keepLines w:val="0"/>
        <w:pageBreakBefore w:val="0"/>
        <w:numPr>
          <w:ilvl w:val="0"/>
          <w:numId w:val="0"/>
        </w:numPr>
        <w:kinsoku/>
        <w:overflowPunct/>
        <w:autoSpaceDE/>
        <w:autoSpaceDN/>
        <w:bidi w:val="0"/>
        <w:spacing w:line="60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围绕常委会、主任会议议题，开展财政经济、农业、工业、城乡建设、环境保护、民族、法制、教科文卫方面的调查研究和上述有关方面的法律、法规和方针、政策贯彻实施情况进行调查研究，开展执法检查活动，提供有关综合情况和参阅资料。</w:t>
      </w:r>
    </w:p>
    <w:p w14:paraId="72224C7D">
      <w:pPr>
        <w:keepNext w:val="0"/>
        <w:keepLines w:val="0"/>
        <w:pageBreakBefore w:val="0"/>
        <w:numPr>
          <w:ilvl w:val="0"/>
          <w:numId w:val="0"/>
        </w:numPr>
        <w:kinsoku/>
        <w:overflowPunct/>
        <w:autoSpaceDE/>
        <w:autoSpaceDN/>
        <w:bidi w:val="0"/>
        <w:spacing w:line="600" w:lineRule="exact"/>
        <w:ind w:firstLine="640" w:firstLineChars="200"/>
        <w:jc w:val="left"/>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负责做好与区委组织部有关干部人事任免工作的联络，为区人大常委会任免干部做好工作准备等。</w:t>
      </w:r>
    </w:p>
    <w:p w14:paraId="5542F00D">
      <w:pPr>
        <w:pStyle w:val="16"/>
        <w:widowControl/>
        <w:spacing w:before="0" w:beforeAutospacing="0" w:after="0" w:afterAutospacing="0"/>
        <w:ind w:firstLine="643" w:firstLineChars="200"/>
        <w:jc w:val="both"/>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14:paraId="2E883B1B">
      <w:pPr>
        <w:pStyle w:val="16"/>
        <w:widowControl/>
        <w:spacing w:before="0" w:beforeAutospacing="0" w:after="0" w:afterAutospacing="0"/>
        <w:ind w:firstLine="640" w:firstLineChars="200"/>
        <w:jc w:val="both"/>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sz w:val="32"/>
          <w:szCs w:val="32"/>
          <w:shd w:val="clear" w:color="auto" w:fill="FFFFFF"/>
          <w:lang w:val="zh-CN"/>
        </w:rPr>
        <w:t>落实国家政策，严格依法行政，发挥经济管理职能，加强政策引导，制定发展规划，服务市场主体和营造发展环境，搞好市场监管，大力促进社会事业发展，发展乡村经济、文化和社会事业，提供公共服务，维护社会稳定，构建社会主义和谐社会。</w:t>
      </w:r>
    </w:p>
    <w:p w14:paraId="0567645C">
      <w:pPr>
        <w:spacing w:line="560" w:lineRule="exact"/>
        <w:ind w:firstLine="643" w:firstLineChars="200"/>
        <w:jc w:val="left"/>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29B9A988">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1、预算编制。</w:t>
      </w:r>
    </w:p>
    <w:p w14:paraId="0B37A8F5">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按照区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p>
    <w:p w14:paraId="41DB5F09">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2、认真编制年度决算报表。</w:t>
      </w:r>
    </w:p>
    <w:p w14:paraId="1E670CA6">
      <w:pPr>
        <w:spacing w:line="560" w:lineRule="exact"/>
        <w:ind w:firstLine="640" w:firstLineChars="200"/>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sz w:val="32"/>
          <w:szCs w:val="32"/>
        </w:rPr>
        <w:t>为真实、准确反应单位年度财务收、支情况，根据区财政局的要求，认真开展部门年度决算报表编制工作。按照政府收支分类科目和财务报表支出情况编制部门决算，决算收入、支出口径与财政局财政大平台及我乡财务账、会计帐核对无误，报表编制无差错。</w:t>
      </w:r>
    </w:p>
    <w:p w14:paraId="632F5DEC">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14:paraId="286F6C47">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Times New Roman"/>
          <w:sz w:val="32"/>
          <w:szCs w:val="32"/>
        </w:rPr>
        <w:t>单位特定目标类预算项目程序严密、严格按照财经纪律和预算管理要求执行，规划合理、结果符合、分配科学、分配及时、专项预算绩效目标按时完成、专款专用、无任何违规记录。</w:t>
      </w:r>
    </w:p>
    <w:p w14:paraId="52BAD9B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2D9748A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14:paraId="78BF3AA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宋体"/>
          <w:color w:val="000000"/>
          <w:kern w:val="0"/>
          <w:sz w:val="32"/>
          <w:szCs w:val="32"/>
          <w:shd w:val="clear" w:color="auto" w:fill="FFFFFF"/>
          <w:lang w:val="zh-CN"/>
        </w:rPr>
        <w:t>通过加强绩效预算，使用财政资金得到有效使用，行政效率得到提高，促进了各项工作顺得利开展，单位财务制度健全，管理规范，得到有效执行。</w:t>
      </w:r>
    </w:p>
    <w:p w14:paraId="4BB5E26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47DBBCF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工作开展情况记录；</w:t>
      </w:r>
    </w:p>
    <w:p w14:paraId="73E9776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2、项目设施进度；</w:t>
      </w:r>
    </w:p>
    <w:p w14:paraId="353BDB0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en-US" w:eastAsia="zh-CN"/>
        </w:rPr>
        <w:t>3、工作方式方法。</w:t>
      </w:r>
    </w:p>
    <w:p w14:paraId="575222A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4F0E650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color w:val="auto"/>
          <w:kern w:val="0"/>
          <w:sz w:val="32"/>
          <w:szCs w:val="32"/>
          <w:highlight w:val="none"/>
          <w:u w:val="none"/>
          <w:lang w:val="en-US" w:eastAsia="zh-CN"/>
        </w:rPr>
      </w:pPr>
      <w:r>
        <w:rPr>
          <w:rFonts w:hint="eastAsia" w:ascii="Times New Roman" w:hAnsi="Times New Roman" w:eastAsia="仿宋_GB2312" w:cs="仿宋_GB2312"/>
          <w:b w:val="0"/>
          <w:color w:val="auto"/>
          <w:kern w:val="0"/>
          <w:sz w:val="32"/>
          <w:szCs w:val="32"/>
          <w:highlight w:val="none"/>
          <w:u w:val="none"/>
          <w:lang w:val="en-US" w:eastAsia="zh-CN"/>
        </w:rPr>
        <w:t>本单位</w:t>
      </w:r>
    </w:p>
    <w:p w14:paraId="4AAC1F0F">
      <w:pPr>
        <w:widowControl/>
        <w:adjustRightInd w:val="0"/>
        <w:snapToGrid w:val="0"/>
        <w:spacing w:line="580" w:lineRule="exact"/>
        <w:ind w:firstLine="643" w:firstLineChars="200"/>
        <w:contextualSpacing/>
        <w:jc w:val="left"/>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0D761276">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14:paraId="5122A2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67DA0E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bCs/>
          <w:lang w:eastAsia="zh-CN"/>
        </w:rPr>
      </w:pPr>
      <w:r>
        <w:rPr>
          <w:rFonts w:hint="eastAsia" w:ascii="仿宋_GB2312" w:hAnsi="仿宋_GB2312" w:eastAsia="仿宋_GB2312" w:cs="仿宋_GB2312"/>
          <w:i w:val="0"/>
          <w:iCs w:val="0"/>
          <w:caps w:val="0"/>
          <w:color w:val="auto"/>
          <w:spacing w:val="0"/>
          <w:kern w:val="0"/>
          <w:sz w:val="32"/>
          <w:szCs w:val="32"/>
          <w:lang w:val="en-US" w:eastAsia="zh-CN" w:bidi="ar"/>
        </w:rPr>
        <w:t>该项目组织实施由单位分管负责人按年初工作计划组织实施。</w:t>
      </w:r>
    </w:p>
    <w:p w14:paraId="5A5928C1">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2428CF1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68F1D35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3792B0A">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w:t>
      </w:r>
    </w:p>
    <w:p w14:paraId="253528FC">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Times New Roman"/>
          <w:sz w:val="32"/>
          <w:szCs w:val="32"/>
        </w:rPr>
        <w:t>单位特定目标类预算项目程序严密、严格按照财经纪律和预算管理要求执行，规划合理、结果符合、分配科学、分配及时、专项预算绩效目标按时完成、专款专用、无任何违规记录。</w:t>
      </w:r>
    </w:p>
    <w:p w14:paraId="0722E2A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w:t>
      </w:r>
    </w:p>
    <w:p w14:paraId="38FEF9D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auto"/>
          <w:kern w:val="0"/>
          <w:sz w:val="32"/>
          <w:szCs w:val="32"/>
          <w:shd w:val="clear" w:color="auto" w:fill="FFFFFF"/>
          <w:lang w:val="en-US" w:eastAsia="zh-CN"/>
        </w:rPr>
        <w:t>区委、区政府的正确领导和上级主管部门的直接领导下，紧紧围绕工作重点和主要目标，认真贯彻落实习近平总书记重要指示批示精神，以高度的政治自觉性统领工作，积极做好保民生、促稳定的安全工作。</w:t>
      </w:r>
    </w:p>
    <w:p w14:paraId="57AD9CAF">
      <w:pPr>
        <w:spacing w:line="560" w:lineRule="exact"/>
        <w:ind w:firstLine="640" w:firstLineChars="200"/>
        <w:jc w:val="left"/>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p>
    <w:p w14:paraId="66481CB0">
      <w:pPr>
        <w:spacing w:line="560" w:lineRule="exact"/>
        <w:ind w:firstLine="640" w:firstLineChars="200"/>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sz w:val="32"/>
          <w:szCs w:val="32"/>
        </w:rPr>
        <w:t>按照区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p>
    <w:p w14:paraId="54534B9A">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p>
    <w:p w14:paraId="292F8F92">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宋体"/>
          <w:color w:val="auto"/>
          <w:kern w:val="0"/>
          <w:sz w:val="32"/>
          <w:szCs w:val="32"/>
          <w:shd w:val="clear" w:color="auto" w:fill="FFFFFF"/>
          <w:lang w:val="zh-CN"/>
        </w:rPr>
        <w:t>所有指标都基本达到了预期的效果，所有项目经费都实现了价值的最大化。</w:t>
      </w:r>
    </w:p>
    <w:p w14:paraId="3169913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5CAB1B1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33E9F38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35DF0A3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10A1488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69C560F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003C245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3EFFC17A">
      <w:pPr>
        <w:keepNext w:val="0"/>
        <w:keepLines w:val="0"/>
        <w:pageBreakBefore w:val="0"/>
        <w:kinsoku/>
        <w:overflowPunct/>
        <w:autoSpaceDE/>
        <w:autoSpaceDN/>
        <w:bidi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年金口河区人大常务委员会办公室按照国家的法律法规加强预算管理，不断完善内控制度，取得了较好的预算执行效果。认真完成了20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年部门预算和决算汇总工作，能够按照财政部门批复的预算组织实施。财务管理健全规范，没有发生违法违规现象。我办20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年的部门整体支出做到了使用规范、程序透明、达到预期绩效目标，确保了机关的正常运行和各委室职能的正常履行，保证了目标任务的圆满完成。评价得分</w:t>
      </w:r>
      <w:r>
        <w:rPr>
          <w:rFonts w:hint="eastAsia" w:ascii="仿宋_GB2312" w:hAnsi="宋体" w:eastAsia="仿宋_GB2312"/>
          <w:sz w:val="32"/>
          <w:szCs w:val="32"/>
          <w:lang w:val="en-US" w:eastAsia="zh-CN"/>
        </w:rPr>
        <w:t>98</w:t>
      </w:r>
      <w:r>
        <w:rPr>
          <w:rFonts w:hint="eastAsia" w:ascii="仿宋_GB2312" w:hAnsi="宋体" w:eastAsia="仿宋_GB2312"/>
          <w:sz w:val="32"/>
          <w:szCs w:val="32"/>
        </w:rPr>
        <w:t>分。</w:t>
      </w:r>
    </w:p>
    <w:p w14:paraId="3696B34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2342930F">
      <w:pPr>
        <w:keepNext w:val="0"/>
        <w:keepLines w:val="0"/>
        <w:pageBreakBefore w:val="0"/>
        <w:kinsoku/>
        <w:overflowPunct/>
        <w:autoSpaceDE/>
        <w:autoSpaceDN/>
        <w:bidi w:val="0"/>
        <w:spacing w:line="600" w:lineRule="exact"/>
        <w:ind w:firstLine="640" w:firstLineChars="200"/>
        <w:jc w:val="left"/>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宋体" w:eastAsia="仿宋_GB2312"/>
          <w:sz w:val="32"/>
          <w:szCs w:val="32"/>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年由于个别项目推进不及时，在加上年底财政国库资金紧张，导致</w:t>
      </w:r>
      <w:r>
        <w:rPr>
          <w:rFonts w:hint="eastAsia" w:ascii="仿宋_GB2312" w:hAnsi="宋体" w:eastAsia="仿宋_GB2312"/>
          <w:sz w:val="32"/>
          <w:szCs w:val="32"/>
          <w:lang w:eastAsia="zh-CN"/>
        </w:rPr>
        <w:t>一些</w:t>
      </w:r>
      <w:r>
        <w:rPr>
          <w:rFonts w:hint="eastAsia" w:ascii="仿宋_GB2312" w:hAnsi="宋体" w:eastAsia="仿宋_GB2312"/>
          <w:sz w:val="32"/>
          <w:szCs w:val="32"/>
        </w:rPr>
        <w:t>费用</w:t>
      </w:r>
      <w:r>
        <w:rPr>
          <w:rFonts w:hint="eastAsia" w:ascii="仿宋_GB2312" w:hAnsi="宋体" w:eastAsia="仿宋_GB2312"/>
          <w:sz w:val="32"/>
          <w:szCs w:val="32"/>
          <w:lang w:eastAsia="zh-CN"/>
        </w:rPr>
        <w:t>拨付不及时</w:t>
      </w:r>
      <w:r>
        <w:rPr>
          <w:rFonts w:hint="eastAsia" w:ascii="Times New Roman" w:hAnsi="Times New Roman" w:eastAsia="仿宋_GB2312" w:cs="仿宋_GB2312"/>
          <w:b w:val="0"/>
          <w:bCs w:val="0"/>
          <w:kern w:val="0"/>
          <w:position w:val="0"/>
          <w:sz w:val="32"/>
          <w:szCs w:val="32"/>
          <w:highlight w:val="none"/>
          <w:lang w:val="en-US" w:eastAsia="zh-CN" w:bidi="ar-SA"/>
        </w:rPr>
        <w:t>。</w:t>
      </w:r>
    </w:p>
    <w:p w14:paraId="7AD1A9C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5F3E63E1">
      <w:pPr>
        <w:keepNext w:val="0"/>
        <w:keepLines w:val="0"/>
        <w:pageBreakBefore w:val="0"/>
        <w:kinsoku/>
        <w:overflowPunct/>
        <w:autoSpaceDE/>
        <w:autoSpaceDN/>
        <w:bidi w:val="0"/>
        <w:spacing w:line="60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进一步加强项目资金管理，加强项目预算的计划性、科学性、确保专项资金使用公开、公平、公正；加强财政资金绩效管理，实现财政资金使用安全、高效、透明。</w:t>
      </w:r>
    </w:p>
    <w:p w14:paraId="64F836BA">
      <w:pPr>
        <w:pStyle w:val="3"/>
        <w:rPr>
          <w:rFonts w:hint="eastAsia" w:ascii="Times New Roman" w:hAnsi="Times New Roman" w:eastAsia="黑体"/>
          <w:color w:val="auto"/>
          <w:sz w:val="44"/>
          <w:szCs w:val="44"/>
          <w:highlight w:val="none"/>
        </w:rPr>
      </w:pPr>
    </w:p>
    <w:p w14:paraId="3A4E3611">
      <w:pPr>
        <w:rPr>
          <w:rFonts w:hint="eastAsia" w:ascii="Times New Roman" w:hAnsi="Times New Roman" w:eastAsia="黑体"/>
          <w:color w:val="auto"/>
          <w:sz w:val="44"/>
          <w:szCs w:val="44"/>
          <w:highlight w:val="none"/>
        </w:rPr>
      </w:pPr>
    </w:p>
    <w:p w14:paraId="2F87C225">
      <w:pPr>
        <w:pStyle w:val="2"/>
        <w:rPr>
          <w:rFonts w:hint="eastAsia" w:ascii="Times New Roman" w:hAnsi="Times New Roman" w:eastAsia="黑体"/>
          <w:color w:val="auto"/>
          <w:sz w:val="44"/>
          <w:szCs w:val="44"/>
          <w:highlight w:val="none"/>
        </w:rPr>
      </w:pPr>
    </w:p>
    <w:p w14:paraId="513A8ED3">
      <w:pPr>
        <w:pStyle w:val="3"/>
        <w:rPr>
          <w:rFonts w:hint="eastAsia" w:ascii="Times New Roman" w:hAnsi="Times New Roman" w:eastAsia="黑体"/>
          <w:color w:val="auto"/>
          <w:sz w:val="44"/>
          <w:szCs w:val="44"/>
          <w:highlight w:val="none"/>
        </w:rPr>
      </w:pPr>
    </w:p>
    <w:p w14:paraId="19ECC859">
      <w:pPr>
        <w:rPr>
          <w:rFonts w:hint="eastAsia" w:ascii="Times New Roman" w:hAnsi="Times New Roman" w:eastAsia="黑体"/>
          <w:color w:val="auto"/>
          <w:sz w:val="44"/>
          <w:szCs w:val="44"/>
          <w:highlight w:val="none"/>
        </w:rPr>
      </w:pPr>
    </w:p>
    <w:p w14:paraId="1CCD34E7">
      <w:pPr>
        <w:pStyle w:val="2"/>
        <w:rPr>
          <w:rFonts w:hint="eastAsia" w:ascii="Times New Roman" w:hAnsi="Times New Roman" w:eastAsia="黑体"/>
          <w:color w:val="auto"/>
          <w:sz w:val="44"/>
          <w:szCs w:val="44"/>
          <w:highlight w:val="none"/>
        </w:rPr>
      </w:pPr>
    </w:p>
    <w:p w14:paraId="449D1A1A">
      <w:pPr>
        <w:pStyle w:val="3"/>
        <w:rPr>
          <w:rFonts w:hint="eastAsia" w:ascii="Times New Roman" w:hAnsi="Times New Roman" w:eastAsia="黑体"/>
          <w:color w:val="auto"/>
          <w:sz w:val="44"/>
          <w:szCs w:val="44"/>
          <w:highlight w:val="none"/>
        </w:rPr>
      </w:pPr>
    </w:p>
    <w:p w14:paraId="67F6756A">
      <w:pPr>
        <w:rPr>
          <w:rFonts w:hint="eastAsia" w:ascii="Times New Roman" w:hAnsi="Times New Roman" w:eastAsia="黑体"/>
          <w:color w:val="auto"/>
          <w:sz w:val="44"/>
          <w:szCs w:val="44"/>
          <w:highlight w:val="none"/>
        </w:rPr>
      </w:pPr>
    </w:p>
    <w:p w14:paraId="035F7664">
      <w:pPr>
        <w:pStyle w:val="2"/>
        <w:rPr>
          <w:rFonts w:hint="eastAsia" w:ascii="Times New Roman" w:hAnsi="Times New Roman" w:eastAsia="黑体"/>
          <w:color w:val="auto"/>
          <w:sz w:val="44"/>
          <w:szCs w:val="44"/>
          <w:highlight w:val="none"/>
        </w:rPr>
      </w:pPr>
    </w:p>
    <w:p w14:paraId="7F7400CB">
      <w:pPr>
        <w:pStyle w:val="3"/>
        <w:rPr>
          <w:rFonts w:hint="eastAsia" w:ascii="Times New Roman" w:hAnsi="Times New Roman" w:eastAsia="黑体"/>
          <w:color w:val="auto"/>
          <w:sz w:val="44"/>
          <w:szCs w:val="44"/>
          <w:highlight w:val="none"/>
        </w:rPr>
      </w:pPr>
    </w:p>
    <w:p w14:paraId="0C669CC7">
      <w:pPr>
        <w:rPr>
          <w:rFonts w:hint="eastAsia" w:ascii="Times New Roman" w:hAnsi="Times New Roman" w:eastAsia="黑体"/>
          <w:color w:val="auto"/>
          <w:sz w:val="44"/>
          <w:szCs w:val="44"/>
          <w:highlight w:val="none"/>
        </w:rPr>
      </w:pPr>
    </w:p>
    <w:p w14:paraId="21D615F1">
      <w:pPr>
        <w:rPr>
          <w:rFonts w:hint="eastAsia" w:ascii="Times New Roman" w:hAnsi="Times New Roman" w:eastAsia="黑体"/>
          <w:color w:val="auto"/>
          <w:sz w:val="44"/>
          <w:szCs w:val="44"/>
          <w:highlight w:val="none"/>
        </w:rPr>
      </w:pPr>
    </w:p>
    <w:p w14:paraId="62CA0BBC">
      <w:pPr>
        <w:pStyle w:val="2"/>
        <w:rPr>
          <w:rFonts w:hint="eastAsia" w:ascii="Times New Roman" w:hAnsi="Times New Roman" w:eastAsia="黑体"/>
          <w:color w:val="auto"/>
          <w:sz w:val="44"/>
          <w:szCs w:val="44"/>
          <w:highlight w:val="none"/>
        </w:rPr>
      </w:pPr>
    </w:p>
    <w:p w14:paraId="544BFA22">
      <w:pPr>
        <w:pStyle w:val="3"/>
        <w:rPr>
          <w:rFonts w:hint="eastAsia" w:ascii="Times New Roman" w:hAnsi="Times New Roman" w:eastAsia="黑体"/>
          <w:color w:val="auto"/>
          <w:sz w:val="44"/>
          <w:szCs w:val="44"/>
          <w:highlight w:val="none"/>
        </w:rPr>
      </w:pPr>
    </w:p>
    <w:p w14:paraId="08F6B32E">
      <w:pPr>
        <w:rPr>
          <w:rFonts w:hint="eastAsia"/>
        </w:rPr>
      </w:pPr>
    </w:p>
    <w:p w14:paraId="4032B93E">
      <w:pPr>
        <w:pStyle w:val="3"/>
        <w:rPr>
          <w:rFonts w:hint="eastAsia" w:ascii="Times New Roman" w:hAnsi="Times New Roman" w:eastAsia="黑体"/>
          <w:color w:val="auto"/>
          <w:sz w:val="44"/>
          <w:szCs w:val="44"/>
          <w:highlight w:val="none"/>
        </w:rPr>
      </w:pPr>
    </w:p>
    <w:p w14:paraId="591DB75D">
      <w:pPr>
        <w:pStyle w:val="3"/>
        <w:rPr>
          <w:rFonts w:hint="eastAsia" w:ascii="Times New Roman" w:hAnsi="Times New Roman" w:eastAsia="黑体"/>
          <w:color w:val="auto"/>
          <w:sz w:val="44"/>
          <w:szCs w:val="44"/>
          <w:highlight w:val="none"/>
        </w:rPr>
      </w:pPr>
    </w:p>
    <w:p w14:paraId="3CF4ACB8">
      <w:pPr>
        <w:widowControl/>
        <w:jc w:val="center"/>
        <w:rPr>
          <w:rFonts w:hint="eastAsia" w:ascii="Times New Roman" w:hAnsi="Times New Roman" w:eastAsia="黑体"/>
          <w:color w:val="auto"/>
          <w:sz w:val="44"/>
          <w:szCs w:val="44"/>
          <w:highlight w:val="none"/>
        </w:rPr>
      </w:pPr>
    </w:p>
    <w:p w14:paraId="5B6F91E8">
      <w:pPr>
        <w:widowControl/>
        <w:jc w:val="center"/>
        <w:rPr>
          <w:rFonts w:hint="eastAsia" w:ascii="Times New Roman" w:hAnsi="Times New Roman" w:eastAsia="黑体"/>
          <w:color w:val="auto"/>
          <w:sz w:val="44"/>
          <w:szCs w:val="44"/>
          <w:highlight w:val="none"/>
        </w:rPr>
      </w:pPr>
    </w:p>
    <w:p w14:paraId="0491A3A2">
      <w:pPr>
        <w:widowControl/>
        <w:jc w:val="center"/>
        <w:rPr>
          <w:rFonts w:hint="eastAsia" w:ascii="Times New Roman" w:hAnsi="Times New Roman" w:eastAsia="黑体"/>
          <w:color w:val="auto"/>
          <w:sz w:val="44"/>
          <w:szCs w:val="44"/>
          <w:highlight w:val="none"/>
        </w:rPr>
      </w:pPr>
    </w:p>
    <w:p w14:paraId="20C6F008">
      <w:pPr>
        <w:widowControl/>
        <w:ind w:firstLine="2640" w:firstLineChars="600"/>
        <w:jc w:val="both"/>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2"/>
      <w:bookmarkEnd w:id="54"/>
      <w:bookmarkStart w:id="55" w:name="_Toc15396619"/>
    </w:p>
    <w:p w14:paraId="3650C4C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4AE5F1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14:paraId="6213885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14:paraId="5AB89F4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14:paraId="05C3511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14:paraId="0DFB108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14:paraId="39B8365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14:paraId="7514C14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14:paraId="156E9E1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14:paraId="1AAF0F5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14:paraId="7E1D177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14:paraId="2B671DC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D89C09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14:paraId="1EEB16B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14:paraId="2AAADDCE">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C699">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7005B">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97005B">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70E8234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95E9">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9ABB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C9ABB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89A2B">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D1DF8"/>
    <w:multiLevelType w:val="singleLevel"/>
    <w:tmpl w:val="EF7D1DF8"/>
    <w:lvl w:ilvl="0" w:tentative="0">
      <w:start w:val="2"/>
      <w:numFmt w:val="chineseCounting"/>
      <w:suff w:val="nothing"/>
      <w:lvlText w:val="（%1）"/>
      <w:lvlJc w:val="left"/>
      <w:rPr>
        <w:rFonts w:hint="eastAsia"/>
      </w:rPr>
    </w:lvl>
  </w:abstractNum>
  <w:abstractNum w:abstractNumId="1">
    <w:nsid w:val="FE1354B0"/>
    <w:multiLevelType w:val="singleLevel"/>
    <w:tmpl w:val="FE1354B0"/>
    <w:lvl w:ilvl="0" w:tentative="0">
      <w:start w:val="10"/>
      <w:numFmt w:val="decimal"/>
      <w:lvlText w:val="%1."/>
      <w:lvlJc w:val="left"/>
      <w:pPr>
        <w:tabs>
          <w:tab w:val="left" w:pos="312"/>
        </w:tabs>
      </w:pPr>
    </w:lvl>
  </w:abstractNum>
  <w:abstractNum w:abstractNumId="2">
    <w:nsid w:val="2DDCA5F5"/>
    <w:multiLevelType w:val="singleLevel"/>
    <w:tmpl w:val="2DDCA5F5"/>
    <w:lvl w:ilvl="0" w:tentative="0">
      <w:start w:val="1"/>
      <w:numFmt w:val="chineseCounting"/>
      <w:suff w:val="nothing"/>
      <w:lvlText w:val="%1、"/>
      <w:lvlJc w:val="left"/>
      <w:rPr>
        <w:rFonts w:hint="eastAsia"/>
      </w:rPr>
    </w:lvl>
  </w:abstractNum>
  <w:abstractNum w:abstractNumId="3">
    <w:nsid w:val="3B0A3B94"/>
    <w:multiLevelType w:val="singleLevel"/>
    <w:tmpl w:val="3B0A3B94"/>
    <w:lvl w:ilvl="0" w:tentative="0">
      <w:start w:val="15"/>
      <w:numFmt w:val="decimal"/>
      <w:lvlText w:val="%1."/>
      <w:lvlJc w:val="left"/>
      <w:pPr>
        <w:tabs>
          <w:tab w:val="left" w:pos="312"/>
        </w:tabs>
      </w:pPr>
    </w:lvl>
  </w:abstractNum>
  <w:abstractNum w:abstractNumId="4">
    <w:nsid w:val="4E11E0A3"/>
    <w:multiLevelType w:val="singleLevel"/>
    <w:tmpl w:val="4E11E0A3"/>
    <w:lvl w:ilvl="0" w:tentative="0">
      <w:start w:val="2"/>
      <w:numFmt w:val="decimal"/>
      <w:suff w:val="nothing"/>
      <w:lvlText w:val="%1、"/>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A058C"/>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A46519"/>
    <w:rsid w:val="02FEBE30"/>
    <w:rsid w:val="03D80B70"/>
    <w:rsid w:val="03E05C76"/>
    <w:rsid w:val="04916F1E"/>
    <w:rsid w:val="04C9495C"/>
    <w:rsid w:val="061E35DE"/>
    <w:rsid w:val="066E0107"/>
    <w:rsid w:val="06F4404D"/>
    <w:rsid w:val="07996F6E"/>
    <w:rsid w:val="07DFD8BA"/>
    <w:rsid w:val="09867E8F"/>
    <w:rsid w:val="0A2032A3"/>
    <w:rsid w:val="0AC57974"/>
    <w:rsid w:val="0ACB616E"/>
    <w:rsid w:val="0CA8290A"/>
    <w:rsid w:val="0D35B1ED"/>
    <w:rsid w:val="0D791F72"/>
    <w:rsid w:val="0E254B6B"/>
    <w:rsid w:val="0E680D42"/>
    <w:rsid w:val="0F98263C"/>
    <w:rsid w:val="0FA77648"/>
    <w:rsid w:val="101860EC"/>
    <w:rsid w:val="101F47CC"/>
    <w:rsid w:val="10C055FF"/>
    <w:rsid w:val="11694EBD"/>
    <w:rsid w:val="11772AA4"/>
    <w:rsid w:val="118107EC"/>
    <w:rsid w:val="12E24EE2"/>
    <w:rsid w:val="13D50BC4"/>
    <w:rsid w:val="13D50C41"/>
    <w:rsid w:val="14B17F78"/>
    <w:rsid w:val="165E0673"/>
    <w:rsid w:val="16B831D5"/>
    <w:rsid w:val="16BB723D"/>
    <w:rsid w:val="17336981"/>
    <w:rsid w:val="17B31280"/>
    <w:rsid w:val="17E50567"/>
    <w:rsid w:val="181B0BD3"/>
    <w:rsid w:val="186504BB"/>
    <w:rsid w:val="19A445FC"/>
    <w:rsid w:val="1AC6751C"/>
    <w:rsid w:val="1B4072CF"/>
    <w:rsid w:val="1BE8440E"/>
    <w:rsid w:val="1C361078"/>
    <w:rsid w:val="1D155CEE"/>
    <w:rsid w:val="1D1638FE"/>
    <w:rsid w:val="1E0565AE"/>
    <w:rsid w:val="1E312DEB"/>
    <w:rsid w:val="1E740ACF"/>
    <w:rsid w:val="1FF35744"/>
    <w:rsid w:val="1FF6BC77"/>
    <w:rsid w:val="213056EF"/>
    <w:rsid w:val="2186353C"/>
    <w:rsid w:val="230E4B9A"/>
    <w:rsid w:val="23860B96"/>
    <w:rsid w:val="23F70746"/>
    <w:rsid w:val="240371BF"/>
    <w:rsid w:val="24156E1F"/>
    <w:rsid w:val="244F3473"/>
    <w:rsid w:val="24C97D99"/>
    <w:rsid w:val="25A718F0"/>
    <w:rsid w:val="25BB59F6"/>
    <w:rsid w:val="260F557C"/>
    <w:rsid w:val="26970054"/>
    <w:rsid w:val="27AB1F74"/>
    <w:rsid w:val="281408E2"/>
    <w:rsid w:val="292A511A"/>
    <w:rsid w:val="299B6018"/>
    <w:rsid w:val="29FD04D3"/>
    <w:rsid w:val="2A191C1A"/>
    <w:rsid w:val="2B182F87"/>
    <w:rsid w:val="2BFF7BC6"/>
    <w:rsid w:val="2C8A61B5"/>
    <w:rsid w:val="2D574004"/>
    <w:rsid w:val="2DF04E50"/>
    <w:rsid w:val="2E586DFA"/>
    <w:rsid w:val="2EF53AD4"/>
    <w:rsid w:val="2F040D46"/>
    <w:rsid w:val="2F6B035B"/>
    <w:rsid w:val="2FAA0D63"/>
    <w:rsid w:val="2FAE5751"/>
    <w:rsid w:val="2FB1A395"/>
    <w:rsid w:val="2FD9A7D8"/>
    <w:rsid w:val="2FDBF714"/>
    <w:rsid w:val="3086532C"/>
    <w:rsid w:val="30AB6865"/>
    <w:rsid w:val="31392203"/>
    <w:rsid w:val="319F7F4E"/>
    <w:rsid w:val="32863641"/>
    <w:rsid w:val="32BD1EF1"/>
    <w:rsid w:val="3304709D"/>
    <w:rsid w:val="33A773CB"/>
    <w:rsid w:val="341964B7"/>
    <w:rsid w:val="34670FD0"/>
    <w:rsid w:val="349D6851"/>
    <w:rsid w:val="34B16ED9"/>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2D0D52"/>
    <w:rsid w:val="3CEBA265"/>
    <w:rsid w:val="3D98207C"/>
    <w:rsid w:val="3DEE7CF3"/>
    <w:rsid w:val="3E740A63"/>
    <w:rsid w:val="3E78745D"/>
    <w:rsid w:val="3EE17838"/>
    <w:rsid w:val="3F0A4A61"/>
    <w:rsid w:val="3F55381A"/>
    <w:rsid w:val="3F7F7599"/>
    <w:rsid w:val="3FF4CAE0"/>
    <w:rsid w:val="3FF7B227"/>
    <w:rsid w:val="405A40DF"/>
    <w:rsid w:val="41967399"/>
    <w:rsid w:val="43421586"/>
    <w:rsid w:val="43E14186"/>
    <w:rsid w:val="44972926"/>
    <w:rsid w:val="44E268DA"/>
    <w:rsid w:val="450D13D7"/>
    <w:rsid w:val="45506656"/>
    <w:rsid w:val="45E84445"/>
    <w:rsid w:val="486A6C7A"/>
    <w:rsid w:val="4A627F82"/>
    <w:rsid w:val="4ADB5E1D"/>
    <w:rsid w:val="4B0E749A"/>
    <w:rsid w:val="4B2477C4"/>
    <w:rsid w:val="4B41569C"/>
    <w:rsid w:val="4B4F25DA"/>
    <w:rsid w:val="4BE068DB"/>
    <w:rsid w:val="4D577224"/>
    <w:rsid w:val="4DBF1CEB"/>
    <w:rsid w:val="4DF0007C"/>
    <w:rsid w:val="4EAB630A"/>
    <w:rsid w:val="4ECE2238"/>
    <w:rsid w:val="4F833267"/>
    <w:rsid w:val="4FE9BD67"/>
    <w:rsid w:val="4FFB052F"/>
    <w:rsid w:val="513B5867"/>
    <w:rsid w:val="536F7A4A"/>
    <w:rsid w:val="537E6D0A"/>
    <w:rsid w:val="53F74C96"/>
    <w:rsid w:val="55170BA8"/>
    <w:rsid w:val="553218C9"/>
    <w:rsid w:val="55E2361D"/>
    <w:rsid w:val="567E1AA5"/>
    <w:rsid w:val="56E47B74"/>
    <w:rsid w:val="57175D52"/>
    <w:rsid w:val="57BD3DD4"/>
    <w:rsid w:val="57EA58F1"/>
    <w:rsid w:val="58B56AC5"/>
    <w:rsid w:val="5AAC3332"/>
    <w:rsid w:val="5AF6393C"/>
    <w:rsid w:val="5AF92295"/>
    <w:rsid w:val="5B1F1D55"/>
    <w:rsid w:val="5B250254"/>
    <w:rsid w:val="5BC56459"/>
    <w:rsid w:val="5BDD79E6"/>
    <w:rsid w:val="5BF561CA"/>
    <w:rsid w:val="5BFF5DFC"/>
    <w:rsid w:val="5CD71FC4"/>
    <w:rsid w:val="5D1F11B5"/>
    <w:rsid w:val="5D695134"/>
    <w:rsid w:val="5DAE1B18"/>
    <w:rsid w:val="5DE7D9E5"/>
    <w:rsid w:val="5ECEC941"/>
    <w:rsid w:val="5FBF9FF3"/>
    <w:rsid w:val="5FCD4E2C"/>
    <w:rsid w:val="5FEF394A"/>
    <w:rsid w:val="5FF67715"/>
    <w:rsid w:val="614E0C9F"/>
    <w:rsid w:val="61B044B8"/>
    <w:rsid w:val="62BE1E54"/>
    <w:rsid w:val="62BF3928"/>
    <w:rsid w:val="630006BE"/>
    <w:rsid w:val="63B3701E"/>
    <w:rsid w:val="647F5392"/>
    <w:rsid w:val="65E66580"/>
    <w:rsid w:val="664B1D71"/>
    <w:rsid w:val="664B4E8E"/>
    <w:rsid w:val="665E55C9"/>
    <w:rsid w:val="67277B67"/>
    <w:rsid w:val="67362901"/>
    <w:rsid w:val="677C5658"/>
    <w:rsid w:val="67AA3209"/>
    <w:rsid w:val="689C2314"/>
    <w:rsid w:val="68ED4A3F"/>
    <w:rsid w:val="698D0931"/>
    <w:rsid w:val="69967687"/>
    <w:rsid w:val="6A7FE5F3"/>
    <w:rsid w:val="6B0369FE"/>
    <w:rsid w:val="6B053271"/>
    <w:rsid w:val="6BDD78B3"/>
    <w:rsid w:val="6C4A05C8"/>
    <w:rsid w:val="6C8742B8"/>
    <w:rsid w:val="6DBF5E93"/>
    <w:rsid w:val="6DFF077E"/>
    <w:rsid w:val="6E714EF0"/>
    <w:rsid w:val="6E7E3605"/>
    <w:rsid w:val="6E7FDCC7"/>
    <w:rsid w:val="6ED6A62E"/>
    <w:rsid w:val="6EE00B15"/>
    <w:rsid w:val="6F6FB3EB"/>
    <w:rsid w:val="6F8731EA"/>
    <w:rsid w:val="6F8A3840"/>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5B5755"/>
    <w:rsid w:val="74BBD01D"/>
    <w:rsid w:val="74ED5379"/>
    <w:rsid w:val="75DEEEC2"/>
    <w:rsid w:val="75E32345"/>
    <w:rsid w:val="75E654F2"/>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3A4316"/>
    <w:rsid w:val="7B6C7DFB"/>
    <w:rsid w:val="7BB87930"/>
    <w:rsid w:val="7BBFBED0"/>
    <w:rsid w:val="7BC3E394"/>
    <w:rsid w:val="7C06244A"/>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next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cs="Courier New"/>
      <w:color w:val="000000"/>
      <w:spacing w:val="20"/>
      <w:szCs w:val="21"/>
    </w:r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paragraph" w:styleId="17">
    <w:name w:val="Title"/>
    <w:basedOn w:val="1"/>
    <w:next w:val="1"/>
    <w:qFormat/>
    <w:uiPriority w:val="10"/>
    <w:pPr>
      <w:spacing w:line="700" w:lineRule="exact"/>
      <w:jc w:val="center"/>
    </w:pPr>
    <w:rPr>
      <w:rFonts w:eastAsia="方正小标宋简体"/>
      <w:color w:val="000000"/>
      <w:kern w:val="0"/>
      <w:sz w:val="44"/>
      <w:szCs w:val="4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5"/>
    <w:qFormat/>
    <w:uiPriority w:val="9"/>
    <w:rPr>
      <w:rFonts w:ascii="Times New Roman" w:hAnsi="Times New Roman"/>
      <w:b/>
      <w:bCs/>
      <w:kern w:val="44"/>
      <w:sz w:val="44"/>
      <w:szCs w:val="44"/>
    </w:rPr>
  </w:style>
  <w:style w:type="character" w:customStyle="1" w:styleId="32">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7"/>
    <w:qFormat/>
    <w:uiPriority w:val="9"/>
    <w:rPr>
      <w:rFonts w:ascii="Times New Roman" w:hAnsi="Times New Roman"/>
      <w:b/>
      <w:bCs/>
      <w:kern w:val="2"/>
      <w:sz w:val="32"/>
      <w:szCs w:val="32"/>
    </w:r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manualLayout>
          <c:layoutTarget val="inner"/>
          <c:xMode val="edge"/>
          <c:yMode val="edge"/>
          <c:x val="0.0708684210526316"/>
          <c:y val="0.172916666666667"/>
          <c:w val="0.900184210526316"/>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[图表.xlsx]Sheet1!$F$76:$F$77</c:f>
              <c:strCache>
                <c:ptCount val="2"/>
                <c:pt idx="0">
                  <c:v>2023年收支总计</c:v>
                </c:pt>
                <c:pt idx="1">
                  <c:v>2024年收支总计</c:v>
                </c:pt>
              </c:strCache>
            </c:strRef>
          </c:cat>
          <c:val>
            <c:numRef>
              <c:f>[图表.xlsx]Sheet1!$G$76:$G$77</c:f>
              <c:numCache>
                <c:formatCode>General</c:formatCode>
                <c:ptCount val="2"/>
                <c:pt idx="0">
                  <c:v>860.42</c:v>
                </c:pt>
                <c:pt idx="1">
                  <c:v>673.2</c:v>
                </c:pt>
              </c:numCache>
            </c:numRef>
          </c:val>
        </c:ser>
        <c:dLbls>
          <c:showLegendKey val="0"/>
          <c:showVal val="1"/>
          <c:showCatName val="0"/>
          <c:showSerName val="0"/>
          <c:showPercent val="0"/>
          <c:showBubbleSize val="0"/>
        </c:dLbls>
        <c:gapWidth val="246"/>
        <c:overlap val="-28"/>
        <c:axId val="911860159"/>
        <c:axId val="332249765"/>
      </c:barChart>
      <c:catAx>
        <c:axId val="911860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249765"/>
        <c:crosses val="autoZero"/>
        <c:auto val="1"/>
        <c:lblAlgn val="ctr"/>
        <c:lblOffset val="100"/>
        <c:noMultiLvlLbl val="0"/>
      </c:catAx>
      <c:valAx>
        <c:axId val="33224976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860159"/>
        <c:crosses val="autoZero"/>
        <c:crossBetween val="between"/>
      </c:valAx>
      <c:spPr>
        <a:noFill/>
        <a:ln>
          <a:noFill/>
        </a:ln>
        <a:effectLst/>
      </c:spPr>
    </c:plotArea>
    <c:plotVisOnly val="1"/>
    <c:dispBlanksAs val="gap"/>
    <c:showDLblsOverMax val="0"/>
    <c:extLst>
      <c:ext uri="{0b15fc19-7d7d-44ad-8c2d-2c3a37ce22c3}">
        <chartProps xmlns="https://web.wps.cn/et/2018/main" chartId="{36399d7c-5fc8-44d9-a51d-63e48324834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[图表.xlsx]Sheet2!$B$22:$B$29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[图表.xlsx]Sheet2!$C$22:$C$29</c:f>
              <c:numCache>
                <c:formatCode>0.00%</c:formatCode>
                <c:ptCount val="8"/>
                <c:pt idx="0">
                  <c:v>0.9999</c:v>
                </c:pt>
                <c:pt idx="7">
                  <c:v>0.0001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a878d2-9bd0-4c5f-83ab-5d8ce440308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[图表.xlsx]Sheet2!$B$49:$B$53</c:f>
              <c:strCache>
                <c:ptCount val="5"/>
                <c:pt idx="0">
                  <c:v>基本支出</c:v>
                </c:pt>
                <c:pt idx="1">
                  <c:v>项目支出</c:v>
                </c:pt>
                <c:pt idx="2">
                  <c:v>上缴上级支出</c:v>
                </c:pt>
                <c:pt idx="3">
                  <c:v>经营支出</c:v>
                </c:pt>
                <c:pt idx="4">
                  <c:v>对附属单位补助支出</c:v>
                </c:pt>
              </c:strCache>
            </c:strRef>
          </c:cat>
          <c:val>
            <c:numRef>
              <c:f>[图表.xlsx]Sheet2!$C$49:$C$53</c:f>
              <c:numCache>
                <c:formatCode>0.00%</c:formatCode>
                <c:ptCount val="5"/>
                <c:pt idx="0">
                  <c:v>0.8438</c:v>
                </c:pt>
                <c:pt idx="1">
                  <c:v>0.1562</c:v>
                </c:pt>
                <c:pt idx="2" c:formatCode="0%">
                  <c:v>0</c:v>
                </c:pt>
                <c:pt idx="3" c:formatCode="0%">
                  <c:v>0</c:v>
                </c:pt>
                <c:pt idx="4"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456ff0a-9276-4666-8d53-0b843257732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[图表.xlsx]Sheet2!$B$74:$B$75</c:f>
              <c:strCache>
                <c:ptCount val="2"/>
                <c:pt idx="0">
                  <c:v>2023年财政收支总计</c:v>
                </c:pt>
                <c:pt idx="1">
                  <c:v>2024年财政收支总计</c:v>
                </c:pt>
              </c:strCache>
            </c:strRef>
          </c:cat>
          <c:val>
            <c:numRef>
              <c:f>[图表.xlsx]Sheet2!$C$74:$C$75</c:f>
              <c:numCache>
                <c:formatCode>General</c:formatCode>
                <c:ptCount val="2"/>
                <c:pt idx="0">
                  <c:v>860.23</c:v>
                </c:pt>
                <c:pt idx="1">
                  <c:v>673.01</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e86a8f69-dcf3-4790-b2bc-f44ee2d726d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[图表.xlsx]Sheet2!$B$98:$B$99</c:f>
              <c:strCache>
                <c:ptCount val="2"/>
                <c:pt idx="0">
                  <c:v>2023年一般公共预算财政拨款支出</c:v>
                </c:pt>
                <c:pt idx="1">
                  <c:v>2024年一般公共预算财政拨款支出</c:v>
                </c:pt>
              </c:strCache>
            </c:strRef>
          </c:cat>
          <c:val>
            <c:numRef>
              <c:f>[图表.xlsx]Sheet2!$C$98:$C$99</c:f>
              <c:numCache>
                <c:formatCode>General</c:formatCode>
                <c:ptCount val="2"/>
                <c:pt idx="0">
                  <c:v>860</c:v>
                </c:pt>
                <c:pt idx="1">
                  <c:v>672.98</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fe7f0275-acb4-4f07-ae85-e8e487ad50a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[图表.xlsx]Sheet2!$B$119:$B$123</c:f>
              <c:strCache>
                <c:ptCount val="5"/>
                <c:pt idx="0">
                  <c:v>一般公共服务支出</c:v>
                </c:pt>
                <c:pt idx="1">
                  <c:v>社会保障和就业支出</c:v>
                </c:pt>
                <c:pt idx="2">
                  <c:v>卫生健康支出</c:v>
                </c:pt>
                <c:pt idx="3">
                  <c:v>住房保障支出</c:v>
                </c:pt>
                <c:pt idx="4">
                  <c:v>农林水支出</c:v>
                </c:pt>
              </c:strCache>
            </c:strRef>
          </c:cat>
          <c:val>
            <c:numRef>
              <c:f>[图表.xlsx]Sheet2!$C$119:$C$123</c:f>
              <c:numCache>
                <c:formatCode>0.00%</c:formatCode>
                <c:ptCount val="5"/>
                <c:pt idx="0">
                  <c:v>0.769</c:v>
                </c:pt>
                <c:pt idx="1">
                  <c:v>0.1531</c:v>
                </c:pt>
                <c:pt idx="2">
                  <c:v>0.0208</c:v>
                </c:pt>
                <c:pt idx="3">
                  <c:v>0.0553</c:v>
                </c:pt>
                <c:pt idx="4">
                  <c:v>0.0018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15741ed-e00a-427c-b7e7-8d587795425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a:t>
            </a:r>
            <a:r>
              <a:rPr altLang="en-US"/>
              <a:t>三公</a:t>
            </a:r>
            <a:r>
              <a:rPr lang="en-US" altLang="zh-CN"/>
              <a:t>”</a:t>
            </a:r>
            <a:r>
              <a:rPr altLang="en-US"/>
              <a:t>经费支出结构图</a:t>
            </a:r>
            <a:endParaRPr lang="en-US" altLang="zh-CN"/>
          </a:p>
        </c:rich>
      </c:tx>
      <c:layout>
        <c:manualLayout>
          <c:xMode val="edge"/>
          <c:yMode val="edge"/>
          <c:x val="0.333552631578947"/>
          <c:y val="0.027777777777777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[图表.xlsx]Sheet1!$S$71:$S$73</c:f>
              <c:strCache>
                <c:ptCount val="3"/>
                <c:pt idx="0">
                  <c:v>因公出国（境）费支出</c:v>
                </c:pt>
                <c:pt idx="1">
                  <c:v>公务用车购置及运行维护费支出</c:v>
                </c:pt>
                <c:pt idx="2">
                  <c:v>公务接待费支出</c:v>
                </c:pt>
              </c:strCache>
            </c:strRef>
          </c:cat>
          <c:val>
            <c:numRef>
              <c:f>[图表.xlsx]Sheet1!$T$71:$T$73</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fe60d9-492d-407a-98cf-e773505d2bb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4651</Words>
  <Characters>5120</Characters>
  <Lines>61</Lines>
  <Paragraphs>17</Paragraphs>
  <TotalTime>0</TotalTime>
  <ScaleCrop>false</ScaleCrop>
  <LinksUpToDate>false</LinksUpToDate>
  <CharactersWithSpaces>5180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王峰</cp:lastModifiedBy>
  <cp:lastPrinted>2025-08-06T17:34:00Z</cp:lastPrinted>
  <dcterms:modified xsi:type="dcterms:W3CDTF">2025-10-15T08:55:36Z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04787F2533EB45DC91BCDE4AB213247F</vt:lpwstr>
  </property>
  <property fmtid="{D5CDD505-2E9C-101B-9397-08002B2CF9AE}" pid="4" name="KSOTemplateDocerSaveRecord">
    <vt:lpwstr>eyJoZGlkIjoiYzM5N2NmNjFiMGEwOWRiOGNkNTNhN2Y0NTFhODc3ZmIiLCJ1c2VySWQiOiI0OTA2MDYwMjQifQ==</vt:lpwstr>
  </property>
</Properties>
</file>