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C57C1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bookmarkEnd w:id="0"/>
      <w:r>
        <w:rPr>
          <w:rFonts w:hint="eastAsia" w:ascii="方正小标宋简体" w:hAnsi="方正小标宋简体" w:eastAsia="方正小标宋简体" w:cs="方正小标宋简体"/>
          <w:color w:val="auto"/>
          <w:sz w:val="44"/>
          <w:szCs w:val="44"/>
          <w:lang w:eastAsia="zh-CN"/>
        </w:rPr>
        <w:t>乐山市金口河区政府投资项目管理实施细则</w:t>
      </w:r>
    </w:p>
    <w:p w14:paraId="1D77446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center"/>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（征求意见稿）</w:t>
      </w:r>
    </w:p>
    <w:p w14:paraId="1EA11C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rPr>
      </w:pPr>
    </w:p>
    <w:p w14:paraId="3BEDA840">
      <w:pPr>
        <w:keepNext w:val="0"/>
        <w:keepLines w:val="0"/>
        <w:pageBreakBefore w:val="0"/>
        <w:kinsoku/>
        <w:wordWrap/>
        <w:overflowPunct/>
        <w:topLinePunct w:val="0"/>
        <w:autoSpaceDE/>
        <w:autoSpaceDN/>
        <w:bidi w:val="0"/>
        <w:adjustRightInd/>
        <w:spacing w:line="560" w:lineRule="exact"/>
        <w:jc w:val="center"/>
        <w:textAlignment w:val="auto"/>
        <w:rPr>
          <w:rFonts w:hint="eastAsia" w:ascii="黑体" w:hAnsi="黑体" w:eastAsia="黑体" w:cs="Times New Roman"/>
          <w:b w:val="0"/>
          <w:bCs/>
          <w:color w:val="auto"/>
          <w:sz w:val="32"/>
          <w:szCs w:val="32"/>
        </w:rPr>
      </w:pPr>
      <w:r>
        <w:rPr>
          <w:rFonts w:hint="eastAsia" w:ascii="黑体" w:hAnsi="黑体" w:eastAsia="黑体" w:cs="Times New Roman"/>
          <w:b w:val="0"/>
          <w:bCs/>
          <w:color w:val="auto"/>
          <w:sz w:val="32"/>
          <w:szCs w:val="32"/>
        </w:rPr>
        <w:t>第一章  总则</w:t>
      </w:r>
    </w:p>
    <w:p w14:paraId="251576B8">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rPr>
        <w:t>第一条</w:t>
      </w:r>
      <w:r>
        <w:rPr>
          <w:rFonts w:hint="eastAsia" w:ascii="仿宋_GB2312" w:hAnsi="仿宋" w:eastAsia="仿宋_GB2312" w:cs="仿宋"/>
          <w:color w:val="auto"/>
          <w:kern w:val="0"/>
          <w:sz w:val="32"/>
          <w:szCs w:val="32"/>
        </w:rPr>
        <w:t>　为进一步规范我区政府投资</w:t>
      </w:r>
      <w:r>
        <w:rPr>
          <w:rFonts w:hint="eastAsia" w:ascii="仿宋_GB2312" w:hAnsi="仿宋" w:eastAsia="仿宋_GB2312" w:cs="仿宋"/>
          <w:color w:val="auto"/>
          <w:kern w:val="0"/>
          <w:sz w:val="32"/>
          <w:szCs w:val="32"/>
          <w:lang w:eastAsia="zh-CN"/>
        </w:rPr>
        <w:t>项目</w:t>
      </w:r>
      <w:r>
        <w:rPr>
          <w:rFonts w:hint="eastAsia" w:ascii="仿宋_GB2312" w:hAnsi="仿宋" w:eastAsia="仿宋_GB2312" w:cs="仿宋"/>
          <w:color w:val="auto"/>
          <w:kern w:val="0"/>
          <w:sz w:val="32"/>
          <w:szCs w:val="32"/>
        </w:rPr>
        <w:t>管理，建立决策科学、投向合理、运作规范、监管严格的政府投资管理机制，提高投资效益，规范投资行为，</w:t>
      </w:r>
      <w:r>
        <w:rPr>
          <w:rFonts w:hint="eastAsia" w:ascii="仿宋_GB2312" w:hAnsi="仿宋" w:eastAsia="仿宋_GB2312" w:cs="仿宋"/>
          <w:color w:val="auto"/>
          <w:kern w:val="0"/>
          <w:sz w:val="32"/>
          <w:szCs w:val="32"/>
          <w:lang w:eastAsia="zh-CN"/>
        </w:rPr>
        <w:t>按照《政府投资条例》《中华人民共和国招标投标法》《四川省政府投资管理办法》《乐山市政府投资管理办法》</w:t>
      </w:r>
      <w:r>
        <w:rPr>
          <w:rFonts w:hint="eastAsia" w:ascii="Times New Roman" w:hAnsi="Times New Roman" w:eastAsia="仿宋_GB2312" w:cs="仿宋_GB2312"/>
          <w:color w:val="auto"/>
          <w:sz w:val="32"/>
          <w:szCs w:val="32"/>
          <w:u w:val="none"/>
        </w:rPr>
        <w:t>《乐山市</w:t>
      </w:r>
      <w:r>
        <w:rPr>
          <w:rFonts w:hint="eastAsia" w:ascii="Times New Roman" w:hAnsi="Times New Roman" w:eastAsia="仿宋_GB2312" w:cs="仿宋_GB2312"/>
          <w:color w:val="auto"/>
          <w:sz w:val="32"/>
          <w:szCs w:val="32"/>
          <w:u w:val="none"/>
          <w:lang w:eastAsia="zh-CN"/>
        </w:rPr>
        <w:t>金口河区</w:t>
      </w:r>
      <w:r>
        <w:rPr>
          <w:rFonts w:hint="eastAsia" w:ascii="Times New Roman" w:hAnsi="Times New Roman" w:eastAsia="仿宋_GB2312" w:cs="仿宋_GB2312"/>
          <w:color w:val="auto"/>
          <w:sz w:val="32"/>
          <w:szCs w:val="32"/>
          <w:u w:val="none"/>
        </w:rPr>
        <w:t>重大经济事项决策实施细则（试行）》</w:t>
      </w:r>
      <w:r>
        <w:rPr>
          <w:rFonts w:hint="eastAsia" w:ascii="仿宋_GB2312" w:hAnsi="仿宋" w:eastAsia="仿宋_GB2312" w:cs="仿宋"/>
          <w:color w:val="auto"/>
          <w:kern w:val="0"/>
          <w:sz w:val="32"/>
          <w:szCs w:val="32"/>
        </w:rPr>
        <w:t>等有关</w:t>
      </w:r>
      <w:r>
        <w:rPr>
          <w:rFonts w:hint="eastAsia" w:ascii="仿宋_GB2312" w:hAnsi="仿宋" w:eastAsia="仿宋_GB2312" w:cs="仿宋"/>
          <w:color w:val="auto"/>
          <w:kern w:val="0"/>
          <w:sz w:val="32"/>
          <w:szCs w:val="32"/>
          <w:lang w:eastAsia="zh-CN"/>
        </w:rPr>
        <w:t>规定</w:t>
      </w:r>
      <w:r>
        <w:rPr>
          <w:rFonts w:hint="eastAsia" w:ascii="仿宋_GB2312" w:hAnsi="仿宋" w:eastAsia="仿宋_GB2312" w:cs="仿宋"/>
          <w:color w:val="auto"/>
          <w:kern w:val="0"/>
          <w:sz w:val="32"/>
          <w:szCs w:val="32"/>
        </w:rPr>
        <w:t>，结合我区实际，制定本</w:t>
      </w:r>
      <w:r>
        <w:rPr>
          <w:rFonts w:hint="eastAsia" w:ascii="仿宋_GB2312" w:hAnsi="仿宋" w:eastAsia="仿宋_GB2312" w:cs="仿宋"/>
          <w:color w:val="auto"/>
          <w:kern w:val="0"/>
          <w:sz w:val="32"/>
          <w:szCs w:val="32"/>
          <w:lang w:eastAsia="zh-CN"/>
        </w:rPr>
        <w:t>实施细则</w:t>
      </w:r>
      <w:r>
        <w:rPr>
          <w:rFonts w:hint="eastAsia" w:ascii="仿宋_GB2312" w:hAnsi="仿宋" w:eastAsia="仿宋_GB2312" w:cs="仿宋"/>
          <w:color w:val="auto"/>
          <w:kern w:val="0"/>
          <w:sz w:val="32"/>
          <w:szCs w:val="32"/>
        </w:rPr>
        <w:t>。</w:t>
      </w:r>
    </w:p>
    <w:p w14:paraId="2AC6B17E">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b/>
          <w:bCs/>
          <w:color w:val="auto"/>
          <w:kern w:val="0"/>
          <w:sz w:val="32"/>
          <w:szCs w:val="32"/>
        </w:rPr>
        <w:t>第二条</w:t>
      </w:r>
      <w:r>
        <w:rPr>
          <w:rFonts w:hint="eastAsia" w:ascii="仿宋_GB2312" w:hAnsi="仿宋" w:eastAsia="仿宋_GB2312" w:cs="仿宋"/>
          <w:color w:val="auto"/>
          <w:kern w:val="0"/>
          <w:sz w:val="32"/>
          <w:szCs w:val="32"/>
        </w:rPr>
        <w:t>　</w:t>
      </w:r>
      <w:r>
        <w:rPr>
          <w:rFonts w:hint="eastAsia" w:ascii="仿宋_GB2312" w:hAnsi="仿宋" w:eastAsia="仿宋_GB2312" w:cs="仿宋"/>
          <w:color w:val="auto"/>
          <w:kern w:val="0"/>
          <w:sz w:val="32"/>
          <w:szCs w:val="32"/>
          <w:lang w:val="en-US" w:eastAsia="zh-CN"/>
        </w:rPr>
        <w:t>金口河区政府</w:t>
      </w:r>
      <w:r>
        <w:rPr>
          <w:rFonts w:hint="eastAsia" w:ascii="仿宋_GB2312" w:hAnsi="仿宋" w:eastAsia="仿宋_GB2312" w:cs="仿宋"/>
          <w:color w:val="auto"/>
          <w:kern w:val="0"/>
          <w:sz w:val="32"/>
          <w:szCs w:val="32"/>
        </w:rPr>
        <w:t>投资</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含国有企业融资</w:t>
      </w:r>
      <w:r>
        <w:rPr>
          <w:rFonts w:hint="eastAsia" w:ascii="仿宋_GB2312" w:hAnsi="仿宋" w:eastAsia="仿宋_GB2312" w:cs="仿宋"/>
          <w:color w:val="auto"/>
          <w:kern w:val="0"/>
          <w:sz w:val="32"/>
          <w:szCs w:val="32"/>
          <w:lang w:eastAsia="zh-CN"/>
        </w:rPr>
        <w:t>）项目管理适用本实施细则。</w:t>
      </w:r>
    </w:p>
    <w:p w14:paraId="37070C81">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rPr>
        <w:t>第</w:t>
      </w:r>
      <w:r>
        <w:rPr>
          <w:rFonts w:hint="eastAsia" w:ascii="仿宋_GB2312" w:hAnsi="仿宋" w:eastAsia="仿宋_GB2312" w:cs="仿宋"/>
          <w:b/>
          <w:bCs/>
          <w:color w:val="auto"/>
          <w:kern w:val="0"/>
          <w:sz w:val="32"/>
          <w:szCs w:val="32"/>
          <w:lang w:eastAsia="zh-CN"/>
        </w:rPr>
        <w:t>三</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xml:space="preserve">  本</w:t>
      </w:r>
      <w:r>
        <w:rPr>
          <w:rFonts w:hint="eastAsia" w:ascii="仿宋_GB2312" w:hAnsi="仿宋" w:eastAsia="仿宋_GB2312" w:cs="仿宋"/>
          <w:color w:val="auto"/>
          <w:kern w:val="0"/>
          <w:sz w:val="32"/>
          <w:szCs w:val="32"/>
          <w:lang w:eastAsia="zh-CN"/>
        </w:rPr>
        <w:t>办法</w:t>
      </w:r>
      <w:r>
        <w:rPr>
          <w:rFonts w:hint="eastAsia" w:ascii="仿宋_GB2312" w:hAnsi="仿宋" w:eastAsia="仿宋_GB2312" w:cs="仿宋"/>
          <w:color w:val="auto"/>
          <w:kern w:val="0"/>
          <w:sz w:val="32"/>
          <w:szCs w:val="32"/>
        </w:rPr>
        <w:t>所称的政府投资，是指在我区使用预算安排</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含国有企业融资</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的资金进行固定资产投资建设活动，</w:t>
      </w:r>
      <w:r>
        <w:rPr>
          <w:rFonts w:hint="eastAsia" w:ascii="仿宋_GB2312" w:hAnsi="仿宋" w:eastAsia="仿宋_GB2312" w:cs="仿宋"/>
          <w:color w:val="auto"/>
          <w:kern w:val="0"/>
          <w:sz w:val="32"/>
          <w:szCs w:val="32"/>
          <w:lang w:eastAsia="zh-CN"/>
        </w:rPr>
        <w:t>包括新建、扩建、改建、技术改造等按照基本建设程序需要审批的项目。</w:t>
      </w:r>
    </w:p>
    <w:p w14:paraId="11A671D5">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rPr>
        <w:t>第</w:t>
      </w:r>
      <w:r>
        <w:rPr>
          <w:rFonts w:hint="eastAsia" w:ascii="仿宋_GB2312" w:hAnsi="仿宋" w:eastAsia="仿宋_GB2312" w:cs="仿宋"/>
          <w:b/>
          <w:bCs/>
          <w:color w:val="auto"/>
          <w:kern w:val="0"/>
          <w:sz w:val="32"/>
          <w:szCs w:val="32"/>
          <w:lang w:eastAsia="zh-CN"/>
        </w:rPr>
        <w:t>四</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xml:space="preserve">  政府投资</w:t>
      </w:r>
      <w:r>
        <w:rPr>
          <w:rFonts w:hint="eastAsia" w:ascii="仿宋_GB2312" w:hAnsi="仿宋" w:eastAsia="仿宋_GB2312" w:cs="仿宋"/>
          <w:color w:val="auto"/>
          <w:kern w:val="0"/>
          <w:sz w:val="32"/>
          <w:szCs w:val="32"/>
          <w:lang w:eastAsia="zh-CN"/>
        </w:rPr>
        <w:t>项目</w:t>
      </w:r>
      <w:r>
        <w:rPr>
          <w:rFonts w:hint="eastAsia" w:ascii="仿宋_GB2312" w:hAnsi="仿宋" w:eastAsia="仿宋_GB2312" w:cs="仿宋"/>
          <w:color w:val="auto"/>
          <w:kern w:val="0"/>
          <w:sz w:val="32"/>
          <w:szCs w:val="32"/>
        </w:rPr>
        <w:t>决策、建设、监督管理必须坚持以下原则：</w:t>
      </w:r>
    </w:p>
    <w:p w14:paraId="52B3AA8D">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楷体_GB2312" w:hAnsi="楷体_GB2312" w:eastAsia="楷体_GB2312" w:cs="楷体_GB2312"/>
          <w:color w:val="auto"/>
          <w:kern w:val="0"/>
          <w:sz w:val="32"/>
          <w:szCs w:val="32"/>
        </w:rPr>
        <w:t>（一）科学决策原则。</w:t>
      </w:r>
      <w:r>
        <w:rPr>
          <w:rFonts w:hint="eastAsia" w:ascii="仿宋_GB2312" w:hAnsi="仿宋" w:eastAsia="仿宋_GB2312" w:cs="仿宋"/>
          <w:color w:val="auto"/>
          <w:kern w:val="0"/>
          <w:sz w:val="32"/>
          <w:szCs w:val="32"/>
        </w:rPr>
        <w:t>要符合我区国民经济和社会发展规划、中期财政规划和国家宏观调控政策，结合财政收支状况，统筹安排使用政府投资资金，规范使用各类政府投资资金。</w:t>
      </w:r>
    </w:p>
    <w:p w14:paraId="391C7D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楷体_GB2312" w:hAnsi="楷体_GB2312" w:eastAsia="楷体_GB2312" w:cs="楷体_GB2312"/>
          <w:color w:val="auto"/>
          <w:kern w:val="0"/>
          <w:sz w:val="32"/>
          <w:szCs w:val="32"/>
        </w:rPr>
        <w:t>（二）规范管理原则。</w:t>
      </w:r>
      <w:r>
        <w:rPr>
          <w:rFonts w:hint="eastAsia" w:ascii="仿宋_GB2312" w:hAnsi="仿宋" w:eastAsia="仿宋_GB2312" w:cs="仿宋"/>
          <w:color w:val="auto"/>
          <w:kern w:val="0"/>
          <w:sz w:val="32"/>
          <w:szCs w:val="32"/>
        </w:rPr>
        <w:t>按照基本建设程序，</w:t>
      </w:r>
      <w:r>
        <w:rPr>
          <w:rFonts w:hint="eastAsia" w:ascii="仿宋_GB2312" w:hAnsi="仿宋" w:eastAsia="仿宋_GB2312" w:cs="仿宋"/>
          <w:color w:val="auto"/>
          <w:kern w:val="0"/>
          <w:sz w:val="32"/>
          <w:szCs w:val="32"/>
          <w:lang w:val="en-US" w:eastAsia="zh-CN"/>
        </w:rPr>
        <w:t>编制项目建议书、履行可行性研究报告审查、初步设计文件审查、施工图设计文件审查、施工许可、竣工验收等相关手续</w:t>
      </w:r>
      <w:r>
        <w:rPr>
          <w:rFonts w:hint="eastAsia" w:ascii="仿宋_GB2312" w:hAnsi="仿宋" w:eastAsia="仿宋_GB2312" w:cs="仿宋"/>
          <w:color w:val="auto"/>
          <w:kern w:val="0"/>
          <w:sz w:val="32"/>
          <w:szCs w:val="32"/>
        </w:rPr>
        <w:t>，不得随意进行简化、合并。坚持从严控制，量入为出，造价管理</w:t>
      </w:r>
      <w:r>
        <w:rPr>
          <w:rFonts w:hint="eastAsia" w:ascii="仿宋_GB2312" w:hAnsi="仿宋" w:eastAsia="仿宋_GB2312" w:cs="仿宋"/>
          <w:color w:val="auto"/>
          <w:kern w:val="0"/>
          <w:sz w:val="32"/>
          <w:szCs w:val="32"/>
          <w:lang w:eastAsia="zh-CN"/>
        </w:rPr>
        <w:t>要</w:t>
      </w:r>
      <w:r>
        <w:rPr>
          <w:rFonts w:hint="eastAsia" w:ascii="仿宋_GB2312" w:hAnsi="仿宋" w:eastAsia="仿宋_GB2312" w:cs="仿宋"/>
          <w:color w:val="auto"/>
          <w:kern w:val="0"/>
          <w:sz w:val="32"/>
          <w:szCs w:val="32"/>
          <w:lang w:val="en-US" w:eastAsia="zh-CN"/>
        </w:rPr>
        <w:t>严格</w:t>
      </w:r>
      <w:r>
        <w:rPr>
          <w:rFonts w:hint="eastAsia" w:ascii="仿宋_GB2312" w:hAnsi="仿宋" w:eastAsia="仿宋_GB2312" w:cs="仿宋"/>
          <w:color w:val="auto"/>
          <w:kern w:val="0"/>
          <w:sz w:val="32"/>
          <w:szCs w:val="32"/>
        </w:rPr>
        <w:t>遵循估算控制概算、概算控制预算、预算控制决算。</w:t>
      </w:r>
    </w:p>
    <w:p w14:paraId="538867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楷体_GB2312" w:hAnsi="楷体_GB2312" w:eastAsia="楷体_GB2312" w:cs="楷体_GB2312"/>
          <w:color w:val="auto"/>
          <w:kern w:val="0"/>
          <w:sz w:val="32"/>
          <w:szCs w:val="32"/>
        </w:rPr>
        <w:t>（三）注重绩效原则。</w:t>
      </w:r>
      <w:r>
        <w:rPr>
          <w:rFonts w:hint="eastAsia" w:ascii="仿宋_GB2312" w:hAnsi="仿宋" w:eastAsia="仿宋_GB2312" w:cs="仿宋"/>
          <w:color w:val="auto"/>
          <w:kern w:val="0"/>
          <w:sz w:val="32"/>
          <w:szCs w:val="32"/>
        </w:rPr>
        <w:t>政府投资</w:t>
      </w:r>
      <w:r>
        <w:rPr>
          <w:rFonts w:hint="eastAsia" w:ascii="仿宋_GB2312" w:hAnsi="仿宋" w:eastAsia="仿宋_GB2312" w:cs="仿宋"/>
          <w:color w:val="auto"/>
          <w:kern w:val="0"/>
          <w:sz w:val="32"/>
          <w:szCs w:val="32"/>
          <w:lang w:eastAsia="zh-CN"/>
        </w:rPr>
        <w:t>项目</w:t>
      </w:r>
      <w:r>
        <w:rPr>
          <w:rFonts w:hint="eastAsia" w:ascii="仿宋_GB2312" w:hAnsi="仿宋" w:eastAsia="仿宋_GB2312" w:cs="仿宋"/>
          <w:color w:val="auto"/>
          <w:kern w:val="0"/>
          <w:sz w:val="32"/>
          <w:szCs w:val="32"/>
        </w:rPr>
        <w:t>要对经济效益，社会效果和生态影响等因素进行全面的分析，有利于经济社会、人与自然的统筹协调发展，追求综合效益的最大化。</w:t>
      </w:r>
    </w:p>
    <w:p w14:paraId="7D51E51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楷体_GB2312" w:hAnsi="楷体_GB2312" w:eastAsia="楷体_GB2312" w:cs="楷体_GB2312"/>
          <w:color w:val="auto"/>
          <w:kern w:val="0"/>
          <w:sz w:val="32"/>
          <w:szCs w:val="32"/>
        </w:rPr>
        <w:t>（四）公开透明原则。</w:t>
      </w:r>
      <w:r>
        <w:rPr>
          <w:rFonts w:hint="eastAsia" w:ascii="仿宋_GB2312" w:hAnsi="仿宋" w:eastAsia="仿宋_GB2312" w:cs="仿宋"/>
          <w:color w:val="auto"/>
          <w:sz w:val="32"/>
          <w:szCs w:val="32"/>
        </w:rPr>
        <w:t>发改部门和其他有关部门应当通过相关平台公示投资有关的规划、产业政策等，公开政府投资项目审批的办理流程、办理时限等，并为项目单位提供相关咨询服务。</w:t>
      </w:r>
    </w:p>
    <w:p w14:paraId="371DF6B8">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b/>
          <w:bCs/>
          <w:color w:val="auto"/>
          <w:kern w:val="0"/>
          <w:sz w:val="32"/>
          <w:szCs w:val="32"/>
          <w:lang w:eastAsia="zh-CN"/>
        </w:rPr>
        <w:t>第五条</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kern w:val="0"/>
          <w:sz w:val="32"/>
          <w:szCs w:val="32"/>
          <w:lang w:val="en-US" w:eastAsia="zh-CN"/>
        </w:rPr>
        <w:t>政府投资资金按项目安排，以直接投资方式为主；对确需支持的经营性项目，主要采取资本金注入方式，也可以适当采取投资补助、贷款贴息等方式。政府投资资金应当投向市场不能有效配置资源的社会公益服务、公共基础设施、农业农村、生态环境保护、重大科技进步、社会管理、国家安全等公共领域的项目，以非经营性项目为主。安排政府投资</w:t>
      </w:r>
      <w:r>
        <w:rPr>
          <w:rFonts w:hint="eastAsia" w:ascii="仿宋_GB2312" w:hAnsi="仿宋" w:eastAsia="仿宋_GB2312" w:cs="仿宋"/>
          <w:color w:val="auto"/>
          <w:sz w:val="32"/>
          <w:szCs w:val="32"/>
          <w:lang w:val="en-US" w:eastAsia="zh-CN"/>
        </w:rPr>
        <w:t>资金，应当符合推进财政事权和支出责任划分改革的有关要求，并平等对待各类投资主体，不得设置歧视条件。</w:t>
      </w:r>
    </w:p>
    <w:p w14:paraId="21E88451">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直接投资，是指政府安排政府投资资金投入非经营性项目，并由政府有关机构或者其指定、委托的机关、团体、事业单位等作为项目法人单位组织实施的方式。</w:t>
      </w:r>
    </w:p>
    <w:p w14:paraId="3F34F93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资本金注入，是指政府安排政府投资资金作为经营性项目的资本金，指定政府出资人代表行使所有者权益，项目建成后政府投资形成相应国有产权的方式。</w:t>
      </w:r>
    </w:p>
    <w:p w14:paraId="6E8CE0B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投资补助，是指政府安排政府投资资金，对市场不能有效配置资源、确需支持的经营性项目适当予以补助的方式。</w:t>
      </w:r>
    </w:p>
    <w:p w14:paraId="7EABDF1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贷款贴息，是指政府安排政府投资资金，对使用贷款的投资项目贷款利息予以补贴的方式。</w:t>
      </w:r>
    </w:p>
    <w:p w14:paraId="1FAC71BC">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both"/>
        <w:textAlignment w:val="auto"/>
        <w:rPr>
          <w:rFonts w:hint="eastAsia" w:ascii="Times New Roman" w:hAnsi="Times New Roman" w:eastAsia="楷体_GB2312" w:cs="楷体_GB2312"/>
          <w:b/>
          <w:bCs/>
          <w:color w:val="auto"/>
          <w:sz w:val="32"/>
          <w:szCs w:val="32"/>
          <w:u w:val="none"/>
          <w:lang w:val="en-US" w:eastAsia="zh-CN"/>
        </w:rPr>
      </w:pPr>
      <w:r>
        <w:rPr>
          <w:rFonts w:hint="eastAsia" w:ascii="仿宋_GB2312" w:hAnsi="仿宋" w:eastAsia="仿宋_GB2312" w:cs="仿宋"/>
          <w:b/>
          <w:bCs/>
          <w:color w:val="auto"/>
          <w:kern w:val="0"/>
          <w:sz w:val="32"/>
          <w:szCs w:val="32"/>
        </w:rPr>
        <w:t>第</w:t>
      </w:r>
      <w:r>
        <w:rPr>
          <w:rFonts w:hint="eastAsia" w:ascii="仿宋_GB2312" w:hAnsi="仿宋" w:eastAsia="仿宋_GB2312" w:cs="仿宋"/>
          <w:b/>
          <w:bCs/>
          <w:color w:val="auto"/>
          <w:kern w:val="0"/>
          <w:sz w:val="32"/>
          <w:szCs w:val="32"/>
          <w:lang w:eastAsia="zh-CN"/>
        </w:rPr>
        <w:t>六</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w:t>
      </w:r>
      <w:r>
        <w:rPr>
          <w:rFonts w:hint="eastAsia" w:ascii="Times New Roman" w:hAnsi="Times New Roman" w:eastAsia="仿宋_GB2312" w:cs="仿宋_GB2312"/>
          <w:color w:val="auto"/>
          <w:sz w:val="32"/>
          <w:szCs w:val="32"/>
          <w:u w:val="none"/>
        </w:rPr>
        <w:t>建立政府牵头、部门联动、分工协作、信息共享的政府投资管理机制，统筹推进政府投资项目建设。</w:t>
      </w:r>
    </w:p>
    <w:p w14:paraId="47785F7A">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区发改局是政府投资主管部门，履行政府投资综合管理职责。   </w:t>
      </w:r>
    </w:p>
    <w:p w14:paraId="76473089">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区财政局负责政府投资项目预算来源审核，按规定开展预算评审、结算审核等。</w:t>
      </w:r>
    </w:p>
    <w:p w14:paraId="24D3B68B">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区自然资源局负责统筹提供项目建设规划设计条件，审查并出具建设项目用地预审与选址意见书，核发用地规划许可等。</w:t>
      </w:r>
    </w:p>
    <w:p w14:paraId="32A2CB52">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区审计局履行政府投资审计监督职责，依法依规对政府投资项目预算执行情况和决算、资金管理使用、建设运营情况进行事前事中事后审计监督。</w:t>
      </w:r>
    </w:p>
    <w:p w14:paraId="1052955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auto"/>
          <w:sz w:val="32"/>
          <w:szCs w:val="32"/>
          <w:u w:val="none"/>
        </w:rPr>
      </w:pPr>
      <w:r>
        <w:rPr>
          <w:rFonts w:hint="eastAsia" w:ascii="仿宋_GB2312" w:hAnsi="宋体" w:eastAsia="仿宋_GB2312" w:cs="仿宋_GB2312"/>
          <w:color w:val="000000"/>
          <w:kern w:val="0"/>
          <w:sz w:val="32"/>
          <w:szCs w:val="32"/>
          <w:lang w:val="en-US" w:eastAsia="zh-CN" w:bidi="ar"/>
        </w:rPr>
        <w:t>各区级行业主管部门依照本细则和本级人民政府规定的职责分工，</w:t>
      </w:r>
      <w:r>
        <w:rPr>
          <w:rFonts w:hint="eastAsia" w:ascii="Times New Roman" w:hAnsi="Times New Roman" w:eastAsia="仿宋_GB2312" w:cs="仿宋_GB2312"/>
          <w:color w:val="auto"/>
          <w:sz w:val="32"/>
          <w:szCs w:val="32"/>
          <w:u w:val="none"/>
          <w:lang w:val="en-US" w:eastAsia="zh-CN"/>
        </w:rPr>
        <w:t>组织谋划本行业政府投资项目，依法依规</w:t>
      </w:r>
      <w:r>
        <w:rPr>
          <w:rFonts w:hint="eastAsia" w:ascii="仿宋_GB2312" w:hAnsi="宋体" w:eastAsia="仿宋_GB2312" w:cs="仿宋_GB2312"/>
          <w:color w:val="000000"/>
          <w:kern w:val="0"/>
          <w:sz w:val="32"/>
          <w:szCs w:val="32"/>
          <w:lang w:val="en-US" w:eastAsia="zh-CN" w:bidi="ar"/>
        </w:rPr>
        <w:t>履行本行业、本领域的政府投资管理、监督职责</w:t>
      </w:r>
      <w:r>
        <w:rPr>
          <w:rFonts w:hint="eastAsia" w:ascii="Times New Roman" w:hAnsi="Times New Roman" w:eastAsia="仿宋_GB2312" w:cs="仿宋_GB2312"/>
          <w:color w:val="auto"/>
          <w:sz w:val="32"/>
          <w:szCs w:val="32"/>
          <w:u w:val="none"/>
        </w:rPr>
        <w:t>。</w:t>
      </w:r>
    </w:p>
    <w:p w14:paraId="10BF2F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Calibri" w:hAnsi="Calibri" w:eastAsia="仿宋_GB2312" w:cs="仿宋_GB2312"/>
          <w:color w:val="auto"/>
          <w:sz w:val="32"/>
          <w:szCs w:val="32"/>
          <w:u w:val="none"/>
          <w:lang w:eastAsia="zh-CN"/>
        </w:rPr>
      </w:pPr>
      <w:r>
        <w:rPr>
          <w:rFonts w:hint="eastAsia" w:ascii="Times New Roman" w:hAnsi="Times New Roman" w:eastAsia="仿宋_GB2312" w:cs="仿宋_GB2312"/>
          <w:color w:val="auto"/>
          <w:sz w:val="32"/>
          <w:szCs w:val="32"/>
          <w:u w:val="none"/>
        </w:rPr>
        <w:t>政府投资</w:t>
      </w:r>
      <w:r>
        <w:rPr>
          <w:rFonts w:hint="eastAsia" w:ascii="Times New Roman" w:hAnsi="Times New Roman" w:eastAsia="仿宋_GB2312" w:cs="仿宋_GB2312"/>
          <w:color w:val="auto"/>
          <w:sz w:val="32"/>
          <w:szCs w:val="32"/>
          <w:u w:val="none"/>
          <w:lang w:eastAsia="zh-CN"/>
        </w:rPr>
        <w:t>项目业主</w:t>
      </w:r>
      <w:r>
        <w:rPr>
          <w:rFonts w:ascii="Times New Roman" w:hAnsi="Times New Roman" w:eastAsia="仿宋_GB2312" w:cs="仿宋_GB2312"/>
          <w:color w:val="auto"/>
          <w:sz w:val="32"/>
          <w:szCs w:val="32"/>
          <w:u w:val="none"/>
        </w:rPr>
        <w:t>是项目建设第一责任主体，负责项目建设各个环节的管理。</w:t>
      </w:r>
      <w:r>
        <w:rPr>
          <w:rFonts w:hint="eastAsia" w:ascii="Calibri" w:hAnsi="Calibri" w:eastAsia="仿宋_GB2312" w:cs="仿宋_GB2312"/>
          <w:color w:val="auto"/>
          <w:sz w:val="32"/>
          <w:szCs w:val="32"/>
          <w:u w:val="none"/>
          <w:lang w:eastAsia="zh-CN"/>
        </w:rPr>
        <w:t>项目业主、区级行业主管部门按照绩效管理规定实施项目绩效管理。</w:t>
      </w:r>
    </w:p>
    <w:p w14:paraId="420A641B">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Times New Roman"/>
          <w:b w:val="0"/>
          <w:bCs/>
          <w:color w:val="auto"/>
          <w:sz w:val="32"/>
          <w:szCs w:val="32"/>
          <w:lang w:eastAsia="zh-CN"/>
        </w:rPr>
      </w:pPr>
    </w:p>
    <w:p w14:paraId="69B248F8">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Times New Roman"/>
          <w:b w:val="0"/>
          <w:bCs/>
          <w:color w:val="auto"/>
          <w:sz w:val="32"/>
          <w:szCs w:val="32"/>
        </w:rPr>
      </w:pPr>
      <w:r>
        <w:rPr>
          <w:rFonts w:hint="eastAsia" w:ascii="黑体" w:hAnsi="黑体" w:eastAsia="黑体" w:cs="Times New Roman"/>
          <w:b w:val="0"/>
          <w:bCs/>
          <w:color w:val="auto"/>
          <w:sz w:val="32"/>
          <w:szCs w:val="32"/>
          <w:lang w:eastAsia="zh-CN"/>
        </w:rPr>
        <w:t>政府投资项目决策和审批</w:t>
      </w:r>
    </w:p>
    <w:p w14:paraId="4116D5D2">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b/>
          <w:bCs/>
          <w:color w:val="auto"/>
          <w:sz w:val="32"/>
          <w:szCs w:val="32"/>
          <w:lang w:val="en-US" w:eastAsia="zh-CN"/>
        </w:rPr>
        <w:t>第七条</w:t>
      </w:r>
      <w:r>
        <w:rPr>
          <w:rFonts w:hint="eastAsia" w:ascii="仿宋_GB2312" w:hAnsi="仿宋" w:eastAsia="仿宋_GB2312" w:cs="仿宋"/>
          <w:color w:val="auto"/>
          <w:sz w:val="32"/>
          <w:szCs w:val="32"/>
          <w:lang w:val="en-US" w:eastAsia="zh-CN"/>
        </w:rPr>
        <w:t xml:space="preserve">  政府采取直接投资方式、资本金注入方式投资的项目（以下统称政府投资项目），项目单位应当编制项目建议书、可行性研究报告、初步设计，按照政府投资管理权限和规定的程序，将项目总投资、资金来源、建设规模、业主和建设模式等内容，按《乐山市金口河区区级重大经济事项决策实施细则（试行）》规定的程序报请审定后，报投资主管部门或者政府赋予项目审批权的其他部门（以下统称审批部门）审批。</w:t>
      </w:r>
    </w:p>
    <w:p w14:paraId="3F1F6867">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b/>
          <w:bCs/>
          <w:color w:val="auto"/>
          <w:kern w:val="0"/>
          <w:sz w:val="32"/>
          <w:szCs w:val="32"/>
          <w:lang w:val="en-US" w:eastAsia="zh-CN"/>
        </w:rPr>
        <w:t>第八条</w:t>
      </w:r>
      <w:r>
        <w:rPr>
          <w:rFonts w:hint="eastAsia" w:ascii="仿宋_GB2312" w:hAnsi="仿宋" w:eastAsia="仿宋_GB2312" w:cs="仿宋"/>
          <w:color w:val="auto"/>
          <w:sz w:val="32"/>
          <w:szCs w:val="32"/>
          <w:lang w:val="en-US" w:eastAsia="zh-CN"/>
        </w:rPr>
        <w:t xml:space="preserve">  项目单位应当加强政府投资项目的前期工作，</w:t>
      </w:r>
      <w:r>
        <w:rPr>
          <w:rFonts w:hint="eastAsia" w:ascii="Times New Roman" w:hAnsi="Times New Roman" w:eastAsia="仿宋_GB2312" w:cs="仿宋_GB2312"/>
          <w:color w:val="auto"/>
          <w:sz w:val="32"/>
          <w:szCs w:val="32"/>
          <w:u w:val="none"/>
          <w:lang w:eastAsia="zh-CN"/>
        </w:rPr>
        <w:t>可委托具备相应能力的机构和人员编制项目建议书、可行性研究报告和初步设计</w:t>
      </w:r>
      <w:r>
        <w:rPr>
          <w:rFonts w:hint="eastAsia" w:eastAsia="仿宋_GB2312" w:cs="仿宋_GB2312"/>
          <w:color w:val="auto"/>
          <w:sz w:val="32"/>
          <w:szCs w:val="32"/>
          <w:u w:val="none"/>
          <w:lang w:eastAsia="zh-CN"/>
        </w:rPr>
        <w:t>，</w:t>
      </w:r>
      <w:r>
        <w:rPr>
          <w:rFonts w:hint="eastAsia" w:ascii="仿宋_GB2312" w:hAnsi="仿宋" w:eastAsia="仿宋_GB2312" w:cs="仿宋"/>
          <w:color w:val="auto"/>
          <w:sz w:val="32"/>
          <w:szCs w:val="32"/>
          <w:lang w:val="en-US" w:eastAsia="zh-CN"/>
        </w:rPr>
        <w:t>保证前期工作的深度达到规定的要求，并对项目建议书、可行性研究报告、初步设计以及依法应当附具的其他文件的真实性负责</w:t>
      </w:r>
      <w:r>
        <w:rPr>
          <w:rFonts w:hint="eastAsia" w:ascii="仿宋_GB2312" w:hAnsi="仿宋" w:eastAsia="仿宋_GB2312" w:cs="仿宋"/>
          <w:color w:val="auto"/>
          <w:kern w:val="0"/>
          <w:sz w:val="32"/>
          <w:szCs w:val="32"/>
          <w:lang w:val="en-US" w:eastAsia="zh-CN"/>
        </w:rPr>
        <w:t>。提请审批的项目建议书、可行性研究报告、初步设计等文本应附编制机构、主要编制人员和项目业主签章。</w:t>
      </w:r>
    </w:p>
    <w:p w14:paraId="50EB94DD">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项目建议书应对项目建设的必要性、主要建设内容、拟建地点、拟建规模、投资匡算、资金筹措以及社会效益和经济效益等进行初步分析，并附相关文件资料。</w:t>
      </w:r>
    </w:p>
    <w:p w14:paraId="7C6B54D2">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可行性研究报告应对项目技术经济可行性、社会效益、节能、资源综合利用、生态环境影响、安全生产、社会稳定风险、投资估算以及项目资金等主要建设条件的落实情况进行全面分析论证，明确招标范围、招标组织形式和招标方式，并附法律、行政法规和国家有关规定的项目审批前置手续。</w:t>
      </w:r>
    </w:p>
    <w:p w14:paraId="56937DAD">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 w:eastAsia="仿宋_GB2312" w:cs="仿宋"/>
          <w:color w:val="FF0000"/>
          <w:sz w:val="32"/>
          <w:szCs w:val="32"/>
          <w:lang w:val="en-US" w:eastAsia="zh-CN"/>
        </w:rPr>
      </w:pPr>
      <w:r>
        <w:rPr>
          <w:rFonts w:hint="eastAsia" w:ascii="仿宋_GB2312" w:hAnsi="仿宋" w:eastAsia="仿宋_GB2312" w:cs="仿宋"/>
          <w:color w:val="auto"/>
          <w:kern w:val="0"/>
          <w:sz w:val="32"/>
          <w:szCs w:val="32"/>
          <w:lang w:val="en-US" w:eastAsia="zh-CN"/>
        </w:rPr>
        <w:t>初步设计应当符合可行性研究报告批复以及国家有关标准和规范的要求，同时进行安全设施设计，明确各单项工程或者单位工程的建设内容、建设规模、建设标准、用地规模、主要材料、设备规格和技术参数等设计方案，并据此编制投资概算。投资概算应当包括工程费用、工程建设其他费用、预备费用等国家规定的项目建设所需的全部费用。</w:t>
      </w:r>
    </w:p>
    <w:p w14:paraId="046917F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b/>
          <w:bCs/>
          <w:color w:val="auto"/>
          <w:sz w:val="32"/>
          <w:szCs w:val="32"/>
          <w:lang w:val="en-US" w:eastAsia="zh-CN"/>
        </w:rPr>
        <w:t>第九条</w:t>
      </w:r>
      <w:r>
        <w:rPr>
          <w:rFonts w:hint="eastAsia" w:ascii="仿宋_GB2312" w:hAnsi="宋体" w:eastAsia="仿宋_GB2312" w:cs="仿宋_GB2312"/>
          <w:color w:val="auto"/>
          <w:kern w:val="0"/>
          <w:sz w:val="32"/>
          <w:szCs w:val="32"/>
          <w:lang w:val="en-US" w:eastAsia="zh-CN" w:bidi="ar"/>
        </w:rPr>
        <w:t xml:space="preserve"> </w:t>
      </w:r>
      <w:r>
        <w:rPr>
          <w:rFonts w:hint="eastAsia" w:ascii="仿宋_GB2312" w:hAnsi="仿宋" w:eastAsia="仿宋_GB2312" w:cs="仿宋"/>
          <w:color w:val="auto"/>
          <w:kern w:val="0"/>
          <w:sz w:val="32"/>
          <w:szCs w:val="32"/>
          <w:lang w:val="en-US" w:eastAsia="zh-CN"/>
        </w:rPr>
        <w:t>项目建议书、可行性研究报告、初步设计等批复文件自印发之日起2年内有效。政府投资项目在批复文件有效期内未开工建设的，项目单位可向审批部门申请1次延期，且延长期限不得超过1年。</w:t>
      </w:r>
    </w:p>
    <w:p w14:paraId="1886309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 xml:space="preserve">    </w:t>
      </w:r>
      <w:r>
        <w:rPr>
          <w:rFonts w:hint="eastAsia" w:ascii="仿宋_GB2312" w:hAnsi="仿宋" w:eastAsia="仿宋_GB2312" w:cs="仿宋"/>
          <w:b/>
          <w:bCs/>
          <w:color w:val="auto"/>
          <w:sz w:val="32"/>
          <w:szCs w:val="32"/>
          <w:lang w:val="en-US" w:eastAsia="zh-CN"/>
        </w:rPr>
        <w:t>第十条</w:t>
      </w:r>
      <w:r>
        <w:rPr>
          <w:rFonts w:hint="eastAsia" w:ascii="仿宋_GB2312" w:hAnsi="仿宋" w:eastAsia="仿宋_GB2312" w:cs="仿宋"/>
          <w:color w:val="auto"/>
          <w:kern w:val="0"/>
          <w:sz w:val="32"/>
          <w:szCs w:val="32"/>
          <w:lang w:val="en-US" w:eastAsia="zh-CN"/>
        </w:rPr>
        <w:t xml:space="preserve"> </w:t>
      </w:r>
      <w:r>
        <w:rPr>
          <w:rFonts w:hint="eastAsia" w:ascii="仿宋_GB2312" w:hAnsi="仿宋" w:eastAsia="仿宋_GB2312" w:cs="仿宋"/>
          <w:color w:val="auto"/>
          <w:kern w:val="0"/>
          <w:sz w:val="32"/>
          <w:szCs w:val="32"/>
        </w:rPr>
        <w:t>政府投资项目实行审批制，</w:t>
      </w:r>
      <w:r>
        <w:rPr>
          <w:rFonts w:hint="eastAsia" w:ascii="仿宋_GB2312" w:hAnsi="仿宋" w:eastAsia="仿宋_GB2312" w:cs="仿宋"/>
          <w:color w:val="auto"/>
          <w:sz w:val="32"/>
          <w:szCs w:val="32"/>
        </w:rPr>
        <w:t>除涉及国家秘密的项目外，</w:t>
      </w:r>
      <w:r>
        <w:rPr>
          <w:rFonts w:hint="eastAsia" w:ascii="仿宋_GB2312" w:hAnsi="仿宋" w:eastAsia="仿宋_GB2312" w:cs="仿宋"/>
          <w:color w:val="auto"/>
          <w:sz w:val="32"/>
          <w:szCs w:val="32"/>
          <w:lang w:eastAsia="zh-CN"/>
        </w:rPr>
        <w:t>项目单位</w:t>
      </w:r>
      <w:r>
        <w:rPr>
          <w:rFonts w:hint="eastAsia" w:ascii="仿宋_GB2312" w:hAnsi="仿宋" w:eastAsia="仿宋_GB2312" w:cs="仿宋"/>
          <w:color w:val="auto"/>
          <w:sz w:val="32"/>
          <w:szCs w:val="32"/>
        </w:rPr>
        <w:t>应当通过</w:t>
      </w:r>
      <w:r>
        <w:rPr>
          <w:rFonts w:hint="eastAsia" w:ascii="仿宋_GB2312" w:hAnsi="仿宋" w:eastAsia="仿宋_GB2312" w:cs="仿宋"/>
          <w:color w:val="auto"/>
          <w:sz w:val="32"/>
          <w:szCs w:val="32"/>
          <w:lang w:eastAsia="zh-CN"/>
        </w:rPr>
        <w:t>四川省</w:t>
      </w:r>
      <w:r>
        <w:rPr>
          <w:rFonts w:hint="eastAsia" w:ascii="仿宋_GB2312" w:hAnsi="仿宋" w:eastAsia="仿宋_GB2312" w:cs="仿宋"/>
          <w:color w:val="auto"/>
          <w:sz w:val="32"/>
          <w:szCs w:val="32"/>
        </w:rPr>
        <w:t>投资项目在线审批监管平台（以下简称在线平台）</w:t>
      </w:r>
      <w:r>
        <w:rPr>
          <w:rFonts w:hint="eastAsia" w:ascii="仿宋_GB2312" w:hAnsi="仿宋" w:eastAsia="仿宋_GB2312" w:cs="仿宋"/>
          <w:color w:val="auto"/>
          <w:sz w:val="32"/>
          <w:szCs w:val="32"/>
          <w:lang w:eastAsia="zh-CN"/>
        </w:rPr>
        <w:t>申报项目</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审批部门应当</w:t>
      </w:r>
      <w:r>
        <w:rPr>
          <w:rFonts w:hint="eastAsia" w:ascii="仿宋_GB2312" w:hAnsi="仿宋" w:eastAsia="仿宋_GB2312" w:cs="仿宋"/>
          <w:color w:val="auto"/>
          <w:sz w:val="32"/>
          <w:szCs w:val="32"/>
        </w:rPr>
        <w:t>使用在线平台生成的项目代码办理政府投资项目审批手续。</w:t>
      </w:r>
      <w:r>
        <w:rPr>
          <w:rFonts w:hint="eastAsia" w:ascii="仿宋_GB2312" w:hAnsi="仿宋" w:eastAsia="仿宋_GB2312" w:cs="仿宋"/>
          <w:color w:val="auto"/>
          <w:sz w:val="32"/>
          <w:szCs w:val="32"/>
          <w:lang w:eastAsia="zh-CN"/>
        </w:rPr>
        <w:t>项目代码是项目整个建设周期的唯一身份标识。</w:t>
      </w:r>
    </w:p>
    <w:p w14:paraId="01067660">
      <w:pPr>
        <w:keepNext w:val="0"/>
        <w:keepLines w:val="0"/>
        <w:pageBreakBefore w:val="0"/>
        <w:widowControl/>
        <w:suppressLineNumbers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 w:eastAsia="仿宋_GB2312" w:cs="仿宋"/>
          <w:b/>
          <w:bCs/>
          <w:color w:val="auto"/>
          <w:kern w:val="0"/>
          <w:sz w:val="32"/>
          <w:szCs w:val="32"/>
          <w:lang w:val="en-US" w:eastAsia="zh-CN"/>
        </w:rPr>
      </w:pPr>
      <w:r>
        <w:rPr>
          <w:rFonts w:hint="eastAsia" w:ascii="仿宋_GB2312" w:hAnsi="仿宋" w:eastAsia="仿宋_GB2312" w:cs="仿宋"/>
          <w:b/>
          <w:bCs/>
          <w:color w:val="auto"/>
          <w:kern w:val="0"/>
          <w:sz w:val="32"/>
          <w:szCs w:val="32"/>
          <w:lang w:val="en-US" w:eastAsia="zh-CN" w:bidi="ar-SA"/>
        </w:rPr>
        <w:t>第十一条</w:t>
      </w:r>
      <w:r>
        <w:rPr>
          <w:rFonts w:hint="eastAsia" w:ascii="Calibri" w:hAnsi="Calibri" w:eastAsia="仿宋_GB2312" w:cs="仿宋_GB2312"/>
          <w:color w:val="auto"/>
          <w:kern w:val="2"/>
          <w:sz w:val="32"/>
          <w:szCs w:val="32"/>
          <w:u w:val="none"/>
          <w:shd w:val="clear" w:color="auto" w:fill="FFFFFF"/>
          <w:lang w:val="en-US" w:eastAsia="zh-CN" w:bidi="ar-SA"/>
        </w:rPr>
        <w:t xml:space="preserve">  </w:t>
      </w:r>
      <w:r>
        <w:rPr>
          <w:rFonts w:hint="eastAsia" w:ascii="仿宋_GB2312" w:hAnsi="仿宋" w:eastAsia="仿宋_GB2312" w:cs="仿宋"/>
          <w:color w:val="auto"/>
          <w:sz w:val="32"/>
          <w:szCs w:val="32"/>
          <w:lang w:val="en-US" w:eastAsia="zh-CN"/>
        </w:rPr>
        <w:t>审批部门应当根据国民经济和社会发展规划、相关领域专项规划、产业政策、项目建议书、可行性研究报告、初步设计等对政府投资项目进行审查。</w:t>
      </w:r>
    </w:p>
    <w:p w14:paraId="6BA82AC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ind w:firstLine="640" w:firstLineChars="200"/>
        <w:jc w:val="left"/>
        <w:textAlignment w:val="auto"/>
        <w:rPr>
          <w:rFonts w:hint="eastAsia" w:ascii="Calibri" w:hAnsi="Calibri" w:eastAsia="仿宋_GB2312" w:cs="仿宋_GB2312"/>
          <w:color w:val="FF0000"/>
          <w:kern w:val="2"/>
          <w:sz w:val="32"/>
          <w:szCs w:val="32"/>
          <w:u w:val="none"/>
          <w:shd w:val="clear" w:color="auto" w:fill="FFFFFF"/>
          <w:lang w:val="en-US" w:eastAsia="zh-CN" w:bidi="ar-SA"/>
        </w:rPr>
      </w:pPr>
      <w:r>
        <w:rPr>
          <w:rFonts w:hint="eastAsia" w:ascii="Times New Roman" w:hAnsi="Times New Roman" w:eastAsia="仿宋_GB2312" w:cs="仿宋_GB2312"/>
          <w:color w:val="auto"/>
          <w:kern w:val="2"/>
          <w:sz w:val="32"/>
          <w:szCs w:val="32"/>
          <w:u w:val="none"/>
          <w:shd w:val="clear" w:color="auto" w:fill="FFFFFF"/>
          <w:lang w:val="en-US" w:eastAsia="zh-CN" w:bidi="ar-SA"/>
        </w:rPr>
        <w:t>审批部门</w:t>
      </w:r>
      <w:r>
        <w:rPr>
          <w:rFonts w:hint="eastAsia" w:ascii="Times New Roman" w:hAnsi="Times New Roman" w:eastAsia="仿宋_GB2312" w:cs="仿宋_GB2312"/>
          <w:i w:val="0"/>
          <w:caps w:val="0"/>
          <w:color w:val="auto"/>
          <w:spacing w:val="0"/>
          <w:kern w:val="2"/>
          <w:sz w:val="32"/>
          <w:szCs w:val="32"/>
          <w:u w:val="none"/>
          <w:shd w:val="clear" w:color="auto" w:fill="FFFFFF"/>
          <w:lang w:val="en-US" w:eastAsia="zh-CN" w:bidi="ar-SA"/>
        </w:rPr>
        <w:t>可</w:t>
      </w:r>
      <w:r>
        <w:rPr>
          <w:rFonts w:hint="eastAsia" w:ascii="Times New Roman" w:hAnsi="Times New Roman" w:eastAsia="仿宋_GB2312" w:cs="仿宋_GB2312"/>
          <w:color w:val="auto"/>
          <w:kern w:val="2"/>
          <w:sz w:val="32"/>
          <w:szCs w:val="32"/>
          <w:u w:val="none"/>
          <w:shd w:val="clear" w:color="auto" w:fill="FFFFFF"/>
          <w:lang w:val="en-US" w:eastAsia="zh-CN" w:bidi="ar-SA"/>
        </w:rPr>
        <w:t>委托第三方专业机构或组织专家对项目建议书</w:t>
      </w:r>
      <w:r>
        <w:rPr>
          <w:rFonts w:hint="eastAsia" w:ascii="Calibri" w:hAnsi="Calibri" w:eastAsia="仿宋_GB2312" w:cs="仿宋_GB2312"/>
          <w:color w:val="auto"/>
          <w:kern w:val="2"/>
          <w:sz w:val="32"/>
          <w:szCs w:val="32"/>
          <w:u w:val="none"/>
          <w:shd w:val="clear" w:color="auto" w:fill="FFFFFF"/>
          <w:lang w:val="en-US" w:eastAsia="zh-CN" w:bidi="ar-SA"/>
        </w:rPr>
        <w:t>、</w:t>
      </w:r>
      <w:r>
        <w:rPr>
          <w:rFonts w:hint="eastAsia" w:ascii="Times New Roman" w:hAnsi="Times New Roman" w:eastAsia="仿宋_GB2312" w:cs="仿宋_GB2312"/>
          <w:color w:val="auto"/>
          <w:kern w:val="2"/>
          <w:sz w:val="32"/>
          <w:szCs w:val="32"/>
          <w:u w:val="none"/>
          <w:shd w:val="clear" w:color="auto" w:fill="FFFFFF"/>
          <w:lang w:val="en-US" w:eastAsia="zh-CN" w:bidi="ar-SA"/>
        </w:rPr>
        <w:t>可行性研究报告</w:t>
      </w:r>
      <w:r>
        <w:rPr>
          <w:rFonts w:hint="eastAsia" w:ascii="Calibri" w:hAnsi="Calibri" w:eastAsia="仿宋_GB2312" w:cs="仿宋_GB2312"/>
          <w:color w:val="auto"/>
          <w:kern w:val="2"/>
          <w:sz w:val="32"/>
          <w:szCs w:val="32"/>
          <w:u w:val="none"/>
          <w:shd w:val="clear" w:color="auto" w:fill="FFFFFF"/>
          <w:lang w:val="en-US" w:eastAsia="zh-CN" w:bidi="ar-SA"/>
        </w:rPr>
        <w:t>、初步设计文件和施工图设计文件</w:t>
      </w:r>
      <w:r>
        <w:rPr>
          <w:rFonts w:hint="eastAsia" w:ascii="Times New Roman" w:hAnsi="Times New Roman" w:eastAsia="仿宋_GB2312" w:cs="仿宋_GB2312"/>
          <w:color w:val="auto"/>
          <w:kern w:val="2"/>
          <w:sz w:val="32"/>
          <w:szCs w:val="32"/>
          <w:u w:val="none"/>
          <w:shd w:val="clear" w:color="auto" w:fill="FFFFFF"/>
          <w:lang w:val="en-US" w:eastAsia="zh-CN" w:bidi="ar-SA"/>
        </w:rPr>
        <w:t>进行评审</w:t>
      </w:r>
      <w:r>
        <w:rPr>
          <w:rFonts w:hint="eastAsia" w:ascii="Calibri" w:hAnsi="Calibri" w:eastAsia="仿宋_GB2312" w:cs="仿宋_GB2312"/>
          <w:color w:val="auto"/>
          <w:kern w:val="2"/>
          <w:sz w:val="32"/>
          <w:szCs w:val="32"/>
          <w:u w:val="none"/>
          <w:shd w:val="clear" w:color="auto" w:fill="FFFFFF"/>
          <w:lang w:val="en-US" w:eastAsia="zh-CN" w:bidi="ar-SA"/>
        </w:rPr>
        <w:t>，评审所需费用按预算相关规定办理。</w:t>
      </w:r>
    </w:p>
    <w:p w14:paraId="3575320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Calibri" w:hAnsi="Calibri" w:eastAsia="仿宋_GB2312" w:cs="仿宋_GB2312"/>
          <w:color w:val="auto"/>
          <w:sz w:val="32"/>
          <w:szCs w:val="32"/>
          <w:u w:val="none"/>
          <w:shd w:val="clear" w:color="auto" w:fill="FFFFFF"/>
          <w:lang w:eastAsia="zh-CN"/>
        </w:rPr>
      </w:pPr>
      <w:r>
        <w:rPr>
          <w:rFonts w:ascii="仿宋_GB2312" w:hAnsi="宋体" w:eastAsia="仿宋_GB2312" w:cs="仿宋_GB2312"/>
          <w:color w:val="auto"/>
          <w:kern w:val="0"/>
          <w:sz w:val="32"/>
          <w:szCs w:val="32"/>
          <w:lang w:val="en-US" w:eastAsia="zh-CN" w:bidi="ar"/>
        </w:rPr>
        <w:t>审批部门对政府投资项目不予批准的，应当书面通知项目单</w:t>
      </w:r>
      <w:r>
        <w:rPr>
          <w:rFonts w:hint="eastAsia" w:ascii="仿宋_GB2312" w:hAnsi="宋体" w:eastAsia="仿宋_GB2312" w:cs="仿宋_GB2312"/>
          <w:color w:val="auto"/>
          <w:kern w:val="0"/>
          <w:sz w:val="32"/>
          <w:szCs w:val="32"/>
          <w:lang w:val="en-US" w:eastAsia="zh-CN" w:bidi="ar"/>
        </w:rPr>
        <w:t>位并说明理由。</w:t>
      </w:r>
    </w:p>
    <w:p w14:paraId="2D5AF982">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rPr>
        <w:t>第</w:t>
      </w:r>
      <w:r>
        <w:rPr>
          <w:rFonts w:hint="eastAsia" w:ascii="仿宋_GB2312" w:hAnsi="仿宋" w:eastAsia="仿宋_GB2312" w:cs="仿宋"/>
          <w:b/>
          <w:bCs/>
          <w:color w:val="auto"/>
          <w:kern w:val="0"/>
          <w:sz w:val="32"/>
          <w:szCs w:val="32"/>
          <w:lang w:eastAsia="zh-CN"/>
        </w:rPr>
        <w:t>十二</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对下列政府投资项目，可以按照国家有关规定简化需要报批的文件和审批程序：</w:t>
      </w:r>
    </w:p>
    <w:p w14:paraId="35339A74">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（一）</w:t>
      </w:r>
      <w:r>
        <w:rPr>
          <w:rFonts w:hint="eastAsia" w:ascii="仿宋_GB2312" w:hAnsi="仿宋" w:eastAsia="仿宋_GB2312" w:cs="仿宋"/>
          <w:color w:val="auto"/>
          <w:kern w:val="0"/>
          <w:sz w:val="32"/>
          <w:szCs w:val="32"/>
          <w:lang w:eastAsia="zh-CN"/>
        </w:rPr>
        <w:t>对纳入本级及以上人民政府审定的国民经济和社会发展规划、专项规划、区域规划范围的政府投资项目，可以直接审批可行性研究报告（代项目建议书）。</w:t>
      </w:r>
    </w:p>
    <w:p w14:paraId="50F9EAEA">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w:t>
      </w:r>
      <w:r>
        <w:rPr>
          <w:rFonts w:hint="eastAsia" w:ascii="仿宋_GB2312" w:hAnsi="仿宋" w:eastAsia="仿宋_GB2312" w:cs="仿宋"/>
          <w:color w:val="auto"/>
          <w:kern w:val="0"/>
          <w:sz w:val="32"/>
          <w:szCs w:val="32"/>
          <w:lang w:eastAsia="zh-CN"/>
        </w:rPr>
        <w:t>二</w:t>
      </w:r>
      <w:r>
        <w:rPr>
          <w:rFonts w:hint="eastAsia" w:ascii="仿宋_GB2312" w:hAnsi="仿宋" w:eastAsia="仿宋_GB2312" w:cs="仿宋"/>
          <w:color w:val="auto"/>
          <w:kern w:val="0"/>
          <w:sz w:val="32"/>
          <w:szCs w:val="32"/>
        </w:rPr>
        <w:t>）</w:t>
      </w:r>
      <w:r>
        <w:rPr>
          <w:rFonts w:hint="eastAsia" w:ascii="仿宋_GB2312" w:hAnsi="仿宋" w:eastAsia="仿宋_GB2312" w:cs="仿宋"/>
          <w:color w:val="auto"/>
          <w:kern w:val="0"/>
          <w:sz w:val="32"/>
          <w:szCs w:val="32"/>
          <w:lang w:eastAsia="zh-CN"/>
        </w:rPr>
        <w:t>对</w:t>
      </w:r>
      <w:r>
        <w:rPr>
          <w:rFonts w:hint="eastAsia" w:ascii="仿宋_GB2312" w:hAnsi="仿宋" w:eastAsia="仿宋_GB2312" w:cs="仿宋"/>
          <w:color w:val="auto"/>
          <w:kern w:val="0"/>
          <w:sz w:val="32"/>
          <w:szCs w:val="32"/>
        </w:rPr>
        <w:t>建设内</w:t>
      </w:r>
      <w:r>
        <w:rPr>
          <w:rFonts w:hint="eastAsia" w:ascii="仿宋_GB2312" w:hAnsi="仿宋" w:eastAsia="仿宋_GB2312" w:cs="仿宋"/>
          <w:color w:val="auto"/>
          <w:kern w:val="0"/>
          <w:sz w:val="32"/>
          <w:szCs w:val="32"/>
          <w:lang w:val="en-US" w:eastAsia="zh-CN"/>
        </w:rPr>
        <w:t>容单一、总投资1000万元以下、技术方案简单的项目和房屋建筑类改扩建项目，可以直接审批初步设计（代项目建议书、可行性研究报告），初步设计（代项目建议书、可行性研究报告）</w:t>
      </w:r>
      <w:r>
        <w:rPr>
          <w:rFonts w:hint="eastAsia" w:ascii="仿宋_GB2312" w:hAnsi="仿宋" w:eastAsia="仿宋_GB2312" w:cs="仿宋"/>
          <w:color w:val="auto"/>
          <w:kern w:val="0"/>
          <w:sz w:val="32"/>
          <w:szCs w:val="32"/>
          <w:lang w:eastAsia="zh-CN"/>
        </w:rPr>
        <w:t>应包含项目建设必要性和可行性的内容。</w:t>
      </w:r>
    </w:p>
    <w:p w14:paraId="5429C18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w:t>
      </w:r>
      <w:r>
        <w:rPr>
          <w:rFonts w:hint="eastAsia" w:ascii="仿宋_GB2312" w:hAnsi="仿宋" w:eastAsia="仿宋_GB2312" w:cs="仿宋"/>
          <w:color w:val="auto"/>
          <w:kern w:val="0"/>
          <w:sz w:val="32"/>
          <w:szCs w:val="32"/>
          <w:lang w:eastAsia="zh-CN"/>
        </w:rPr>
        <w:t>三</w:t>
      </w:r>
      <w:r>
        <w:rPr>
          <w:rFonts w:hint="eastAsia" w:ascii="仿宋_GB2312" w:hAnsi="仿宋" w:eastAsia="仿宋_GB2312" w:cs="仿宋"/>
          <w:color w:val="auto"/>
          <w:kern w:val="0"/>
          <w:sz w:val="32"/>
          <w:szCs w:val="32"/>
        </w:rPr>
        <w:t>）为应对自然灾害、事故灾难、公共卫生事件、社会安全事件等突发事件需要紧急建设的项目</w:t>
      </w:r>
      <w:r>
        <w:rPr>
          <w:rFonts w:hint="eastAsia" w:ascii="仿宋_GB2312" w:hAnsi="仿宋" w:eastAsia="仿宋_GB2312" w:cs="仿宋"/>
          <w:color w:val="auto"/>
          <w:kern w:val="0"/>
          <w:sz w:val="32"/>
          <w:szCs w:val="32"/>
          <w:lang w:eastAsia="zh-CN"/>
        </w:rPr>
        <w:t>，可以在直接审批初步设计（</w:t>
      </w:r>
      <w:r>
        <w:rPr>
          <w:rFonts w:hint="eastAsia" w:ascii="仿宋_GB2312" w:hAnsi="仿宋" w:eastAsia="仿宋_GB2312" w:cs="仿宋"/>
          <w:color w:val="auto"/>
          <w:kern w:val="0"/>
          <w:sz w:val="32"/>
          <w:szCs w:val="32"/>
          <w:lang w:val="en-US" w:eastAsia="zh-CN"/>
        </w:rPr>
        <w:t>代项目建议书、可行性研究报告</w:t>
      </w:r>
      <w:r>
        <w:rPr>
          <w:rFonts w:hint="eastAsia" w:ascii="仿宋_GB2312" w:hAnsi="仿宋" w:eastAsia="仿宋_GB2312" w:cs="仿宋"/>
          <w:color w:val="auto"/>
          <w:kern w:val="0"/>
          <w:sz w:val="32"/>
          <w:szCs w:val="32"/>
          <w:lang w:eastAsia="zh-CN"/>
        </w:rPr>
        <w:t>）的基础上，通过集中会审等方式并联办理审批手续</w:t>
      </w:r>
      <w:r>
        <w:rPr>
          <w:rFonts w:hint="eastAsia" w:ascii="仿宋_GB2312" w:hAnsi="仿宋" w:eastAsia="仿宋_GB2312" w:cs="仿宋"/>
          <w:color w:val="auto"/>
          <w:kern w:val="0"/>
          <w:sz w:val="32"/>
          <w:szCs w:val="32"/>
        </w:rPr>
        <w:t>。</w:t>
      </w:r>
    </w:p>
    <w:p w14:paraId="1205FBE8">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eastAsia="zh-CN"/>
        </w:rPr>
        <w:t>（四）</w:t>
      </w:r>
      <w:r>
        <w:rPr>
          <w:rFonts w:hint="eastAsia" w:ascii="仿宋_GB2312" w:hAnsi="仿宋" w:eastAsia="仿宋_GB2312" w:cs="仿宋"/>
          <w:color w:val="auto"/>
          <w:kern w:val="0"/>
          <w:sz w:val="32"/>
          <w:szCs w:val="32"/>
          <w:lang w:val="en-US" w:eastAsia="zh-CN"/>
        </w:rPr>
        <w:t>对重大项目，可以提前开展区域评估、项目预审、代办服务、施工准备，推进极速审批、快速开工。</w:t>
      </w:r>
    </w:p>
    <w:p w14:paraId="1A7E9278">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lang w:val="en-US" w:eastAsia="zh-CN" w:bidi="ar-SA"/>
        </w:rPr>
      </w:pPr>
      <w:r>
        <w:rPr>
          <w:rFonts w:hint="eastAsia" w:ascii="仿宋_GB2312" w:hAnsi="仿宋" w:eastAsia="仿宋_GB2312" w:cs="仿宋"/>
          <w:color w:val="auto"/>
          <w:kern w:val="0"/>
          <w:sz w:val="32"/>
          <w:szCs w:val="32"/>
          <w:lang w:val="en-US" w:eastAsia="zh-CN"/>
        </w:rPr>
        <w:t>（五）国家和省市对简化报批文件和审批程</w:t>
      </w:r>
      <w:r>
        <w:rPr>
          <w:rFonts w:hint="eastAsia" w:ascii="仿宋_GB2312" w:hAnsi="仿宋" w:eastAsia="仿宋_GB2312" w:cs="仿宋"/>
          <w:color w:val="auto"/>
          <w:kern w:val="0"/>
          <w:sz w:val="32"/>
          <w:szCs w:val="32"/>
          <w:lang w:val="en-US" w:eastAsia="zh-CN" w:bidi="ar-SA"/>
        </w:rPr>
        <w:t>序另有规定的，从其规定。</w:t>
      </w:r>
    </w:p>
    <w:p w14:paraId="0E119EC6">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 w:eastAsia="仿宋_GB2312" w:cs="仿宋"/>
          <w:color w:val="auto"/>
          <w:kern w:val="0"/>
          <w:sz w:val="32"/>
          <w:szCs w:val="32"/>
          <w:lang w:val="en-US" w:eastAsia="zh-CN" w:bidi="ar-SA"/>
        </w:rPr>
      </w:pPr>
      <w:r>
        <w:rPr>
          <w:rFonts w:hint="eastAsia" w:ascii="仿宋_GB2312" w:hAnsi="宋体" w:eastAsia="仿宋_GB2312" w:cs="仿宋_GB2312"/>
          <w:b/>
          <w:bCs/>
          <w:color w:val="000000"/>
          <w:kern w:val="0"/>
          <w:sz w:val="32"/>
          <w:szCs w:val="32"/>
          <w:lang w:val="en-US" w:eastAsia="zh-CN" w:bidi="ar"/>
        </w:rPr>
        <w:t>第十三条</w:t>
      </w:r>
      <w:r>
        <w:rPr>
          <w:rFonts w:hint="eastAsia" w:ascii="仿宋_GB2312" w:hAnsi="仿宋" w:eastAsia="仿宋_GB2312" w:cs="仿宋"/>
          <w:color w:val="auto"/>
          <w:kern w:val="0"/>
          <w:sz w:val="32"/>
          <w:szCs w:val="32"/>
          <w:lang w:val="en-US" w:eastAsia="zh-CN" w:bidi="ar-SA"/>
        </w:rPr>
        <w:t xml:space="preserve">  对经济社会发展、社会公众利益有重大影响或者投资规模较大的政府投资项目，审批部门应当在中介服务机构评估、公众参与、专家评议、风险评估的基础上，履行集体决策程序作出决定。可能对市场竞争状况造成较大影响的，应进行公平竞争审查。</w:t>
      </w:r>
    </w:p>
    <w:p w14:paraId="3D89B9B0">
      <w:pPr>
        <w:keepNext w:val="0"/>
        <w:keepLines w:val="0"/>
        <w:pageBreakBefore w:val="0"/>
        <w:kinsoku/>
        <w:wordWrap/>
        <w:overflowPunct/>
        <w:topLinePunct w:val="0"/>
        <w:bidi w:val="0"/>
        <w:spacing w:line="560" w:lineRule="exact"/>
        <w:ind w:firstLine="640" w:firstLineChars="200"/>
        <w:jc w:val="center"/>
        <w:textAlignment w:val="auto"/>
        <w:rPr>
          <w:rFonts w:hint="eastAsia" w:ascii="Calibri" w:hAnsi="Calibri" w:eastAsia="宋体" w:cs="Times New Roman"/>
          <w:color w:val="auto"/>
          <w:sz w:val="32"/>
          <w:szCs w:val="32"/>
        </w:rPr>
      </w:pPr>
      <w:r>
        <w:rPr>
          <w:rFonts w:hint="eastAsia" w:ascii="黑体" w:hAnsi="黑体" w:eastAsia="黑体" w:cs="黑体"/>
          <w:color w:val="auto"/>
          <w:sz w:val="32"/>
          <w:szCs w:val="32"/>
          <w:u w:val="none"/>
          <w:shd w:val="clear" w:color="auto" w:fill="FFFFFF"/>
          <w:lang w:eastAsia="zh-CN"/>
        </w:rPr>
        <w:t>第三章</w:t>
      </w:r>
      <w:r>
        <w:rPr>
          <w:rFonts w:hint="eastAsia" w:ascii="黑体" w:hAnsi="黑体" w:eastAsia="黑体" w:cs="黑体"/>
          <w:color w:val="auto"/>
          <w:sz w:val="32"/>
          <w:szCs w:val="32"/>
          <w:u w:val="none"/>
          <w:shd w:val="clear" w:color="auto" w:fill="FFFFFF"/>
          <w:lang w:val="en-US" w:eastAsia="zh-CN"/>
        </w:rPr>
        <w:t xml:space="preserve">  政府投资项目初设及概算管理</w:t>
      </w:r>
    </w:p>
    <w:p w14:paraId="1732BB3C">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宋体" w:eastAsia="仿宋_GB2312" w:cs="仿宋_GB2312"/>
          <w:b/>
          <w:bCs/>
          <w:color w:val="000000"/>
          <w:kern w:val="0"/>
          <w:sz w:val="32"/>
          <w:szCs w:val="32"/>
          <w:lang w:val="en-US" w:eastAsia="zh-CN" w:bidi="ar"/>
        </w:rPr>
        <w:t>第十四条</w:t>
      </w:r>
      <w:r>
        <w:rPr>
          <w:rFonts w:hint="eastAsia" w:ascii="仿宋_GB2312" w:hAnsi="仿宋" w:eastAsia="仿宋_GB2312" w:cs="仿宋"/>
          <w:color w:val="auto"/>
          <w:kern w:val="0"/>
          <w:sz w:val="32"/>
          <w:szCs w:val="32"/>
          <w:lang w:val="en-US" w:eastAsia="zh-CN"/>
        </w:rPr>
        <w:t xml:space="preserve">  政府投资房屋建筑和市政基础设施项目初步设计及投资概算审批工作按照以下流程开展。</w:t>
      </w:r>
    </w:p>
    <w:p w14:paraId="24E30214">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Calibri" w:hAnsi="Calibri" w:eastAsia="宋体" w:cs="Times New Roman"/>
          <w:color w:val="auto"/>
          <w:sz w:val="32"/>
          <w:szCs w:val="32"/>
          <w:lang w:eastAsia="zh-CN"/>
        </w:rPr>
      </w:pPr>
      <w:r>
        <w:rPr>
          <w:rFonts w:hint="eastAsia" w:ascii="仿宋_GB2312" w:hAnsi="仿宋" w:eastAsia="仿宋_GB2312" w:cs="仿宋"/>
          <w:color w:val="auto"/>
          <w:kern w:val="0"/>
          <w:sz w:val="32"/>
          <w:szCs w:val="32"/>
          <w:lang w:val="en-US" w:eastAsia="zh-CN"/>
        </w:rPr>
        <w:t>（一）项目业主向区住建局申请开展初步设计行</w:t>
      </w:r>
      <w:r>
        <w:rPr>
          <w:rFonts w:hint="eastAsia" w:ascii="Calibri" w:hAnsi="Calibri" w:eastAsia="仿宋_GB2312" w:cs="仿宋_GB2312"/>
          <w:color w:val="auto"/>
          <w:kern w:val="0"/>
          <w:sz w:val="32"/>
          <w:szCs w:val="32"/>
          <w:u w:val="none"/>
          <w:shd w:val="clear" w:color="auto" w:fill="FFFFFF"/>
          <w:lang w:eastAsia="zh-CN" w:bidi="ar"/>
        </w:rPr>
        <w:t>业技术</w:t>
      </w:r>
      <w:r>
        <w:rPr>
          <w:rFonts w:hint="eastAsia" w:ascii="Times New Roman" w:hAnsi="Times New Roman" w:eastAsia="仿宋_GB2312" w:cs="仿宋_GB2312"/>
          <w:color w:val="auto"/>
          <w:kern w:val="0"/>
          <w:sz w:val="32"/>
          <w:szCs w:val="32"/>
          <w:u w:val="none"/>
          <w:shd w:val="clear" w:color="auto" w:fill="FFFFFF"/>
          <w:lang w:bidi="ar"/>
        </w:rPr>
        <w:t>审查</w:t>
      </w:r>
      <w:r>
        <w:rPr>
          <w:rFonts w:hint="eastAsia" w:ascii="Times New Roman" w:hAnsi="Times New Roman" w:eastAsia="仿宋_GB2312" w:cs="仿宋_GB2312"/>
          <w:color w:val="auto"/>
          <w:kern w:val="0"/>
          <w:sz w:val="32"/>
          <w:szCs w:val="32"/>
          <w:u w:val="none"/>
          <w:shd w:val="clear" w:color="auto" w:fill="FFFFFF"/>
          <w:lang w:eastAsia="zh-CN" w:bidi="ar"/>
        </w:rPr>
        <w:t>；</w:t>
      </w:r>
      <w:r>
        <w:rPr>
          <w:rFonts w:hint="eastAsia" w:ascii="Calibri" w:hAnsi="Calibri" w:eastAsia="仿宋_GB2312" w:cs="仿宋_GB2312"/>
          <w:color w:val="auto"/>
          <w:kern w:val="0"/>
          <w:sz w:val="32"/>
          <w:szCs w:val="32"/>
          <w:u w:val="none"/>
          <w:shd w:val="clear" w:color="auto" w:fill="FFFFFF"/>
          <w:lang w:eastAsia="zh-CN" w:bidi="ar"/>
        </w:rPr>
        <w:t>区</w:t>
      </w:r>
      <w:r>
        <w:rPr>
          <w:rFonts w:hint="eastAsia" w:ascii="Times New Roman" w:hAnsi="Times New Roman" w:eastAsia="仿宋_GB2312" w:cs="仿宋_GB2312"/>
          <w:color w:val="auto"/>
          <w:kern w:val="0"/>
          <w:sz w:val="32"/>
          <w:szCs w:val="32"/>
          <w:u w:val="none"/>
          <w:shd w:val="clear" w:color="auto" w:fill="FFFFFF"/>
          <w:lang w:bidi="ar"/>
        </w:rPr>
        <w:t>住建局</w:t>
      </w:r>
      <w:r>
        <w:rPr>
          <w:rFonts w:hint="eastAsia" w:ascii="Times New Roman" w:hAnsi="Times New Roman" w:eastAsia="仿宋_GB2312" w:cs="仿宋_GB2312"/>
          <w:color w:val="auto"/>
          <w:kern w:val="0"/>
          <w:sz w:val="32"/>
          <w:szCs w:val="32"/>
          <w:u w:val="none"/>
          <w:shd w:val="clear" w:color="auto" w:fill="FFFFFF"/>
          <w:lang w:eastAsia="zh-CN" w:bidi="ar"/>
        </w:rPr>
        <w:t>组织相关专家、</w:t>
      </w:r>
      <w:r>
        <w:rPr>
          <w:rFonts w:hint="eastAsia" w:ascii="Calibri" w:hAnsi="Calibri" w:eastAsia="仿宋_GB2312" w:cs="仿宋_GB2312"/>
          <w:color w:val="auto"/>
          <w:kern w:val="0"/>
          <w:sz w:val="32"/>
          <w:szCs w:val="32"/>
          <w:u w:val="none"/>
          <w:shd w:val="clear" w:color="auto" w:fill="FFFFFF"/>
          <w:lang w:eastAsia="zh-CN" w:bidi="ar"/>
        </w:rPr>
        <w:t>区</w:t>
      </w:r>
      <w:r>
        <w:rPr>
          <w:rFonts w:hint="eastAsia" w:ascii="Times New Roman" w:hAnsi="Times New Roman" w:eastAsia="仿宋_GB2312" w:cs="仿宋_GB2312"/>
          <w:color w:val="auto"/>
          <w:kern w:val="0"/>
          <w:sz w:val="32"/>
          <w:szCs w:val="32"/>
          <w:u w:val="none"/>
          <w:shd w:val="clear" w:color="auto" w:fill="FFFFFF"/>
          <w:lang w:eastAsia="zh-CN" w:bidi="ar"/>
        </w:rPr>
        <w:t>级行业主管部门以及项目业主开展行业技术审查，并将审查意见反馈项目业主。</w:t>
      </w:r>
    </w:p>
    <w:p w14:paraId="5BB899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kern w:val="0"/>
          <w:sz w:val="32"/>
          <w:szCs w:val="32"/>
          <w:u w:val="none"/>
          <w:shd w:val="clear" w:color="auto" w:fill="FFFFFF"/>
          <w:lang w:eastAsia="zh-CN" w:bidi="ar"/>
        </w:rPr>
      </w:pPr>
      <w:r>
        <w:rPr>
          <w:rFonts w:hint="eastAsia" w:ascii="Times New Roman" w:hAnsi="Times New Roman" w:eastAsia="仿宋_GB2312" w:cs="仿宋_GB2312"/>
          <w:color w:val="auto"/>
          <w:kern w:val="0"/>
          <w:sz w:val="32"/>
          <w:szCs w:val="32"/>
          <w:u w:val="none"/>
          <w:shd w:val="clear" w:color="auto" w:fill="FFFFFF"/>
          <w:lang w:eastAsia="zh-CN" w:bidi="ar"/>
        </w:rPr>
        <w:t>（二）项目业主按照审查意见对初步设计进行修改完善，将经专家认可的修订版初步设计连同概算书报请区级行业主管部门审查；</w:t>
      </w:r>
      <w:r>
        <w:rPr>
          <w:rFonts w:hint="eastAsia" w:ascii="Calibri" w:hAnsi="Calibri" w:eastAsia="仿宋_GB2312" w:cs="仿宋_GB2312"/>
          <w:color w:val="auto"/>
          <w:kern w:val="0"/>
          <w:sz w:val="32"/>
          <w:szCs w:val="32"/>
          <w:u w:val="none"/>
          <w:shd w:val="clear" w:color="auto" w:fill="FFFFFF"/>
          <w:lang w:val="en-US" w:eastAsia="zh-CN" w:bidi="ar"/>
        </w:rPr>
        <w:t>区</w:t>
      </w:r>
      <w:r>
        <w:rPr>
          <w:rFonts w:hint="eastAsia" w:ascii="Times New Roman" w:hAnsi="Times New Roman" w:eastAsia="仿宋_GB2312" w:cs="仿宋_GB2312"/>
          <w:color w:val="auto"/>
          <w:kern w:val="0"/>
          <w:sz w:val="32"/>
          <w:szCs w:val="32"/>
          <w:u w:val="none"/>
          <w:shd w:val="clear" w:color="auto" w:fill="FFFFFF"/>
          <w:lang w:val="en-US" w:eastAsia="zh-CN" w:bidi="ar"/>
        </w:rPr>
        <w:t>级行业主管部门组织</w:t>
      </w:r>
      <w:r>
        <w:rPr>
          <w:rFonts w:hint="eastAsia" w:ascii="Calibri" w:hAnsi="Calibri" w:eastAsia="仿宋_GB2312" w:cs="仿宋_GB2312"/>
          <w:color w:val="auto"/>
          <w:kern w:val="0"/>
          <w:sz w:val="32"/>
          <w:szCs w:val="32"/>
          <w:u w:val="none"/>
          <w:shd w:val="clear" w:color="auto" w:fill="FFFFFF"/>
          <w:lang w:val="en-US" w:eastAsia="zh-CN" w:bidi="ar"/>
        </w:rPr>
        <w:t>区发改局</w:t>
      </w:r>
      <w:r>
        <w:rPr>
          <w:rFonts w:hint="eastAsia" w:ascii="Times New Roman" w:hAnsi="Times New Roman" w:eastAsia="仿宋_GB2312" w:cs="仿宋_GB2312"/>
          <w:color w:val="auto"/>
          <w:kern w:val="0"/>
          <w:sz w:val="32"/>
          <w:szCs w:val="32"/>
          <w:u w:val="none"/>
          <w:shd w:val="clear" w:color="auto" w:fill="FFFFFF"/>
          <w:lang w:val="en-US" w:eastAsia="zh-CN" w:bidi="ar"/>
        </w:rPr>
        <w:t>、</w:t>
      </w:r>
      <w:r>
        <w:rPr>
          <w:rFonts w:hint="eastAsia" w:ascii="Calibri" w:hAnsi="Calibri" w:eastAsia="仿宋_GB2312" w:cs="仿宋_GB2312"/>
          <w:color w:val="auto"/>
          <w:kern w:val="0"/>
          <w:sz w:val="32"/>
          <w:szCs w:val="32"/>
          <w:u w:val="none"/>
          <w:shd w:val="clear" w:color="auto" w:fill="FFFFFF"/>
          <w:lang w:val="en-US" w:eastAsia="zh-CN" w:bidi="ar"/>
        </w:rPr>
        <w:t>区</w:t>
      </w:r>
      <w:r>
        <w:rPr>
          <w:rFonts w:hint="eastAsia" w:ascii="Times New Roman" w:hAnsi="Times New Roman" w:eastAsia="仿宋_GB2312" w:cs="仿宋_GB2312"/>
          <w:color w:val="auto"/>
          <w:kern w:val="0"/>
          <w:sz w:val="32"/>
          <w:szCs w:val="32"/>
          <w:u w:val="none"/>
          <w:shd w:val="clear" w:color="auto" w:fill="FFFFFF"/>
          <w:lang w:val="en-US" w:eastAsia="zh-CN" w:bidi="ar"/>
        </w:rPr>
        <w:t>自然资源局、</w:t>
      </w:r>
      <w:r>
        <w:rPr>
          <w:rFonts w:hint="eastAsia" w:ascii="Calibri" w:hAnsi="Calibri" w:eastAsia="仿宋_GB2312" w:cs="仿宋_GB2312"/>
          <w:color w:val="auto"/>
          <w:kern w:val="0"/>
          <w:sz w:val="32"/>
          <w:szCs w:val="32"/>
          <w:u w:val="none"/>
          <w:shd w:val="clear" w:color="auto" w:fill="FFFFFF"/>
          <w:lang w:val="en-US" w:eastAsia="zh-CN" w:bidi="ar"/>
        </w:rPr>
        <w:t>区</w:t>
      </w:r>
      <w:r>
        <w:rPr>
          <w:rFonts w:hint="eastAsia" w:ascii="Times New Roman" w:hAnsi="Times New Roman" w:eastAsia="仿宋_GB2312" w:cs="仿宋_GB2312"/>
          <w:color w:val="auto"/>
          <w:kern w:val="0"/>
          <w:sz w:val="32"/>
          <w:szCs w:val="32"/>
          <w:u w:val="none"/>
          <w:shd w:val="clear" w:color="auto" w:fill="FFFFFF"/>
          <w:lang w:val="en-US" w:eastAsia="zh-CN" w:bidi="ar"/>
        </w:rPr>
        <w:t>住建局、</w:t>
      </w:r>
      <w:r>
        <w:rPr>
          <w:rFonts w:hint="eastAsia" w:ascii="Calibri" w:hAnsi="Calibri" w:eastAsia="仿宋_GB2312" w:cs="仿宋_GB2312"/>
          <w:color w:val="auto"/>
          <w:kern w:val="0"/>
          <w:sz w:val="32"/>
          <w:szCs w:val="32"/>
          <w:u w:val="none"/>
          <w:shd w:val="clear" w:color="auto" w:fill="FFFFFF"/>
          <w:lang w:val="en-US" w:eastAsia="zh-CN" w:bidi="ar"/>
        </w:rPr>
        <w:t>区</w:t>
      </w:r>
      <w:r>
        <w:rPr>
          <w:rFonts w:hint="eastAsia" w:ascii="Times New Roman" w:hAnsi="Times New Roman" w:eastAsia="仿宋_GB2312" w:cs="仿宋_GB2312"/>
          <w:color w:val="auto"/>
          <w:kern w:val="0"/>
          <w:sz w:val="32"/>
          <w:szCs w:val="32"/>
          <w:u w:val="none"/>
          <w:shd w:val="clear" w:color="auto" w:fill="FFFFFF"/>
          <w:lang w:val="en-US" w:eastAsia="zh-CN" w:bidi="ar"/>
        </w:rPr>
        <w:t>财政局等部门及专家开展项目初步设计及概算联评联审，将联评联审意见反馈项目业主。</w:t>
      </w:r>
    </w:p>
    <w:p w14:paraId="14F2A92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shd w:val="clear" w:color="auto" w:fill="FFFFFF"/>
          <w:lang w:val="en-US" w:eastAsia="zh-CN" w:bidi="ar"/>
        </w:rPr>
      </w:pPr>
      <w:r>
        <w:rPr>
          <w:rFonts w:hint="eastAsia" w:ascii="Times New Roman" w:hAnsi="Times New Roman" w:eastAsia="仿宋_GB2312" w:cs="仿宋_GB2312"/>
          <w:color w:val="auto"/>
          <w:kern w:val="0"/>
          <w:sz w:val="32"/>
          <w:szCs w:val="32"/>
          <w:u w:val="none"/>
          <w:shd w:val="clear" w:color="auto" w:fill="FFFFFF"/>
          <w:lang w:val="en-US" w:eastAsia="zh-CN" w:bidi="ar"/>
        </w:rPr>
        <w:t>（三）项目业主</w:t>
      </w:r>
      <w:r>
        <w:rPr>
          <w:rFonts w:hint="eastAsia" w:ascii="Calibri" w:hAnsi="Calibri" w:eastAsia="仿宋_GB2312" w:cs="仿宋_GB2312"/>
          <w:color w:val="auto"/>
          <w:kern w:val="0"/>
          <w:sz w:val="32"/>
          <w:szCs w:val="32"/>
          <w:u w:val="none"/>
          <w:shd w:val="clear" w:color="auto" w:fill="FFFFFF"/>
          <w:lang w:val="en-US" w:eastAsia="zh-CN" w:bidi="ar"/>
        </w:rPr>
        <w:t>按照</w:t>
      </w:r>
      <w:r>
        <w:rPr>
          <w:rFonts w:hint="eastAsia" w:ascii="Times New Roman" w:hAnsi="Times New Roman" w:eastAsia="仿宋_GB2312" w:cs="仿宋_GB2312"/>
          <w:color w:val="auto"/>
          <w:kern w:val="0"/>
          <w:sz w:val="32"/>
          <w:szCs w:val="32"/>
          <w:u w:val="none"/>
          <w:shd w:val="clear" w:color="auto" w:fill="FFFFFF"/>
          <w:lang w:val="en-US" w:eastAsia="zh-CN" w:bidi="ar"/>
        </w:rPr>
        <w:t>联评联审</w:t>
      </w:r>
      <w:r>
        <w:rPr>
          <w:rFonts w:hint="eastAsia" w:ascii="Calibri" w:hAnsi="Calibri" w:eastAsia="仿宋_GB2312" w:cs="仿宋_GB2312"/>
          <w:color w:val="auto"/>
          <w:kern w:val="0"/>
          <w:sz w:val="32"/>
          <w:szCs w:val="32"/>
          <w:u w:val="none"/>
          <w:shd w:val="clear" w:color="auto" w:fill="FFFFFF"/>
          <w:lang w:val="en-US" w:eastAsia="zh-CN" w:bidi="ar"/>
        </w:rPr>
        <w:t>意见对概算书进行完善，将审批申请文件、修订版初步设计、</w:t>
      </w:r>
      <w:r>
        <w:rPr>
          <w:rFonts w:hint="eastAsia" w:ascii="Times New Roman" w:hAnsi="Times New Roman" w:eastAsia="仿宋_GB2312" w:cs="仿宋_GB2312"/>
          <w:color w:val="auto"/>
          <w:kern w:val="0"/>
          <w:sz w:val="32"/>
          <w:szCs w:val="32"/>
          <w:u w:val="none"/>
          <w:shd w:val="clear" w:color="auto" w:fill="FFFFFF"/>
          <w:lang w:val="en-US" w:eastAsia="zh-CN" w:bidi="ar"/>
        </w:rPr>
        <w:t>联评联审</w:t>
      </w:r>
      <w:r>
        <w:rPr>
          <w:rFonts w:hint="eastAsia" w:ascii="Calibri" w:hAnsi="Calibri" w:eastAsia="仿宋_GB2312" w:cs="仿宋_GB2312"/>
          <w:color w:val="auto"/>
          <w:kern w:val="0"/>
          <w:sz w:val="32"/>
          <w:szCs w:val="32"/>
          <w:u w:val="none"/>
          <w:shd w:val="clear" w:color="auto" w:fill="FFFFFF"/>
          <w:lang w:val="en-US" w:eastAsia="zh-CN" w:bidi="ar"/>
        </w:rPr>
        <w:t>通过的概算书、行业技术审查意见、</w:t>
      </w:r>
      <w:r>
        <w:rPr>
          <w:rFonts w:hint="eastAsia" w:ascii="Times New Roman" w:hAnsi="Times New Roman" w:eastAsia="仿宋_GB2312" w:cs="仿宋_GB2312"/>
          <w:color w:val="auto"/>
          <w:kern w:val="0"/>
          <w:sz w:val="32"/>
          <w:szCs w:val="32"/>
          <w:u w:val="none"/>
          <w:shd w:val="clear" w:color="auto" w:fill="FFFFFF"/>
          <w:lang w:val="en-US" w:eastAsia="zh-CN" w:bidi="ar"/>
        </w:rPr>
        <w:t>联评联审</w:t>
      </w:r>
      <w:r>
        <w:rPr>
          <w:rFonts w:hint="eastAsia" w:ascii="Calibri" w:hAnsi="Calibri" w:eastAsia="仿宋_GB2312" w:cs="仿宋_GB2312"/>
          <w:color w:val="auto"/>
          <w:kern w:val="0"/>
          <w:sz w:val="32"/>
          <w:szCs w:val="32"/>
          <w:u w:val="none"/>
          <w:shd w:val="clear" w:color="auto" w:fill="FFFFFF"/>
          <w:lang w:val="en-US" w:eastAsia="zh-CN" w:bidi="ar"/>
        </w:rPr>
        <w:t>意见等相关材料报送区发改局</w:t>
      </w:r>
      <w:r>
        <w:rPr>
          <w:rFonts w:hint="eastAsia" w:ascii="Times New Roman" w:hAnsi="Times New Roman" w:eastAsia="仿宋_GB2312" w:cs="仿宋_GB2312"/>
          <w:color w:val="auto"/>
          <w:kern w:val="0"/>
          <w:sz w:val="32"/>
          <w:szCs w:val="32"/>
          <w:u w:val="none"/>
          <w:shd w:val="clear" w:color="auto" w:fill="FFFFFF"/>
          <w:lang w:val="en-US" w:eastAsia="zh-CN" w:bidi="ar"/>
        </w:rPr>
        <w:t>；</w:t>
      </w:r>
    </w:p>
    <w:p w14:paraId="536F3E1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仿宋_GB2312"/>
          <w:color w:val="auto"/>
          <w:kern w:val="0"/>
          <w:sz w:val="32"/>
          <w:szCs w:val="32"/>
          <w:u w:val="none"/>
          <w:shd w:val="clear" w:color="auto" w:fill="FFFFFF"/>
          <w:lang w:val="en-US" w:eastAsia="zh-CN" w:bidi="ar"/>
        </w:rPr>
      </w:pPr>
      <w:r>
        <w:rPr>
          <w:rFonts w:hint="eastAsia" w:ascii="Times New Roman" w:hAnsi="Times New Roman" w:eastAsia="仿宋_GB2312" w:cs="仿宋_GB2312"/>
          <w:color w:val="auto"/>
          <w:kern w:val="0"/>
          <w:sz w:val="32"/>
          <w:szCs w:val="32"/>
          <w:u w:val="none"/>
          <w:shd w:val="clear" w:color="auto" w:fill="FFFFFF"/>
          <w:lang w:val="en-US" w:eastAsia="zh-CN" w:bidi="ar"/>
        </w:rPr>
        <w:t>（四）</w:t>
      </w:r>
      <w:r>
        <w:rPr>
          <w:rFonts w:hint="eastAsia" w:ascii="Calibri" w:hAnsi="Calibri" w:eastAsia="仿宋_GB2312" w:cs="仿宋_GB2312"/>
          <w:color w:val="auto"/>
          <w:kern w:val="0"/>
          <w:sz w:val="32"/>
          <w:szCs w:val="32"/>
          <w:u w:val="none"/>
          <w:shd w:val="clear" w:color="auto" w:fill="FFFFFF"/>
          <w:lang w:val="en-US" w:eastAsia="zh-CN" w:bidi="ar"/>
        </w:rPr>
        <w:t>区发改局</w:t>
      </w:r>
      <w:r>
        <w:rPr>
          <w:rFonts w:hint="eastAsia" w:ascii="Times New Roman" w:hAnsi="Times New Roman" w:eastAsia="仿宋_GB2312" w:cs="仿宋_GB2312"/>
          <w:color w:val="auto"/>
          <w:kern w:val="0"/>
          <w:sz w:val="32"/>
          <w:szCs w:val="32"/>
          <w:u w:val="none"/>
          <w:shd w:val="clear" w:color="auto" w:fill="FFFFFF"/>
          <w:lang w:val="en-US" w:eastAsia="zh-CN" w:bidi="ar"/>
        </w:rPr>
        <w:t>依据行业技术审查意见和概算联评联审意见对项目初步设计及投资概算进行批复。</w:t>
      </w:r>
    </w:p>
    <w:p w14:paraId="27D78BB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ind w:firstLine="640" w:firstLineChars="200"/>
        <w:jc w:val="both"/>
        <w:textAlignment w:val="auto"/>
        <w:rPr>
          <w:rFonts w:hint="eastAsia" w:ascii="Times New Roman" w:hAnsi="Times New Roman" w:eastAsia="仿宋_GB2312" w:cs="仿宋_GB2312"/>
          <w:color w:val="auto"/>
          <w:kern w:val="0"/>
          <w:sz w:val="32"/>
          <w:szCs w:val="32"/>
          <w:u w:val="none"/>
          <w:shd w:val="clear" w:color="auto" w:fill="FFFFFF"/>
          <w:lang w:val="en-US" w:eastAsia="zh-CN" w:bidi="ar"/>
        </w:rPr>
      </w:pPr>
      <w:r>
        <w:rPr>
          <w:rFonts w:hint="eastAsia" w:ascii="Calibri" w:hAnsi="Calibri" w:eastAsia="仿宋_GB2312" w:cs="仿宋_GB2312"/>
          <w:color w:val="auto"/>
          <w:kern w:val="0"/>
          <w:sz w:val="32"/>
          <w:szCs w:val="32"/>
          <w:u w:val="none"/>
          <w:shd w:val="clear" w:color="auto" w:fill="FFFFFF"/>
          <w:lang w:val="en-US" w:eastAsia="zh-CN" w:bidi="ar"/>
        </w:rPr>
        <w:t>区住建局</w:t>
      </w:r>
      <w:r>
        <w:rPr>
          <w:rFonts w:hint="eastAsia" w:ascii="Times New Roman" w:hAnsi="Times New Roman" w:eastAsia="仿宋_GB2312" w:cs="仿宋_GB2312"/>
          <w:color w:val="auto"/>
          <w:kern w:val="0"/>
          <w:sz w:val="32"/>
          <w:szCs w:val="32"/>
          <w:u w:val="none"/>
          <w:shd w:val="clear" w:color="auto" w:fill="FFFFFF"/>
          <w:lang w:val="en-US" w:eastAsia="zh-CN" w:bidi="ar"/>
        </w:rPr>
        <w:t>作为项目业主或行业主管部门的项目，可</w:t>
      </w:r>
      <w:r>
        <w:rPr>
          <w:rFonts w:hint="eastAsia" w:ascii="Calibri" w:hAnsi="Calibri" w:eastAsia="仿宋_GB2312" w:cs="仿宋_GB2312"/>
          <w:color w:val="auto"/>
          <w:kern w:val="0"/>
          <w:sz w:val="32"/>
          <w:szCs w:val="32"/>
          <w:u w:val="none"/>
          <w:shd w:val="clear" w:color="auto" w:fill="FFFFFF"/>
          <w:lang w:val="en-US" w:eastAsia="zh-CN" w:bidi="ar"/>
        </w:rPr>
        <w:t>由区住建局自行组织开展上述（一）（二）流程</w:t>
      </w:r>
      <w:r>
        <w:rPr>
          <w:rFonts w:hint="eastAsia" w:ascii="Times New Roman" w:hAnsi="Times New Roman" w:eastAsia="仿宋_GB2312" w:cs="仿宋_GB2312"/>
          <w:color w:val="auto"/>
          <w:kern w:val="0"/>
          <w:sz w:val="32"/>
          <w:szCs w:val="32"/>
          <w:u w:val="none"/>
          <w:shd w:val="clear" w:color="auto" w:fill="FFFFFF"/>
          <w:lang w:val="en-US" w:eastAsia="zh-CN" w:bidi="ar"/>
        </w:rPr>
        <w:t>。</w:t>
      </w:r>
    </w:p>
    <w:p w14:paraId="4E697DBE">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其他政府投资项目的初步设计及投资概算审批工作由区级行业主管部门按照规定组织开展。</w:t>
      </w:r>
    </w:p>
    <w:p w14:paraId="32A64AD0">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第十五条</w:t>
      </w:r>
      <w:r>
        <w:rPr>
          <w:rFonts w:hint="eastAsia" w:ascii="仿宋_GB2312" w:hAnsi="仿宋" w:eastAsia="仿宋_GB2312" w:cs="仿宋"/>
          <w:color w:val="auto"/>
          <w:kern w:val="0"/>
          <w:sz w:val="32"/>
          <w:szCs w:val="32"/>
          <w:lang w:val="en-US" w:eastAsia="zh-CN"/>
        </w:rPr>
        <w:t xml:space="preserve"> 审批部门核定的投资概算是控制政府投资项目总投资的依据，未经核定概算的项目不得开工建设。</w:t>
      </w:r>
      <w:r>
        <w:rPr>
          <w:rFonts w:ascii="仿宋_GB2312" w:hAnsi="宋体" w:eastAsia="仿宋_GB2312" w:cs="仿宋_GB2312"/>
          <w:color w:val="000000"/>
          <w:kern w:val="0"/>
          <w:sz w:val="32"/>
          <w:szCs w:val="32"/>
          <w:lang w:val="en-US" w:eastAsia="zh-CN" w:bidi="ar"/>
        </w:rPr>
        <w:t>投资概算应</w:t>
      </w:r>
      <w:r>
        <w:rPr>
          <w:rFonts w:hint="eastAsia" w:ascii="仿宋_GB2312" w:hAnsi="宋体" w:eastAsia="仿宋_GB2312" w:cs="仿宋_GB2312"/>
          <w:color w:val="000000"/>
          <w:kern w:val="0"/>
          <w:sz w:val="32"/>
          <w:szCs w:val="32"/>
          <w:lang w:val="en-US" w:eastAsia="zh-CN" w:bidi="ar"/>
        </w:rPr>
        <w:t>当包括工程费用、工程建设其他费用、预备费用等国家规定的项目建设所需的全部费用。</w:t>
      </w:r>
    </w:p>
    <w:p w14:paraId="3130EA5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shd w:val="clear" w:color="auto" w:fill="FFFFFF"/>
          <w:lang w:eastAsia="zh-CN" w:bidi="ar"/>
        </w:rPr>
      </w:pPr>
      <w:r>
        <w:rPr>
          <w:rFonts w:hint="eastAsia" w:ascii="仿宋_GB2312" w:hAnsi="宋体" w:eastAsia="仿宋_GB2312" w:cs="仿宋_GB2312"/>
          <w:b/>
          <w:bCs/>
          <w:color w:val="000000"/>
          <w:kern w:val="0"/>
          <w:sz w:val="32"/>
          <w:szCs w:val="32"/>
          <w:lang w:val="en-US" w:eastAsia="zh-CN" w:bidi="ar"/>
        </w:rPr>
        <w:t xml:space="preserve">第十六条  </w:t>
      </w:r>
      <w:r>
        <w:rPr>
          <w:rFonts w:hint="eastAsia" w:ascii="Times New Roman" w:hAnsi="Times New Roman" w:eastAsia="仿宋_GB2312" w:cs="仿宋_GB2312"/>
          <w:color w:val="auto"/>
          <w:kern w:val="0"/>
          <w:sz w:val="32"/>
          <w:szCs w:val="32"/>
          <w:u w:val="none"/>
          <w:shd w:val="clear" w:color="auto" w:fill="FFFFFF"/>
          <w:lang w:val="en-US" w:eastAsia="zh-CN" w:bidi="ar"/>
        </w:rPr>
        <w:t xml:space="preserve">项目有下列情形之一的，项目可行性研究报告应 </w:t>
      </w:r>
    </w:p>
    <w:p w14:paraId="2C678F6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kern w:val="0"/>
          <w:sz w:val="32"/>
          <w:szCs w:val="32"/>
          <w:u w:val="none"/>
          <w:shd w:val="clear" w:color="auto" w:fill="FFFFFF"/>
          <w:lang w:val="en-US" w:eastAsia="zh-CN" w:bidi="ar"/>
        </w:rPr>
      </w:pPr>
      <w:r>
        <w:rPr>
          <w:rFonts w:hint="eastAsia" w:ascii="Times New Roman" w:hAnsi="Times New Roman" w:eastAsia="仿宋_GB2312" w:cs="仿宋_GB2312"/>
          <w:color w:val="auto"/>
          <w:kern w:val="0"/>
          <w:sz w:val="32"/>
          <w:szCs w:val="32"/>
          <w:u w:val="none"/>
          <w:shd w:val="clear" w:color="auto" w:fill="FFFFFF"/>
          <w:lang w:val="en-US" w:eastAsia="zh-CN" w:bidi="ar"/>
        </w:rPr>
        <w:t xml:space="preserve">当重新报请原审批机关批准： </w:t>
      </w:r>
    </w:p>
    <w:p w14:paraId="1AB25F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kern w:val="0"/>
          <w:sz w:val="32"/>
          <w:szCs w:val="32"/>
          <w:u w:val="none"/>
          <w:shd w:val="clear" w:color="auto" w:fill="FFFFFF"/>
          <w:lang w:val="en-US" w:eastAsia="zh-CN" w:bidi="ar"/>
        </w:rPr>
      </w:pPr>
      <w:r>
        <w:rPr>
          <w:rFonts w:hint="eastAsia" w:ascii="Times New Roman" w:hAnsi="Times New Roman" w:eastAsia="仿宋_GB2312" w:cs="仿宋_GB2312"/>
          <w:color w:val="auto"/>
          <w:kern w:val="0"/>
          <w:sz w:val="32"/>
          <w:szCs w:val="32"/>
          <w:u w:val="none"/>
          <w:shd w:val="clear" w:color="auto" w:fill="FFFFFF"/>
          <w:lang w:val="en-US" w:eastAsia="zh-CN" w:bidi="ar"/>
        </w:rPr>
        <w:t>（一）</w:t>
      </w:r>
      <w:r>
        <w:rPr>
          <w:rFonts w:hint="eastAsia" w:ascii="仿宋_GB2312" w:hAnsi="仿宋" w:eastAsia="仿宋_GB2312" w:cs="仿宋"/>
          <w:color w:val="auto"/>
          <w:kern w:val="0"/>
          <w:sz w:val="32"/>
          <w:szCs w:val="32"/>
          <w:lang w:val="en-US" w:eastAsia="zh-CN"/>
        </w:rPr>
        <w:t>初步设计概算超过可行性研究报告投资估算10%以上的。</w:t>
      </w:r>
    </w:p>
    <w:p w14:paraId="21D827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auto"/>
          <w:kern w:val="0"/>
          <w:sz w:val="32"/>
          <w:szCs w:val="32"/>
          <w:u w:val="none"/>
          <w:shd w:val="clear" w:color="auto" w:fill="FFFFFF"/>
          <w:lang w:val="en-US" w:eastAsia="zh-CN" w:bidi="ar"/>
        </w:rPr>
      </w:pPr>
      <w:r>
        <w:rPr>
          <w:rFonts w:hint="eastAsia" w:ascii="Times New Roman" w:hAnsi="Times New Roman" w:eastAsia="仿宋_GB2312" w:cs="仿宋_GB2312"/>
          <w:color w:val="auto"/>
          <w:kern w:val="0"/>
          <w:sz w:val="32"/>
          <w:szCs w:val="32"/>
          <w:u w:val="none"/>
          <w:shd w:val="clear" w:color="auto" w:fill="FFFFFF"/>
          <w:lang w:val="en-US" w:eastAsia="zh-CN" w:bidi="ar"/>
        </w:rPr>
        <w:t>（二）项目建设单位、</w:t>
      </w:r>
      <w:r>
        <w:rPr>
          <w:rFonts w:hint="eastAsia" w:eastAsia="仿宋_GB2312" w:cs="仿宋_GB2312"/>
          <w:color w:val="auto"/>
          <w:kern w:val="0"/>
          <w:sz w:val="32"/>
          <w:szCs w:val="32"/>
          <w:u w:val="none"/>
          <w:shd w:val="clear" w:color="auto" w:fill="FFFFFF"/>
          <w:lang w:val="en-US" w:eastAsia="zh-CN" w:bidi="ar"/>
        </w:rPr>
        <w:t>项目名称、</w:t>
      </w:r>
      <w:r>
        <w:rPr>
          <w:rFonts w:hint="eastAsia" w:ascii="Times New Roman" w:hAnsi="Times New Roman" w:eastAsia="仿宋_GB2312" w:cs="仿宋_GB2312"/>
          <w:color w:val="auto"/>
          <w:kern w:val="0"/>
          <w:sz w:val="32"/>
          <w:szCs w:val="32"/>
          <w:u w:val="none"/>
          <w:shd w:val="clear" w:color="auto" w:fill="FFFFFF"/>
          <w:lang w:val="en-US" w:eastAsia="zh-CN" w:bidi="ar"/>
        </w:rPr>
        <w:t>建设性质、建设地点、建设规模、工艺技术方案等发生重大变更的。</w:t>
      </w:r>
    </w:p>
    <w:p w14:paraId="22ABA427">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jc w:val="left"/>
        <w:textAlignment w:val="auto"/>
        <w:rPr>
          <w:rFonts w:ascii="Calibri" w:hAnsi="Calibri" w:eastAsia="宋体" w:cs="Times New Roman"/>
          <w:sz w:val="32"/>
          <w:szCs w:val="32"/>
        </w:rPr>
      </w:pPr>
      <w:r>
        <w:rPr>
          <w:rFonts w:hint="eastAsia" w:ascii="仿宋_GB2312" w:hAnsi="宋体" w:eastAsia="仿宋_GB2312" w:cs="仿宋_GB2312"/>
          <w:b/>
          <w:bCs/>
          <w:color w:val="000000"/>
          <w:kern w:val="0"/>
          <w:sz w:val="32"/>
          <w:szCs w:val="32"/>
          <w:lang w:val="en-US" w:eastAsia="zh-CN" w:bidi="ar"/>
        </w:rPr>
        <w:t>第十七条</w:t>
      </w:r>
      <w:r>
        <w:rPr>
          <w:rFonts w:hint="eastAsia" w:ascii="仿宋_GB2312" w:hAnsi="宋体" w:eastAsia="仿宋_GB2312" w:cs="仿宋_GB2312"/>
          <w:color w:val="000000"/>
          <w:kern w:val="0"/>
          <w:sz w:val="32"/>
          <w:szCs w:val="32"/>
          <w:lang w:val="en-US" w:eastAsia="zh-CN" w:bidi="ar"/>
        </w:rPr>
        <w:t xml:space="preserve">  </w:t>
      </w:r>
      <w:r>
        <w:rPr>
          <w:rFonts w:ascii="仿宋_GB2312" w:hAnsi="宋体" w:eastAsia="仿宋_GB2312" w:cs="仿宋_GB2312"/>
          <w:color w:val="000000"/>
          <w:kern w:val="0"/>
          <w:sz w:val="32"/>
          <w:szCs w:val="32"/>
          <w:lang w:val="en-US" w:eastAsia="zh-CN" w:bidi="ar"/>
        </w:rPr>
        <w:t>政府投资项目应遵循匡算控制估算、估算控制概</w:t>
      </w:r>
      <w:r>
        <w:rPr>
          <w:rFonts w:hint="eastAsia" w:ascii="仿宋_GB2312" w:hAnsi="宋体" w:eastAsia="仿宋_GB2312" w:cs="仿宋_GB2312"/>
          <w:color w:val="000000"/>
          <w:kern w:val="0"/>
          <w:sz w:val="32"/>
          <w:szCs w:val="32"/>
          <w:lang w:val="en-US" w:eastAsia="zh-CN" w:bidi="ar"/>
        </w:rPr>
        <w:t>算、概算控制预算、预算控制决算的原则，严格执行基本建设管理程序，</w:t>
      </w:r>
      <w:r>
        <w:rPr>
          <w:rFonts w:hint="eastAsia" w:ascii="仿宋_GB2312" w:hAnsi="宋体" w:eastAsia="仿宋_GB2312" w:cs="仿宋_GB2312"/>
          <w:b w:val="0"/>
          <w:bCs w:val="0"/>
          <w:color w:val="auto"/>
          <w:kern w:val="0"/>
          <w:sz w:val="32"/>
          <w:szCs w:val="32"/>
          <w:lang w:val="en-US" w:eastAsia="zh-CN" w:bidi="ar"/>
        </w:rPr>
        <w:t>禁止</w:t>
      </w:r>
      <w:r>
        <w:rPr>
          <w:rFonts w:hint="eastAsia" w:ascii="仿宋_GB2312" w:hAnsi="宋体" w:eastAsia="仿宋_GB2312" w:cs="仿宋_GB2312"/>
          <w:color w:val="000000"/>
          <w:kern w:val="0"/>
          <w:sz w:val="32"/>
          <w:szCs w:val="32"/>
          <w:lang w:val="en-US" w:eastAsia="zh-CN" w:bidi="ar"/>
        </w:rPr>
        <w:t>边勘察、设计、边施工。</w:t>
      </w:r>
    </w:p>
    <w:p w14:paraId="3EE28061">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Calibri" w:hAnsi="Calibri" w:eastAsia="宋体" w:cs="Times New Roman"/>
          <w:color w:val="auto"/>
          <w:sz w:val="32"/>
          <w:szCs w:val="32"/>
          <w:lang w:val="en-US" w:eastAsia="zh-CN"/>
        </w:rPr>
      </w:pPr>
      <w:r>
        <w:rPr>
          <w:rFonts w:hint="eastAsia" w:ascii="Calibri" w:hAnsi="Calibri" w:eastAsia="仿宋_GB2312" w:cs="仿宋_GB2312"/>
          <w:color w:val="auto"/>
          <w:kern w:val="0"/>
          <w:sz w:val="32"/>
          <w:szCs w:val="32"/>
          <w:u w:val="none"/>
          <w:shd w:val="clear" w:color="auto" w:fill="FFFFFF"/>
          <w:lang w:eastAsia="zh-CN" w:bidi="ar"/>
        </w:rPr>
        <w:t>（一）</w:t>
      </w:r>
      <w:r>
        <w:rPr>
          <w:rFonts w:hint="eastAsia" w:ascii="Times New Roman" w:hAnsi="Times New Roman" w:eastAsia="仿宋_GB2312" w:cs="仿宋_GB2312"/>
          <w:color w:val="auto"/>
          <w:kern w:val="0"/>
          <w:sz w:val="32"/>
          <w:szCs w:val="32"/>
          <w:u w:val="none"/>
          <w:shd w:val="clear" w:color="auto" w:fill="FFFFFF"/>
          <w:lang w:eastAsia="zh-CN" w:bidi="ar"/>
        </w:rPr>
        <w:t>项目初步设计应明确各单项工程或单位工程的建设内容、建设规模、建设标准、设计概算、用地规模、主要材料、设备规格和技术参数等，并达到国家规定的深度。</w:t>
      </w:r>
      <w:r>
        <w:rPr>
          <w:rFonts w:hint="eastAsia" w:ascii="Times New Roman" w:hAnsi="Times New Roman" w:eastAsia="仿宋_GB2312" w:cs="仿宋_GB2312"/>
          <w:color w:val="auto"/>
          <w:kern w:val="0"/>
          <w:sz w:val="32"/>
          <w:szCs w:val="32"/>
          <w:u w:val="none"/>
          <w:shd w:val="clear" w:color="auto" w:fill="FFFFFF"/>
          <w:lang w:bidi="ar"/>
        </w:rPr>
        <w:t>项目初步设计提出的投资概算</w:t>
      </w:r>
      <w:r>
        <w:rPr>
          <w:rFonts w:hint="eastAsia" w:ascii="Times New Roman" w:hAnsi="Times New Roman" w:eastAsia="仿宋_GB2312" w:cs="仿宋_GB2312"/>
          <w:color w:val="auto"/>
          <w:kern w:val="0"/>
          <w:sz w:val="32"/>
          <w:szCs w:val="32"/>
          <w:u w:val="none"/>
          <w:shd w:val="clear" w:color="auto" w:fill="FFFFFF"/>
          <w:lang w:eastAsia="zh-CN" w:bidi="ar"/>
        </w:rPr>
        <w:t>原则上不得</w:t>
      </w:r>
      <w:r>
        <w:rPr>
          <w:rFonts w:hint="eastAsia" w:ascii="Times New Roman" w:hAnsi="Times New Roman" w:eastAsia="仿宋_GB2312" w:cs="仿宋_GB2312"/>
          <w:color w:val="auto"/>
          <w:kern w:val="0"/>
          <w:sz w:val="32"/>
          <w:szCs w:val="32"/>
          <w:u w:val="none"/>
          <w:shd w:val="clear" w:color="auto" w:fill="FFFFFF"/>
          <w:lang w:bidi="ar"/>
        </w:rPr>
        <w:t>超过经批准的可行性研究报告提出的投资估算</w:t>
      </w:r>
      <w:r>
        <w:rPr>
          <w:rFonts w:hint="eastAsia" w:ascii="Times New Roman" w:hAnsi="Times New Roman" w:eastAsia="仿宋_GB2312" w:cs="仿宋_GB2312"/>
          <w:color w:val="auto"/>
          <w:kern w:val="0"/>
          <w:sz w:val="32"/>
          <w:szCs w:val="32"/>
          <w:u w:val="none"/>
          <w:shd w:val="clear" w:color="auto" w:fill="FFFFFF"/>
          <w:lang w:eastAsia="zh-CN" w:bidi="ar"/>
        </w:rPr>
        <w:t>，</w:t>
      </w:r>
      <w:r>
        <w:rPr>
          <w:rFonts w:hint="eastAsia" w:ascii="Calibri" w:hAnsi="Calibri" w:eastAsia="仿宋_GB2312" w:cs="仿宋_GB2312"/>
          <w:color w:val="auto"/>
          <w:kern w:val="0"/>
          <w:sz w:val="32"/>
          <w:szCs w:val="32"/>
          <w:u w:val="none"/>
          <w:shd w:val="clear" w:color="auto" w:fill="FFFFFF"/>
          <w:lang w:eastAsia="zh-CN" w:bidi="ar"/>
        </w:rPr>
        <w:t>鼓励项目业主通过优化设计、采用新工艺等方式节约项目投资，但项目建设内容的经济社会效益等不得低于经批准的可行性研究报告。</w:t>
      </w:r>
      <w:r>
        <w:rPr>
          <w:rFonts w:hint="eastAsia" w:ascii="仿宋_GB2312" w:hAnsi="仿宋" w:eastAsia="仿宋_GB2312" w:cs="仿宋"/>
          <w:color w:val="auto"/>
          <w:kern w:val="0"/>
          <w:sz w:val="32"/>
          <w:szCs w:val="32"/>
          <w:lang w:val="en-US" w:eastAsia="zh-CN"/>
        </w:rPr>
        <w:t>项目初步设计及其提出的投资概算批复后，应当严格执行，任何单位及个人不得擅自增加建设内容、扩大建设规模、提高建设标准或改变设计方案。</w:t>
      </w:r>
    </w:p>
    <w:p w14:paraId="5B71E869">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二）项目因建设期内国家政策调整、价格浮动、地质条件发生重大变化等原因确需调整投资概算的，其调整金额按照项目增减金额绝对值之和计算，项目单位应按规定程序正式申报；未经批准的，不得擅自调整实施。初步设计概算预计超过投资估算的，由区级行业主管部门提出方案，按程序报批审定，行业部门根据审定结论提请项目审批部门审批初步设计及概算。由于价格浮动增加的投资不作为计算其他费用的取费基数。</w:t>
      </w:r>
    </w:p>
    <w:p w14:paraId="5902FF6F">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概算调整额度超过核定概算10%以下且概算调整金额20万元以下的，由行业主管部门报区政府分管领导审定；概算调整额度超过核定概算10%以上，或概算调整金额在20万元以上、100万元以下的政府投资项目，由区级行业主管部门报区政府常务会议审定；概算调整额度超过核定概算20%以上，或概算调整金额在100万元以上的政府投资项目，由区级行业主管部门报区政府常务会议审议、区委常委会会议审定。</w:t>
      </w:r>
    </w:p>
    <w:p w14:paraId="36A0AB31">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项目多次调整的，其投资调整额累计计算。项目业主根据审定结论提请审批部门调整概算审批文件。</w:t>
      </w:r>
    </w:p>
    <w:p w14:paraId="1AABA404">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宋体" w:eastAsia="仿宋_GB2312" w:cs="仿宋_GB2312"/>
          <w:b/>
          <w:bCs/>
          <w:color w:val="000000"/>
          <w:kern w:val="0"/>
          <w:sz w:val="32"/>
          <w:szCs w:val="32"/>
          <w:lang w:val="en-US" w:eastAsia="zh-CN" w:bidi="ar"/>
        </w:rPr>
        <w:t>第十八条</w:t>
      </w:r>
      <w:r>
        <w:rPr>
          <w:rFonts w:hint="eastAsia" w:ascii="仿宋_GB2312" w:hAnsi="仿宋" w:eastAsia="仿宋_GB2312" w:cs="仿宋"/>
          <w:color w:val="auto"/>
          <w:kern w:val="0"/>
          <w:sz w:val="32"/>
          <w:szCs w:val="32"/>
          <w:lang w:val="en-US" w:eastAsia="zh-CN"/>
        </w:rPr>
        <w:t xml:space="preserve">  申请调整概算的，应提交以下申报材料：</w:t>
      </w:r>
    </w:p>
    <w:p w14:paraId="2155ADA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（一）项目单位的项目调整概算申请文件；</w:t>
      </w:r>
    </w:p>
    <w:p w14:paraId="27E739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（二）原可行性研究报告批复文件；</w:t>
      </w:r>
    </w:p>
    <w:p w14:paraId="7974902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（三）原初步设计及其提出的投资概算批复文件；</w:t>
      </w:r>
    </w:p>
    <w:p w14:paraId="419BED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（四）调整概算书，调整概算与原核定概算对比表，并分类定量说明调整概算的原因、依据和计算方法；</w:t>
      </w:r>
    </w:p>
    <w:p w14:paraId="0A1E13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（五）与调整概算有关的招标及合同文件，包括变更洽商部分；</w:t>
      </w:r>
    </w:p>
    <w:p w14:paraId="1206BF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（六）施工图设计（含装修设计）及预算文件；</w:t>
      </w:r>
    </w:p>
    <w:p w14:paraId="5633D9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highlight w:val="none"/>
          <w:lang w:val="en-US" w:eastAsia="zh-CN"/>
        </w:rPr>
      </w:pPr>
      <w:r>
        <w:rPr>
          <w:rFonts w:hint="eastAsia" w:ascii="仿宋_GB2312" w:hAnsi="仿宋" w:eastAsia="仿宋_GB2312" w:cs="仿宋"/>
          <w:color w:val="auto"/>
          <w:kern w:val="0"/>
          <w:sz w:val="32"/>
          <w:szCs w:val="32"/>
          <w:highlight w:val="none"/>
          <w:lang w:val="en-US" w:eastAsia="zh-CN"/>
        </w:rPr>
        <w:t>（七）概算调增部分资金来源方案；</w:t>
      </w:r>
    </w:p>
    <w:p w14:paraId="2877EA1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lang w:val="en-US" w:eastAsia="zh-CN"/>
        </w:rPr>
        <w:t>（八）调整概算所需的其他材料。</w:t>
      </w:r>
    </w:p>
    <w:p w14:paraId="2427BE96">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color w:val="auto"/>
          <w:kern w:val="0"/>
          <w:sz w:val="32"/>
          <w:szCs w:val="32"/>
          <w:u w:val="none"/>
          <w:lang w:val="en-US" w:eastAsia="zh-CN"/>
        </w:rPr>
        <w:t>项目单位应对申请材料的真实性负责。</w:t>
      </w:r>
    </w:p>
    <w:p w14:paraId="5F2085CF">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 w:eastAsia="仿宋_GB2312" w:cs="仿宋"/>
          <w:color w:val="auto"/>
          <w:kern w:val="0"/>
          <w:sz w:val="32"/>
          <w:szCs w:val="32"/>
          <w:u w:val="none"/>
          <w:lang w:val="en-US" w:eastAsia="zh-CN"/>
        </w:rPr>
        <w:t>未经批准擅自进行重大设计变更而导致项目超概算的，项目审批部门不再受理事后调概算申请。如行业主管部门的上级主管部门另有规定的，按其规定办理。</w:t>
      </w:r>
    </w:p>
    <w:p w14:paraId="35545C85">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仿宋_GB2312" w:hAnsi="仿宋" w:eastAsia="仿宋_GB2312" w:cs="仿宋"/>
          <w:color w:val="auto"/>
          <w:kern w:val="0"/>
          <w:sz w:val="32"/>
          <w:szCs w:val="32"/>
          <w:lang w:val="en-US" w:eastAsia="zh-CN"/>
        </w:rPr>
      </w:pPr>
      <w:r>
        <w:rPr>
          <w:rFonts w:hint="eastAsia" w:ascii="仿宋_GB2312" w:hAnsi="仿宋_GB2312" w:eastAsia="仿宋_GB2312" w:cs="仿宋_GB2312"/>
          <w:b/>
          <w:bCs/>
          <w:color w:val="auto"/>
          <w:sz w:val="32"/>
          <w:szCs w:val="32"/>
          <w:lang w:eastAsia="zh-CN"/>
        </w:rPr>
        <w:t>第十九条</w:t>
      </w:r>
      <w:r>
        <w:rPr>
          <w:rFonts w:hint="eastAsia" w:ascii="仿宋_GB2312" w:hAnsi="仿宋" w:eastAsia="仿宋_GB2312" w:cs="仿宋"/>
          <w:color w:val="auto"/>
          <w:kern w:val="0"/>
          <w:sz w:val="32"/>
          <w:szCs w:val="32"/>
          <w:lang w:val="en-US" w:eastAsia="zh-CN"/>
        </w:rPr>
        <w:t xml:space="preserve"> 项目单位将规范的施工设计和预算编制文件按相关评审规定送区财评中心评审，评审价作为工程招投标或者政府采购的最高限价，工程量清单作为招投标或政府采购的依据。</w:t>
      </w:r>
    </w:p>
    <w:p w14:paraId="71896568">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 w:eastAsia="仿宋_GB2312" w:cs="仿宋"/>
          <w:color w:val="auto"/>
          <w:kern w:val="0"/>
          <w:sz w:val="32"/>
          <w:szCs w:val="32"/>
          <w:lang w:val="en-US" w:eastAsia="zh-CN"/>
        </w:rPr>
        <w:t>财政评审实行限时办结制度。资料完善的项目预算评审：500万元以下工程预算项目，15个工作日内出具初审结论，500万元-1000万元的工程预算项目20个工作日内出具初审结论，1000万元-2000万元的工程预算项目30个工作日内出具初审结论；2000万元—5000万元的工程预算项目45个工作日内出具初审结论；5000万元以上的工程预算项目60个工作日内出具初审结论；在收到预算评审报告6个月后仍未发布招标公告的项目，需重新审核，依据重新审核的财政评审价作为项目招投标的最高限价。</w:t>
      </w:r>
    </w:p>
    <w:p w14:paraId="2C320C0E">
      <w:pPr>
        <w:keepNext w:val="0"/>
        <w:keepLines w:val="0"/>
        <w:pageBreakBefore w:val="0"/>
        <w:kinsoku/>
        <w:wordWrap/>
        <w:overflowPunct/>
        <w:topLinePunct w:val="0"/>
        <w:bidi w:val="0"/>
        <w:spacing w:line="560" w:lineRule="exact"/>
        <w:ind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年度政府投资项目计划与资金管理</w:t>
      </w:r>
    </w:p>
    <w:p w14:paraId="5FDC7EFB">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cs="仿宋"/>
          <w:color w:val="auto"/>
          <w:kern w:val="0"/>
          <w:sz w:val="32"/>
          <w:szCs w:val="32"/>
        </w:rPr>
      </w:pPr>
      <w:r>
        <w:rPr>
          <w:rFonts w:hint="eastAsia" w:ascii="仿宋_GB2312" w:hAnsi="仿宋_GB2312" w:eastAsia="仿宋_GB2312" w:cs="仿宋_GB2312"/>
          <w:b/>
          <w:bCs/>
          <w:color w:val="auto"/>
          <w:sz w:val="32"/>
          <w:szCs w:val="32"/>
          <w:lang w:eastAsia="zh-CN"/>
        </w:rPr>
        <w:t>第二十条</w:t>
      </w:r>
      <w:r>
        <w:rPr>
          <w:rFonts w:hint="eastAsia" w:ascii="仿宋_GB2312" w:hAnsi="仿宋" w:eastAsia="仿宋_GB2312" w:cs="仿宋"/>
          <w:color w:val="auto"/>
          <w:kern w:val="0"/>
          <w:sz w:val="32"/>
          <w:szCs w:val="32"/>
        </w:rPr>
        <w:t xml:space="preserve"> </w:t>
      </w:r>
      <w:r>
        <w:rPr>
          <w:rFonts w:hint="eastAsia" w:ascii="仿宋_GB2312" w:hAnsi="仿宋_GB2312" w:eastAsia="仿宋_GB2312" w:cs="仿宋_GB2312"/>
          <w:color w:val="auto"/>
          <w:sz w:val="32"/>
          <w:szCs w:val="32"/>
        </w:rPr>
        <w:t xml:space="preserve"> 编制</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政府投资项目计划</w:t>
      </w:r>
      <w:r>
        <w:rPr>
          <w:rFonts w:hint="eastAsia" w:ascii="仿宋_GB2312" w:hAnsi="仿宋_GB2312" w:eastAsia="仿宋_GB2312" w:cs="仿宋_GB2312"/>
          <w:color w:val="auto"/>
          <w:sz w:val="32"/>
          <w:szCs w:val="32"/>
          <w:lang w:val="en-US" w:eastAsia="zh-CN"/>
        </w:rPr>
        <w:t>应当根据国民经济和社会发展规划、中期财政规划和国家宏观调控政策，应当</w:t>
      </w:r>
      <w:r>
        <w:rPr>
          <w:rFonts w:hint="eastAsia" w:ascii="仿宋_GB2312" w:hAnsi="仿宋_GB2312" w:eastAsia="仿宋_GB2312" w:cs="仿宋_GB2312"/>
          <w:color w:val="auto"/>
          <w:sz w:val="32"/>
          <w:szCs w:val="32"/>
        </w:rPr>
        <w:t>坚持政府投资与经济社会发展水平和财政收支状况相适应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遵循量入为出、综合平衡的原则。</w:t>
      </w:r>
      <w:r>
        <w:rPr>
          <w:rFonts w:hint="eastAsia" w:ascii="仿宋_GB2312" w:hAnsi="仿宋" w:eastAsia="仿宋_GB2312" w:cs="仿宋"/>
          <w:color w:val="auto"/>
          <w:kern w:val="0"/>
          <w:sz w:val="32"/>
          <w:szCs w:val="32"/>
        </w:rPr>
        <w:br w:type="textWrapping"/>
      </w:r>
      <w:r>
        <w:rPr>
          <w:rFonts w:hint="eastAsia" w:ascii="仿宋_GB2312" w:hAnsi="仿宋" w:eastAsia="仿宋_GB2312" w:cs="仿宋"/>
          <w:color w:val="auto"/>
          <w:kern w:val="0"/>
          <w:sz w:val="32"/>
          <w:szCs w:val="32"/>
        </w:rPr>
        <w:t>　　</w:t>
      </w:r>
      <w:r>
        <w:rPr>
          <w:rFonts w:hint="eastAsia" w:ascii="仿宋_GB2312" w:hAnsi="仿宋" w:eastAsia="仿宋_GB2312" w:cs="仿宋"/>
          <w:b/>
          <w:bCs/>
          <w:color w:val="auto"/>
          <w:kern w:val="0"/>
          <w:sz w:val="32"/>
          <w:szCs w:val="32"/>
        </w:rPr>
        <w:t>第</w:t>
      </w:r>
      <w:r>
        <w:rPr>
          <w:rFonts w:hint="eastAsia" w:ascii="仿宋_GB2312" w:hAnsi="仿宋" w:eastAsia="仿宋_GB2312" w:cs="仿宋"/>
          <w:b/>
          <w:bCs/>
          <w:color w:val="auto"/>
          <w:kern w:val="0"/>
          <w:sz w:val="32"/>
          <w:szCs w:val="32"/>
          <w:lang w:eastAsia="zh-CN"/>
        </w:rPr>
        <w:t>二十一</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xml:space="preserve">  各部门原则上应于每年第四季度提出下年度政府投资项目计划建议</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所提出的项目应完成相关审查、审批等前期工作，基本具备开工条件。根据可用财力，由综合管理部门牵头，会同财政部门综合平衡后共同提出下年度政府投资项目计划草案，</w:t>
      </w:r>
      <w:r>
        <w:rPr>
          <w:rFonts w:hint="eastAsia" w:ascii="仿宋_GB2312" w:hAnsi="仿宋" w:eastAsia="仿宋_GB2312" w:cs="仿宋"/>
          <w:color w:val="auto"/>
          <w:kern w:val="0"/>
          <w:sz w:val="32"/>
          <w:szCs w:val="32"/>
          <w:lang w:val="en-US" w:eastAsia="zh-CN"/>
        </w:rPr>
        <w:t>报请区政府常务会议审议、区委常委会会议审定后印发执行</w:t>
      </w:r>
      <w:r>
        <w:rPr>
          <w:rFonts w:hint="eastAsia" w:ascii="仿宋_GB2312" w:hAnsi="仿宋" w:eastAsia="仿宋_GB2312" w:cs="仿宋"/>
          <w:color w:val="auto"/>
          <w:kern w:val="0"/>
          <w:sz w:val="32"/>
          <w:szCs w:val="32"/>
        </w:rPr>
        <w:t xml:space="preserve">。 </w:t>
      </w:r>
      <w:r>
        <w:rPr>
          <w:rFonts w:hint="eastAsia" w:ascii="仿宋_GB2312" w:hAnsi="仿宋" w:eastAsia="仿宋_GB2312" w:cs="仿宋"/>
          <w:color w:val="auto"/>
          <w:kern w:val="0"/>
          <w:sz w:val="32"/>
          <w:szCs w:val="32"/>
        </w:rPr>
        <w:br w:type="textWrapping"/>
      </w:r>
      <w:r>
        <w:rPr>
          <w:rFonts w:hint="eastAsia" w:ascii="仿宋_GB2312" w:hAnsi="仿宋" w:eastAsia="仿宋_GB2312" w:cs="仿宋"/>
          <w:color w:val="auto"/>
          <w:kern w:val="0"/>
          <w:sz w:val="32"/>
          <w:szCs w:val="32"/>
        </w:rPr>
        <w:t>　　</w:t>
      </w:r>
      <w:r>
        <w:rPr>
          <w:rFonts w:hint="eastAsia" w:ascii="仿宋_GB2312" w:hAnsi="仿宋" w:eastAsia="仿宋_GB2312" w:cs="仿宋"/>
          <w:b/>
          <w:bCs/>
          <w:color w:val="auto"/>
          <w:kern w:val="0"/>
          <w:sz w:val="32"/>
          <w:szCs w:val="32"/>
        </w:rPr>
        <w:t>第</w:t>
      </w:r>
      <w:r>
        <w:rPr>
          <w:rFonts w:hint="eastAsia" w:ascii="仿宋_GB2312" w:hAnsi="仿宋" w:eastAsia="仿宋_GB2312" w:cs="仿宋"/>
          <w:b/>
          <w:bCs/>
          <w:color w:val="auto"/>
          <w:kern w:val="0"/>
          <w:sz w:val="32"/>
          <w:szCs w:val="32"/>
          <w:lang w:eastAsia="zh-CN"/>
        </w:rPr>
        <w:t>二十二</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w:t>
      </w:r>
      <w:r>
        <w:rPr>
          <w:rFonts w:hint="eastAsia" w:ascii="仿宋_GB2312" w:hAnsi="仿宋" w:eastAsia="仿宋_GB2312" w:cs="仿宋"/>
          <w:color w:val="auto"/>
          <w:kern w:val="0"/>
          <w:sz w:val="32"/>
          <w:szCs w:val="32"/>
          <w:lang w:eastAsia="zh-CN"/>
        </w:rPr>
        <w:t>年度</w:t>
      </w:r>
      <w:r>
        <w:rPr>
          <w:rFonts w:hint="eastAsia" w:ascii="仿宋_GB2312" w:hAnsi="仿宋" w:eastAsia="仿宋_GB2312" w:cs="仿宋"/>
          <w:color w:val="auto"/>
          <w:kern w:val="0"/>
          <w:sz w:val="32"/>
          <w:szCs w:val="32"/>
        </w:rPr>
        <w:t xml:space="preserve">政府投资项目计划应当包括下列内容： </w:t>
      </w:r>
      <w:r>
        <w:rPr>
          <w:rFonts w:hint="eastAsia" w:ascii="仿宋_GB2312" w:hAnsi="仿宋" w:eastAsia="仿宋_GB2312" w:cs="仿宋"/>
          <w:color w:val="auto"/>
          <w:kern w:val="0"/>
          <w:sz w:val="32"/>
          <w:szCs w:val="32"/>
        </w:rPr>
        <w:br w:type="textWrapping"/>
      </w:r>
      <w:r>
        <w:rPr>
          <w:rFonts w:hint="eastAsia" w:ascii="仿宋_GB2312" w:hAnsi="仿宋" w:eastAsia="仿宋_GB2312" w:cs="仿宋"/>
          <w:color w:val="auto"/>
          <w:kern w:val="0"/>
          <w:sz w:val="32"/>
          <w:szCs w:val="32"/>
        </w:rPr>
        <w:t>　　（一）年度政府投资</w:t>
      </w:r>
      <w:r>
        <w:rPr>
          <w:rFonts w:hint="eastAsia" w:ascii="仿宋_GB2312" w:hAnsi="仿宋" w:eastAsia="仿宋_GB2312" w:cs="仿宋"/>
          <w:color w:val="auto"/>
          <w:kern w:val="0"/>
          <w:sz w:val="32"/>
          <w:szCs w:val="32"/>
          <w:lang w:eastAsia="zh-CN"/>
        </w:rPr>
        <w:t>项目</w:t>
      </w:r>
      <w:r>
        <w:rPr>
          <w:rFonts w:hint="eastAsia" w:ascii="仿宋_GB2312" w:hAnsi="仿宋" w:eastAsia="仿宋_GB2312" w:cs="仿宋"/>
          <w:color w:val="auto"/>
          <w:kern w:val="0"/>
          <w:sz w:val="32"/>
          <w:szCs w:val="32"/>
        </w:rPr>
        <w:t xml:space="preserve">总规模。 </w:t>
      </w:r>
      <w:r>
        <w:rPr>
          <w:rFonts w:hint="eastAsia" w:ascii="仿宋_GB2312" w:hAnsi="仿宋" w:eastAsia="仿宋_GB2312" w:cs="仿宋"/>
          <w:color w:val="auto"/>
          <w:kern w:val="0"/>
          <w:sz w:val="32"/>
          <w:szCs w:val="32"/>
        </w:rPr>
        <w:br w:type="textWrapping"/>
      </w:r>
      <w:r>
        <w:rPr>
          <w:rFonts w:hint="eastAsia" w:ascii="仿宋_GB2312" w:hAnsi="仿宋" w:eastAsia="仿宋_GB2312" w:cs="仿宋"/>
          <w:color w:val="auto"/>
          <w:kern w:val="0"/>
          <w:sz w:val="32"/>
          <w:szCs w:val="32"/>
        </w:rPr>
        <w:t>　　（二）项目名称、建设规模和内容、建设期限、项目总投资、年度投资额以及资金来源</w:t>
      </w:r>
      <w:r>
        <w:rPr>
          <w:rFonts w:hint="eastAsia" w:ascii="仿宋_GB2312" w:hAnsi="仿宋" w:eastAsia="仿宋_GB2312" w:cs="仿宋"/>
          <w:color w:val="auto"/>
          <w:kern w:val="0"/>
          <w:sz w:val="32"/>
          <w:szCs w:val="32"/>
          <w:lang w:eastAsia="zh-CN"/>
        </w:rPr>
        <w:t>、年度建设任务等</w:t>
      </w:r>
      <w:r>
        <w:rPr>
          <w:rFonts w:hint="eastAsia" w:ascii="仿宋_GB2312" w:hAnsi="仿宋" w:eastAsia="仿宋_GB2312" w:cs="仿宋"/>
          <w:color w:val="auto"/>
          <w:kern w:val="0"/>
          <w:sz w:val="32"/>
          <w:szCs w:val="32"/>
        </w:rPr>
        <w:t xml:space="preserve">。  </w:t>
      </w:r>
      <w:r>
        <w:rPr>
          <w:rFonts w:hint="eastAsia" w:ascii="仿宋_GB2312" w:hAnsi="仿宋" w:eastAsia="仿宋_GB2312" w:cs="仿宋"/>
          <w:color w:val="auto"/>
          <w:kern w:val="0"/>
          <w:sz w:val="32"/>
          <w:szCs w:val="32"/>
        </w:rPr>
        <w:br w:type="textWrapping"/>
      </w:r>
      <w:r>
        <w:rPr>
          <w:rFonts w:hint="eastAsia" w:ascii="仿宋_GB2312" w:hAnsi="仿宋" w:eastAsia="仿宋_GB2312" w:cs="仿宋"/>
          <w:color w:val="auto"/>
          <w:kern w:val="0"/>
          <w:sz w:val="32"/>
          <w:szCs w:val="32"/>
        </w:rPr>
        <w:t>　　（</w:t>
      </w:r>
      <w:r>
        <w:rPr>
          <w:rFonts w:hint="eastAsia" w:ascii="仿宋_GB2312" w:hAnsi="仿宋" w:eastAsia="仿宋_GB2312" w:cs="仿宋"/>
          <w:color w:val="auto"/>
          <w:kern w:val="0"/>
          <w:sz w:val="32"/>
          <w:szCs w:val="32"/>
          <w:lang w:eastAsia="zh-CN"/>
        </w:rPr>
        <w:t>三</w:t>
      </w:r>
      <w:r>
        <w:rPr>
          <w:rFonts w:hint="eastAsia" w:ascii="仿宋_GB2312" w:hAnsi="仿宋" w:eastAsia="仿宋_GB2312" w:cs="仿宋"/>
          <w:color w:val="auto"/>
          <w:kern w:val="0"/>
          <w:sz w:val="32"/>
          <w:szCs w:val="32"/>
        </w:rPr>
        <w:t>）项目实施每个环节的时间进度表。</w:t>
      </w:r>
    </w:p>
    <w:p w14:paraId="34BADF7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color w:val="auto"/>
          <w:kern w:val="0"/>
          <w:sz w:val="32"/>
          <w:szCs w:val="32"/>
        </w:rPr>
        <w:t>（</w:t>
      </w:r>
      <w:r>
        <w:rPr>
          <w:rFonts w:hint="eastAsia" w:ascii="仿宋_GB2312" w:hAnsi="仿宋" w:eastAsia="仿宋_GB2312" w:cs="仿宋"/>
          <w:color w:val="auto"/>
          <w:kern w:val="0"/>
          <w:sz w:val="32"/>
          <w:szCs w:val="32"/>
          <w:lang w:eastAsia="zh-CN"/>
        </w:rPr>
        <w:t>四</w:t>
      </w:r>
      <w:r>
        <w:rPr>
          <w:rFonts w:hint="eastAsia" w:ascii="仿宋_GB2312" w:hAnsi="仿宋" w:eastAsia="仿宋_GB2312" w:cs="仿宋"/>
          <w:color w:val="auto"/>
          <w:kern w:val="0"/>
          <w:sz w:val="32"/>
          <w:szCs w:val="32"/>
        </w:rPr>
        <w:t xml:space="preserve">）其他应当说明的情况。 </w:t>
      </w:r>
    </w:p>
    <w:p w14:paraId="3C735CD6">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rPr>
          <w:rFonts w:hint="eastAsia" w:ascii="仿宋_GB2312" w:hAnsi="仿宋" w:eastAsia="仿宋_GB2312" w:cs="仿宋"/>
          <w:color w:val="auto"/>
          <w:kern w:val="0"/>
          <w:sz w:val="30"/>
          <w:szCs w:val="30"/>
          <w:lang w:val="en-US" w:eastAsia="zh-CN"/>
        </w:rPr>
      </w:pPr>
      <w:r>
        <w:rPr>
          <w:rFonts w:hint="eastAsia" w:ascii="仿宋_GB2312" w:hAnsi="仿宋" w:eastAsia="仿宋_GB2312" w:cs="仿宋"/>
          <w:color w:val="auto"/>
          <w:kern w:val="0"/>
          <w:sz w:val="30"/>
          <w:szCs w:val="30"/>
          <w:lang w:val="en-US" w:eastAsia="zh-CN"/>
        </w:rPr>
        <w:t>未落实资金或者未明确资金来源的项目，不得列入年度政府投资项目计划。</w:t>
      </w:r>
    </w:p>
    <w:p w14:paraId="11645F9E">
      <w:pPr>
        <w:keepNext w:val="0"/>
        <w:keepLines w:val="0"/>
        <w:widowControl/>
        <w:suppressLineNumbers w:val="0"/>
        <w:ind w:firstLine="643" w:firstLineChars="200"/>
        <w:jc w:val="left"/>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lang w:eastAsia="zh-CN"/>
        </w:rPr>
        <w:t>第二十三条</w:t>
      </w:r>
      <w:r>
        <w:rPr>
          <w:rFonts w:hint="eastAsia" w:ascii="仿宋_GB2312" w:hAnsi="仿宋" w:eastAsia="仿宋_GB2312" w:cs="仿宋"/>
          <w:color w:val="auto"/>
          <w:kern w:val="0"/>
          <w:sz w:val="32"/>
          <w:szCs w:val="32"/>
          <w:lang w:val="en-US" w:eastAsia="zh-CN"/>
        </w:rPr>
        <w:t xml:space="preserve">  </w:t>
      </w:r>
      <w:r>
        <w:rPr>
          <w:rFonts w:hint="eastAsia" w:ascii="仿宋_GB2312" w:hAnsi="仿宋" w:eastAsia="仿宋_GB2312" w:cs="仿宋"/>
          <w:color w:val="auto"/>
          <w:kern w:val="0"/>
          <w:sz w:val="32"/>
          <w:szCs w:val="32"/>
        </w:rPr>
        <w:t>年度政府投资项目计划一经</w:t>
      </w:r>
      <w:r>
        <w:rPr>
          <w:rFonts w:hint="eastAsia" w:ascii="仿宋_GB2312" w:hAnsi="仿宋" w:eastAsia="仿宋_GB2312" w:cs="仿宋"/>
          <w:color w:val="auto"/>
          <w:kern w:val="0"/>
          <w:sz w:val="32"/>
          <w:szCs w:val="32"/>
          <w:lang w:eastAsia="zh-CN"/>
        </w:rPr>
        <w:t>审定</w:t>
      </w:r>
      <w:r>
        <w:rPr>
          <w:rFonts w:hint="eastAsia" w:ascii="仿宋_GB2312" w:hAnsi="仿宋" w:eastAsia="仿宋_GB2312" w:cs="仿宋"/>
          <w:color w:val="auto"/>
          <w:kern w:val="0"/>
          <w:sz w:val="32"/>
          <w:szCs w:val="32"/>
        </w:rPr>
        <w:t>，原则上不得调整。年度政府投资项目计划执行过程中，确需调整年度政府投资总额或缓建及退出项目的，由发改部门会同财政、相关行业主管部门提出计划调整意见，</w:t>
      </w:r>
      <w:r>
        <w:rPr>
          <w:rFonts w:hint="eastAsia" w:ascii="仿宋_GB2312" w:hAnsi="仿宋" w:eastAsia="仿宋_GB2312" w:cs="仿宋"/>
          <w:color w:val="auto"/>
          <w:kern w:val="0"/>
          <w:sz w:val="32"/>
          <w:szCs w:val="32"/>
          <w:lang w:eastAsia="zh-CN"/>
        </w:rPr>
        <w:t>按原审批程序报请审定</w:t>
      </w:r>
      <w:r>
        <w:rPr>
          <w:rFonts w:hint="eastAsia" w:ascii="仿宋_GB2312" w:hAnsi="仿宋" w:eastAsia="仿宋_GB2312" w:cs="仿宋"/>
          <w:color w:val="auto"/>
          <w:kern w:val="0"/>
          <w:sz w:val="32"/>
          <w:szCs w:val="32"/>
        </w:rPr>
        <w:t>。</w:t>
      </w:r>
    </w:p>
    <w:p w14:paraId="4C3372EC">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b/>
          <w:bCs/>
          <w:color w:val="auto"/>
          <w:kern w:val="0"/>
          <w:sz w:val="32"/>
          <w:szCs w:val="32"/>
        </w:rPr>
        <w:t>第二十</w:t>
      </w:r>
      <w:r>
        <w:rPr>
          <w:rFonts w:hint="eastAsia" w:ascii="仿宋_GB2312" w:hAnsi="仿宋" w:eastAsia="仿宋_GB2312" w:cs="仿宋"/>
          <w:b/>
          <w:bCs/>
          <w:color w:val="auto"/>
          <w:kern w:val="0"/>
          <w:sz w:val="32"/>
          <w:szCs w:val="32"/>
          <w:lang w:eastAsia="zh-CN"/>
        </w:rPr>
        <w:t>四</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xml:space="preserve"> 财政部门</w:t>
      </w:r>
      <w:r>
        <w:rPr>
          <w:rFonts w:hint="eastAsia" w:ascii="仿宋_GB2312" w:hAnsi="仿宋" w:eastAsia="仿宋_GB2312" w:cs="仿宋"/>
          <w:color w:val="auto"/>
          <w:kern w:val="0"/>
          <w:sz w:val="32"/>
          <w:szCs w:val="32"/>
          <w:lang w:eastAsia="zh-CN"/>
        </w:rPr>
        <w:t>应当根据经批准的预算，按照法律、行政法规和国库管理的有关规定，及时、足额办理政府投资资金拨付。</w:t>
      </w:r>
    </w:p>
    <w:p w14:paraId="3BC754D8">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b/>
          <w:bCs/>
          <w:color w:val="auto"/>
          <w:kern w:val="0"/>
          <w:sz w:val="32"/>
          <w:szCs w:val="32"/>
        </w:rPr>
        <w:t>第二十</w:t>
      </w:r>
      <w:r>
        <w:rPr>
          <w:rFonts w:hint="eastAsia" w:ascii="仿宋_GB2312" w:hAnsi="仿宋" w:eastAsia="仿宋_GB2312" w:cs="仿宋"/>
          <w:b/>
          <w:bCs/>
          <w:color w:val="auto"/>
          <w:kern w:val="0"/>
          <w:sz w:val="32"/>
          <w:szCs w:val="32"/>
          <w:lang w:eastAsia="zh-CN"/>
        </w:rPr>
        <w:t>五</w:t>
      </w:r>
      <w:r>
        <w:rPr>
          <w:rFonts w:hint="eastAsia" w:ascii="仿宋_GB2312" w:hAnsi="仿宋" w:eastAsia="仿宋_GB2312" w:cs="仿宋"/>
          <w:b/>
          <w:bCs/>
          <w:color w:val="auto"/>
          <w:kern w:val="0"/>
          <w:sz w:val="32"/>
          <w:szCs w:val="32"/>
        </w:rPr>
        <w:t>条</w:t>
      </w:r>
      <w:r>
        <w:rPr>
          <w:rFonts w:hint="eastAsia" w:ascii="仿宋_GB2312" w:hAnsi="仿宋" w:eastAsia="仿宋_GB2312" w:cs="仿宋"/>
          <w:color w:val="auto"/>
          <w:kern w:val="0"/>
          <w:sz w:val="32"/>
          <w:szCs w:val="32"/>
        </w:rPr>
        <w:t>　政府与其他出资人共同投资的项目，</w:t>
      </w:r>
      <w:r>
        <w:rPr>
          <w:rFonts w:hint="eastAsia" w:ascii="仿宋_GB2312" w:hAnsi="仿宋" w:eastAsia="仿宋_GB2312" w:cs="仿宋"/>
          <w:color w:val="auto"/>
          <w:kern w:val="0"/>
          <w:sz w:val="32"/>
          <w:szCs w:val="32"/>
          <w:lang w:eastAsia="zh-CN"/>
        </w:rPr>
        <w:t>各方资金必须同步到位，资金到位后才能进入基本建设程序。</w:t>
      </w:r>
    </w:p>
    <w:p w14:paraId="094D972A">
      <w:pPr>
        <w:keepNext w:val="0"/>
        <w:keepLines w:val="0"/>
        <w:pageBreakBefore w:val="0"/>
        <w:widowControl w:val="0"/>
        <w:tabs>
          <w:tab w:val="center" w:pos="4153"/>
          <w:tab w:val="right" w:pos="8306"/>
        </w:tabs>
        <w:kinsoku/>
        <w:wordWrap/>
        <w:overflowPunct/>
        <w:topLinePunct w:val="0"/>
        <w:bidi w:val="0"/>
        <w:snapToGrid w:val="0"/>
        <w:spacing w:line="560" w:lineRule="exact"/>
        <w:ind w:firstLine="643" w:firstLineChars="200"/>
        <w:jc w:val="left"/>
        <w:textAlignment w:val="auto"/>
        <w:rPr>
          <w:rFonts w:hint="eastAsia" w:ascii="黑体" w:hAnsi="Calibri" w:eastAsia="黑体" w:cs="Tahoma"/>
          <w:b w:val="0"/>
          <w:bCs/>
          <w:color w:val="auto"/>
          <w:kern w:val="0"/>
          <w:sz w:val="32"/>
          <w:szCs w:val="32"/>
          <w:lang w:eastAsia="zh-CN"/>
        </w:rPr>
      </w:pPr>
      <w:r>
        <w:rPr>
          <w:rFonts w:hint="eastAsia" w:ascii="仿宋_GB2312" w:hAnsi="仿宋" w:eastAsia="仿宋_GB2312" w:cs="仿宋"/>
          <w:b/>
          <w:bCs/>
          <w:color w:val="auto"/>
          <w:kern w:val="0"/>
          <w:sz w:val="32"/>
          <w:szCs w:val="32"/>
          <w:lang w:val="en-US" w:eastAsia="zh-CN" w:bidi="ar-SA"/>
        </w:rPr>
        <w:t>第二十六条</w:t>
      </w:r>
      <w:r>
        <w:rPr>
          <w:rFonts w:hint="eastAsia" w:ascii="仿宋_GB2312" w:hAnsi="仿宋" w:eastAsia="仿宋_GB2312" w:cs="仿宋"/>
          <w:color w:val="auto"/>
          <w:kern w:val="0"/>
          <w:sz w:val="32"/>
          <w:szCs w:val="32"/>
          <w:lang w:val="en-US" w:eastAsia="zh-CN" w:bidi="ar-SA"/>
        </w:rPr>
        <w:t>　政府投资项目建设资金应专款专用，财政、审计部门依法依规对政府投资项目的财务活动实施管理和监督。</w:t>
      </w:r>
    </w:p>
    <w:p w14:paraId="4AB45707">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center"/>
        <w:textAlignment w:val="auto"/>
        <w:rPr>
          <w:rFonts w:hint="eastAsia" w:ascii="仿宋_GB2312" w:hAnsi="Times New Roman" w:eastAsia="仿宋_GB2312" w:cs="Times New Roman"/>
          <w:color w:val="auto"/>
          <w:sz w:val="32"/>
          <w:szCs w:val="32"/>
          <w:u w:val="none"/>
        </w:rPr>
      </w:pPr>
      <w:r>
        <w:rPr>
          <w:rFonts w:hint="eastAsia" w:ascii="黑体" w:hAnsi="Calibri" w:eastAsia="黑体" w:cs="Tahoma"/>
          <w:b w:val="0"/>
          <w:bCs/>
          <w:color w:val="auto"/>
          <w:kern w:val="0"/>
          <w:sz w:val="32"/>
          <w:szCs w:val="32"/>
          <w:lang w:eastAsia="zh-CN"/>
        </w:rPr>
        <w:t>第五章</w:t>
      </w:r>
      <w:r>
        <w:rPr>
          <w:rFonts w:hint="eastAsia" w:ascii="黑体" w:hAnsi="Calibri" w:eastAsia="黑体" w:cs="Tahoma"/>
          <w:b w:val="0"/>
          <w:bCs/>
          <w:color w:val="auto"/>
          <w:kern w:val="0"/>
          <w:sz w:val="32"/>
          <w:szCs w:val="32"/>
          <w:lang w:val="en-US" w:eastAsia="zh-CN"/>
        </w:rPr>
        <w:t xml:space="preserve">  </w:t>
      </w:r>
      <w:r>
        <w:rPr>
          <w:rFonts w:hint="eastAsia" w:ascii="黑体" w:hAnsi="Calibri" w:eastAsia="黑体" w:cs="Tahoma"/>
          <w:b w:val="0"/>
          <w:bCs/>
          <w:color w:val="auto"/>
          <w:kern w:val="0"/>
          <w:sz w:val="32"/>
          <w:szCs w:val="32"/>
        </w:rPr>
        <w:t>招投标及政府采购管理</w:t>
      </w:r>
    </w:p>
    <w:p w14:paraId="514D75FD">
      <w:pPr>
        <w:pStyle w:val="6"/>
        <w:ind w:firstLine="643" w:firstLineChars="200"/>
        <w:rPr>
          <w:rFonts w:hint="eastAsia" w:ascii="仿宋" w:hAnsi="仿宋" w:eastAsia="仿宋" w:cs="仿宋"/>
          <w:color w:val="FF0000"/>
          <w:kern w:val="0"/>
          <w:sz w:val="32"/>
          <w:szCs w:val="32"/>
          <w:u w:val="none"/>
          <w:lang w:val="en-US" w:eastAsia="zh-CN" w:bidi="ar-SA"/>
        </w:rPr>
      </w:pPr>
      <w:r>
        <w:rPr>
          <w:rFonts w:hint="eastAsia" w:ascii="仿宋_GB2312" w:hAnsi="仿宋_GB2312" w:eastAsia="仿宋_GB2312" w:cs="仿宋_GB2312"/>
          <w:b/>
          <w:bCs/>
          <w:color w:val="auto"/>
          <w:kern w:val="0"/>
          <w:sz w:val="32"/>
          <w:szCs w:val="32"/>
          <w:u w:val="none"/>
        </w:rPr>
        <w:t>第二十</w:t>
      </w:r>
      <w:r>
        <w:rPr>
          <w:rFonts w:hint="eastAsia" w:ascii="仿宋_GB2312" w:hAnsi="仿宋_GB2312" w:eastAsia="仿宋_GB2312" w:cs="仿宋_GB2312"/>
          <w:b/>
          <w:bCs/>
          <w:color w:val="auto"/>
          <w:kern w:val="0"/>
          <w:sz w:val="32"/>
          <w:szCs w:val="32"/>
          <w:u w:val="none"/>
          <w:lang w:eastAsia="zh-CN"/>
        </w:rPr>
        <w:t>七</w:t>
      </w:r>
      <w:r>
        <w:rPr>
          <w:rFonts w:hint="eastAsia" w:ascii="仿宋_GB2312" w:hAnsi="仿宋_GB2312" w:eastAsia="仿宋_GB2312" w:cs="仿宋_GB2312"/>
          <w:b/>
          <w:bCs/>
          <w:color w:val="auto"/>
          <w:kern w:val="0"/>
          <w:sz w:val="32"/>
          <w:szCs w:val="32"/>
          <w:u w:val="none"/>
        </w:rPr>
        <w:t>条</w:t>
      </w:r>
      <w:r>
        <w:rPr>
          <w:rFonts w:hint="eastAsia" w:ascii="仿宋_GB2312" w:hAnsi="仿宋" w:eastAsia="仿宋_GB2312" w:cs="仿宋"/>
          <w:color w:val="auto"/>
          <w:kern w:val="0"/>
          <w:sz w:val="32"/>
          <w:szCs w:val="32"/>
          <w:u w:val="none"/>
          <w:lang w:val="en-US" w:eastAsia="zh-CN"/>
        </w:rPr>
        <w:t xml:space="preserve">  </w:t>
      </w:r>
      <w:r>
        <w:rPr>
          <w:rFonts w:hint="eastAsia" w:ascii="仿宋" w:hAnsi="仿宋" w:eastAsia="仿宋" w:cs="仿宋"/>
          <w:color w:val="auto"/>
          <w:kern w:val="0"/>
          <w:sz w:val="32"/>
          <w:szCs w:val="32"/>
          <w:u w:val="none"/>
          <w:lang w:val="en-US" w:eastAsia="zh-CN" w:bidi="ar-SA"/>
        </w:rPr>
        <w:t>政府投资项目的勘察、设计、施工、监理以及与工程建设相关的主要设备、重要材料和服务等，应根据投资规模依法通过公开招标或政府采购的形式确定，控</w:t>
      </w:r>
      <w:r>
        <w:rPr>
          <w:rFonts w:hint="eastAsia" w:ascii="仿宋_GB2312" w:hAnsi="Times New Roman" w:eastAsia="仿宋_GB2312" w:cs="Times New Roman"/>
          <w:color w:val="auto"/>
          <w:sz w:val="32"/>
          <w:szCs w:val="32"/>
          <w:u w:val="none"/>
          <w:lang w:eastAsia="zh-CN"/>
        </w:rPr>
        <w:t>制价不得超过财政评审</w:t>
      </w:r>
      <w:r>
        <w:rPr>
          <w:rFonts w:hint="eastAsia" w:ascii="仿宋_GB2312" w:hAnsi="Times New Roman" w:eastAsia="仿宋_GB2312" w:cs="Times New Roman"/>
          <w:color w:val="auto"/>
          <w:sz w:val="32"/>
          <w:szCs w:val="32"/>
          <w:u w:val="none"/>
          <w:lang w:val="en-US" w:eastAsia="zh-CN"/>
        </w:rPr>
        <w:t>结果</w:t>
      </w:r>
      <w:r>
        <w:rPr>
          <w:rFonts w:hint="eastAsia" w:ascii="仿宋_GB2312" w:hAnsi="Times New Roman" w:eastAsia="仿宋_GB2312" w:cs="Times New Roman"/>
          <w:color w:val="auto"/>
          <w:sz w:val="32"/>
          <w:szCs w:val="32"/>
          <w:u w:val="none"/>
          <w:lang w:eastAsia="zh-CN"/>
        </w:rPr>
        <w:t>。</w:t>
      </w:r>
      <w:r>
        <w:rPr>
          <w:rFonts w:hint="eastAsia" w:ascii="仿宋_GB2312" w:eastAsia="仿宋_GB2312" w:cs="Times New Roman"/>
          <w:color w:val="auto"/>
          <w:sz w:val="32"/>
          <w:szCs w:val="32"/>
          <w:u w:val="none"/>
          <w:lang w:eastAsia="zh-CN"/>
        </w:rPr>
        <w:t>达到公开招标规模限额的</w:t>
      </w:r>
      <w:r>
        <w:rPr>
          <w:rFonts w:hint="eastAsia" w:ascii="仿宋" w:hAnsi="仿宋" w:eastAsia="仿宋" w:cs="仿宋"/>
          <w:color w:val="auto"/>
          <w:kern w:val="0"/>
          <w:sz w:val="32"/>
          <w:szCs w:val="32"/>
          <w:u w:val="none"/>
          <w:lang w:val="en-US" w:eastAsia="zh-CN" w:bidi="ar-SA"/>
        </w:rPr>
        <w:t>，其招标范围、招标方式、招标组织形式应当报项目审批部门审批。不得将依法必须进行招标或政府采购的项目化整为零或以其他任何方式规避招标或政府采购。</w:t>
      </w:r>
    </w:p>
    <w:p w14:paraId="3CB98C3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FF0000"/>
          <w:kern w:val="0"/>
          <w:sz w:val="32"/>
          <w:szCs w:val="32"/>
          <w:u w:val="none"/>
          <w:lang w:val="en-US" w:eastAsia="zh-CN" w:bidi="ar-SA"/>
        </w:rPr>
      </w:pPr>
      <w:r>
        <w:rPr>
          <w:rFonts w:hint="eastAsia" w:ascii="仿宋_GB2312" w:hAnsi="仿宋" w:eastAsia="仿宋_GB2312" w:cs="仿宋"/>
          <w:color w:val="auto"/>
          <w:kern w:val="0"/>
          <w:sz w:val="32"/>
          <w:szCs w:val="32"/>
          <w:u w:val="none"/>
        </w:rPr>
        <w:t>对于</w:t>
      </w:r>
      <w:r>
        <w:rPr>
          <w:rFonts w:hint="eastAsia" w:ascii="仿宋_GB2312" w:hAnsi="仿宋" w:eastAsia="仿宋_GB2312" w:cs="仿宋"/>
          <w:color w:val="auto"/>
          <w:kern w:val="0"/>
          <w:sz w:val="32"/>
          <w:szCs w:val="32"/>
          <w:u w:val="none"/>
          <w:lang w:val="en-US" w:eastAsia="zh-CN"/>
        </w:rPr>
        <w:t>区内</w:t>
      </w:r>
      <w:r>
        <w:rPr>
          <w:rFonts w:hint="eastAsia" w:ascii="仿宋_GB2312" w:hAnsi="仿宋" w:eastAsia="仿宋_GB2312" w:cs="仿宋"/>
          <w:color w:val="auto"/>
          <w:kern w:val="0"/>
          <w:sz w:val="32"/>
          <w:szCs w:val="32"/>
          <w:u w:val="none"/>
        </w:rPr>
        <w:t>抢险救灾工程项目，</w:t>
      </w:r>
      <w:r>
        <w:rPr>
          <w:rFonts w:hint="eastAsia" w:ascii="仿宋_GB2312" w:hAnsi="Times New Roman" w:eastAsia="仿宋_GB2312" w:cs="Times New Roman"/>
          <w:color w:val="auto"/>
          <w:sz w:val="32"/>
          <w:szCs w:val="32"/>
          <w:u w:val="none"/>
        </w:rPr>
        <w:t>按照《</w:t>
      </w:r>
      <w:r>
        <w:rPr>
          <w:rFonts w:hint="eastAsia" w:ascii="仿宋_GB2312" w:hAnsi="Calibri" w:eastAsia="仿宋_GB2312" w:cs="Times New Roman"/>
          <w:color w:val="auto"/>
          <w:sz w:val="32"/>
          <w:szCs w:val="32"/>
          <w:u w:val="none"/>
          <w:lang w:eastAsia="zh-CN"/>
        </w:rPr>
        <w:t>乐山市金口河区抢险救灾工程项目管理实施细则</w:t>
      </w:r>
      <w:r>
        <w:rPr>
          <w:rFonts w:hint="eastAsia" w:ascii="仿宋_GB2312" w:hAnsi="Times New Roman" w:eastAsia="仿宋_GB2312" w:cs="Times New Roman"/>
          <w:color w:val="auto"/>
          <w:sz w:val="32"/>
          <w:szCs w:val="32"/>
          <w:u w:val="none"/>
        </w:rPr>
        <w:t>》文件执行</w:t>
      </w:r>
      <w:r>
        <w:rPr>
          <w:rFonts w:hint="eastAsia" w:ascii="仿宋_GB2312" w:hAnsi="仿宋" w:eastAsia="仿宋_GB2312" w:cs="仿宋"/>
          <w:color w:val="auto"/>
          <w:kern w:val="0"/>
          <w:sz w:val="32"/>
          <w:szCs w:val="32"/>
          <w:u w:val="none"/>
        </w:rPr>
        <w:t>。</w:t>
      </w:r>
    </w:p>
    <w:p w14:paraId="00C58EF7">
      <w:pPr>
        <w:pStyle w:val="6"/>
        <w:ind w:firstLine="643" w:firstLineChars="200"/>
        <w:rPr>
          <w:rFonts w:hint="eastAsia" w:ascii="仿宋_GB2312" w:hAnsi="Times New Roman" w:eastAsia="仿宋_GB2312" w:cs="Times New Roman"/>
          <w:color w:val="auto"/>
          <w:sz w:val="32"/>
          <w:szCs w:val="32"/>
          <w:u w:val="none"/>
          <w:lang w:eastAsia="zh-CN"/>
        </w:rPr>
      </w:pPr>
      <w:r>
        <w:rPr>
          <w:rFonts w:hint="eastAsia" w:ascii="仿宋_GB2312" w:hAnsi="仿宋_GB2312" w:eastAsia="仿宋_GB2312" w:cs="仿宋_GB2312"/>
          <w:b/>
          <w:bCs/>
          <w:color w:val="auto"/>
          <w:kern w:val="0"/>
          <w:sz w:val="32"/>
          <w:szCs w:val="32"/>
          <w:u w:val="none"/>
          <w:lang w:val="en-US" w:eastAsia="zh-CN"/>
        </w:rPr>
        <w:t>第二十八条</w:t>
      </w:r>
      <w:r>
        <w:rPr>
          <w:rFonts w:hint="eastAsia" w:ascii="仿宋" w:hAnsi="仿宋" w:eastAsia="仿宋" w:cs="仿宋"/>
          <w:color w:val="auto"/>
          <w:kern w:val="0"/>
          <w:sz w:val="32"/>
          <w:szCs w:val="32"/>
          <w:u w:val="none"/>
          <w:lang w:val="en-US" w:eastAsia="zh-CN" w:bidi="ar-SA"/>
        </w:rPr>
        <w:t xml:space="preserve">  </w:t>
      </w:r>
      <w:r>
        <w:rPr>
          <w:rFonts w:hint="eastAsia" w:ascii="仿宋_GB2312" w:hAnsi="仿宋" w:eastAsia="仿宋_GB2312" w:cs="仿宋"/>
          <w:color w:val="auto"/>
          <w:kern w:val="0"/>
          <w:sz w:val="32"/>
          <w:szCs w:val="32"/>
          <w:u w:val="none"/>
          <w:lang w:val="en-US" w:eastAsia="zh-CN" w:bidi="ar-SA"/>
        </w:rPr>
        <w:t>项目单位是政府投资项目招标投标活动的组织者、招标投标结果的使用者、招标投标活动的责任主体，对招标过程和结果负总责。项目单位依法依规自行选择符合要求的招标代理机构编制招标文件，并对招标文件的合法性、合规性负责。</w:t>
      </w:r>
    </w:p>
    <w:p w14:paraId="2D2D18DA">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ascii="微软雅黑" w:hAnsi="微软雅黑" w:eastAsia="微软雅黑" w:cs="微软雅黑"/>
          <w:i w:val="0"/>
          <w:iCs w:val="0"/>
          <w:caps w:val="0"/>
          <w:color w:val="000000"/>
          <w:spacing w:val="0"/>
          <w:sz w:val="12"/>
          <w:szCs w:val="12"/>
          <w:shd w:val="clear" w:fill="FFFFFF"/>
        </w:rPr>
      </w:pPr>
      <w:r>
        <w:rPr>
          <w:rFonts w:hint="eastAsia" w:ascii="仿宋_GB2312" w:hAnsi="仿宋_GB2312" w:eastAsia="仿宋_GB2312" w:cs="仿宋_GB2312"/>
          <w:b/>
          <w:bCs/>
          <w:color w:val="auto"/>
          <w:kern w:val="0"/>
          <w:sz w:val="32"/>
          <w:szCs w:val="32"/>
          <w:u w:val="none"/>
          <w:lang w:val="en-US" w:eastAsia="zh-CN" w:bidi="ar-SA"/>
        </w:rPr>
        <w:t>第二十九条</w:t>
      </w:r>
      <w:r>
        <w:rPr>
          <w:rFonts w:hint="eastAsia" w:ascii="仿宋" w:hAnsi="仿宋" w:eastAsia="仿宋" w:cs="仿宋"/>
          <w:color w:val="FF0000"/>
          <w:kern w:val="0"/>
          <w:sz w:val="32"/>
          <w:szCs w:val="32"/>
          <w:u w:val="none"/>
        </w:rPr>
        <w:t xml:space="preserve"> </w:t>
      </w:r>
      <w:r>
        <w:rPr>
          <w:rFonts w:hint="eastAsia" w:ascii="仿宋_GB2312" w:hAnsi="仿宋" w:eastAsia="仿宋_GB2312" w:cs="仿宋"/>
          <w:color w:val="auto"/>
          <w:kern w:val="0"/>
          <w:sz w:val="32"/>
          <w:szCs w:val="32"/>
          <w:u w:val="none"/>
          <w:lang w:val="en-US" w:eastAsia="zh-CN" w:bidi="ar-SA"/>
        </w:rPr>
        <w:t>行业主管部门按照职责分工负责所辖领域建设项目招标投标活动的全过程监督；对招标投标过程中泄露保密资料、泄露标底、串通招标、串通投标、歧视排斥投标、骗取中标、违法确定中标人、转包或非法分包等行为进行查处；受理投诉人和其他利害关系人的投诉。</w:t>
      </w:r>
    </w:p>
    <w:p w14:paraId="0B142C23">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default" w:ascii="仿宋_GB2312" w:hAnsi="Calibri" w:eastAsia="仿宋_GB2312" w:cs="Times New Roman"/>
          <w:color w:val="auto"/>
          <w:sz w:val="32"/>
          <w:szCs w:val="32"/>
          <w:u w:val="none"/>
          <w:shd w:val="clear"/>
          <w:lang w:val="en-US" w:eastAsia="zh-CN"/>
        </w:rPr>
      </w:pPr>
      <w:r>
        <w:rPr>
          <w:rFonts w:hint="eastAsia" w:ascii="仿宋_GB2312" w:hAnsi="仿宋_GB2312" w:eastAsia="仿宋_GB2312" w:cs="仿宋_GB2312"/>
          <w:b/>
          <w:bCs/>
          <w:color w:val="auto"/>
          <w:kern w:val="0"/>
          <w:sz w:val="32"/>
          <w:szCs w:val="32"/>
          <w:u w:val="none"/>
          <w:lang w:val="en-US" w:eastAsia="zh-CN"/>
        </w:rPr>
        <w:t>第三十条</w:t>
      </w:r>
      <w:r>
        <w:rPr>
          <w:rFonts w:hint="eastAsia" w:ascii="仿宋_GB2312" w:hAnsi="仿宋" w:eastAsia="仿宋_GB2312" w:cs="仿宋"/>
          <w:color w:val="auto"/>
          <w:kern w:val="0"/>
          <w:sz w:val="30"/>
          <w:szCs w:val="30"/>
          <w:lang w:val="en-US" w:eastAsia="zh-CN"/>
        </w:rPr>
        <w:t xml:space="preserve">  必须公开招标的项目</w:t>
      </w:r>
      <w:r>
        <w:rPr>
          <w:rFonts w:hint="eastAsia" w:ascii="仿宋" w:hAnsi="仿宋" w:eastAsia="仿宋" w:cs="仿宋"/>
          <w:color w:val="auto"/>
          <w:sz w:val="32"/>
          <w:szCs w:val="32"/>
          <w:u w:val="none"/>
          <w:shd w:val="clear"/>
          <w:lang w:val="en-US" w:eastAsia="zh-CN"/>
        </w:rPr>
        <w:t>。</w:t>
      </w:r>
    </w:p>
    <w:p w14:paraId="683B3A2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Calibri" w:eastAsia="仿宋_GB2312" w:cs="Times New Roman"/>
          <w:color w:val="auto"/>
          <w:sz w:val="32"/>
          <w:szCs w:val="32"/>
          <w:u w:val="none"/>
          <w:lang w:eastAsia="zh-CN"/>
        </w:rPr>
      </w:pPr>
      <w:r>
        <w:rPr>
          <w:rFonts w:hint="eastAsia" w:ascii="仿宋_GB2312" w:hAnsi="Calibri" w:eastAsia="仿宋_GB2312" w:cs="Times New Roman"/>
          <w:color w:val="auto"/>
          <w:sz w:val="32"/>
          <w:szCs w:val="32"/>
          <w:u w:val="none"/>
          <w:lang w:val="en-US" w:eastAsia="zh-CN"/>
        </w:rPr>
        <w:t xml:space="preserve">（一）施工单项合同估算价在400万元人民币以上； </w:t>
      </w:r>
    </w:p>
    <w:p w14:paraId="72C5AE6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Calibri" w:eastAsia="仿宋_GB2312" w:cs="Times New Roman"/>
          <w:color w:val="auto"/>
          <w:sz w:val="32"/>
          <w:szCs w:val="32"/>
          <w:u w:val="none"/>
          <w:lang w:eastAsia="zh-CN"/>
        </w:rPr>
      </w:pPr>
      <w:r>
        <w:rPr>
          <w:rFonts w:hint="eastAsia" w:ascii="仿宋_GB2312" w:hAnsi="Calibri" w:eastAsia="仿宋_GB2312" w:cs="Times New Roman"/>
          <w:color w:val="auto"/>
          <w:sz w:val="32"/>
          <w:szCs w:val="32"/>
          <w:u w:val="none"/>
          <w:lang w:val="en-US" w:eastAsia="zh-CN"/>
        </w:rPr>
        <w:t xml:space="preserve">（二）重要设备、材料等货物的采购，单项合同估算价在200万元人民币以上； </w:t>
      </w:r>
    </w:p>
    <w:p w14:paraId="1DD7146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Calibri" w:eastAsia="仿宋_GB2312" w:cs="Times New Roman"/>
          <w:color w:val="auto"/>
          <w:sz w:val="32"/>
          <w:szCs w:val="32"/>
          <w:u w:val="none"/>
          <w:lang w:eastAsia="zh-CN"/>
        </w:rPr>
      </w:pPr>
      <w:r>
        <w:rPr>
          <w:rFonts w:hint="eastAsia" w:ascii="仿宋_GB2312" w:hAnsi="Calibri" w:eastAsia="仿宋_GB2312" w:cs="Times New Roman"/>
          <w:color w:val="auto"/>
          <w:sz w:val="32"/>
          <w:szCs w:val="32"/>
          <w:u w:val="none"/>
          <w:lang w:val="en-US" w:eastAsia="zh-CN"/>
        </w:rPr>
        <w:t>（三）勘察、设计、监理等服务的采购，单项合同估算价在100万元人民币以上。</w:t>
      </w:r>
    </w:p>
    <w:p w14:paraId="5A849C4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Calibri" w:eastAsia="仿宋_GB2312" w:cs="Times New Roman"/>
          <w:color w:val="auto"/>
          <w:sz w:val="32"/>
          <w:szCs w:val="32"/>
          <w:u w:val="none"/>
          <w:lang w:eastAsia="zh-CN"/>
        </w:rPr>
      </w:pPr>
      <w:r>
        <w:rPr>
          <w:rFonts w:hint="eastAsia" w:ascii="仿宋_GB2312" w:hAnsi="Calibri" w:eastAsia="仿宋_GB2312" w:cs="Times New Roman"/>
          <w:color w:val="auto"/>
          <w:sz w:val="32"/>
          <w:szCs w:val="32"/>
          <w:u w:val="none"/>
          <w:lang w:val="en-US" w:eastAsia="zh-CN"/>
        </w:rPr>
        <w:t>同一项目中可以合并进行的勘察、设计、施工、监理以及与工程建设有关的重要设备、材料等的采购，合同估算价合计达到前款规定标准的，必须招标。</w:t>
      </w:r>
    </w:p>
    <w:p w14:paraId="6D643EC3">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 w:eastAsia="仿宋_GB2312" w:cs="仿宋"/>
          <w:color w:val="auto"/>
          <w:kern w:val="0"/>
          <w:sz w:val="30"/>
          <w:szCs w:val="30"/>
          <w:lang w:val="en-US" w:eastAsia="zh-CN"/>
        </w:rPr>
      </w:pPr>
      <w:r>
        <w:rPr>
          <w:rFonts w:hint="eastAsia" w:ascii="仿宋_GB2312" w:hAnsi="仿宋_GB2312" w:eastAsia="仿宋_GB2312" w:cs="仿宋_GB2312"/>
          <w:b/>
          <w:bCs/>
          <w:color w:val="auto"/>
          <w:kern w:val="0"/>
          <w:sz w:val="32"/>
          <w:szCs w:val="32"/>
          <w:u w:val="none"/>
          <w:lang w:val="en-US" w:eastAsia="zh-CN"/>
        </w:rPr>
        <w:t>第三十一条</w:t>
      </w:r>
      <w:r>
        <w:rPr>
          <w:rFonts w:hint="eastAsia" w:ascii="仿宋_GB2312" w:hAnsi="仿宋" w:eastAsia="仿宋_GB2312" w:cs="仿宋"/>
          <w:color w:val="auto"/>
          <w:kern w:val="0"/>
          <w:sz w:val="30"/>
          <w:szCs w:val="30"/>
          <w:lang w:val="en-US" w:eastAsia="zh-CN"/>
        </w:rPr>
        <w:t xml:space="preserve">  在未达到招投标限额，又在采购限额范围内的政府投资项目采用政府采购方式。</w:t>
      </w:r>
    </w:p>
    <w:p w14:paraId="26C6DB3B">
      <w:pPr>
        <w:keepNext w:val="0"/>
        <w:keepLines w:val="0"/>
        <w:pageBreakBefore w:val="0"/>
        <w:widowControl w:val="0"/>
        <w:tabs>
          <w:tab w:val="center" w:pos="4153"/>
          <w:tab w:val="right" w:pos="8306"/>
        </w:tabs>
        <w:kinsoku/>
        <w:wordWrap/>
        <w:overflowPunct/>
        <w:topLinePunct w:val="0"/>
        <w:bidi w:val="0"/>
        <w:snapToGrid w:val="0"/>
        <w:spacing w:line="560" w:lineRule="exact"/>
        <w:jc w:val="left"/>
        <w:textAlignment w:val="auto"/>
        <w:rPr>
          <w:rFonts w:hint="eastAsia" w:ascii="Calibri" w:hAnsi="Calibri" w:eastAsia="宋体" w:cs="Times New Roman"/>
          <w:color w:val="auto"/>
          <w:kern w:val="2"/>
          <w:sz w:val="32"/>
          <w:szCs w:val="32"/>
          <w:lang w:val="en-US" w:eastAsia="zh-CN" w:bidi="ar-SA"/>
        </w:rPr>
      </w:pPr>
    </w:p>
    <w:p w14:paraId="78494AF8">
      <w:pPr>
        <w:keepNext w:val="0"/>
        <w:keepLines w:val="0"/>
        <w:pageBreakBefore w:val="0"/>
        <w:kinsoku/>
        <w:wordWrap/>
        <w:overflowPunct/>
        <w:topLinePunct w:val="0"/>
        <w:bidi w:val="0"/>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项目建设</w:t>
      </w:r>
    </w:p>
    <w:p w14:paraId="0EE85E20">
      <w:pPr>
        <w:keepNext w:val="0"/>
        <w:keepLines w:val="0"/>
        <w:pageBreakBefore w:val="0"/>
        <w:widowControl/>
        <w:suppressLineNumbers w:val="0"/>
        <w:kinsoku/>
        <w:wordWrap/>
        <w:overflowPunct/>
        <w:topLinePunct w:val="0"/>
        <w:bidi w:val="0"/>
        <w:spacing w:line="56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第三十二条</w:t>
      </w:r>
      <w:r>
        <w:rPr>
          <w:rFonts w:hint="eastAsia" w:ascii="仿宋_GB2312" w:hAnsi="宋体" w:eastAsia="仿宋_GB2312" w:cs="仿宋_GB2312"/>
          <w:color w:val="auto"/>
          <w:kern w:val="0"/>
          <w:sz w:val="32"/>
          <w:szCs w:val="32"/>
          <w:lang w:val="en-US" w:eastAsia="zh-CN" w:bidi="ar"/>
        </w:rPr>
        <w:t xml:space="preserve">  政府投资项目按照基本建设程序，科学合理确定建设工期，项目单位应当依法办理相关建设手续，在满足国家规定的开工条件后开工建设。</w:t>
      </w:r>
    </w:p>
    <w:p w14:paraId="0AE0D74D">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项目业主、施工单位应严格履行已备案的合同，在合同工期内完成建设任务，依法执行竣工验收和移交制度。</w:t>
      </w:r>
    </w:p>
    <w:p w14:paraId="6FA5E1CB">
      <w:pPr>
        <w:keepNext w:val="0"/>
        <w:keepLines w:val="0"/>
        <w:pageBreakBefore w:val="0"/>
        <w:widowControl/>
        <w:suppressLineNumbers w:val="0"/>
        <w:kinsoku/>
        <w:wordWrap/>
        <w:overflowPunct/>
        <w:topLinePunct w:val="0"/>
        <w:bidi w:val="0"/>
        <w:spacing w:line="56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ascii="仿宋_GB2312" w:hAnsi="宋体" w:eastAsia="仿宋_GB2312" w:cs="仿宋_GB2312"/>
          <w:b/>
          <w:bCs/>
          <w:color w:val="auto"/>
          <w:kern w:val="0"/>
          <w:sz w:val="32"/>
          <w:szCs w:val="32"/>
          <w:lang w:val="en-US" w:eastAsia="zh-CN" w:bidi="ar"/>
        </w:rPr>
        <w:t>第</w:t>
      </w:r>
      <w:r>
        <w:rPr>
          <w:rFonts w:hint="eastAsia" w:ascii="仿宋_GB2312" w:hAnsi="宋体" w:eastAsia="仿宋_GB2312" w:cs="仿宋_GB2312"/>
          <w:b/>
          <w:bCs/>
          <w:color w:val="auto"/>
          <w:kern w:val="0"/>
          <w:sz w:val="32"/>
          <w:szCs w:val="32"/>
          <w:lang w:val="en-US" w:eastAsia="zh-CN" w:bidi="ar"/>
        </w:rPr>
        <w:t>三十三</w:t>
      </w:r>
      <w:r>
        <w:rPr>
          <w:rFonts w:ascii="仿宋_GB2312" w:hAnsi="宋体" w:eastAsia="仿宋_GB2312" w:cs="仿宋_GB2312"/>
          <w:b/>
          <w:bCs/>
          <w:color w:val="auto"/>
          <w:kern w:val="0"/>
          <w:sz w:val="32"/>
          <w:szCs w:val="32"/>
          <w:lang w:val="en-US" w:eastAsia="zh-CN" w:bidi="ar"/>
        </w:rPr>
        <w:t>条</w:t>
      </w:r>
      <w:r>
        <w:rPr>
          <w:rFonts w:ascii="仿宋_GB2312" w:hAnsi="宋体" w:eastAsia="仿宋_GB2312" w:cs="仿宋_GB2312"/>
          <w:color w:val="auto"/>
          <w:kern w:val="0"/>
          <w:sz w:val="32"/>
          <w:szCs w:val="32"/>
          <w:lang w:val="en-US" w:eastAsia="zh-CN" w:bidi="ar"/>
        </w:rPr>
        <w:t xml:space="preserve"> 政府投资项目应当按照国家相关规定，严格落</w:t>
      </w:r>
      <w:r>
        <w:rPr>
          <w:rFonts w:hint="eastAsia" w:ascii="仿宋_GB2312" w:hAnsi="宋体" w:eastAsia="仿宋_GB2312" w:cs="仿宋_GB2312"/>
          <w:color w:val="auto"/>
          <w:kern w:val="0"/>
          <w:sz w:val="32"/>
          <w:szCs w:val="32"/>
          <w:lang w:val="en-US" w:eastAsia="zh-CN" w:bidi="ar"/>
        </w:rPr>
        <w:t>实项目法人责任制、工程质量终身责任制、招标投标制、合同管理制、工程监理制等管理制度。对于项目业主缺乏相关专业技术人员和建设管理经验的政府投资项目可以实行代理建设制度，鼓励建设内容明确、技术方案成熟的政府投资项目实行工程总承包。工程总承包项目应在初步设计中明确建设内容和工程量，以审批确定的项目清单进行招标。</w:t>
      </w:r>
      <w:r>
        <w:rPr>
          <w:rFonts w:hint="eastAsia" w:ascii="仿宋_GB2312" w:hAnsi="仿宋_GB2312" w:eastAsia="仿宋_GB2312" w:cs="仿宋_GB2312"/>
          <w:i w:val="0"/>
          <w:caps w:val="0"/>
          <w:color w:val="auto"/>
          <w:spacing w:val="0"/>
          <w:sz w:val="32"/>
          <w:szCs w:val="32"/>
          <w:highlight w:val="none"/>
          <w:shd w:val="clear" w:color="auto" w:fill="FFFFFF"/>
          <w:vertAlign w:val="baseline"/>
        </w:rPr>
        <w:t>工程总承包项目原则上采用总价合同或者总价与单价组合式合同，以单位指标报价的可视为总价合同。</w:t>
      </w:r>
    </w:p>
    <w:p w14:paraId="6A79BB39">
      <w:pPr>
        <w:keepNext w:val="0"/>
        <w:keepLines w:val="0"/>
        <w:pageBreakBefore w:val="0"/>
        <w:kinsoku/>
        <w:wordWrap/>
        <w:overflowPunct/>
        <w:topLinePunct w:val="0"/>
        <w:bidi w:val="0"/>
        <w:spacing w:line="56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实行代理建设制度或工程总承包的项目，项目业主是项目管理的责任主体，代建单位或工程总承包单位应当按照与项目业主签订的合同，承担项目实施期间的相关权利义务，严格执行投资概算，加强资金管理和控制，保证项目推进进度，确保工程质量和安全。</w:t>
      </w:r>
    </w:p>
    <w:p w14:paraId="24766C8F">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 w:eastAsia="仿宋_GB2312" w:cs="仿宋"/>
          <w:b/>
          <w:bCs/>
          <w:color w:val="auto"/>
          <w:kern w:val="0"/>
          <w:sz w:val="32"/>
          <w:szCs w:val="32"/>
          <w:u w:val="none"/>
          <w:lang w:val="en-US" w:eastAsia="zh-CN"/>
        </w:rPr>
        <w:t>第三十四条</w:t>
      </w:r>
      <w:r>
        <w:rPr>
          <w:rFonts w:hint="eastAsia" w:ascii="仿宋_GB2312" w:hAnsi="仿宋" w:eastAsia="仿宋_GB2312" w:cs="仿宋"/>
          <w:color w:val="auto"/>
          <w:kern w:val="0"/>
          <w:sz w:val="32"/>
          <w:szCs w:val="32"/>
          <w:u w:val="none"/>
          <w:lang w:val="en-US" w:eastAsia="zh-CN"/>
        </w:rPr>
        <w:t xml:space="preserve">  政府投资项目应当严格依照图审后批准的设计文件进行施工建设。根据实际情况，确需工程变更的，应当按照科学、合理、节约、及时的原则进行变更，</w:t>
      </w:r>
      <w:r>
        <w:rPr>
          <w:rFonts w:hint="eastAsia" w:ascii="仿宋_GB2312" w:hAnsi="宋体" w:eastAsia="仿宋_GB2312" w:cs="仿宋_GB2312"/>
          <w:color w:val="auto"/>
          <w:kern w:val="0"/>
          <w:sz w:val="32"/>
          <w:szCs w:val="32"/>
          <w:lang w:val="en-US" w:eastAsia="zh-CN" w:bidi="ar"/>
        </w:rPr>
        <w:t>其变更调整金额按照项目增减金额绝对值之和计算，项目变更报批按以下程序执行：</w:t>
      </w:r>
    </w:p>
    <w:p w14:paraId="36548A7A">
      <w:pPr>
        <w:keepNext w:val="0"/>
        <w:keepLines w:val="0"/>
        <w:pageBreakBefore w:val="0"/>
        <w:widowControl w:val="0"/>
        <w:numPr>
          <w:ilvl w:val="0"/>
          <w:numId w:val="0"/>
        </w:numPr>
        <w:tabs>
          <w:tab w:val="center" w:pos="4153"/>
          <w:tab w:val="right" w:pos="8306"/>
        </w:tabs>
        <w:kinsoku/>
        <w:wordWrap/>
        <w:overflowPunct/>
        <w:topLinePunct w:val="0"/>
        <w:bidi w:val="0"/>
        <w:snapToGrid w:val="0"/>
        <w:spacing w:line="560" w:lineRule="exact"/>
        <w:ind w:firstLine="640" w:firstLineChars="200"/>
        <w:jc w:val="left"/>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lang w:val="en-US" w:eastAsia="zh-CN" w:bidi="ar-SA"/>
        </w:rPr>
        <w:t>（一）</w:t>
      </w:r>
      <w:r>
        <w:rPr>
          <w:rFonts w:hint="eastAsia" w:ascii="仿宋_GB2312" w:hAnsi="仿宋" w:eastAsia="仿宋_GB2312" w:cs="仿宋"/>
          <w:color w:val="auto"/>
          <w:kern w:val="0"/>
          <w:sz w:val="32"/>
          <w:szCs w:val="32"/>
          <w:u w:val="none"/>
          <w:lang w:val="en-US" w:eastAsia="zh-CN" w:bidi="ar-SA"/>
        </w:rPr>
        <w:t>变更调整金额在合同价10%以下且金额在</w:t>
      </w:r>
      <w:r>
        <w:rPr>
          <w:rFonts w:hint="eastAsia" w:ascii="仿宋_GB2312" w:hAnsi="宋体" w:eastAsia="仿宋_GB2312" w:cs="仿宋_GB2312"/>
          <w:color w:val="auto"/>
          <w:kern w:val="0"/>
          <w:sz w:val="32"/>
          <w:szCs w:val="32"/>
          <w:lang w:val="en-US" w:eastAsia="zh-CN" w:bidi="ar"/>
        </w:rPr>
        <w:t>20万元以下的，项目业主单位向行业主管部门报告，并由行业主管</w:t>
      </w:r>
      <w:r>
        <w:rPr>
          <w:rFonts w:hint="eastAsia" w:ascii="仿宋_GB2312" w:hAnsi="仿宋" w:eastAsia="仿宋_GB2312" w:cs="仿宋"/>
          <w:color w:val="auto"/>
          <w:kern w:val="0"/>
          <w:sz w:val="32"/>
          <w:szCs w:val="32"/>
          <w:u w:val="none"/>
          <w:lang w:val="en-US" w:eastAsia="zh-CN" w:bidi="ar-SA"/>
        </w:rPr>
        <w:t>部门报区政府分管领导审定。</w:t>
      </w:r>
    </w:p>
    <w:p w14:paraId="38BE4B59">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color w:val="auto"/>
          <w:kern w:val="0"/>
          <w:sz w:val="32"/>
          <w:szCs w:val="32"/>
          <w:lang w:val="en-US" w:eastAsia="zh-CN" w:bidi="ar-SA"/>
        </w:rPr>
        <w:t>（二）</w:t>
      </w:r>
      <w:r>
        <w:rPr>
          <w:rFonts w:hint="eastAsia" w:ascii="仿宋_GB2312" w:hAnsi="仿宋" w:eastAsia="仿宋_GB2312" w:cs="仿宋"/>
          <w:color w:val="auto"/>
          <w:kern w:val="0"/>
          <w:sz w:val="32"/>
          <w:szCs w:val="32"/>
          <w:u w:val="none"/>
          <w:lang w:val="en-US" w:eastAsia="zh-CN"/>
        </w:rPr>
        <w:t>变更调整金额在合同价10%以下且金额</w:t>
      </w:r>
      <w:r>
        <w:rPr>
          <w:rFonts w:hint="eastAsia" w:ascii="仿宋_GB2312" w:hAnsi="宋体" w:eastAsia="仿宋_GB2312" w:cs="仿宋_GB2312"/>
          <w:color w:val="auto"/>
          <w:kern w:val="0"/>
          <w:sz w:val="32"/>
          <w:szCs w:val="32"/>
          <w:lang w:val="en-US" w:eastAsia="zh-CN" w:bidi="ar"/>
        </w:rPr>
        <w:t>在20万元以上50万元以下的，项目业主单位向行业主管部门报告，由行业主管部门报区政府分管领导审查，经分管财政工作的区领导审定。</w:t>
      </w:r>
    </w:p>
    <w:p w14:paraId="482A383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u w:val="none"/>
        </w:rPr>
      </w:pPr>
      <w:r>
        <w:rPr>
          <w:rFonts w:hint="eastAsia" w:ascii="仿宋_GB2312" w:hAnsi="仿宋" w:eastAsia="仿宋_GB2312" w:cs="仿宋"/>
          <w:color w:val="auto"/>
          <w:kern w:val="0"/>
          <w:sz w:val="32"/>
          <w:szCs w:val="32"/>
          <w:u w:val="none"/>
          <w:lang w:val="en-US" w:eastAsia="zh-CN"/>
        </w:rPr>
        <w:t>（三）变更调整金额在合同价10%以下且金额在50万以上100万元以下的，项目业主单位向行业主管部门报告，</w:t>
      </w:r>
      <w:r>
        <w:rPr>
          <w:rFonts w:hint="eastAsia" w:ascii="仿宋_GB2312" w:hAnsi="宋体" w:eastAsia="仿宋_GB2312" w:cs="仿宋_GB2312"/>
          <w:color w:val="auto"/>
          <w:kern w:val="0"/>
          <w:sz w:val="32"/>
          <w:szCs w:val="32"/>
          <w:lang w:val="en-US" w:eastAsia="zh-CN" w:bidi="ar"/>
        </w:rPr>
        <w:t>由行业主管部门报区政府分管领导审查后，报区政府常务会审定。</w:t>
      </w:r>
    </w:p>
    <w:p w14:paraId="095C597C">
      <w:pPr>
        <w:keepNext w:val="0"/>
        <w:keepLines w:val="0"/>
        <w:pageBreakBefore w:val="0"/>
        <w:widowControl w:val="0"/>
        <w:numPr>
          <w:ilvl w:val="0"/>
          <w:numId w:val="0"/>
        </w:numPr>
        <w:tabs>
          <w:tab w:val="center" w:pos="4153"/>
          <w:tab w:val="right" w:pos="8306"/>
        </w:tabs>
        <w:kinsoku/>
        <w:wordWrap/>
        <w:overflowPunct/>
        <w:topLinePunct w:val="0"/>
        <w:bidi w:val="0"/>
        <w:snapToGrid w:val="0"/>
        <w:spacing w:line="560" w:lineRule="exact"/>
        <w:ind w:leftChars="0" w:firstLine="640" w:firstLineChars="200"/>
        <w:jc w:val="left"/>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u w:val="none"/>
          <w:lang w:val="en-US" w:eastAsia="zh-CN" w:bidi="ar-SA"/>
        </w:rPr>
        <w:t>（四）变更调整金额合同价10%以上或者金额在100万元以上的，项目业主单位向行业主管部门报告，由行业主管部门报区政府分管领导审查后，报区政府常务会议审议、区委常委会会议审定。</w:t>
      </w:r>
    </w:p>
    <w:p w14:paraId="70EA07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项目建安工程多次变更的，其变更金额累计计算，每一次变更应把截止本次变更的总金额和比例明确。</w:t>
      </w:r>
    </w:p>
    <w:p w14:paraId="62891E6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项目业主根据审定结论按程序依法调整完善施工合同以及其他相关资料。</w:t>
      </w:r>
    </w:p>
    <w:p w14:paraId="5813543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宋体" w:eastAsia="仿宋_GB2312" w:cs="仿宋_GB2312"/>
          <w:color w:val="auto"/>
          <w:kern w:val="0"/>
          <w:sz w:val="32"/>
          <w:szCs w:val="32"/>
          <w:lang w:val="en-US" w:eastAsia="zh-CN" w:bidi="ar"/>
        </w:rPr>
        <w:t>因地质条件、地势限制、安全等特殊原因</w:t>
      </w:r>
      <w:r>
        <w:rPr>
          <w:rFonts w:hint="eastAsia" w:ascii="仿宋_GB2312" w:hAnsi="仿宋" w:eastAsia="仿宋_GB2312" w:cs="仿宋"/>
          <w:color w:val="auto"/>
          <w:kern w:val="0"/>
          <w:sz w:val="32"/>
          <w:szCs w:val="32"/>
          <w:u w:val="none"/>
          <w:lang w:val="en-US" w:eastAsia="zh-CN"/>
        </w:rPr>
        <w:t>造成工程在小范围内调整施工位置，导致与施工图位置不一致但工程量没有发生变化的，由参建各方做好签证，不需要按前述规定程序报批，但仍需按行业管理规定履行变更程序。</w:t>
      </w:r>
    </w:p>
    <w:p w14:paraId="609232B9">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第三十五条</w:t>
      </w:r>
      <w:r>
        <w:rPr>
          <w:rFonts w:hint="eastAsia" w:ascii="仿宋_GB2312" w:hAnsi="仿宋" w:eastAsia="仿宋_GB2312" w:cs="仿宋"/>
          <w:color w:val="auto"/>
          <w:kern w:val="0"/>
          <w:sz w:val="32"/>
          <w:szCs w:val="32"/>
          <w:u w:val="none"/>
          <w:lang w:val="en-US" w:eastAsia="zh-CN"/>
        </w:rPr>
        <w:t xml:space="preserve">  未按相关程序取得区政府审批文件擅自增加工程量的，该部分工程量不进入工程结算，结算审核时不予认可。</w:t>
      </w:r>
    </w:p>
    <w:p w14:paraId="12DA74D4">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第三十六条</w:t>
      </w:r>
      <w:r>
        <w:rPr>
          <w:rFonts w:hint="eastAsia" w:ascii="仿宋_GB2312" w:hAnsi="仿宋" w:eastAsia="仿宋_GB2312" w:cs="仿宋"/>
          <w:color w:val="auto"/>
          <w:kern w:val="0"/>
          <w:sz w:val="32"/>
          <w:szCs w:val="32"/>
          <w:u w:val="none"/>
          <w:lang w:val="en-US" w:eastAsia="zh-CN"/>
        </w:rPr>
        <w:t xml:space="preserve">  因工程变更而引起的造价增减，其计价方法按下列原则确定：</w:t>
      </w:r>
    </w:p>
    <w:p w14:paraId="01C1A422">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lang w:val="en-US" w:eastAsia="zh-CN" w:bidi="ar-SA"/>
        </w:rPr>
        <w:t>（一）</w:t>
      </w:r>
      <w:r>
        <w:rPr>
          <w:rFonts w:hint="eastAsia" w:ascii="仿宋_GB2312" w:hAnsi="仿宋" w:eastAsia="仿宋_GB2312" w:cs="仿宋"/>
          <w:color w:val="auto"/>
          <w:kern w:val="0"/>
          <w:sz w:val="32"/>
          <w:szCs w:val="32"/>
          <w:u w:val="none"/>
          <w:lang w:val="en-US" w:eastAsia="zh-CN"/>
        </w:rPr>
        <w:t>投标文件工程量清单中有相同项目单价的，按投标文</w:t>
      </w:r>
      <w:r>
        <w:rPr>
          <w:rFonts w:hint="eastAsia" w:ascii="仿宋_GB2312" w:hAnsi="仿宋_GB2312" w:eastAsia="仿宋_GB2312" w:cs="仿宋_GB2312"/>
          <w:color w:val="auto"/>
          <w:kern w:val="0"/>
          <w:sz w:val="32"/>
          <w:szCs w:val="32"/>
          <w:u w:val="none"/>
          <w:lang w:val="en-US" w:eastAsia="zh-CN"/>
        </w:rPr>
        <w:t>件工程量清单中相同项目的单价执行。</w:t>
      </w:r>
    </w:p>
    <w:p w14:paraId="5BF4F57A">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color w:val="auto"/>
          <w:kern w:val="0"/>
          <w:sz w:val="32"/>
          <w:szCs w:val="32"/>
          <w:lang w:val="en-US" w:eastAsia="zh-CN" w:bidi="ar-SA"/>
        </w:rPr>
        <w:t>（二）</w:t>
      </w:r>
      <w:r>
        <w:rPr>
          <w:rFonts w:hint="eastAsia" w:ascii="仿宋_GB2312" w:hAnsi="仿宋_GB2312" w:eastAsia="仿宋_GB2312" w:cs="仿宋_GB2312"/>
          <w:color w:val="auto"/>
          <w:kern w:val="2"/>
          <w:sz w:val="32"/>
          <w:szCs w:val="32"/>
          <w:lang w:val="en-US" w:eastAsia="zh-CN" w:bidi="ar-SA"/>
        </w:rPr>
        <w:t>工程量清单中</w:t>
      </w:r>
      <w:r>
        <w:rPr>
          <w:rFonts w:hint="eastAsia" w:ascii="仿宋_GB2312" w:hAnsi="仿宋" w:eastAsia="仿宋_GB2312" w:cs="仿宋"/>
          <w:color w:val="auto"/>
          <w:kern w:val="0"/>
          <w:sz w:val="32"/>
          <w:szCs w:val="32"/>
          <w:u w:val="none"/>
          <w:lang w:val="en-US" w:eastAsia="zh-CN" w:bidi="ar-SA"/>
        </w:rPr>
        <w:t>没有的新增项目，按规定重新组价，按投标价与招标控制价同比例下浮结算。行业管理部门另有规定从其规定。</w:t>
      </w:r>
    </w:p>
    <w:p w14:paraId="16DC3EF9">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仿宋"/>
          <w:color w:val="auto"/>
          <w:kern w:val="0"/>
          <w:sz w:val="32"/>
          <w:szCs w:val="32"/>
          <w:u w:val="none"/>
          <w:shd w:val="clear"/>
          <w:lang w:val="en-US" w:eastAsia="zh-CN" w:bidi="ar-SA"/>
        </w:rPr>
      </w:pPr>
      <w:r>
        <w:rPr>
          <w:rFonts w:hint="eastAsia" w:ascii="仿宋_GB2312" w:hAnsi="仿宋" w:eastAsia="仿宋_GB2312" w:cs="仿宋"/>
          <w:color w:val="auto"/>
          <w:kern w:val="0"/>
          <w:sz w:val="32"/>
          <w:szCs w:val="32"/>
          <w:u w:val="none"/>
          <w:lang w:val="en-US" w:eastAsia="zh-CN" w:bidi="ar-SA"/>
        </w:rPr>
        <w:t>（</w:t>
      </w:r>
      <w:r>
        <w:rPr>
          <w:rFonts w:hint="eastAsia" w:ascii="仿宋_GB2312" w:hAnsi="仿宋" w:eastAsia="仿宋_GB2312" w:cs="仿宋"/>
          <w:color w:val="auto"/>
          <w:kern w:val="0"/>
          <w:sz w:val="32"/>
          <w:szCs w:val="32"/>
          <w:u w:val="none"/>
          <w:shd w:val="clear"/>
          <w:lang w:val="en-US" w:eastAsia="zh-CN" w:bidi="ar-SA"/>
        </w:rPr>
        <w:t>三）造价信息网价格以外的材料，由项目业主会同施工单位、行业主管单位、区财政局共同认质认价，必要时可委托第三方咨询造价机构确定。</w:t>
      </w:r>
    </w:p>
    <w:p w14:paraId="55D09AAE">
      <w:pPr>
        <w:keepNext w:val="0"/>
        <w:keepLines w:val="0"/>
        <w:pageBreakBefore w:val="0"/>
        <w:widowControl w:val="0"/>
        <w:tabs>
          <w:tab w:val="center" w:pos="4153"/>
          <w:tab w:val="right" w:pos="8306"/>
        </w:tabs>
        <w:kinsoku/>
        <w:wordWrap/>
        <w:overflowPunct/>
        <w:topLinePunct w:val="0"/>
        <w:bidi w:val="0"/>
        <w:snapToGrid w:val="0"/>
        <w:spacing w:line="560" w:lineRule="exact"/>
        <w:ind w:firstLine="643" w:firstLineChars="200"/>
        <w:jc w:val="left"/>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b/>
          <w:bCs/>
          <w:color w:val="auto"/>
          <w:kern w:val="0"/>
          <w:sz w:val="32"/>
          <w:szCs w:val="32"/>
          <w:u w:val="none"/>
          <w:lang w:val="en-US" w:eastAsia="zh-CN" w:bidi="ar-SA"/>
        </w:rPr>
        <w:t>第三十七条</w:t>
      </w:r>
      <w:r>
        <w:rPr>
          <w:rFonts w:hint="eastAsia" w:ascii="仿宋_GB2312" w:hAnsi="仿宋" w:eastAsia="仿宋_GB2312" w:cs="仿宋"/>
          <w:color w:val="auto"/>
          <w:kern w:val="0"/>
          <w:sz w:val="32"/>
          <w:szCs w:val="32"/>
          <w:u w:val="none"/>
          <w:lang w:val="en-US" w:eastAsia="zh-CN" w:bidi="ar-SA"/>
        </w:rPr>
        <w:t xml:space="preserve">  工程结算送审时，对工程变更引起的工程造价增减，根据实际附以下资料：工程变更申请表、区政府批复意见、工程变更图纸等，以上资料必须在变更实施前和实施中进行，实施后补签补办的，相关部门一律不再受理。</w:t>
      </w:r>
    </w:p>
    <w:p w14:paraId="1613AE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b/>
          <w:bCs/>
          <w:color w:val="auto"/>
          <w:kern w:val="0"/>
          <w:sz w:val="32"/>
          <w:szCs w:val="32"/>
          <w:u w:val="none"/>
          <w:lang w:val="en-US" w:eastAsia="zh-CN" w:bidi="ar-SA"/>
        </w:rPr>
        <w:t>第三十八条</w:t>
      </w:r>
      <w:r>
        <w:rPr>
          <w:rFonts w:hint="eastAsia" w:ascii="仿宋_GB2312" w:hAnsi="仿宋" w:eastAsia="仿宋_GB2312" w:cs="仿宋"/>
          <w:color w:val="auto"/>
          <w:kern w:val="0"/>
          <w:sz w:val="32"/>
          <w:szCs w:val="32"/>
          <w:u w:val="none"/>
          <w:lang w:val="en-US" w:eastAsia="zh-CN" w:bidi="ar-SA"/>
        </w:rPr>
        <w:t xml:space="preserve">  项目业主要充分做好招标前的各项准备工作，向投标人提供全面准确的工程量清单，尽量减少招标外延续施工的分项工程及施工中设计、材料的变更，防止工程结算价超工程预算控制价。</w:t>
      </w:r>
    </w:p>
    <w:p w14:paraId="7D456C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b/>
          <w:bCs/>
          <w:color w:val="auto"/>
          <w:kern w:val="0"/>
          <w:sz w:val="32"/>
          <w:szCs w:val="32"/>
          <w:u w:val="none"/>
          <w:lang w:val="en-US" w:eastAsia="zh-CN" w:bidi="ar-SA"/>
        </w:rPr>
        <w:t>第三十九条</w:t>
      </w:r>
      <w:r>
        <w:rPr>
          <w:rFonts w:hint="eastAsia" w:ascii="仿宋_GB2312" w:hAnsi="仿宋" w:eastAsia="仿宋_GB2312" w:cs="仿宋"/>
          <w:color w:val="auto"/>
          <w:kern w:val="0"/>
          <w:sz w:val="32"/>
          <w:szCs w:val="32"/>
          <w:u w:val="none"/>
          <w:lang w:val="en-US" w:eastAsia="zh-CN" w:bidi="ar-SA"/>
        </w:rPr>
        <w:t xml:space="preserve"> 政府投资项目必须实行合同管理制，勘察、设计、施工、监理单位和设备材料采购等都必须依法按照招标文件或采购文件在规定期限内与项目单位签订合同，并应在合同中约定以下内容:</w:t>
      </w:r>
    </w:p>
    <w:p w14:paraId="0BC13F97">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(一)可研编制单位。编制的可研报告未达到国家规定或合同约定标准的，由项目业主按合同约定追究可研编制单位的违约责任。给项目业主造成损失的，依法追究损失责任，并移送有关部门处理。</w:t>
      </w:r>
    </w:p>
    <w:p w14:paraId="45822B92">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勘察单位。钻研点所在位置的实际地质情况与勘察报告不符的，每一个钻探点扣除该项目勘察费5%，因勘察失误引起工程变更造价调整金额在合同5%以上的，不支付剩余勘察费。因地勘报告提出的地基处理意见不经济、不合理，或因勘察原因引起工程造价增加，出具虚假地勘报告或虚假处理意见的，扣减相应的勘察费。给项目业主造成损失的，依法追究损失责任，并移送有关部门处理。</w:t>
      </w:r>
    </w:p>
    <w:p w14:paraId="3DF6C907">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(三)设计单位。因设计过失原因引起工程造价增加的，扣减相应的设计费。工程变更造价增加金额在合同价10%以上的，不支付剩余设计费。给项目业主造成损失的，依法追究损失责任，并移送有关部门处理。</w:t>
      </w:r>
    </w:p>
    <w:p w14:paraId="3A22114E">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(四)中介机构。编制招标文件错误，造成招标失败或投诉，项目单位扣减相应的代理服务费。给项目业主造成损失的，依法追究损失责任，并移送有关部门处理。</w:t>
      </w:r>
    </w:p>
    <w:p w14:paraId="653C8C14">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监理单位。发现监理现场人员不到位，监理单位不严格履行质量、安全等监理、管理职责的，查实一次按照合同约定扣减相应的监理费。对地勘、设计、施工单位提出工程变更的合法性、合理性、经济性不严格审查，扣减相应的监理费，等额赔偿损失，按规定移送有关部门处理。监理单位虚假签证的，对地勘、设计、施工单位违法违规提出的工程量变更申请不严格审查的导致虚增工程量、多计签证价款10%以上的，不支付剩余监理费。给项目业主造成损失的，依法追究损失责任，并移送有关部门处理。</w:t>
      </w:r>
    </w:p>
    <w:p w14:paraId="2ED2FD96">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(六)施工单位。施工单位不按国家规定缴纳工程履约保证金（保函）的，项目单位不得与其签订施工合同。</w:t>
      </w:r>
    </w:p>
    <w:p w14:paraId="6FA8622C">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项目建设实行施工单位项目经理、工程监理单位总监理工程师锁证施工制度。项目业主须在中标人提供投标文件承诺的上述人员可查证的执业资格证书后才能签订合同，至符合行业主管部门解锁要求后方可申请解锁。严禁施工单位将中标项目转包或违法分包。施工单位派驻施工现场的项目经理主要技术负责人应与投标文件一致，不得随意更换。未经报批，相关行业主管部门应依法严格查处。</w:t>
      </w:r>
    </w:p>
    <w:p w14:paraId="201C79B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b/>
          <w:bCs/>
          <w:color w:val="auto"/>
          <w:kern w:val="0"/>
          <w:sz w:val="32"/>
          <w:szCs w:val="32"/>
          <w:u w:val="none"/>
          <w:lang w:val="en-US" w:eastAsia="zh-CN" w:bidi="ar-SA"/>
        </w:rPr>
        <w:t>第四十条</w:t>
      </w:r>
      <w:r>
        <w:rPr>
          <w:rFonts w:hint="eastAsia" w:ascii="仿宋_GB2312" w:hAnsi="仿宋" w:eastAsia="仿宋_GB2312" w:cs="仿宋"/>
          <w:color w:val="auto"/>
          <w:kern w:val="0"/>
          <w:sz w:val="32"/>
          <w:szCs w:val="32"/>
          <w:u w:val="none"/>
          <w:lang w:val="en-US" w:eastAsia="zh-CN" w:bidi="ar-SA"/>
        </w:rPr>
        <w:t xml:space="preserve"> 工程监管部门应加强对勘察、设计、施工、监理单位以及招标代理机构的监督，严格执法。对在政府投资建设项目中违法违规操作、弄虚作假的行为进行查处，计入不良信用档案予以曝光，3年之内不得进入建设市场。项目业主及监管部门未认真履行职责，概算调整和工程变更不按本细则各项规定进行的，按相关规定追究责任。</w:t>
      </w:r>
    </w:p>
    <w:p w14:paraId="208E61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
          <w:color w:val="FF0000"/>
          <w:kern w:val="0"/>
          <w:sz w:val="32"/>
          <w:szCs w:val="32"/>
          <w:u w:val="none"/>
          <w:lang w:val="en-US" w:eastAsia="zh-CN" w:bidi="ar-SA"/>
        </w:rPr>
      </w:pPr>
      <w:r>
        <w:rPr>
          <w:rFonts w:hint="eastAsia" w:ascii="仿宋_GB2312" w:hAnsi="仿宋" w:eastAsia="仿宋_GB2312" w:cs="仿宋"/>
          <w:b/>
          <w:bCs/>
          <w:color w:val="auto"/>
          <w:kern w:val="0"/>
          <w:sz w:val="32"/>
          <w:szCs w:val="32"/>
          <w:u w:val="none"/>
          <w:lang w:val="en-US" w:eastAsia="zh-CN" w:bidi="ar-SA"/>
        </w:rPr>
        <w:t>第四十一条</w:t>
      </w:r>
      <w:r>
        <w:rPr>
          <w:rFonts w:hint="eastAsia" w:ascii="仿宋_GB2312" w:hAnsi="仿宋" w:eastAsia="仿宋_GB2312" w:cs="仿宋"/>
          <w:color w:val="auto"/>
          <w:kern w:val="0"/>
          <w:sz w:val="32"/>
          <w:szCs w:val="32"/>
          <w:u w:val="none"/>
          <w:lang w:val="en-US" w:eastAsia="zh-CN" w:bidi="ar-SA"/>
        </w:rPr>
        <w:t xml:space="preserve">  政府投资项目应依照国家、省、市有关规定签订书面施工合同，合同的标的、价款、质量、履行期限等主要条款应当与招标文件的内容一致。招标人和中标人不得再订立与招标文件和合同实质性内容相背离的其他协议。</w:t>
      </w:r>
    </w:p>
    <w:p w14:paraId="32875E45">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仿宋" w:eastAsia="仿宋_GB2312" w:cs="仿宋"/>
          <w:b/>
          <w:bCs/>
          <w:color w:val="auto"/>
          <w:kern w:val="0"/>
          <w:sz w:val="32"/>
          <w:szCs w:val="32"/>
          <w:u w:val="none"/>
          <w:lang w:val="en-US" w:eastAsia="zh-CN"/>
        </w:rPr>
        <w:t>第四十二条</w:t>
      </w:r>
      <w:r>
        <w:rPr>
          <w:rFonts w:hint="eastAsia" w:ascii="仿宋_GB2312" w:hAnsi="仿宋" w:eastAsia="仿宋_GB2312" w:cs="仿宋"/>
          <w:color w:val="auto"/>
          <w:kern w:val="0"/>
          <w:sz w:val="32"/>
          <w:szCs w:val="32"/>
          <w:u w:val="none"/>
          <w:lang w:val="en-US" w:eastAsia="zh-CN"/>
        </w:rPr>
        <w:t xml:space="preserve">  项目完工后，项目业主应及时组织工程监理、设计、勘察、施工及相关单位开展竣（交）工验收工作（含水土保持、环评、消防、人民防空、安全生产、建设档案等专项验收）。同时将工程设计文件、验收资料、招标文件、施工合同等，在工程竣（交）工验收合格后60日内，送区财评中心开展结算审核工作。</w:t>
      </w:r>
    </w:p>
    <w:p w14:paraId="380B4A33">
      <w:pPr>
        <w:keepNext w:val="0"/>
        <w:keepLines w:val="0"/>
        <w:pageBreakBefore w:val="0"/>
        <w:shd w:val="clear"/>
        <w:kinsoku/>
        <w:wordWrap/>
        <w:overflowPunct/>
        <w:topLinePunct w:val="0"/>
        <w:bidi w:val="0"/>
        <w:spacing w:line="560" w:lineRule="exact"/>
        <w:ind w:firstLine="640" w:firstLineChars="200"/>
        <w:textAlignment w:val="auto"/>
        <w:rPr>
          <w:rFonts w:hint="eastAsia" w:ascii="仿宋_GB2312" w:hAnsi="仿宋_GB2312" w:eastAsia="仿宋_GB2312" w:cs="仿宋_GB2312"/>
          <w:i w:val="0"/>
          <w:caps w:val="0"/>
          <w:color w:val="FF0000"/>
          <w:spacing w:val="0"/>
          <w:sz w:val="32"/>
          <w:szCs w:val="32"/>
          <w:shd w:val="clear" w:color="auto" w:fill="FFFFFF"/>
          <w:lang w:val="en-US" w:eastAsia="zh-CN"/>
        </w:rPr>
      </w:pPr>
    </w:p>
    <w:p w14:paraId="309A2EA9">
      <w:pPr>
        <w:keepNext w:val="0"/>
        <w:keepLines w:val="0"/>
        <w:pageBreakBefore w:val="0"/>
        <w:numPr>
          <w:ilvl w:val="0"/>
          <w:numId w:val="0"/>
        </w:numPr>
        <w:kinsoku/>
        <w:wordWrap/>
        <w:overflowPunct/>
        <w:topLinePunct w:val="0"/>
        <w:bidi w:val="0"/>
        <w:spacing w:line="560" w:lineRule="exact"/>
        <w:ind w:leftChars="0" w:firstLine="640" w:firstLineChars="200"/>
        <w:jc w:val="center"/>
        <w:textAlignment w:val="auto"/>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第七章 监督管理与法律责任</w:t>
      </w:r>
    </w:p>
    <w:p w14:paraId="3458F1B6">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第四十三条</w:t>
      </w:r>
      <w:r>
        <w:rPr>
          <w:rFonts w:hint="eastAsia" w:ascii="仿宋_GB2312" w:hAnsi="仿宋" w:eastAsia="仿宋_GB2312" w:cs="仿宋"/>
          <w:color w:val="auto"/>
          <w:kern w:val="0"/>
          <w:sz w:val="32"/>
          <w:szCs w:val="32"/>
          <w:u w:val="none"/>
          <w:lang w:val="en-US" w:eastAsia="zh-CN"/>
        </w:rPr>
        <w:t xml:space="preserve">  投资主管部门和依法对政府投资项目负有监督管理职责的其他部门，应当加强政府投资项目事中事后监管。采取在线监测、现场核查、督导评估等方式，对项目实施、资金使用等情况开展日常调度和监督检查，重大情况及时向区人民政府报告。项目业主应当通过在线平台如实报送政府投资项目开工建设、建设进度、竣工验收等基本信息。</w:t>
      </w:r>
    </w:p>
    <w:p w14:paraId="16B30A1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color w:val="auto"/>
          <w:kern w:val="0"/>
          <w:sz w:val="32"/>
          <w:szCs w:val="32"/>
          <w:u w:val="none"/>
          <w:lang w:val="en-US" w:eastAsia="zh-CN"/>
        </w:rPr>
        <w:t>政府投资项目应当依法接受审计部门的审计监督。</w:t>
      </w:r>
    </w:p>
    <w:p w14:paraId="2D1C8AFB">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第四十四条</w:t>
      </w:r>
      <w:r>
        <w:rPr>
          <w:rFonts w:hint="eastAsia" w:ascii="仿宋_GB2312" w:hAnsi="仿宋" w:eastAsia="仿宋_GB2312" w:cs="仿宋"/>
          <w:color w:val="auto"/>
          <w:kern w:val="0"/>
          <w:sz w:val="32"/>
          <w:szCs w:val="32"/>
          <w:u w:val="none"/>
          <w:lang w:val="en-US" w:eastAsia="zh-CN"/>
        </w:rPr>
        <w:t xml:space="preserve">  投资主管部门和依法对政府投资项目负有监督管理职责的其他部门应当建立政府投资项目信息共享机制，通过在线平台实现信息共享。</w:t>
      </w:r>
    </w:p>
    <w:p w14:paraId="1CC0D586">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第四十五条</w:t>
      </w:r>
      <w:r>
        <w:rPr>
          <w:rFonts w:hint="eastAsia" w:ascii="仿宋_GB2312" w:hAnsi="仿宋" w:eastAsia="仿宋_GB2312" w:cs="仿宋"/>
          <w:color w:val="auto"/>
          <w:kern w:val="0"/>
          <w:sz w:val="32"/>
          <w:szCs w:val="32"/>
          <w:u w:val="none"/>
          <w:lang w:val="en-US" w:eastAsia="zh-CN"/>
        </w:rPr>
        <w:t xml:space="preserve">  项目业主应当按照国家有关规定加强政府投资项目档案管理，将项目审批和实施过程中的有关文件、资料存档备查。</w:t>
      </w:r>
    </w:p>
    <w:p w14:paraId="04ADBC92">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第四十六条</w:t>
      </w:r>
      <w:r>
        <w:rPr>
          <w:rFonts w:hint="eastAsia" w:ascii="仿宋_GB2312" w:hAnsi="仿宋" w:eastAsia="仿宋_GB2312" w:cs="仿宋"/>
          <w:color w:val="auto"/>
          <w:kern w:val="0"/>
          <w:sz w:val="32"/>
          <w:szCs w:val="32"/>
          <w:u w:val="none"/>
          <w:lang w:val="en-US" w:eastAsia="zh-CN"/>
        </w:rPr>
        <w:t xml:space="preserve">  政府投资年度计划、政府投资项目审批和实施以及监督检查的信息应当依法公开。</w:t>
      </w:r>
    </w:p>
    <w:p w14:paraId="4BB9A604">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第四十七条</w:t>
      </w:r>
      <w:r>
        <w:rPr>
          <w:rFonts w:hint="eastAsia" w:ascii="仿宋_GB2312" w:hAnsi="仿宋" w:eastAsia="仿宋_GB2312" w:cs="仿宋"/>
          <w:color w:val="auto"/>
          <w:kern w:val="0"/>
          <w:sz w:val="32"/>
          <w:szCs w:val="32"/>
          <w:u w:val="none"/>
          <w:lang w:val="en-US" w:eastAsia="zh-CN"/>
        </w:rPr>
        <w:t xml:space="preserve">  政府投资项目的绩效管理、建设工程质量管理、安全生产管理等事项，依照有关法律、行政法规和国家、省、市有关规定执行。</w:t>
      </w:r>
    </w:p>
    <w:p w14:paraId="36098A8A">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第四十八条</w:t>
      </w:r>
      <w:r>
        <w:rPr>
          <w:rFonts w:hint="eastAsia" w:ascii="仿宋_GB2312" w:hAnsi="仿宋" w:eastAsia="仿宋_GB2312" w:cs="仿宋"/>
          <w:color w:val="auto"/>
          <w:kern w:val="0"/>
          <w:sz w:val="32"/>
          <w:szCs w:val="32"/>
          <w:u w:val="none"/>
          <w:lang w:val="en-US" w:eastAsia="zh-CN"/>
        </w:rPr>
        <w:t xml:space="preserve">  因项目行业主管部门未履行概算管理和监督责任，授意或同意增加建设内容、扩大建设规模、提高建设标准、改变设计方案导致超概算的，项目行业主管部门应当对本部门相关责任人员进行追责问责。 </w:t>
      </w:r>
    </w:p>
    <w:p w14:paraId="36381AF5">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第四十九条</w:t>
      </w:r>
      <w:r>
        <w:rPr>
          <w:rFonts w:hint="eastAsia" w:ascii="仿宋_GB2312" w:hAnsi="仿宋" w:eastAsia="仿宋_GB2312" w:cs="仿宋"/>
          <w:color w:val="auto"/>
          <w:kern w:val="0"/>
          <w:sz w:val="32"/>
          <w:szCs w:val="32"/>
          <w:u w:val="none"/>
          <w:lang w:val="en-US" w:eastAsia="zh-CN"/>
        </w:rPr>
        <w:t xml:space="preserve">  因项目业主擅自增加建设内容、扩大建设规模、提高建设标准、改变设计方案，管理不善、故意漏项、报小建大等造成超概算的，项目行业主管部门应当依照职责权限对项目业主相关责任人员进行追责问责；视情节可以暂停申报该单位其他项目。 </w:t>
      </w:r>
    </w:p>
    <w:p w14:paraId="5A68DBD3">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 xml:space="preserve">第五十条  </w:t>
      </w:r>
      <w:r>
        <w:rPr>
          <w:rFonts w:hint="eastAsia" w:ascii="仿宋_GB2312" w:hAnsi="仿宋" w:eastAsia="仿宋_GB2312" w:cs="仿宋"/>
          <w:color w:val="auto"/>
          <w:kern w:val="0"/>
          <w:sz w:val="32"/>
          <w:szCs w:val="32"/>
          <w:u w:val="none"/>
          <w:lang w:val="en-US" w:eastAsia="zh-CN"/>
        </w:rPr>
        <w:t xml:space="preserve">因设计单位未按照批复的初步设计及其提出的投资概算编制施工图设计（含装修设计）及预算，设计质量低劣存在错误、失误、漏项等造成超概算的，项目业主应根据法律法规和合同约定追究设计单位的法律责任。 </w:t>
      </w:r>
    </w:p>
    <w:p w14:paraId="26AD6CEB">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 xml:space="preserve">第五十一条  </w:t>
      </w:r>
      <w:r>
        <w:rPr>
          <w:rFonts w:hint="eastAsia" w:ascii="仿宋_GB2312" w:hAnsi="仿宋" w:eastAsia="仿宋_GB2312" w:cs="仿宋"/>
          <w:color w:val="auto"/>
          <w:kern w:val="0"/>
          <w:sz w:val="32"/>
          <w:szCs w:val="32"/>
          <w:u w:val="none"/>
          <w:lang w:val="en-US" w:eastAsia="zh-CN"/>
        </w:rPr>
        <w:t xml:space="preserve">因代建单位、工程咨询单位、评估单位、招标代理单位、勘察单位、施工单位、监理单位、设备材料供应商等参建单位过错造成超概算的，项目业主应根据法律法规和合同约定追究有关单位的法律责任。 </w:t>
      </w:r>
    </w:p>
    <w:p w14:paraId="60237BB5">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 xml:space="preserve">第五十二条  </w:t>
      </w:r>
      <w:r>
        <w:rPr>
          <w:rFonts w:hint="eastAsia" w:ascii="仿宋_GB2312" w:hAnsi="仿宋" w:eastAsia="仿宋_GB2312" w:cs="仿宋"/>
          <w:color w:val="auto"/>
          <w:kern w:val="0"/>
          <w:sz w:val="32"/>
          <w:szCs w:val="32"/>
          <w:u w:val="none"/>
          <w:lang w:val="en-US" w:eastAsia="zh-CN"/>
        </w:rPr>
        <w:t>项目业主必须按照经批复的竣工财务决算和会计制度规范，及时办理有关账目、资产及物资的核转、清理和移交，资产接收单位应当依据竣工财务决算批准文件和政府会计准则制度，及时确认资产价值，办理国有资产登记，纳入国有资产管理。</w:t>
      </w:r>
    </w:p>
    <w:p w14:paraId="5AF5320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 w:eastAsia="仿宋_GB2312" w:cs="仿宋"/>
          <w:color w:val="auto"/>
          <w:kern w:val="0"/>
          <w:sz w:val="32"/>
          <w:szCs w:val="32"/>
          <w:u w:val="none"/>
          <w:lang w:val="en-US" w:eastAsia="zh-CN" w:bidi="ar-SA"/>
        </w:rPr>
      </w:pPr>
      <w:r>
        <w:rPr>
          <w:rFonts w:hint="eastAsia" w:ascii="仿宋_GB2312" w:hAnsi="仿宋" w:eastAsia="仿宋_GB2312" w:cs="仿宋"/>
          <w:b/>
          <w:bCs/>
          <w:color w:val="auto"/>
          <w:kern w:val="0"/>
          <w:sz w:val="32"/>
          <w:szCs w:val="32"/>
          <w:u w:val="none"/>
          <w:lang w:val="en-US" w:eastAsia="zh-CN" w:bidi="ar-SA"/>
        </w:rPr>
        <w:t xml:space="preserve">第五十三条 </w:t>
      </w:r>
      <w:r>
        <w:rPr>
          <w:rFonts w:hint="eastAsia" w:ascii="仿宋_GB2312" w:hAnsi="仿宋" w:eastAsia="仿宋_GB2312" w:cs="仿宋"/>
          <w:color w:val="auto"/>
          <w:kern w:val="0"/>
          <w:sz w:val="32"/>
          <w:szCs w:val="32"/>
          <w:u w:val="none"/>
          <w:lang w:val="en-US" w:eastAsia="zh-CN" w:bidi="ar-SA"/>
        </w:rPr>
        <w:t xml:space="preserve"> 政府投资项目发生质量及安全事故的，依法追究勘察、设计、施工、监理单位及直接负责的主管人员和其他直接责任人的法律责任，并依法追究有关人员在执行建设程序和工程建设监督管理方面的行政责任。</w:t>
      </w:r>
    </w:p>
    <w:p w14:paraId="27C527CB">
      <w:pPr>
        <w:keepNext w:val="0"/>
        <w:keepLines w:val="0"/>
        <w:widowControl/>
        <w:suppressLineNumbers w:val="0"/>
        <w:ind w:firstLine="643" w:firstLineChars="200"/>
        <w:jc w:val="left"/>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第五十四条</w:t>
      </w:r>
      <w:r>
        <w:rPr>
          <w:rFonts w:hint="eastAsia" w:ascii="仿宋_GB2312" w:hAnsi="仿宋" w:eastAsia="仿宋_GB2312" w:cs="仿宋"/>
          <w:color w:val="auto"/>
          <w:kern w:val="0"/>
          <w:sz w:val="32"/>
          <w:szCs w:val="32"/>
          <w:u w:val="none"/>
          <w:lang w:val="en-US" w:eastAsia="zh-CN"/>
        </w:rPr>
        <w:t xml:space="preserve">  区审计局对全区政府投资项目依法依规进行审计监督，对发现的违法违规问题，应及时移送有关部门处理。</w:t>
      </w:r>
    </w:p>
    <w:p w14:paraId="6A277197">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 w:eastAsia="仿宋_GB2312" w:cs="仿宋"/>
          <w:color w:val="auto"/>
          <w:kern w:val="0"/>
          <w:sz w:val="32"/>
          <w:szCs w:val="32"/>
          <w:u w:val="none"/>
          <w:lang w:val="en-US" w:eastAsia="zh-CN" w:bidi="ar-SA"/>
        </w:rPr>
      </w:pPr>
      <w:r>
        <w:rPr>
          <w:rFonts w:hint="eastAsia" w:ascii="仿宋_GB2312" w:hAnsi="仿宋" w:eastAsia="仿宋_GB2312" w:cs="仿宋"/>
          <w:b/>
          <w:bCs/>
          <w:color w:val="auto"/>
          <w:kern w:val="0"/>
          <w:sz w:val="32"/>
          <w:szCs w:val="32"/>
          <w:u w:val="none"/>
          <w:lang w:val="en-US" w:eastAsia="zh-CN"/>
        </w:rPr>
        <w:t>第五十五条</w:t>
      </w:r>
      <w:r>
        <w:rPr>
          <w:rFonts w:hint="eastAsia" w:ascii="仿宋_GB2312" w:hAnsi="仿宋" w:eastAsia="仿宋_GB2312" w:cs="仿宋"/>
          <w:color w:val="auto"/>
          <w:kern w:val="0"/>
          <w:sz w:val="32"/>
          <w:szCs w:val="32"/>
          <w:u w:val="none"/>
          <w:lang w:val="en-US" w:eastAsia="zh-CN"/>
        </w:rPr>
        <w:t xml:space="preserve">  区财政局对审定数与财评结算数差异较大的项目，应当区别情况及时移送监委或司法机关核查处理；对审减数额较大（审减率达到 20％以上）的项目，应当及时移送监委或司法机关核查处理。</w:t>
      </w:r>
    </w:p>
    <w:p w14:paraId="6DE00A90">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center"/>
        <w:textAlignment w:val="auto"/>
        <w:rPr>
          <w:rFonts w:hint="eastAsia" w:ascii="黑体" w:hAnsi="黑体" w:eastAsia="黑体" w:cs="黑体"/>
          <w:color w:val="auto"/>
          <w:kern w:val="0"/>
          <w:sz w:val="32"/>
          <w:szCs w:val="32"/>
          <w:u w:val="none"/>
          <w:lang w:val="en-US" w:eastAsia="zh-CN"/>
        </w:rPr>
      </w:pPr>
    </w:p>
    <w:p w14:paraId="0D772ED0">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center"/>
        <w:textAlignment w:val="auto"/>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第八章  附则</w:t>
      </w:r>
    </w:p>
    <w:p w14:paraId="5E755F2D">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 xml:space="preserve">第五十六条 </w:t>
      </w:r>
      <w:r>
        <w:rPr>
          <w:rFonts w:hint="eastAsia" w:ascii="仿宋_GB2312" w:hAnsi="仿宋" w:eastAsia="仿宋_GB2312" w:cs="仿宋"/>
          <w:color w:val="auto"/>
          <w:kern w:val="0"/>
          <w:sz w:val="32"/>
          <w:szCs w:val="32"/>
          <w:u w:val="none"/>
          <w:lang w:val="en-US" w:eastAsia="zh-CN"/>
        </w:rPr>
        <w:t xml:space="preserve"> 本办法所指“以下”不含本数，所指“以上”含本数。</w:t>
      </w:r>
    </w:p>
    <w:p w14:paraId="5B149DFB">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default" w:ascii="仿宋_GB2312" w:hAnsi="仿宋" w:eastAsia="仿宋_GB2312" w:cs="仿宋"/>
          <w:color w:val="auto"/>
          <w:kern w:val="0"/>
          <w:sz w:val="32"/>
          <w:szCs w:val="32"/>
          <w:u w:val="none"/>
          <w:lang w:val="en-US" w:eastAsia="zh-CN"/>
        </w:rPr>
      </w:pPr>
      <w:r>
        <w:rPr>
          <w:rFonts w:hint="eastAsia" w:ascii="仿宋_GB2312" w:hAnsi="仿宋" w:eastAsia="仿宋_GB2312" w:cs="仿宋"/>
          <w:b/>
          <w:bCs/>
          <w:color w:val="auto"/>
          <w:kern w:val="0"/>
          <w:sz w:val="32"/>
          <w:szCs w:val="32"/>
          <w:u w:val="none"/>
          <w:lang w:val="en-US" w:eastAsia="zh-CN"/>
        </w:rPr>
        <w:t xml:space="preserve">第五十七条  </w:t>
      </w:r>
      <w:r>
        <w:rPr>
          <w:rFonts w:hint="eastAsia" w:ascii="仿宋_GB2312" w:hAnsi="仿宋" w:eastAsia="仿宋_GB2312" w:cs="仿宋"/>
          <w:color w:val="auto"/>
          <w:kern w:val="0"/>
          <w:sz w:val="32"/>
          <w:szCs w:val="32"/>
          <w:u w:val="none"/>
          <w:lang w:val="en-US" w:eastAsia="zh-CN"/>
        </w:rPr>
        <w:t>本实施细则自2025年  月  日起施行，有效期5年。上级有规定的或执行期间上级法律、法规、规章、规定有调整的，从其规定。原《乐山市金口河区政府投资项目管理办法（试行）》《乐山市金口河区政府投资建设项目概算调整和工程变更管理实施细则》同时废止。</w:t>
      </w:r>
    </w:p>
    <w:p w14:paraId="7CAE7BC1">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Calibri" w:hAnsi="Calibri" w:eastAsia="宋体" w:cs="Times New Roman"/>
          <w:color w:val="auto"/>
          <w:sz w:val="32"/>
          <w:szCs w:val="32"/>
        </w:rPr>
      </w:pPr>
    </w:p>
    <w:p w14:paraId="189FA44A">
      <w:pP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br w:type="page"/>
      </w:r>
    </w:p>
    <w:p w14:paraId="0AA8868D">
      <w:pPr>
        <w:spacing w:before="109" w:line="214" w:lineRule="auto"/>
        <w:ind w:left="150"/>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乐山市金口河区政府投资项目工程变更审批表</w:t>
      </w:r>
    </w:p>
    <w:p w14:paraId="0D9B4511">
      <w:pPr>
        <w:spacing w:line="171" w:lineRule="exact"/>
      </w:pPr>
    </w:p>
    <w:tbl>
      <w:tblPr>
        <w:tblStyle w:val="21"/>
        <w:tblW w:w="92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1301"/>
        <w:gridCol w:w="1218"/>
        <w:gridCol w:w="1219"/>
        <w:gridCol w:w="1240"/>
        <w:gridCol w:w="1219"/>
        <w:gridCol w:w="1883"/>
      </w:tblGrid>
      <w:tr w14:paraId="6A636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144" w:type="dxa"/>
            <w:vAlign w:val="top"/>
          </w:tcPr>
          <w:p w14:paraId="2D97FFEF">
            <w:pPr>
              <w:spacing w:before="37" w:line="219" w:lineRule="auto"/>
              <w:ind w:left="13"/>
              <w:jc w:val="center"/>
              <w:rPr>
                <w:rFonts w:ascii="黑体" w:hAnsi="黑体" w:eastAsia="黑体" w:cs="黑体"/>
                <w:sz w:val="24"/>
                <w:szCs w:val="24"/>
              </w:rPr>
            </w:pPr>
            <w:r>
              <w:rPr>
                <w:rFonts w:ascii="黑体" w:hAnsi="黑体" w:eastAsia="黑体" w:cs="黑体"/>
                <w:spacing w:val="-2"/>
                <w:sz w:val="24"/>
                <w:szCs w:val="24"/>
              </w:rPr>
              <w:t>项目名称</w:t>
            </w:r>
          </w:p>
        </w:tc>
        <w:tc>
          <w:tcPr>
            <w:tcW w:w="8080" w:type="dxa"/>
            <w:gridSpan w:val="6"/>
            <w:vAlign w:val="top"/>
          </w:tcPr>
          <w:p w14:paraId="220E7999">
            <w:pPr>
              <w:rPr>
                <w:rFonts w:ascii="Arial"/>
                <w:sz w:val="21"/>
              </w:rPr>
            </w:pPr>
          </w:p>
        </w:tc>
      </w:tr>
      <w:tr w14:paraId="04B7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144" w:type="dxa"/>
            <w:vAlign w:val="top"/>
          </w:tcPr>
          <w:p w14:paraId="27D33BCB">
            <w:pPr>
              <w:spacing w:before="32" w:line="220" w:lineRule="auto"/>
              <w:ind w:left="12"/>
              <w:jc w:val="center"/>
              <w:rPr>
                <w:rFonts w:ascii="黑体" w:hAnsi="黑体" w:eastAsia="黑体" w:cs="黑体"/>
                <w:sz w:val="24"/>
                <w:szCs w:val="24"/>
              </w:rPr>
            </w:pPr>
            <w:r>
              <w:rPr>
                <w:rFonts w:ascii="黑体" w:hAnsi="黑体" w:eastAsia="黑体" w:cs="黑体"/>
                <w:spacing w:val="-2"/>
                <w:sz w:val="24"/>
                <w:szCs w:val="24"/>
              </w:rPr>
              <w:t>施工单位</w:t>
            </w:r>
          </w:p>
        </w:tc>
        <w:tc>
          <w:tcPr>
            <w:tcW w:w="3738" w:type="dxa"/>
            <w:gridSpan w:val="3"/>
            <w:vAlign w:val="top"/>
          </w:tcPr>
          <w:p w14:paraId="52691FAA">
            <w:pPr>
              <w:jc w:val="center"/>
              <w:rPr>
                <w:rFonts w:ascii="Arial"/>
                <w:sz w:val="21"/>
              </w:rPr>
            </w:pPr>
          </w:p>
        </w:tc>
        <w:tc>
          <w:tcPr>
            <w:tcW w:w="1240" w:type="dxa"/>
            <w:vAlign w:val="top"/>
          </w:tcPr>
          <w:p w14:paraId="40E28646">
            <w:pPr>
              <w:spacing w:before="33" w:line="219" w:lineRule="auto"/>
              <w:ind w:left="12"/>
              <w:jc w:val="center"/>
              <w:rPr>
                <w:rFonts w:ascii="黑体" w:hAnsi="黑体" w:eastAsia="黑体" w:cs="黑体"/>
                <w:sz w:val="24"/>
                <w:szCs w:val="24"/>
              </w:rPr>
            </w:pPr>
            <w:r>
              <w:rPr>
                <w:rFonts w:hint="eastAsia" w:ascii="黑体" w:hAnsi="黑体" w:eastAsia="黑体" w:cs="黑体"/>
                <w:spacing w:val="-2"/>
                <w:sz w:val="24"/>
                <w:szCs w:val="24"/>
                <w:lang w:eastAsia="zh-CN"/>
              </w:rPr>
              <w:t>业主</w:t>
            </w:r>
            <w:r>
              <w:rPr>
                <w:rFonts w:ascii="黑体" w:hAnsi="黑体" w:eastAsia="黑体" w:cs="黑体"/>
                <w:spacing w:val="-2"/>
                <w:sz w:val="24"/>
                <w:szCs w:val="24"/>
              </w:rPr>
              <w:t>单位</w:t>
            </w:r>
          </w:p>
        </w:tc>
        <w:tc>
          <w:tcPr>
            <w:tcW w:w="3102" w:type="dxa"/>
            <w:gridSpan w:val="2"/>
            <w:vAlign w:val="top"/>
          </w:tcPr>
          <w:p w14:paraId="5DC1456C">
            <w:pPr>
              <w:rPr>
                <w:rFonts w:ascii="Arial"/>
                <w:sz w:val="21"/>
              </w:rPr>
            </w:pPr>
          </w:p>
        </w:tc>
      </w:tr>
      <w:tr w14:paraId="6128D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144" w:type="dxa"/>
            <w:vAlign w:val="top"/>
          </w:tcPr>
          <w:p w14:paraId="3294CBF3">
            <w:pPr>
              <w:spacing w:before="33" w:line="219" w:lineRule="auto"/>
              <w:ind w:left="13"/>
              <w:jc w:val="center"/>
              <w:rPr>
                <w:rFonts w:ascii="黑体" w:hAnsi="黑体" w:eastAsia="黑体" w:cs="黑体"/>
                <w:sz w:val="24"/>
                <w:szCs w:val="24"/>
              </w:rPr>
            </w:pPr>
            <w:r>
              <w:rPr>
                <w:rFonts w:ascii="黑体" w:hAnsi="黑体" w:eastAsia="黑体" w:cs="黑体"/>
                <w:spacing w:val="-2"/>
                <w:sz w:val="24"/>
                <w:szCs w:val="24"/>
              </w:rPr>
              <w:t>建设规模</w:t>
            </w:r>
          </w:p>
        </w:tc>
        <w:tc>
          <w:tcPr>
            <w:tcW w:w="8080" w:type="dxa"/>
            <w:gridSpan w:val="6"/>
            <w:vAlign w:val="top"/>
          </w:tcPr>
          <w:p w14:paraId="76887235">
            <w:pPr>
              <w:rPr>
                <w:rFonts w:ascii="Arial"/>
                <w:sz w:val="21"/>
              </w:rPr>
            </w:pPr>
          </w:p>
        </w:tc>
      </w:tr>
      <w:tr w14:paraId="45B6C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44" w:type="dxa"/>
            <w:vMerge w:val="restart"/>
            <w:tcBorders>
              <w:bottom w:val="nil"/>
            </w:tcBorders>
            <w:textDirection w:val="tbRlV"/>
            <w:vAlign w:val="top"/>
          </w:tcPr>
          <w:p w14:paraId="3B466F9C">
            <w:pPr>
              <w:spacing w:before="80" w:line="206" w:lineRule="auto"/>
              <w:ind w:left="969"/>
              <w:rPr>
                <w:rFonts w:ascii="黑体" w:hAnsi="黑体" w:eastAsia="黑体" w:cs="黑体"/>
                <w:sz w:val="24"/>
                <w:szCs w:val="24"/>
              </w:rPr>
            </w:pPr>
            <w:r>
              <w:rPr>
                <w:rFonts w:ascii="黑体" w:hAnsi="黑体" w:eastAsia="黑体" w:cs="黑体"/>
                <w:spacing w:val="-1"/>
                <w:sz w:val="24"/>
                <w:szCs w:val="24"/>
              </w:rPr>
              <w:t>变</w:t>
            </w:r>
            <w:r>
              <w:rPr>
                <w:rFonts w:ascii="黑体" w:hAnsi="黑体" w:eastAsia="黑体" w:cs="黑体"/>
                <w:spacing w:val="-45"/>
                <w:sz w:val="24"/>
                <w:szCs w:val="24"/>
              </w:rPr>
              <w:t xml:space="preserve"> </w:t>
            </w:r>
            <w:r>
              <w:rPr>
                <w:rFonts w:ascii="黑体" w:hAnsi="黑体" w:eastAsia="黑体" w:cs="黑体"/>
                <w:spacing w:val="-1"/>
                <w:sz w:val="24"/>
                <w:szCs w:val="24"/>
              </w:rPr>
              <w:t>更</w:t>
            </w:r>
            <w:r>
              <w:rPr>
                <w:rFonts w:ascii="黑体" w:hAnsi="黑体" w:eastAsia="黑体" w:cs="黑体"/>
                <w:spacing w:val="-49"/>
                <w:sz w:val="24"/>
                <w:szCs w:val="24"/>
              </w:rPr>
              <w:t xml:space="preserve"> </w:t>
            </w:r>
            <w:r>
              <w:rPr>
                <w:rFonts w:ascii="黑体" w:hAnsi="黑体" w:eastAsia="黑体" w:cs="黑体"/>
                <w:spacing w:val="-1"/>
                <w:sz w:val="24"/>
                <w:szCs w:val="24"/>
              </w:rPr>
              <w:t>原</w:t>
            </w:r>
            <w:r>
              <w:rPr>
                <w:rFonts w:ascii="黑体" w:hAnsi="黑体" w:eastAsia="黑体" w:cs="黑体"/>
                <w:spacing w:val="-48"/>
                <w:sz w:val="24"/>
                <w:szCs w:val="24"/>
              </w:rPr>
              <w:t xml:space="preserve"> </w:t>
            </w:r>
            <w:r>
              <w:rPr>
                <w:rFonts w:ascii="黑体" w:hAnsi="黑体" w:eastAsia="黑体" w:cs="黑体"/>
                <w:spacing w:val="-1"/>
                <w:sz w:val="24"/>
                <w:szCs w:val="24"/>
              </w:rPr>
              <w:t>因</w:t>
            </w:r>
          </w:p>
        </w:tc>
        <w:tc>
          <w:tcPr>
            <w:tcW w:w="1301" w:type="dxa"/>
            <w:vAlign w:val="top"/>
          </w:tcPr>
          <w:p w14:paraId="0242EDB6">
            <w:pPr>
              <w:pStyle w:val="22"/>
              <w:spacing w:before="33" w:line="220" w:lineRule="auto"/>
              <w:jc w:val="center"/>
              <w:rPr>
                <w:rFonts w:hint="eastAsia" w:ascii="仿宋_GB2312" w:hAnsi="仿宋_GB2312" w:eastAsia="仿宋_GB2312" w:cs="仿宋_GB2312"/>
              </w:rPr>
            </w:pPr>
            <w:r>
              <w:rPr>
                <w:rFonts w:hint="eastAsia" w:ascii="仿宋_GB2312" w:hAnsi="仿宋_GB2312" w:eastAsia="仿宋_GB2312" w:cs="仿宋_GB2312"/>
                <w:spacing w:val="-2"/>
              </w:rPr>
              <w:t>提出方</w:t>
            </w:r>
          </w:p>
        </w:tc>
        <w:tc>
          <w:tcPr>
            <w:tcW w:w="1218" w:type="dxa"/>
            <w:vAlign w:val="top"/>
          </w:tcPr>
          <w:p w14:paraId="53627FF4">
            <w:pPr>
              <w:pStyle w:val="22"/>
              <w:spacing w:before="33" w:line="220" w:lineRule="auto"/>
              <w:ind w:left="10"/>
              <w:jc w:val="center"/>
              <w:rPr>
                <w:rFonts w:hint="eastAsia" w:ascii="仿宋_GB2312" w:hAnsi="仿宋_GB2312" w:eastAsia="仿宋_GB2312" w:cs="仿宋_GB2312"/>
              </w:rPr>
            </w:pPr>
            <w:r>
              <w:rPr>
                <w:rFonts w:hint="eastAsia" w:ascii="仿宋_GB2312" w:hAnsi="仿宋_GB2312" w:eastAsia="仿宋_GB2312" w:cs="仿宋_GB2312"/>
                <w:spacing w:val="-6"/>
              </w:rPr>
              <w:t>A</w:t>
            </w:r>
            <w:r>
              <w:rPr>
                <w:rFonts w:hint="eastAsia" w:ascii="仿宋_GB2312" w:hAnsi="仿宋_GB2312" w:eastAsia="仿宋_GB2312" w:cs="仿宋_GB2312"/>
                <w:spacing w:val="20"/>
              </w:rPr>
              <w:t xml:space="preserve"> </w:t>
            </w:r>
            <w:r>
              <w:rPr>
                <w:rFonts w:hint="eastAsia" w:ascii="仿宋_GB2312" w:hAnsi="仿宋_GB2312" w:eastAsia="仿宋_GB2312" w:cs="仿宋_GB2312"/>
                <w:spacing w:val="-6"/>
              </w:rPr>
              <w:t>业主方</w:t>
            </w:r>
          </w:p>
        </w:tc>
        <w:tc>
          <w:tcPr>
            <w:tcW w:w="1219" w:type="dxa"/>
            <w:vAlign w:val="top"/>
          </w:tcPr>
          <w:p w14:paraId="66255577">
            <w:pPr>
              <w:pStyle w:val="22"/>
              <w:spacing w:before="33" w:line="218" w:lineRule="auto"/>
              <w:ind w:left="11"/>
              <w:jc w:val="center"/>
              <w:rPr>
                <w:rFonts w:hint="eastAsia" w:ascii="仿宋_GB2312" w:hAnsi="仿宋_GB2312" w:eastAsia="仿宋_GB2312" w:cs="仿宋_GB2312"/>
              </w:rPr>
            </w:pPr>
            <w:r>
              <w:rPr>
                <w:rFonts w:hint="eastAsia" w:ascii="仿宋_GB2312" w:hAnsi="仿宋_GB2312" w:eastAsia="仿宋_GB2312" w:cs="仿宋_GB2312"/>
                <w:spacing w:val="-4"/>
              </w:rPr>
              <w:t>B</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4"/>
              </w:rPr>
              <w:t>设计方</w:t>
            </w:r>
          </w:p>
        </w:tc>
        <w:tc>
          <w:tcPr>
            <w:tcW w:w="1240" w:type="dxa"/>
            <w:vAlign w:val="top"/>
          </w:tcPr>
          <w:p w14:paraId="1B5369D5">
            <w:pPr>
              <w:pStyle w:val="22"/>
              <w:spacing w:before="33" w:line="220" w:lineRule="auto"/>
              <w:ind w:left="13"/>
              <w:jc w:val="center"/>
              <w:rPr>
                <w:rFonts w:hint="eastAsia" w:ascii="仿宋_GB2312" w:hAnsi="仿宋_GB2312" w:eastAsia="仿宋_GB2312" w:cs="仿宋_GB2312"/>
              </w:rPr>
            </w:pPr>
            <w:r>
              <w:rPr>
                <w:rFonts w:hint="eastAsia" w:ascii="仿宋_GB2312" w:hAnsi="仿宋_GB2312" w:eastAsia="仿宋_GB2312" w:cs="仿宋_GB2312"/>
                <w:spacing w:val="-5"/>
              </w:rPr>
              <w:t>C</w:t>
            </w:r>
            <w:r>
              <w:rPr>
                <w:rFonts w:hint="eastAsia" w:ascii="仿宋_GB2312" w:hAnsi="仿宋_GB2312" w:eastAsia="仿宋_GB2312" w:cs="仿宋_GB2312"/>
                <w:spacing w:val="12"/>
              </w:rPr>
              <w:t xml:space="preserve"> </w:t>
            </w:r>
            <w:r>
              <w:rPr>
                <w:rFonts w:hint="eastAsia" w:ascii="仿宋_GB2312" w:hAnsi="仿宋_GB2312" w:eastAsia="仿宋_GB2312" w:cs="仿宋_GB2312"/>
                <w:spacing w:val="-5"/>
              </w:rPr>
              <w:t>施工方</w:t>
            </w:r>
          </w:p>
        </w:tc>
        <w:tc>
          <w:tcPr>
            <w:tcW w:w="1219" w:type="dxa"/>
            <w:vAlign w:val="top"/>
          </w:tcPr>
          <w:p w14:paraId="292340A7">
            <w:pPr>
              <w:pStyle w:val="22"/>
              <w:spacing w:before="33" w:line="220" w:lineRule="auto"/>
              <w:ind w:left="13"/>
              <w:jc w:val="center"/>
              <w:rPr>
                <w:rFonts w:hint="eastAsia" w:ascii="仿宋_GB2312" w:hAnsi="仿宋_GB2312" w:eastAsia="仿宋_GB2312" w:cs="仿宋_GB2312"/>
              </w:rPr>
            </w:pPr>
            <w:r>
              <w:rPr>
                <w:rFonts w:hint="eastAsia" w:ascii="仿宋_GB2312" w:hAnsi="仿宋_GB2312" w:eastAsia="仿宋_GB2312" w:cs="仿宋_GB2312"/>
                <w:spacing w:val="-6"/>
              </w:rPr>
              <w:t>D</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6"/>
              </w:rPr>
              <w:t>监理方</w:t>
            </w:r>
          </w:p>
        </w:tc>
        <w:tc>
          <w:tcPr>
            <w:tcW w:w="1883" w:type="dxa"/>
            <w:vAlign w:val="top"/>
          </w:tcPr>
          <w:p w14:paraId="24E569A3">
            <w:pPr>
              <w:pStyle w:val="22"/>
              <w:spacing w:before="32" w:line="217" w:lineRule="auto"/>
              <w:ind w:left="14"/>
              <w:jc w:val="center"/>
              <w:rPr>
                <w:rFonts w:hint="eastAsia" w:ascii="仿宋_GB2312" w:hAnsi="仿宋_GB2312" w:eastAsia="仿宋_GB2312" w:cs="仿宋_GB2312"/>
              </w:rPr>
            </w:pPr>
            <w:r>
              <w:rPr>
                <w:rFonts w:hint="eastAsia" w:ascii="仿宋_GB2312" w:hAnsi="仿宋_GB2312" w:eastAsia="仿宋_GB2312" w:cs="仿宋_GB2312"/>
                <w:spacing w:val="-4"/>
              </w:rPr>
              <w:t>E</w:t>
            </w:r>
            <w:r>
              <w:rPr>
                <w:rFonts w:hint="eastAsia" w:ascii="仿宋_GB2312" w:hAnsi="仿宋_GB2312" w:eastAsia="仿宋_GB2312" w:cs="仿宋_GB2312"/>
                <w:spacing w:val="11"/>
              </w:rPr>
              <w:t xml:space="preserve"> </w:t>
            </w:r>
            <w:r>
              <w:rPr>
                <w:rFonts w:hint="eastAsia" w:ascii="仿宋_GB2312" w:hAnsi="仿宋_GB2312" w:eastAsia="仿宋_GB2312" w:cs="仿宋_GB2312"/>
                <w:spacing w:val="-4"/>
              </w:rPr>
              <w:t>行业主管</w:t>
            </w:r>
          </w:p>
        </w:tc>
      </w:tr>
      <w:tr w14:paraId="2D6D2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44" w:type="dxa"/>
            <w:vMerge w:val="continue"/>
            <w:tcBorders>
              <w:top w:val="nil"/>
              <w:bottom w:val="nil"/>
            </w:tcBorders>
            <w:textDirection w:val="tbRlV"/>
            <w:vAlign w:val="top"/>
          </w:tcPr>
          <w:p w14:paraId="625CAE08">
            <w:pPr>
              <w:rPr>
                <w:rFonts w:ascii="Arial"/>
                <w:sz w:val="21"/>
              </w:rPr>
            </w:pPr>
          </w:p>
        </w:tc>
        <w:tc>
          <w:tcPr>
            <w:tcW w:w="1301" w:type="dxa"/>
            <w:vMerge w:val="restart"/>
            <w:tcBorders>
              <w:bottom w:val="nil"/>
            </w:tcBorders>
            <w:textDirection w:val="tbRlV"/>
            <w:vAlign w:val="top"/>
          </w:tcPr>
          <w:p w14:paraId="78EE16DC">
            <w:pPr>
              <w:spacing w:line="365" w:lineRule="auto"/>
              <w:rPr>
                <w:rFonts w:hint="eastAsia" w:ascii="仿宋_GB2312" w:hAnsi="仿宋_GB2312" w:eastAsia="仿宋_GB2312" w:cs="仿宋_GB2312"/>
                <w:sz w:val="21"/>
              </w:rPr>
            </w:pPr>
          </w:p>
          <w:p w14:paraId="3151C932">
            <w:pPr>
              <w:pStyle w:val="22"/>
              <w:spacing w:before="80" w:line="211" w:lineRule="auto"/>
              <w:ind w:left="345"/>
              <w:rPr>
                <w:rFonts w:hint="eastAsia" w:ascii="仿宋_GB2312" w:hAnsi="仿宋_GB2312" w:eastAsia="仿宋_GB2312" w:cs="仿宋_GB2312"/>
              </w:rPr>
            </w:pPr>
            <w:r>
              <w:rPr>
                <w:rFonts w:hint="eastAsia" w:ascii="仿宋_GB2312" w:hAnsi="仿宋_GB2312" w:eastAsia="仿宋_GB2312" w:cs="仿宋_GB2312"/>
                <w:spacing w:val="53"/>
              </w:rPr>
              <w:t>具体原因</w:t>
            </w:r>
          </w:p>
        </w:tc>
        <w:tc>
          <w:tcPr>
            <w:tcW w:w="6779" w:type="dxa"/>
            <w:gridSpan w:val="5"/>
            <w:vAlign w:val="top"/>
          </w:tcPr>
          <w:p w14:paraId="035E0DF2">
            <w:pPr>
              <w:pStyle w:val="22"/>
              <w:spacing w:before="33" w:line="218" w:lineRule="auto"/>
              <w:ind w:left="25"/>
              <w:rPr>
                <w:rFonts w:hint="eastAsia" w:ascii="仿宋_GB2312" w:hAnsi="仿宋_GB2312" w:eastAsia="仿宋_GB2312" w:cs="仿宋_GB2312"/>
              </w:rPr>
            </w:pPr>
            <w:r>
              <w:rPr>
                <w:rFonts w:hint="eastAsia" w:ascii="仿宋_GB2312" w:hAnsi="仿宋_GB2312" w:eastAsia="仿宋_GB2312" w:cs="仿宋_GB2312"/>
                <w:spacing w:val="-8"/>
              </w:rPr>
              <w:t>1、设计类：</w:t>
            </w:r>
            <w:r>
              <w:rPr>
                <w:rFonts w:hint="eastAsia" w:ascii="仿宋_GB2312" w:hAnsi="仿宋_GB2312" w:eastAsia="仿宋_GB2312" w:cs="仿宋_GB2312"/>
                <w:spacing w:val="40"/>
              </w:rPr>
              <w:t xml:space="preserve"> </w:t>
            </w:r>
            <w:r>
              <w:rPr>
                <w:rFonts w:hint="eastAsia" w:ascii="仿宋_GB2312" w:hAnsi="仿宋_GB2312" w:eastAsia="仿宋_GB2312" w:cs="仿宋_GB2312"/>
                <w:spacing w:val="-8"/>
              </w:rPr>
              <w:t>A 设计错误   B</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8"/>
              </w:rPr>
              <w:t>超成本目标</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8"/>
              </w:rPr>
              <w:t>C</w:t>
            </w:r>
            <w:r>
              <w:rPr>
                <w:rFonts w:hint="eastAsia" w:ascii="仿宋_GB2312" w:hAnsi="仿宋_GB2312" w:eastAsia="仿宋_GB2312" w:cs="仿宋_GB2312"/>
                <w:spacing w:val="11"/>
              </w:rPr>
              <w:t xml:space="preserve"> </w:t>
            </w:r>
            <w:r>
              <w:rPr>
                <w:rFonts w:hint="eastAsia" w:ascii="仿宋_GB2312" w:hAnsi="仿宋_GB2312" w:eastAsia="仿宋_GB2312" w:cs="仿宋_GB2312"/>
                <w:spacing w:val="-8"/>
              </w:rPr>
              <w:t>设计优化</w:t>
            </w:r>
          </w:p>
          <w:p w14:paraId="59D42D7F">
            <w:pPr>
              <w:pStyle w:val="22"/>
              <w:spacing w:before="28" w:line="213" w:lineRule="auto"/>
              <w:ind w:left="11"/>
              <w:rPr>
                <w:rFonts w:hint="eastAsia" w:ascii="仿宋_GB2312" w:hAnsi="仿宋_GB2312" w:eastAsia="仿宋_GB2312" w:cs="仿宋_GB2312"/>
              </w:rPr>
            </w:pPr>
            <w:r>
              <w:rPr>
                <w:rFonts w:hint="eastAsia" w:ascii="仿宋_GB2312" w:hAnsi="仿宋_GB2312" w:eastAsia="仿宋_GB2312" w:cs="仿宋_GB2312"/>
                <w:spacing w:val="-3"/>
              </w:rPr>
              <w:t>D 补充二次设计</w:t>
            </w:r>
            <w:r>
              <w:rPr>
                <w:rFonts w:hint="eastAsia" w:ascii="仿宋_GB2312" w:hAnsi="仿宋_GB2312" w:eastAsia="仿宋_GB2312" w:cs="仿宋_GB2312"/>
                <w:spacing w:val="6"/>
              </w:rPr>
              <w:t xml:space="preserve">   </w:t>
            </w:r>
            <w:r>
              <w:rPr>
                <w:rFonts w:hint="eastAsia" w:ascii="仿宋_GB2312" w:hAnsi="仿宋_GB2312" w:eastAsia="仿宋_GB2312" w:cs="仿宋_GB2312"/>
                <w:spacing w:val="-3"/>
              </w:rPr>
              <w:t>E</w:t>
            </w:r>
            <w:r>
              <w:rPr>
                <w:rFonts w:hint="eastAsia" w:ascii="仿宋_GB2312" w:hAnsi="仿宋_GB2312" w:eastAsia="仿宋_GB2312" w:cs="仿宋_GB2312"/>
                <w:spacing w:val="18"/>
              </w:rPr>
              <w:t xml:space="preserve"> </w:t>
            </w:r>
            <w:r>
              <w:rPr>
                <w:rFonts w:hint="eastAsia" w:ascii="仿宋_GB2312" w:hAnsi="仿宋_GB2312" w:eastAsia="仿宋_GB2312" w:cs="仿宋_GB2312"/>
                <w:spacing w:val="-3"/>
              </w:rPr>
              <w:t>现场条件变更</w:t>
            </w:r>
          </w:p>
        </w:tc>
      </w:tr>
      <w:tr w14:paraId="5F8E9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144" w:type="dxa"/>
            <w:vMerge w:val="continue"/>
            <w:tcBorders>
              <w:top w:val="nil"/>
              <w:bottom w:val="nil"/>
            </w:tcBorders>
            <w:textDirection w:val="tbRlV"/>
            <w:vAlign w:val="top"/>
          </w:tcPr>
          <w:p w14:paraId="43A2648A">
            <w:pPr>
              <w:rPr>
                <w:rFonts w:ascii="Arial"/>
                <w:sz w:val="21"/>
              </w:rPr>
            </w:pPr>
          </w:p>
        </w:tc>
        <w:tc>
          <w:tcPr>
            <w:tcW w:w="1301" w:type="dxa"/>
            <w:vMerge w:val="continue"/>
            <w:tcBorders>
              <w:top w:val="nil"/>
              <w:bottom w:val="nil"/>
            </w:tcBorders>
            <w:textDirection w:val="tbRlV"/>
            <w:vAlign w:val="top"/>
          </w:tcPr>
          <w:p w14:paraId="157134E3">
            <w:pPr>
              <w:rPr>
                <w:rFonts w:hint="eastAsia" w:ascii="仿宋_GB2312" w:hAnsi="仿宋_GB2312" w:eastAsia="仿宋_GB2312" w:cs="仿宋_GB2312"/>
                <w:sz w:val="21"/>
              </w:rPr>
            </w:pPr>
          </w:p>
        </w:tc>
        <w:tc>
          <w:tcPr>
            <w:tcW w:w="6779" w:type="dxa"/>
            <w:gridSpan w:val="5"/>
            <w:vAlign w:val="top"/>
          </w:tcPr>
          <w:p w14:paraId="2617DBF7">
            <w:pPr>
              <w:pStyle w:val="22"/>
              <w:spacing w:before="36" w:line="218" w:lineRule="auto"/>
              <w:ind w:left="19"/>
              <w:rPr>
                <w:rFonts w:hint="eastAsia" w:ascii="仿宋_GB2312" w:hAnsi="仿宋_GB2312" w:eastAsia="仿宋_GB2312" w:cs="仿宋_GB2312"/>
              </w:rPr>
            </w:pPr>
            <w:r>
              <w:rPr>
                <w:rFonts w:hint="eastAsia" w:ascii="仿宋_GB2312" w:hAnsi="仿宋_GB2312" w:eastAsia="仿宋_GB2312" w:cs="仿宋_GB2312"/>
                <w:spacing w:val="-7"/>
              </w:rPr>
              <w:t>2、现场施工</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7"/>
              </w:rPr>
              <w:t>类：</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7"/>
              </w:rPr>
              <w:t>A 施工错误   B</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7"/>
              </w:rPr>
              <w:t>施工困难</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7"/>
              </w:rPr>
              <w:t>C</w:t>
            </w:r>
            <w:r>
              <w:rPr>
                <w:rFonts w:hint="eastAsia" w:ascii="仿宋_GB2312" w:hAnsi="仿宋_GB2312" w:eastAsia="仿宋_GB2312" w:cs="仿宋_GB2312"/>
                <w:spacing w:val="12"/>
              </w:rPr>
              <w:t xml:space="preserve"> </w:t>
            </w:r>
            <w:r>
              <w:rPr>
                <w:rFonts w:hint="eastAsia" w:ascii="仿宋_GB2312" w:hAnsi="仿宋_GB2312" w:eastAsia="仿宋_GB2312" w:cs="仿宋_GB2312"/>
                <w:spacing w:val="-7"/>
              </w:rPr>
              <w:t>施工进度</w:t>
            </w:r>
          </w:p>
        </w:tc>
      </w:tr>
      <w:tr w14:paraId="34116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144" w:type="dxa"/>
            <w:vMerge w:val="continue"/>
            <w:tcBorders>
              <w:top w:val="nil"/>
              <w:bottom w:val="nil"/>
            </w:tcBorders>
            <w:textDirection w:val="tbRlV"/>
            <w:vAlign w:val="top"/>
          </w:tcPr>
          <w:p w14:paraId="46EC986B">
            <w:pPr>
              <w:rPr>
                <w:rFonts w:ascii="Arial"/>
                <w:sz w:val="21"/>
              </w:rPr>
            </w:pPr>
          </w:p>
        </w:tc>
        <w:tc>
          <w:tcPr>
            <w:tcW w:w="1301" w:type="dxa"/>
            <w:vMerge w:val="continue"/>
            <w:tcBorders>
              <w:top w:val="nil"/>
              <w:bottom w:val="nil"/>
            </w:tcBorders>
            <w:textDirection w:val="tbRlV"/>
            <w:vAlign w:val="top"/>
          </w:tcPr>
          <w:p w14:paraId="57F8CFDD">
            <w:pPr>
              <w:rPr>
                <w:rFonts w:hint="eastAsia" w:ascii="仿宋_GB2312" w:hAnsi="仿宋_GB2312" w:eastAsia="仿宋_GB2312" w:cs="仿宋_GB2312"/>
                <w:sz w:val="21"/>
              </w:rPr>
            </w:pPr>
          </w:p>
        </w:tc>
        <w:tc>
          <w:tcPr>
            <w:tcW w:w="6779" w:type="dxa"/>
            <w:gridSpan w:val="5"/>
            <w:vAlign w:val="top"/>
          </w:tcPr>
          <w:p w14:paraId="4A4701F2">
            <w:pPr>
              <w:pStyle w:val="22"/>
              <w:spacing w:before="33" w:line="216" w:lineRule="auto"/>
              <w:ind w:left="28"/>
              <w:rPr>
                <w:rFonts w:hint="eastAsia" w:ascii="仿宋_GB2312" w:hAnsi="仿宋_GB2312" w:eastAsia="仿宋_GB2312" w:cs="仿宋_GB2312"/>
              </w:rPr>
            </w:pPr>
            <w:r>
              <w:rPr>
                <w:rFonts w:hint="eastAsia" w:ascii="仿宋_GB2312" w:hAnsi="仿宋_GB2312" w:eastAsia="仿宋_GB2312" w:cs="仿宋_GB2312"/>
                <w:spacing w:val="-4"/>
              </w:rPr>
              <w:t>3、材料设备类</w:t>
            </w:r>
            <w:r>
              <w:rPr>
                <w:rFonts w:hint="eastAsia" w:ascii="仿宋_GB2312" w:hAnsi="仿宋_GB2312" w:eastAsia="仿宋_GB2312" w:cs="仿宋_GB2312"/>
                <w:spacing w:val="54"/>
              </w:rPr>
              <w:t xml:space="preserve"> </w:t>
            </w:r>
            <w:r>
              <w:rPr>
                <w:rFonts w:hint="eastAsia" w:ascii="仿宋_GB2312" w:hAnsi="仿宋_GB2312" w:eastAsia="仿宋_GB2312" w:cs="仿宋_GB2312"/>
                <w:spacing w:val="-4"/>
              </w:rPr>
              <w:t>：A 材料选型不当   B</w:t>
            </w:r>
            <w:r>
              <w:rPr>
                <w:rFonts w:hint="eastAsia" w:ascii="仿宋_GB2312" w:hAnsi="仿宋_GB2312" w:eastAsia="仿宋_GB2312" w:cs="仿宋_GB2312"/>
                <w:spacing w:val="34"/>
              </w:rPr>
              <w:t xml:space="preserve"> </w:t>
            </w:r>
            <w:r>
              <w:rPr>
                <w:rFonts w:hint="eastAsia" w:ascii="仿宋_GB2312" w:hAnsi="仿宋_GB2312" w:eastAsia="仿宋_GB2312" w:cs="仿宋_GB2312"/>
                <w:spacing w:val="-4"/>
              </w:rPr>
              <w:t>同价格更优质材料</w:t>
            </w:r>
          </w:p>
          <w:p w14:paraId="0E79C689">
            <w:pPr>
              <w:pStyle w:val="22"/>
              <w:spacing w:before="30" w:line="215" w:lineRule="auto"/>
              <w:ind w:left="11"/>
              <w:rPr>
                <w:rFonts w:hint="eastAsia" w:ascii="仿宋_GB2312" w:hAnsi="仿宋_GB2312" w:eastAsia="仿宋_GB2312" w:cs="仿宋_GB2312"/>
              </w:rPr>
            </w:pPr>
            <w:r>
              <w:rPr>
                <w:rFonts w:hint="eastAsia" w:ascii="仿宋_GB2312" w:hAnsi="仿宋_GB2312" w:eastAsia="仿宋_GB2312" w:cs="仿宋_GB2312"/>
                <w:spacing w:val="-6"/>
              </w:rPr>
              <w:t>C</w:t>
            </w:r>
            <w:r>
              <w:rPr>
                <w:rFonts w:hint="eastAsia" w:ascii="仿宋_GB2312" w:hAnsi="仿宋_GB2312" w:eastAsia="仿宋_GB2312" w:cs="仿宋_GB2312"/>
                <w:spacing w:val="26"/>
              </w:rPr>
              <w:t xml:space="preserve"> </w:t>
            </w:r>
            <w:r>
              <w:rPr>
                <w:rFonts w:hint="eastAsia" w:ascii="仿宋_GB2312" w:hAnsi="仿宋_GB2312" w:eastAsia="仿宋_GB2312" w:cs="仿宋_GB2312"/>
                <w:spacing w:val="-6"/>
              </w:rPr>
              <w:t>降低成本</w:t>
            </w:r>
          </w:p>
        </w:tc>
      </w:tr>
      <w:tr w14:paraId="4A356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144" w:type="dxa"/>
            <w:vMerge w:val="continue"/>
            <w:tcBorders>
              <w:top w:val="nil"/>
              <w:bottom w:val="nil"/>
            </w:tcBorders>
            <w:textDirection w:val="tbRlV"/>
            <w:vAlign w:val="top"/>
          </w:tcPr>
          <w:p w14:paraId="0401CA53">
            <w:pPr>
              <w:rPr>
                <w:rFonts w:ascii="Arial"/>
                <w:sz w:val="21"/>
              </w:rPr>
            </w:pPr>
          </w:p>
        </w:tc>
        <w:tc>
          <w:tcPr>
            <w:tcW w:w="1301" w:type="dxa"/>
            <w:vMerge w:val="continue"/>
            <w:tcBorders>
              <w:top w:val="nil"/>
            </w:tcBorders>
            <w:textDirection w:val="tbRlV"/>
            <w:vAlign w:val="top"/>
          </w:tcPr>
          <w:p w14:paraId="276A02C7">
            <w:pPr>
              <w:rPr>
                <w:rFonts w:hint="eastAsia" w:ascii="仿宋_GB2312" w:hAnsi="仿宋_GB2312" w:eastAsia="仿宋_GB2312" w:cs="仿宋_GB2312"/>
                <w:sz w:val="21"/>
              </w:rPr>
            </w:pPr>
          </w:p>
        </w:tc>
        <w:tc>
          <w:tcPr>
            <w:tcW w:w="6779" w:type="dxa"/>
            <w:gridSpan w:val="5"/>
            <w:vAlign w:val="top"/>
          </w:tcPr>
          <w:p w14:paraId="2BF99FDD">
            <w:pPr>
              <w:pStyle w:val="22"/>
              <w:spacing w:before="34" w:line="207" w:lineRule="auto"/>
              <w:ind w:left="18"/>
              <w:rPr>
                <w:rFonts w:hint="eastAsia" w:ascii="仿宋_GB2312" w:hAnsi="仿宋_GB2312" w:eastAsia="仿宋_GB2312" w:cs="仿宋_GB2312"/>
              </w:rPr>
            </w:pPr>
            <w:r>
              <w:rPr>
                <w:rFonts w:hint="eastAsia" w:ascii="仿宋_GB2312" w:hAnsi="仿宋_GB2312" w:eastAsia="仿宋_GB2312" w:cs="仿宋_GB2312"/>
                <w:spacing w:val="-10"/>
              </w:rPr>
              <w:t>4、其他：</w:t>
            </w:r>
            <w:r>
              <w:rPr>
                <w:rFonts w:hint="eastAsia" w:ascii="仿宋_GB2312" w:hAnsi="仿宋_GB2312" w:eastAsia="仿宋_GB2312" w:cs="仿宋_GB2312"/>
                <w:spacing w:val="27"/>
              </w:rPr>
              <w:t xml:space="preserve"> </w:t>
            </w:r>
            <w:r>
              <w:rPr>
                <w:rFonts w:hint="eastAsia" w:ascii="仿宋_GB2312" w:hAnsi="仿宋_GB2312" w:eastAsia="仿宋_GB2312" w:cs="仿宋_GB2312"/>
                <w:spacing w:val="-10"/>
              </w:rPr>
              <w:t>A 业主要求</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0"/>
              </w:rPr>
              <w:t>B</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10"/>
              </w:rPr>
              <w:t>政府要求</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10"/>
              </w:rPr>
              <w:t>C</w:t>
            </w:r>
            <w:r>
              <w:rPr>
                <w:rFonts w:hint="eastAsia" w:ascii="仿宋_GB2312" w:hAnsi="仿宋_GB2312" w:eastAsia="仿宋_GB2312" w:cs="仿宋_GB2312"/>
                <w:spacing w:val="16"/>
              </w:rPr>
              <w:t xml:space="preserve"> </w:t>
            </w:r>
            <w:r>
              <w:rPr>
                <w:rFonts w:hint="eastAsia" w:ascii="仿宋_GB2312" w:hAnsi="仿宋_GB2312" w:eastAsia="仿宋_GB2312" w:cs="仿宋_GB2312"/>
                <w:spacing w:val="-10"/>
              </w:rPr>
              <w:t>不可抗力</w:t>
            </w:r>
          </w:p>
        </w:tc>
      </w:tr>
      <w:tr w14:paraId="01542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144" w:type="dxa"/>
            <w:vMerge w:val="continue"/>
            <w:tcBorders>
              <w:top w:val="nil"/>
            </w:tcBorders>
            <w:textDirection w:val="tbRlV"/>
            <w:vAlign w:val="top"/>
          </w:tcPr>
          <w:p w14:paraId="6B48F8EE">
            <w:pPr>
              <w:rPr>
                <w:rFonts w:ascii="Arial"/>
                <w:sz w:val="21"/>
              </w:rPr>
            </w:pPr>
          </w:p>
        </w:tc>
        <w:tc>
          <w:tcPr>
            <w:tcW w:w="1301" w:type="dxa"/>
            <w:vAlign w:val="top"/>
          </w:tcPr>
          <w:p w14:paraId="3DE28ED1">
            <w:pPr>
              <w:pStyle w:val="22"/>
              <w:spacing w:before="34" w:line="219" w:lineRule="auto"/>
              <w:ind w:left="262"/>
              <w:rPr>
                <w:rFonts w:hint="eastAsia" w:ascii="仿宋_GB2312" w:hAnsi="仿宋_GB2312" w:eastAsia="仿宋_GB2312" w:cs="仿宋_GB2312"/>
              </w:rPr>
            </w:pPr>
            <w:r>
              <w:rPr>
                <w:rFonts w:hint="eastAsia" w:ascii="仿宋_GB2312" w:hAnsi="仿宋_GB2312" w:eastAsia="仿宋_GB2312" w:cs="仿宋_GB2312"/>
                <w:spacing w:val="-5"/>
              </w:rPr>
              <w:t>涉及专业</w:t>
            </w:r>
          </w:p>
        </w:tc>
        <w:tc>
          <w:tcPr>
            <w:tcW w:w="6779" w:type="dxa"/>
            <w:gridSpan w:val="5"/>
            <w:vAlign w:val="top"/>
          </w:tcPr>
          <w:p w14:paraId="2A70D898">
            <w:pPr>
              <w:pStyle w:val="22"/>
              <w:spacing w:before="35" w:line="217" w:lineRule="auto"/>
              <w:ind w:left="10"/>
              <w:rPr>
                <w:rFonts w:hint="eastAsia" w:ascii="仿宋_GB2312" w:hAnsi="仿宋_GB2312" w:eastAsia="仿宋_GB2312" w:cs="仿宋_GB2312"/>
              </w:rPr>
            </w:pPr>
            <w:r>
              <w:rPr>
                <w:rFonts w:hint="eastAsia" w:ascii="仿宋_GB2312" w:hAnsi="仿宋_GB2312" w:eastAsia="仿宋_GB2312" w:cs="仿宋_GB2312"/>
                <w:spacing w:val="-6"/>
              </w:rPr>
              <w:t>A 房建 B</w:t>
            </w:r>
            <w:r>
              <w:rPr>
                <w:rFonts w:hint="eastAsia" w:ascii="仿宋_GB2312" w:hAnsi="仿宋_GB2312" w:eastAsia="仿宋_GB2312" w:cs="仿宋_GB2312"/>
                <w:spacing w:val="24"/>
              </w:rPr>
              <w:t xml:space="preserve"> </w:t>
            </w:r>
            <w:r>
              <w:rPr>
                <w:rFonts w:hint="eastAsia" w:ascii="仿宋_GB2312" w:hAnsi="仿宋_GB2312" w:eastAsia="仿宋_GB2312" w:cs="仿宋_GB2312"/>
                <w:spacing w:val="-6"/>
              </w:rPr>
              <w:t>市政</w:t>
            </w:r>
            <w:r>
              <w:rPr>
                <w:rFonts w:hint="eastAsia" w:ascii="仿宋_GB2312" w:hAnsi="仿宋_GB2312" w:eastAsia="仿宋_GB2312" w:cs="仿宋_GB2312"/>
                <w:spacing w:val="5"/>
              </w:rPr>
              <w:t xml:space="preserve">  </w:t>
            </w:r>
            <w:r>
              <w:rPr>
                <w:rFonts w:hint="eastAsia" w:ascii="仿宋_GB2312" w:hAnsi="仿宋_GB2312" w:eastAsia="仿宋_GB2312" w:cs="仿宋_GB2312"/>
                <w:spacing w:val="-6"/>
              </w:rPr>
              <w:t>C</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6"/>
              </w:rPr>
              <w:t>公路</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6"/>
              </w:rPr>
              <w:t>D</w:t>
            </w:r>
            <w:r>
              <w:rPr>
                <w:rFonts w:hint="eastAsia" w:ascii="仿宋_GB2312" w:hAnsi="仿宋_GB2312" w:eastAsia="仿宋_GB2312" w:cs="仿宋_GB2312"/>
                <w:spacing w:val="8"/>
              </w:rPr>
              <w:t xml:space="preserve"> </w:t>
            </w:r>
            <w:r>
              <w:rPr>
                <w:rFonts w:hint="eastAsia" w:ascii="仿宋_GB2312" w:hAnsi="仿宋_GB2312" w:eastAsia="仿宋_GB2312" w:cs="仿宋_GB2312"/>
                <w:spacing w:val="-6"/>
              </w:rPr>
              <w:t>水利</w:t>
            </w:r>
            <w:r>
              <w:rPr>
                <w:rFonts w:hint="eastAsia" w:ascii="仿宋_GB2312" w:hAnsi="仿宋_GB2312" w:eastAsia="仿宋_GB2312" w:cs="仿宋_GB2312"/>
                <w:spacing w:val="11"/>
              </w:rPr>
              <w:t xml:space="preserve"> </w:t>
            </w:r>
            <w:r>
              <w:rPr>
                <w:rFonts w:hint="eastAsia" w:ascii="仿宋_GB2312" w:hAnsi="仿宋_GB2312" w:eastAsia="仿宋_GB2312" w:cs="仿宋_GB2312"/>
                <w:spacing w:val="-6"/>
              </w:rPr>
              <w:t>E</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6"/>
              </w:rPr>
              <w:t>电力</w:t>
            </w:r>
            <w:r>
              <w:rPr>
                <w:rFonts w:hint="eastAsia" w:ascii="仿宋_GB2312" w:hAnsi="仿宋_GB2312" w:eastAsia="仿宋_GB2312" w:cs="仿宋_GB2312"/>
                <w:spacing w:val="11"/>
              </w:rPr>
              <w:t xml:space="preserve"> </w:t>
            </w:r>
            <w:r>
              <w:rPr>
                <w:rFonts w:hint="eastAsia" w:ascii="仿宋_GB2312" w:hAnsi="仿宋_GB2312" w:eastAsia="仿宋_GB2312" w:cs="仿宋_GB2312"/>
                <w:spacing w:val="-6"/>
              </w:rPr>
              <w:t>F</w:t>
            </w:r>
            <w:r>
              <w:rPr>
                <w:rFonts w:hint="eastAsia" w:ascii="仿宋_GB2312" w:hAnsi="仿宋_GB2312" w:eastAsia="仿宋_GB2312" w:cs="仿宋_GB2312"/>
                <w:spacing w:val="12"/>
              </w:rPr>
              <w:t xml:space="preserve"> </w:t>
            </w:r>
            <w:r>
              <w:rPr>
                <w:rFonts w:hint="eastAsia" w:ascii="仿宋_GB2312" w:hAnsi="仿宋_GB2312" w:eastAsia="仿宋_GB2312" w:cs="仿宋_GB2312"/>
                <w:spacing w:val="-6"/>
              </w:rPr>
              <w:t>土地整理</w:t>
            </w:r>
            <w:r>
              <w:rPr>
                <w:rFonts w:hint="eastAsia" w:ascii="仿宋_GB2312" w:hAnsi="仿宋_GB2312" w:eastAsia="仿宋_GB2312" w:cs="仿宋_GB2312"/>
                <w:spacing w:val="11"/>
              </w:rPr>
              <w:t xml:space="preserve"> </w:t>
            </w:r>
            <w:r>
              <w:rPr>
                <w:rFonts w:hint="eastAsia" w:ascii="仿宋_GB2312" w:hAnsi="仿宋_GB2312" w:eastAsia="仿宋_GB2312" w:cs="仿宋_GB2312"/>
                <w:spacing w:val="-6"/>
              </w:rPr>
              <w:t>G</w:t>
            </w:r>
            <w:r>
              <w:rPr>
                <w:rFonts w:hint="eastAsia" w:ascii="仿宋_GB2312" w:hAnsi="仿宋_GB2312" w:eastAsia="仿宋_GB2312" w:cs="仿宋_GB2312"/>
                <w:spacing w:val="9"/>
              </w:rPr>
              <w:t xml:space="preserve"> </w:t>
            </w:r>
            <w:r>
              <w:rPr>
                <w:rFonts w:hint="eastAsia" w:ascii="仿宋_GB2312" w:hAnsi="仿宋_GB2312" w:eastAsia="仿宋_GB2312" w:cs="仿宋_GB2312"/>
                <w:spacing w:val="-6"/>
              </w:rPr>
              <w:t>其 他</w:t>
            </w:r>
          </w:p>
        </w:tc>
      </w:tr>
      <w:tr w14:paraId="0C412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1144" w:type="dxa"/>
            <w:vAlign w:val="top"/>
          </w:tcPr>
          <w:p w14:paraId="6336D484">
            <w:pPr>
              <w:spacing w:line="267" w:lineRule="auto"/>
              <w:jc w:val="both"/>
              <w:rPr>
                <w:rFonts w:ascii="Arial"/>
                <w:sz w:val="21"/>
              </w:rPr>
            </w:pPr>
          </w:p>
          <w:p w14:paraId="15614E6F">
            <w:pPr>
              <w:spacing w:before="78"/>
              <w:ind w:left="378"/>
              <w:jc w:val="both"/>
              <w:rPr>
                <w:rFonts w:ascii="黑体" w:hAnsi="黑体" w:eastAsia="黑体" w:cs="黑体"/>
                <w:sz w:val="24"/>
                <w:szCs w:val="24"/>
              </w:rPr>
            </w:pPr>
            <w:r>
              <w:rPr>
                <w:rFonts w:ascii="黑体" w:hAnsi="黑体" w:eastAsia="黑体" w:cs="黑体"/>
                <w:spacing w:val="-4"/>
                <w:sz w:val="24"/>
                <w:szCs w:val="24"/>
              </w:rPr>
              <w:t>变更</w:t>
            </w:r>
          </w:p>
          <w:p w14:paraId="426BD03D">
            <w:pPr>
              <w:spacing w:line="219" w:lineRule="auto"/>
              <w:ind w:left="389"/>
              <w:jc w:val="both"/>
              <w:rPr>
                <w:rFonts w:ascii="黑体" w:hAnsi="黑体" w:eastAsia="黑体" w:cs="黑体"/>
                <w:sz w:val="24"/>
                <w:szCs w:val="24"/>
              </w:rPr>
            </w:pPr>
            <w:r>
              <w:rPr>
                <w:rFonts w:ascii="黑体" w:hAnsi="黑体" w:eastAsia="黑体" w:cs="黑体"/>
                <w:spacing w:val="-7"/>
                <w:sz w:val="24"/>
                <w:szCs w:val="24"/>
              </w:rPr>
              <w:t>内容</w:t>
            </w:r>
          </w:p>
        </w:tc>
        <w:tc>
          <w:tcPr>
            <w:tcW w:w="8080" w:type="dxa"/>
            <w:gridSpan w:val="6"/>
            <w:vAlign w:val="top"/>
          </w:tcPr>
          <w:p w14:paraId="6D7FAB5A">
            <w:pPr>
              <w:pStyle w:val="22"/>
              <w:spacing w:before="34" w:line="217" w:lineRule="auto"/>
              <w:rPr>
                <w:rFonts w:hint="eastAsia" w:ascii="仿宋_GB2312" w:hAnsi="仿宋_GB2312" w:eastAsia="仿宋_GB2312" w:cs="仿宋_GB2312"/>
              </w:rPr>
            </w:pPr>
            <w:r>
              <w:rPr>
                <w:rFonts w:hint="eastAsia" w:ascii="仿宋_GB2312" w:hAnsi="仿宋_GB2312" w:eastAsia="仿宋_GB2312" w:cs="仿宋_GB2312"/>
                <w:spacing w:val="-1"/>
              </w:rPr>
              <w:t>（内容不够填写，可单独附后）</w:t>
            </w:r>
          </w:p>
          <w:p w14:paraId="7919AB27">
            <w:pPr>
              <w:spacing w:line="286" w:lineRule="auto"/>
              <w:rPr>
                <w:rFonts w:hint="eastAsia" w:ascii="仿宋_GB2312" w:hAnsi="仿宋_GB2312" w:eastAsia="仿宋_GB2312" w:cs="仿宋_GB2312"/>
                <w:sz w:val="21"/>
              </w:rPr>
            </w:pPr>
          </w:p>
          <w:p w14:paraId="3ED204F7">
            <w:pPr>
              <w:pStyle w:val="22"/>
              <w:spacing w:before="78" w:line="217" w:lineRule="auto"/>
              <w:jc w:val="right"/>
              <w:rPr>
                <w:rFonts w:hint="eastAsia" w:ascii="仿宋_GB2312" w:hAnsi="仿宋_GB2312" w:eastAsia="仿宋_GB2312" w:cs="仿宋_GB2312"/>
              </w:rPr>
            </w:pPr>
            <w:r>
              <w:rPr>
                <w:rFonts w:hint="eastAsia" w:ascii="仿宋_GB2312" w:hAnsi="仿宋_GB2312" w:eastAsia="仿宋_GB2312" w:cs="仿宋_GB2312"/>
                <w:spacing w:val="-18"/>
              </w:rPr>
              <w:t>总监理工程师</w:t>
            </w:r>
            <w:r>
              <w:rPr>
                <w:rFonts w:hint="eastAsia" w:ascii="仿宋_GB2312" w:hAnsi="仿宋_GB2312" w:eastAsia="仿宋_GB2312" w:cs="仿宋_GB2312"/>
                <w:spacing w:val="-41"/>
              </w:rPr>
              <w:t>：</w:t>
            </w:r>
            <w:r>
              <w:rPr>
                <w:rFonts w:hint="eastAsia" w:ascii="仿宋_GB2312" w:hAnsi="仿宋_GB2312" w:eastAsia="仿宋_GB2312" w:cs="仿宋_GB2312"/>
                <w:spacing w:val="14"/>
              </w:rPr>
              <w:t xml:space="preserve">    </w:t>
            </w:r>
            <w:r>
              <w:rPr>
                <w:rFonts w:hint="eastAsia" w:ascii="仿宋_GB2312" w:hAnsi="仿宋_GB2312" w:eastAsia="仿宋_GB2312" w:cs="仿宋_GB2312"/>
                <w:spacing w:val="-41"/>
              </w:rPr>
              <w:t>（</w:t>
            </w:r>
            <w:r>
              <w:rPr>
                <w:rFonts w:hint="eastAsia" w:ascii="仿宋_GB2312" w:hAnsi="仿宋_GB2312" w:eastAsia="仿宋_GB2312" w:cs="仿宋_GB2312"/>
                <w:spacing w:val="-18"/>
              </w:rPr>
              <w:t>监理单位公章</w:t>
            </w:r>
            <w:r>
              <w:rPr>
                <w:rFonts w:hint="eastAsia" w:ascii="仿宋_GB2312" w:hAnsi="仿宋_GB2312" w:eastAsia="仿宋_GB2312" w:cs="仿宋_GB2312"/>
                <w:spacing w:val="29"/>
              </w:rPr>
              <w:t xml:space="preserve"> </w:t>
            </w:r>
            <w:r>
              <w:rPr>
                <w:rFonts w:hint="eastAsia" w:ascii="仿宋_GB2312" w:hAnsi="仿宋_GB2312" w:eastAsia="仿宋_GB2312" w:cs="仿宋_GB2312"/>
                <w:spacing w:val="-18"/>
              </w:rPr>
              <w:t>）</w:t>
            </w:r>
          </w:p>
        </w:tc>
      </w:tr>
      <w:tr w14:paraId="23927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44" w:type="dxa"/>
            <w:textDirection w:val="tbRlV"/>
            <w:vAlign w:val="top"/>
          </w:tcPr>
          <w:p w14:paraId="249975E8">
            <w:pPr>
              <w:pStyle w:val="22"/>
              <w:spacing w:before="78" w:line="215" w:lineRule="auto"/>
              <w:ind w:right="540" w:rightChars="257"/>
              <w:jc w:val="left"/>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黑体" w:hAnsi="黑体" w:eastAsia="黑体" w:cs="黑体"/>
                <w:spacing w:val="-7"/>
                <w:kern w:val="2"/>
                <w:sz w:val="24"/>
                <w:szCs w:val="24"/>
                <w:lang w:val="en-US" w:eastAsia="zh-CN" w:bidi="ar-SA"/>
              </w:rPr>
              <w:t>量 价 估</w:t>
            </w:r>
          </w:p>
        </w:tc>
        <w:tc>
          <w:tcPr>
            <w:tcW w:w="8080" w:type="dxa"/>
            <w:gridSpan w:val="6"/>
            <w:vAlign w:val="top"/>
          </w:tcPr>
          <w:p w14:paraId="5ADEE4F5">
            <w:pPr>
              <w:pStyle w:val="22"/>
              <w:spacing w:before="78" w:line="215" w:lineRule="auto"/>
              <w:ind w:left="22"/>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1、变更调整金额在合同价10%以下且金额在20万元以下的；</w:t>
            </w:r>
          </w:p>
          <w:p w14:paraId="3D7A24BD">
            <w:pPr>
              <w:pStyle w:val="22"/>
              <w:spacing w:before="78" w:line="215" w:lineRule="auto"/>
              <w:ind w:left="22"/>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zh-CN" w:bidi="ar-SA"/>
              </w:rPr>
              <w:t>2</w:t>
            </w:r>
            <w:r>
              <w:rPr>
                <w:rFonts w:hint="eastAsia" w:ascii="仿宋_GB2312" w:hAnsi="仿宋_GB2312" w:eastAsia="仿宋_GB2312" w:cs="仿宋_GB2312"/>
                <w:snapToGrid w:val="0"/>
                <w:color w:val="000000"/>
                <w:spacing w:val="-4"/>
                <w:kern w:val="0"/>
                <w:sz w:val="24"/>
                <w:szCs w:val="24"/>
                <w:lang w:val="en-US" w:eastAsia="en-US" w:bidi="ar-SA"/>
              </w:rPr>
              <w:t>、</w:t>
            </w:r>
            <w:r>
              <w:rPr>
                <w:rFonts w:hint="eastAsia" w:ascii="仿宋_GB2312" w:hAnsi="仿宋_GB2312" w:eastAsia="仿宋_GB2312" w:cs="仿宋_GB2312"/>
                <w:snapToGrid w:val="0"/>
                <w:color w:val="000000"/>
                <w:spacing w:val="-4"/>
                <w:kern w:val="0"/>
                <w:sz w:val="24"/>
                <w:szCs w:val="24"/>
                <w:lang w:val="en-US" w:eastAsia="zh-CN" w:bidi="ar-SA"/>
              </w:rPr>
              <w:t>变更调整金额在合同价10%以下且金额在20万元以上50万元以下的；</w:t>
            </w:r>
          </w:p>
          <w:p w14:paraId="5F408860">
            <w:pPr>
              <w:pStyle w:val="22"/>
              <w:spacing w:before="78" w:line="215" w:lineRule="auto"/>
              <w:ind w:left="22"/>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zh-CN" w:bidi="ar-SA"/>
              </w:rPr>
              <w:t>3</w:t>
            </w:r>
            <w:r>
              <w:rPr>
                <w:rFonts w:hint="eastAsia" w:ascii="仿宋_GB2312" w:hAnsi="仿宋_GB2312" w:eastAsia="仿宋_GB2312" w:cs="仿宋_GB2312"/>
                <w:snapToGrid w:val="0"/>
                <w:color w:val="000000"/>
                <w:spacing w:val="-4"/>
                <w:kern w:val="0"/>
                <w:sz w:val="24"/>
                <w:szCs w:val="24"/>
                <w:lang w:val="en-US" w:eastAsia="en-US" w:bidi="ar-SA"/>
              </w:rPr>
              <w:t>、</w:t>
            </w:r>
            <w:r>
              <w:rPr>
                <w:rFonts w:hint="eastAsia" w:ascii="仿宋_GB2312" w:hAnsi="仿宋_GB2312" w:eastAsia="仿宋_GB2312" w:cs="仿宋_GB2312"/>
                <w:snapToGrid w:val="0"/>
                <w:color w:val="000000"/>
                <w:spacing w:val="-4"/>
                <w:kern w:val="0"/>
                <w:sz w:val="24"/>
                <w:szCs w:val="24"/>
                <w:lang w:val="en-US" w:eastAsia="zh-CN" w:bidi="ar-SA"/>
              </w:rPr>
              <w:t>变更调整金额在合同价10%以下且金额在50万以上100万元以下的；</w:t>
            </w:r>
          </w:p>
          <w:p w14:paraId="6CE8E282">
            <w:pPr>
              <w:pStyle w:val="22"/>
              <w:spacing w:before="78" w:line="215" w:lineRule="auto"/>
              <w:ind w:left="22"/>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4</w:t>
            </w:r>
            <w:r>
              <w:rPr>
                <w:rFonts w:hint="eastAsia" w:ascii="仿宋_GB2312" w:hAnsi="仿宋_GB2312" w:eastAsia="仿宋_GB2312" w:cs="仿宋_GB2312"/>
                <w:snapToGrid w:val="0"/>
                <w:color w:val="000000"/>
                <w:spacing w:val="-4"/>
                <w:kern w:val="0"/>
                <w:sz w:val="24"/>
                <w:szCs w:val="24"/>
                <w:lang w:val="en-US" w:eastAsia="en-US" w:bidi="ar-SA"/>
              </w:rPr>
              <w:t>、</w:t>
            </w:r>
            <w:r>
              <w:rPr>
                <w:rFonts w:hint="eastAsia" w:ascii="仿宋_GB2312" w:hAnsi="仿宋_GB2312" w:eastAsia="仿宋_GB2312" w:cs="仿宋_GB2312"/>
                <w:snapToGrid w:val="0"/>
                <w:color w:val="000000"/>
                <w:spacing w:val="-4"/>
                <w:kern w:val="0"/>
                <w:sz w:val="24"/>
                <w:szCs w:val="24"/>
                <w:lang w:val="en-US" w:eastAsia="zh-CN" w:bidi="ar-SA"/>
              </w:rPr>
              <w:t>变更调整金额在合同价10%以上或金额在100万元以上的。</w:t>
            </w:r>
          </w:p>
        </w:tc>
      </w:tr>
      <w:tr w14:paraId="458CC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44" w:type="dxa"/>
            <w:vAlign w:val="top"/>
          </w:tcPr>
          <w:p w14:paraId="12B35932">
            <w:pPr>
              <w:spacing w:before="37" w:line="229" w:lineRule="auto"/>
              <w:ind w:left="14" w:right="174"/>
              <w:jc w:val="center"/>
              <w:rPr>
                <w:rFonts w:ascii="黑体" w:hAnsi="黑体" w:eastAsia="黑体" w:cs="黑体"/>
                <w:sz w:val="24"/>
                <w:szCs w:val="24"/>
              </w:rPr>
            </w:pPr>
            <w:r>
              <w:rPr>
                <w:rFonts w:ascii="黑体" w:hAnsi="黑体" w:eastAsia="黑体" w:cs="黑体"/>
                <w:spacing w:val="-3"/>
                <w:sz w:val="24"/>
                <w:szCs w:val="24"/>
              </w:rPr>
              <w:t>设计单位</w:t>
            </w:r>
            <w:r>
              <w:rPr>
                <w:rFonts w:ascii="黑体" w:hAnsi="黑体" w:eastAsia="黑体" w:cs="黑体"/>
                <w:sz w:val="24"/>
                <w:szCs w:val="24"/>
              </w:rPr>
              <w:t xml:space="preserve"> </w:t>
            </w:r>
            <w:r>
              <w:rPr>
                <w:rFonts w:ascii="黑体" w:hAnsi="黑体" w:eastAsia="黑体" w:cs="黑体"/>
                <w:spacing w:val="-3"/>
                <w:sz w:val="24"/>
                <w:szCs w:val="24"/>
              </w:rPr>
              <w:t>意见</w:t>
            </w:r>
          </w:p>
        </w:tc>
        <w:tc>
          <w:tcPr>
            <w:tcW w:w="8080" w:type="dxa"/>
            <w:gridSpan w:val="6"/>
            <w:vAlign w:val="top"/>
          </w:tcPr>
          <w:p w14:paraId="7F2D6013">
            <w:pPr>
              <w:pStyle w:val="22"/>
              <w:spacing w:before="36" w:line="217" w:lineRule="auto"/>
              <w:ind w:left="7"/>
              <w:rPr>
                <w:rFonts w:hint="eastAsia" w:ascii="仿宋_GB2312" w:hAnsi="仿宋_GB2312" w:eastAsia="仿宋_GB2312" w:cs="仿宋_GB2312"/>
                <w:spacing w:val="2"/>
              </w:rPr>
            </w:pPr>
            <w:r>
              <w:rPr>
                <w:rFonts w:hint="eastAsia" w:ascii="仿宋_GB2312" w:hAnsi="仿宋_GB2312" w:eastAsia="仿宋_GB2312" w:cs="仿宋_GB2312"/>
                <w:spacing w:val="-23"/>
              </w:rPr>
              <w:t>设计人员</w:t>
            </w:r>
            <w:r>
              <w:rPr>
                <w:rFonts w:hint="eastAsia" w:ascii="仿宋_GB2312" w:hAnsi="仿宋_GB2312" w:eastAsia="仿宋_GB2312" w:cs="仿宋_GB2312"/>
                <w:spacing w:val="-4"/>
              </w:rPr>
              <w:t>：</w:t>
            </w:r>
            <w:r>
              <w:rPr>
                <w:rFonts w:hint="eastAsia" w:ascii="仿宋_GB2312" w:hAnsi="仿宋_GB2312" w:eastAsia="仿宋_GB2312" w:cs="仿宋_GB2312"/>
                <w:spacing w:val="2"/>
              </w:rPr>
              <w:t xml:space="preserve">          </w:t>
            </w:r>
          </w:p>
          <w:p w14:paraId="399BA0F9">
            <w:pPr>
              <w:pStyle w:val="22"/>
              <w:spacing w:before="36" w:line="217" w:lineRule="auto"/>
              <w:ind w:left="7"/>
              <w:jc w:val="center"/>
              <w:rPr>
                <w:rFonts w:hint="eastAsia" w:ascii="仿宋_GB2312" w:hAnsi="仿宋_GB2312" w:eastAsia="仿宋_GB2312" w:cs="仿宋_GB2312"/>
              </w:rPr>
            </w:pPr>
            <w:r>
              <w:rPr>
                <w:rFonts w:hint="eastAsia" w:ascii="仿宋_GB2312" w:hAnsi="仿宋_GB2312" w:eastAsia="仿宋_GB2312" w:cs="仿宋_GB2312"/>
                <w:spacing w:val="2"/>
                <w:lang w:val="en-US" w:eastAsia="zh-CN"/>
              </w:rPr>
              <w:t xml:space="preserve">                               </w:t>
            </w:r>
            <w:r>
              <w:rPr>
                <w:rFonts w:hint="eastAsia" w:ascii="仿宋_GB2312" w:hAnsi="仿宋_GB2312" w:eastAsia="仿宋_GB2312" w:cs="仿宋_GB2312"/>
                <w:spacing w:val="-4"/>
              </w:rPr>
              <w:t>（</w:t>
            </w:r>
            <w:r>
              <w:rPr>
                <w:rFonts w:hint="eastAsia" w:ascii="仿宋_GB2312" w:hAnsi="仿宋_GB2312" w:eastAsia="仿宋_GB2312" w:cs="仿宋_GB2312"/>
                <w:spacing w:val="-23"/>
              </w:rPr>
              <w:t>设计单位公章）</w:t>
            </w:r>
          </w:p>
        </w:tc>
      </w:tr>
      <w:tr w14:paraId="5D82B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144" w:type="dxa"/>
            <w:vAlign w:val="top"/>
          </w:tcPr>
          <w:p w14:paraId="248ABD30">
            <w:pPr>
              <w:spacing w:before="37" w:line="229" w:lineRule="auto"/>
              <w:ind w:left="15" w:right="174" w:hanging="3"/>
              <w:jc w:val="center"/>
              <w:rPr>
                <w:rFonts w:ascii="黑体" w:hAnsi="黑体" w:eastAsia="黑体" w:cs="黑体"/>
                <w:sz w:val="24"/>
                <w:szCs w:val="24"/>
              </w:rPr>
            </w:pPr>
            <w:r>
              <w:rPr>
                <w:rFonts w:ascii="黑体" w:hAnsi="黑体" w:eastAsia="黑体" w:cs="黑体"/>
                <w:spacing w:val="-2"/>
                <w:sz w:val="24"/>
                <w:szCs w:val="24"/>
              </w:rPr>
              <w:t>施工单位</w:t>
            </w:r>
            <w:r>
              <w:rPr>
                <w:rFonts w:ascii="黑体" w:hAnsi="黑体" w:eastAsia="黑体" w:cs="黑体"/>
                <w:sz w:val="24"/>
                <w:szCs w:val="24"/>
              </w:rPr>
              <w:t xml:space="preserve"> </w:t>
            </w:r>
            <w:r>
              <w:rPr>
                <w:rFonts w:ascii="黑体" w:hAnsi="黑体" w:eastAsia="黑体" w:cs="黑体"/>
                <w:spacing w:val="-3"/>
                <w:sz w:val="24"/>
                <w:szCs w:val="24"/>
              </w:rPr>
              <w:t>意见</w:t>
            </w:r>
          </w:p>
        </w:tc>
        <w:tc>
          <w:tcPr>
            <w:tcW w:w="8080" w:type="dxa"/>
            <w:gridSpan w:val="6"/>
            <w:vAlign w:val="top"/>
          </w:tcPr>
          <w:p w14:paraId="0E0C3315">
            <w:pPr>
              <w:pStyle w:val="22"/>
              <w:spacing w:before="36" w:line="217" w:lineRule="auto"/>
              <w:ind w:left="8"/>
              <w:rPr>
                <w:rFonts w:hint="eastAsia" w:ascii="仿宋_GB2312" w:hAnsi="仿宋_GB2312" w:eastAsia="仿宋_GB2312" w:cs="仿宋_GB2312"/>
                <w:spacing w:val="6"/>
              </w:rPr>
            </w:pPr>
            <w:r>
              <w:rPr>
                <w:rFonts w:hint="eastAsia" w:ascii="仿宋_GB2312" w:hAnsi="仿宋_GB2312" w:eastAsia="仿宋_GB2312" w:cs="仿宋_GB2312"/>
                <w:spacing w:val="-17"/>
              </w:rPr>
              <w:t>施工单位项目负责人</w:t>
            </w:r>
            <w:r>
              <w:rPr>
                <w:rFonts w:hint="eastAsia" w:ascii="仿宋_GB2312" w:hAnsi="仿宋_GB2312" w:eastAsia="仿宋_GB2312" w:cs="仿宋_GB2312"/>
                <w:spacing w:val="-15"/>
              </w:rPr>
              <w:t>：</w:t>
            </w:r>
            <w:r>
              <w:rPr>
                <w:rFonts w:hint="eastAsia" w:ascii="仿宋_GB2312" w:hAnsi="仿宋_GB2312" w:eastAsia="仿宋_GB2312" w:cs="仿宋_GB2312"/>
                <w:spacing w:val="6"/>
              </w:rPr>
              <w:t xml:space="preserve">          </w:t>
            </w:r>
          </w:p>
          <w:p w14:paraId="4AF854FA">
            <w:pPr>
              <w:pStyle w:val="22"/>
              <w:spacing w:before="36" w:line="217" w:lineRule="auto"/>
              <w:ind w:left="8"/>
              <w:jc w:val="center"/>
              <w:rPr>
                <w:rFonts w:hint="eastAsia" w:ascii="仿宋_GB2312" w:hAnsi="仿宋_GB2312" w:eastAsia="仿宋_GB2312" w:cs="仿宋_GB2312"/>
              </w:rPr>
            </w:pPr>
            <w:r>
              <w:rPr>
                <w:rFonts w:hint="eastAsia" w:ascii="仿宋_GB2312" w:hAnsi="仿宋_GB2312" w:eastAsia="仿宋_GB2312" w:cs="仿宋_GB2312"/>
                <w:spacing w:val="-15"/>
                <w:lang w:val="en-US" w:eastAsia="zh-CN"/>
              </w:rPr>
              <w:t xml:space="preserve">                                          </w:t>
            </w:r>
            <w:r>
              <w:rPr>
                <w:rFonts w:hint="eastAsia" w:ascii="仿宋_GB2312" w:hAnsi="仿宋_GB2312" w:eastAsia="仿宋_GB2312" w:cs="仿宋_GB2312"/>
                <w:spacing w:val="-15"/>
              </w:rPr>
              <w:t>（</w:t>
            </w:r>
            <w:r>
              <w:rPr>
                <w:rFonts w:hint="eastAsia" w:ascii="仿宋_GB2312" w:hAnsi="仿宋_GB2312" w:eastAsia="仿宋_GB2312" w:cs="仿宋_GB2312"/>
                <w:spacing w:val="-17"/>
              </w:rPr>
              <w:t>施工单位公章）</w:t>
            </w:r>
          </w:p>
        </w:tc>
      </w:tr>
      <w:tr w14:paraId="62964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144" w:type="dxa"/>
            <w:vAlign w:val="top"/>
          </w:tcPr>
          <w:p w14:paraId="70BEB6E5">
            <w:pPr>
              <w:spacing w:before="37" w:line="225" w:lineRule="auto"/>
              <w:ind w:left="14" w:right="174" w:hanging="1"/>
              <w:jc w:val="center"/>
              <w:rPr>
                <w:rFonts w:ascii="黑体" w:hAnsi="黑体" w:eastAsia="黑体" w:cs="黑体"/>
                <w:sz w:val="24"/>
                <w:szCs w:val="24"/>
              </w:rPr>
            </w:pPr>
            <w:r>
              <w:rPr>
                <w:rFonts w:ascii="黑体" w:hAnsi="黑体" w:eastAsia="黑体" w:cs="黑体"/>
                <w:spacing w:val="-3"/>
                <w:sz w:val="24"/>
                <w:szCs w:val="24"/>
              </w:rPr>
              <w:t>建设单位</w:t>
            </w:r>
            <w:r>
              <w:rPr>
                <w:rFonts w:ascii="黑体" w:hAnsi="黑体" w:eastAsia="黑体" w:cs="黑体"/>
                <w:spacing w:val="1"/>
                <w:sz w:val="24"/>
                <w:szCs w:val="24"/>
              </w:rPr>
              <w:t xml:space="preserve"> </w:t>
            </w:r>
            <w:r>
              <w:rPr>
                <w:rFonts w:ascii="黑体" w:hAnsi="黑体" w:eastAsia="黑体" w:cs="黑体"/>
                <w:spacing w:val="-3"/>
                <w:sz w:val="24"/>
                <w:szCs w:val="24"/>
              </w:rPr>
              <w:t>意见</w:t>
            </w:r>
          </w:p>
        </w:tc>
        <w:tc>
          <w:tcPr>
            <w:tcW w:w="8080" w:type="dxa"/>
            <w:gridSpan w:val="6"/>
            <w:vAlign w:val="top"/>
          </w:tcPr>
          <w:p w14:paraId="6153938F">
            <w:pPr>
              <w:pStyle w:val="22"/>
              <w:spacing w:before="36" w:line="217" w:lineRule="auto"/>
              <w:ind w:left="5"/>
              <w:rPr>
                <w:rFonts w:hint="eastAsia" w:ascii="仿宋_GB2312" w:hAnsi="仿宋_GB2312" w:eastAsia="仿宋_GB2312" w:cs="仿宋_GB2312"/>
                <w:spacing w:val="6"/>
              </w:rPr>
            </w:pPr>
            <w:r>
              <w:rPr>
                <w:rFonts w:hint="eastAsia" w:ascii="仿宋_GB2312" w:hAnsi="仿宋_GB2312" w:eastAsia="仿宋_GB2312" w:cs="仿宋_GB2312"/>
                <w:spacing w:val="-20"/>
              </w:rPr>
              <w:t>建设单位法人</w:t>
            </w:r>
            <w:r>
              <w:rPr>
                <w:rFonts w:hint="eastAsia" w:ascii="仿宋_GB2312" w:hAnsi="仿宋_GB2312" w:eastAsia="仿宋_GB2312" w:cs="仿宋_GB2312"/>
                <w:spacing w:val="-19"/>
              </w:rPr>
              <w:t>：</w:t>
            </w:r>
            <w:r>
              <w:rPr>
                <w:rFonts w:hint="eastAsia" w:ascii="仿宋_GB2312" w:hAnsi="仿宋_GB2312" w:eastAsia="仿宋_GB2312" w:cs="仿宋_GB2312"/>
                <w:spacing w:val="6"/>
              </w:rPr>
              <w:t xml:space="preserve">          </w:t>
            </w:r>
          </w:p>
          <w:p w14:paraId="565BBF43">
            <w:pPr>
              <w:pStyle w:val="22"/>
              <w:spacing w:before="36" w:line="217" w:lineRule="auto"/>
              <w:ind w:left="5"/>
              <w:jc w:val="center"/>
              <w:rPr>
                <w:rFonts w:hint="eastAsia" w:ascii="仿宋_GB2312" w:hAnsi="仿宋_GB2312" w:eastAsia="仿宋_GB2312" w:cs="仿宋_GB2312"/>
              </w:rPr>
            </w:pPr>
            <w:r>
              <w:rPr>
                <w:rFonts w:hint="eastAsia" w:ascii="仿宋_GB2312" w:hAnsi="仿宋_GB2312" w:eastAsia="仿宋_GB2312" w:cs="仿宋_GB2312"/>
                <w:spacing w:val="-19"/>
                <w:lang w:val="en-US" w:eastAsia="zh-CN"/>
              </w:rPr>
              <w:t xml:space="preserve">                                              </w:t>
            </w:r>
            <w:r>
              <w:rPr>
                <w:rFonts w:hint="eastAsia" w:ascii="仿宋_GB2312" w:hAnsi="仿宋_GB2312" w:eastAsia="仿宋_GB2312" w:cs="仿宋_GB2312"/>
                <w:spacing w:val="-19"/>
              </w:rPr>
              <w:t>（</w:t>
            </w:r>
            <w:r>
              <w:rPr>
                <w:rFonts w:hint="eastAsia" w:ascii="仿宋_GB2312" w:hAnsi="仿宋_GB2312" w:eastAsia="仿宋_GB2312" w:cs="仿宋_GB2312"/>
                <w:spacing w:val="-20"/>
              </w:rPr>
              <w:t>建设单位公章）</w:t>
            </w:r>
          </w:p>
        </w:tc>
      </w:tr>
      <w:tr w14:paraId="2C3F2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144" w:type="dxa"/>
            <w:vAlign w:val="top"/>
          </w:tcPr>
          <w:p w14:paraId="06446135">
            <w:pPr>
              <w:spacing w:before="37" w:line="229" w:lineRule="auto"/>
              <w:ind w:left="18" w:right="174" w:hanging="5"/>
              <w:jc w:val="center"/>
              <w:rPr>
                <w:rFonts w:ascii="黑体" w:hAnsi="黑体" w:eastAsia="黑体" w:cs="黑体"/>
                <w:sz w:val="24"/>
                <w:szCs w:val="24"/>
              </w:rPr>
            </w:pPr>
            <w:r>
              <w:rPr>
                <w:rFonts w:hint="eastAsia" w:ascii="黑体" w:hAnsi="黑体" w:eastAsia="黑体" w:cs="黑体"/>
                <w:spacing w:val="-3"/>
                <w:sz w:val="24"/>
                <w:szCs w:val="24"/>
                <w:lang w:eastAsia="zh-CN"/>
              </w:rPr>
              <w:t>行业</w:t>
            </w:r>
            <w:r>
              <w:rPr>
                <w:rFonts w:ascii="黑体" w:hAnsi="黑体" w:eastAsia="黑体" w:cs="黑体"/>
                <w:spacing w:val="-3"/>
                <w:sz w:val="24"/>
                <w:szCs w:val="24"/>
              </w:rPr>
              <w:t>主管</w:t>
            </w:r>
            <w:r>
              <w:rPr>
                <w:rFonts w:ascii="黑体" w:hAnsi="黑体" w:eastAsia="黑体" w:cs="黑体"/>
                <w:spacing w:val="1"/>
                <w:sz w:val="24"/>
                <w:szCs w:val="24"/>
              </w:rPr>
              <w:t xml:space="preserve"> </w:t>
            </w:r>
            <w:r>
              <w:rPr>
                <w:rFonts w:ascii="黑体" w:hAnsi="黑体" w:eastAsia="黑体" w:cs="黑体"/>
                <w:spacing w:val="-4"/>
                <w:sz w:val="24"/>
                <w:szCs w:val="24"/>
              </w:rPr>
              <w:t>部门意见</w:t>
            </w:r>
          </w:p>
        </w:tc>
        <w:tc>
          <w:tcPr>
            <w:tcW w:w="8080" w:type="dxa"/>
            <w:gridSpan w:val="6"/>
            <w:vAlign w:val="top"/>
          </w:tcPr>
          <w:p w14:paraId="684B09EA">
            <w:pPr>
              <w:pStyle w:val="22"/>
              <w:spacing w:before="37" w:line="217" w:lineRule="auto"/>
              <w:ind w:left="7"/>
              <w:rPr>
                <w:rFonts w:hint="eastAsia" w:ascii="仿宋_GB2312" w:hAnsi="仿宋_GB2312" w:eastAsia="仿宋_GB2312" w:cs="仿宋_GB2312"/>
                <w:spacing w:val="7"/>
              </w:rPr>
            </w:pPr>
            <w:r>
              <w:rPr>
                <w:rFonts w:hint="eastAsia" w:ascii="仿宋_GB2312" w:hAnsi="仿宋_GB2312" w:eastAsia="仿宋_GB2312" w:cs="仿宋_GB2312"/>
                <w:spacing w:val="-14"/>
                <w:lang w:eastAsia="zh-CN"/>
              </w:rPr>
              <w:t>行业</w:t>
            </w:r>
            <w:r>
              <w:rPr>
                <w:rFonts w:hint="eastAsia" w:ascii="仿宋_GB2312" w:hAnsi="仿宋_GB2312" w:eastAsia="仿宋_GB2312" w:cs="仿宋_GB2312"/>
                <w:spacing w:val="-14"/>
              </w:rPr>
              <w:t>主管部门负责人</w:t>
            </w:r>
            <w:r>
              <w:rPr>
                <w:rFonts w:hint="eastAsia" w:ascii="仿宋_GB2312" w:hAnsi="仿宋_GB2312" w:eastAsia="仿宋_GB2312" w:cs="仿宋_GB2312"/>
                <w:spacing w:val="-13"/>
              </w:rPr>
              <w:t>：</w:t>
            </w:r>
            <w:r>
              <w:rPr>
                <w:rFonts w:hint="eastAsia" w:ascii="仿宋_GB2312" w:hAnsi="仿宋_GB2312" w:eastAsia="仿宋_GB2312" w:cs="仿宋_GB2312"/>
                <w:spacing w:val="7"/>
              </w:rPr>
              <w:t xml:space="preserve">         </w:t>
            </w:r>
          </w:p>
          <w:p w14:paraId="57AB8C7C">
            <w:pPr>
              <w:pStyle w:val="22"/>
              <w:spacing w:before="37" w:line="217" w:lineRule="auto"/>
              <w:ind w:left="7"/>
              <w:jc w:val="center"/>
              <w:rPr>
                <w:rFonts w:hint="eastAsia" w:ascii="仿宋_GB2312" w:hAnsi="仿宋_GB2312" w:eastAsia="仿宋_GB2312" w:cs="仿宋_GB2312"/>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13"/>
              </w:rPr>
              <w:t>（</w:t>
            </w:r>
            <w:r>
              <w:rPr>
                <w:rFonts w:hint="eastAsia" w:ascii="仿宋_GB2312" w:hAnsi="仿宋_GB2312" w:eastAsia="仿宋_GB2312" w:cs="仿宋_GB2312"/>
                <w:spacing w:val="-14"/>
                <w:lang w:eastAsia="zh-CN"/>
              </w:rPr>
              <w:t>行业</w:t>
            </w:r>
            <w:r>
              <w:rPr>
                <w:rFonts w:hint="eastAsia" w:ascii="仿宋_GB2312" w:hAnsi="仿宋_GB2312" w:eastAsia="仿宋_GB2312" w:cs="仿宋_GB2312"/>
                <w:spacing w:val="-14"/>
              </w:rPr>
              <w:t>主管部门单位公章）</w:t>
            </w:r>
          </w:p>
        </w:tc>
      </w:tr>
      <w:tr w14:paraId="07D91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44" w:type="dxa"/>
            <w:vAlign w:val="top"/>
          </w:tcPr>
          <w:p w14:paraId="07EBB38D">
            <w:pPr>
              <w:spacing w:before="41" w:line="229" w:lineRule="auto"/>
              <w:ind w:left="12" w:right="174"/>
              <w:jc w:val="center"/>
              <w:rPr>
                <w:rFonts w:ascii="黑体" w:hAnsi="黑体" w:eastAsia="黑体" w:cs="黑体"/>
                <w:sz w:val="24"/>
                <w:szCs w:val="24"/>
              </w:rPr>
            </w:pPr>
            <w:r>
              <w:rPr>
                <w:rFonts w:ascii="黑体" w:hAnsi="黑体" w:eastAsia="黑体" w:cs="黑体"/>
                <w:spacing w:val="-2"/>
                <w:sz w:val="24"/>
                <w:szCs w:val="24"/>
              </w:rPr>
              <w:t>政府分管</w:t>
            </w:r>
            <w:r>
              <w:rPr>
                <w:rFonts w:ascii="黑体" w:hAnsi="黑体" w:eastAsia="黑体" w:cs="黑体"/>
                <w:sz w:val="24"/>
                <w:szCs w:val="24"/>
              </w:rPr>
              <w:t xml:space="preserve"> </w:t>
            </w:r>
            <w:r>
              <w:rPr>
                <w:rFonts w:ascii="黑体" w:hAnsi="黑体" w:eastAsia="黑体" w:cs="黑体"/>
                <w:spacing w:val="-2"/>
                <w:sz w:val="24"/>
                <w:szCs w:val="24"/>
              </w:rPr>
              <w:t>领导意见</w:t>
            </w:r>
          </w:p>
        </w:tc>
        <w:tc>
          <w:tcPr>
            <w:tcW w:w="8080" w:type="dxa"/>
            <w:gridSpan w:val="6"/>
            <w:vAlign w:val="top"/>
          </w:tcPr>
          <w:p w14:paraId="749634BB">
            <w:pPr>
              <w:rPr>
                <w:rFonts w:ascii="Arial"/>
                <w:sz w:val="21"/>
              </w:rPr>
            </w:pPr>
          </w:p>
        </w:tc>
      </w:tr>
      <w:tr w14:paraId="3F13C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144" w:type="dxa"/>
            <w:vAlign w:val="top"/>
          </w:tcPr>
          <w:p w14:paraId="159DE385">
            <w:pPr>
              <w:spacing w:before="41" w:line="229" w:lineRule="auto"/>
              <w:ind w:left="12" w:right="174"/>
              <w:jc w:val="center"/>
              <w:rPr>
                <w:rFonts w:ascii="黑体" w:hAnsi="黑体" w:eastAsia="黑体" w:cs="黑体"/>
                <w:spacing w:val="-2"/>
                <w:sz w:val="24"/>
                <w:szCs w:val="24"/>
              </w:rPr>
            </w:pPr>
            <w:r>
              <w:rPr>
                <w:rFonts w:hint="eastAsia" w:ascii="黑体" w:hAnsi="黑体" w:eastAsia="黑体" w:cs="黑体"/>
                <w:spacing w:val="-2"/>
                <w:sz w:val="24"/>
                <w:szCs w:val="24"/>
                <w:lang w:val="en-US" w:eastAsia="zh-CN"/>
              </w:rPr>
              <w:t>分管财政工作的区领导意见</w:t>
            </w:r>
          </w:p>
        </w:tc>
        <w:tc>
          <w:tcPr>
            <w:tcW w:w="8080" w:type="dxa"/>
            <w:gridSpan w:val="6"/>
            <w:vAlign w:val="top"/>
          </w:tcPr>
          <w:p w14:paraId="7BF274DE">
            <w:pPr>
              <w:rPr>
                <w:rFonts w:ascii="Arial"/>
                <w:sz w:val="21"/>
              </w:rPr>
            </w:pPr>
          </w:p>
        </w:tc>
      </w:tr>
    </w:tbl>
    <w:p w14:paraId="6B15A822">
      <w:pPr>
        <w:keepNext w:val="0"/>
        <w:keepLines w:val="0"/>
        <w:widowControl/>
        <w:suppressLineNumbers w:val="0"/>
        <w:jc w:val="both"/>
        <w:rPr>
          <w:rFonts w:hint="eastAsia" w:ascii="黑体" w:hAnsi="黑体" w:eastAsia="黑体" w:cs="黑体"/>
          <w:color w:val="000000"/>
          <w:kern w:val="0"/>
          <w:sz w:val="32"/>
          <w:szCs w:val="32"/>
          <w:lang w:val="en-US" w:eastAsia="zh-CN" w:bidi="ar"/>
        </w:rPr>
        <w:sectPr>
          <w:footerReference r:id="rId5" w:type="first"/>
          <w:footerReference r:id="rId3" w:type="default"/>
          <w:footerReference r:id="rId4" w:type="even"/>
          <w:pgSz w:w="11907" w:h="16840"/>
          <w:pgMar w:top="2098" w:right="1474" w:bottom="1984" w:left="1587" w:header="851" w:footer="1247" w:gutter="0"/>
          <w:cols w:space="0" w:num="1"/>
          <w:titlePg/>
          <w:rtlGutter w:val="0"/>
          <w:docGrid w:type="lines" w:linePitch="315" w:charSpace="0"/>
        </w:sectPr>
      </w:pPr>
    </w:p>
    <w:p w14:paraId="6D093BB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sz w:val="32"/>
          <w:szCs w:val="32"/>
          <w:lang w:eastAsia="zh-CN"/>
        </w:rPr>
      </w:pPr>
    </w:p>
    <w:sectPr>
      <w:pgSz w:w="11907" w:h="16840"/>
      <w:pgMar w:top="2098" w:right="1474" w:bottom="1984" w:left="1587" w:header="851" w:footer="1247" w:gutter="0"/>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9CD3">
    <w:pPr>
      <w:pStyle w:val="9"/>
      <w:wordWrap w:val="0"/>
      <w:ind w:firstLine="280" w:firstLineChars="100"/>
      <w:jc w:val="right"/>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3B4E">
    <w:pPr>
      <w:pStyle w:val="9"/>
      <w:ind w:firstLine="280" w:firstLineChars="100"/>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3F83">
    <w:pPr>
      <w:pStyle w:val="9"/>
      <w:wordWrap w:val="0"/>
      <w:ind w:firstLine="280" w:firstLineChars="100"/>
      <w:jc w:val="right"/>
      <w:rPr>
        <w:rFonts w:hint="eastAsia"/>
      </w:rPr>
    </w:pPr>
    <w:r>
      <w:rPr>
        <w:rFonts w:hint="eastAsia" w:ascii="宋体" w:hAnsi="宋体"/>
        <w:kern w:val="0"/>
        <w:sz w:val="28"/>
        <w:szCs w:val="28"/>
      </w:rPr>
      <w:t>―</w:t>
    </w:r>
    <w:r>
      <w:rPr>
        <w:rFonts w:ascii="宋体" w:hAnsi="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1</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r>
      <w:rPr>
        <w:rFonts w:hint="eastAsia" w:ascii="宋体" w:hAnsi="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1633F"/>
    <w:multiLevelType w:val="singleLevel"/>
    <w:tmpl w:val="63B1633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mY2NzcwMzdmOGI5MDM4YTI1YjliNjllYjE5ZWUifQ=="/>
  </w:docVars>
  <w:rsids>
    <w:rsidRoot w:val="3DEC5263"/>
    <w:rsid w:val="00000F92"/>
    <w:rsid w:val="000054E3"/>
    <w:rsid w:val="0000612C"/>
    <w:rsid w:val="00013E02"/>
    <w:rsid w:val="00022C60"/>
    <w:rsid w:val="00035443"/>
    <w:rsid w:val="00063F1F"/>
    <w:rsid w:val="00066E04"/>
    <w:rsid w:val="00076483"/>
    <w:rsid w:val="00092459"/>
    <w:rsid w:val="000945EB"/>
    <w:rsid w:val="000A080A"/>
    <w:rsid w:val="000A49E8"/>
    <w:rsid w:val="000E1A9C"/>
    <w:rsid w:val="000E578E"/>
    <w:rsid w:val="000F547B"/>
    <w:rsid w:val="000F7DE2"/>
    <w:rsid w:val="001004E4"/>
    <w:rsid w:val="00103653"/>
    <w:rsid w:val="00104E8C"/>
    <w:rsid w:val="00104EA9"/>
    <w:rsid w:val="001303B6"/>
    <w:rsid w:val="00152E88"/>
    <w:rsid w:val="00162C1B"/>
    <w:rsid w:val="0016375E"/>
    <w:rsid w:val="0017468F"/>
    <w:rsid w:val="00192A6D"/>
    <w:rsid w:val="001A6974"/>
    <w:rsid w:val="001A7298"/>
    <w:rsid w:val="001C52B6"/>
    <w:rsid w:val="001D4D62"/>
    <w:rsid w:val="001D76F7"/>
    <w:rsid w:val="00202B99"/>
    <w:rsid w:val="0020337A"/>
    <w:rsid w:val="00216A7F"/>
    <w:rsid w:val="0021719B"/>
    <w:rsid w:val="00220493"/>
    <w:rsid w:val="002245CB"/>
    <w:rsid w:val="00230146"/>
    <w:rsid w:val="002326A2"/>
    <w:rsid w:val="00232FC4"/>
    <w:rsid w:val="00235AF1"/>
    <w:rsid w:val="00257F82"/>
    <w:rsid w:val="00262987"/>
    <w:rsid w:val="00263BD9"/>
    <w:rsid w:val="0027438A"/>
    <w:rsid w:val="00283421"/>
    <w:rsid w:val="002846FF"/>
    <w:rsid w:val="002C49D6"/>
    <w:rsid w:val="002F3605"/>
    <w:rsid w:val="002F5A83"/>
    <w:rsid w:val="003033C4"/>
    <w:rsid w:val="00317DCF"/>
    <w:rsid w:val="0032010C"/>
    <w:rsid w:val="00333B01"/>
    <w:rsid w:val="00341875"/>
    <w:rsid w:val="0036419F"/>
    <w:rsid w:val="003725FD"/>
    <w:rsid w:val="0037518C"/>
    <w:rsid w:val="00384DAB"/>
    <w:rsid w:val="0038676E"/>
    <w:rsid w:val="003A0047"/>
    <w:rsid w:val="003A05E4"/>
    <w:rsid w:val="003A2273"/>
    <w:rsid w:val="003B3C7B"/>
    <w:rsid w:val="003C0573"/>
    <w:rsid w:val="003D067B"/>
    <w:rsid w:val="003F2730"/>
    <w:rsid w:val="003F73BC"/>
    <w:rsid w:val="0040278E"/>
    <w:rsid w:val="00404608"/>
    <w:rsid w:val="0041070D"/>
    <w:rsid w:val="00410FF0"/>
    <w:rsid w:val="00452869"/>
    <w:rsid w:val="00452F67"/>
    <w:rsid w:val="00454090"/>
    <w:rsid w:val="0048571D"/>
    <w:rsid w:val="004928B1"/>
    <w:rsid w:val="004A2859"/>
    <w:rsid w:val="004B5D70"/>
    <w:rsid w:val="004B7B8A"/>
    <w:rsid w:val="004D4C8E"/>
    <w:rsid w:val="004D5326"/>
    <w:rsid w:val="004D7E7B"/>
    <w:rsid w:val="004E0FE7"/>
    <w:rsid w:val="004E5211"/>
    <w:rsid w:val="004F257E"/>
    <w:rsid w:val="004F73CE"/>
    <w:rsid w:val="0050120F"/>
    <w:rsid w:val="00534DFB"/>
    <w:rsid w:val="005632EF"/>
    <w:rsid w:val="005714C6"/>
    <w:rsid w:val="0058484F"/>
    <w:rsid w:val="00597393"/>
    <w:rsid w:val="005A1737"/>
    <w:rsid w:val="005B24C9"/>
    <w:rsid w:val="005C1F7F"/>
    <w:rsid w:val="005F3872"/>
    <w:rsid w:val="005F7E42"/>
    <w:rsid w:val="00602447"/>
    <w:rsid w:val="00605455"/>
    <w:rsid w:val="00611035"/>
    <w:rsid w:val="00614986"/>
    <w:rsid w:val="006149E9"/>
    <w:rsid w:val="00623011"/>
    <w:rsid w:val="00633EE2"/>
    <w:rsid w:val="00637F24"/>
    <w:rsid w:val="00673472"/>
    <w:rsid w:val="00675DDF"/>
    <w:rsid w:val="0067635D"/>
    <w:rsid w:val="00680A19"/>
    <w:rsid w:val="00690647"/>
    <w:rsid w:val="00694457"/>
    <w:rsid w:val="00697628"/>
    <w:rsid w:val="006A0D4B"/>
    <w:rsid w:val="006A39F4"/>
    <w:rsid w:val="006A5D27"/>
    <w:rsid w:val="006A77D6"/>
    <w:rsid w:val="006C1262"/>
    <w:rsid w:val="006C7BD4"/>
    <w:rsid w:val="006D48B5"/>
    <w:rsid w:val="006D6B97"/>
    <w:rsid w:val="006E3CED"/>
    <w:rsid w:val="006E5898"/>
    <w:rsid w:val="006F163E"/>
    <w:rsid w:val="007007EF"/>
    <w:rsid w:val="00707D4A"/>
    <w:rsid w:val="00712FBB"/>
    <w:rsid w:val="00722D33"/>
    <w:rsid w:val="00724FF7"/>
    <w:rsid w:val="0077007A"/>
    <w:rsid w:val="007833C3"/>
    <w:rsid w:val="007852E6"/>
    <w:rsid w:val="00790E4D"/>
    <w:rsid w:val="007B607E"/>
    <w:rsid w:val="007B6324"/>
    <w:rsid w:val="007C31F1"/>
    <w:rsid w:val="007C5888"/>
    <w:rsid w:val="007D689C"/>
    <w:rsid w:val="007E0933"/>
    <w:rsid w:val="007E0A4C"/>
    <w:rsid w:val="007F599C"/>
    <w:rsid w:val="00811623"/>
    <w:rsid w:val="00822AD0"/>
    <w:rsid w:val="00822EB4"/>
    <w:rsid w:val="008236DC"/>
    <w:rsid w:val="00830294"/>
    <w:rsid w:val="008311A6"/>
    <w:rsid w:val="00833951"/>
    <w:rsid w:val="008343FD"/>
    <w:rsid w:val="00834AE7"/>
    <w:rsid w:val="008438B7"/>
    <w:rsid w:val="00851ED9"/>
    <w:rsid w:val="00856240"/>
    <w:rsid w:val="00877270"/>
    <w:rsid w:val="00884102"/>
    <w:rsid w:val="00895D33"/>
    <w:rsid w:val="008B67AF"/>
    <w:rsid w:val="008C6007"/>
    <w:rsid w:val="008C7902"/>
    <w:rsid w:val="008D0678"/>
    <w:rsid w:val="008D20C7"/>
    <w:rsid w:val="008D7035"/>
    <w:rsid w:val="008E1567"/>
    <w:rsid w:val="008E7061"/>
    <w:rsid w:val="008F0DD9"/>
    <w:rsid w:val="00900F35"/>
    <w:rsid w:val="009150AF"/>
    <w:rsid w:val="00920619"/>
    <w:rsid w:val="0094256B"/>
    <w:rsid w:val="00946826"/>
    <w:rsid w:val="00971AF7"/>
    <w:rsid w:val="00975C9B"/>
    <w:rsid w:val="00981095"/>
    <w:rsid w:val="00982CFE"/>
    <w:rsid w:val="009A52B4"/>
    <w:rsid w:val="009A6AF2"/>
    <w:rsid w:val="009B6A38"/>
    <w:rsid w:val="009B7EA2"/>
    <w:rsid w:val="009C55DB"/>
    <w:rsid w:val="009C75E2"/>
    <w:rsid w:val="009E37F6"/>
    <w:rsid w:val="009E49E3"/>
    <w:rsid w:val="009F4F09"/>
    <w:rsid w:val="00A0388D"/>
    <w:rsid w:val="00A1797A"/>
    <w:rsid w:val="00A25EA1"/>
    <w:rsid w:val="00A45A2B"/>
    <w:rsid w:val="00A52CB4"/>
    <w:rsid w:val="00A53D8B"/>
    <w:rsid w:val="00A56896"/>
    <w:rsid w:val="00A6009A"/>
    <w:rsid w:val="00A61363"/>
    <w:rsid w:val="00A7220B"/>
    <w:rsid w:val="00A73BFC"/>
    <w:rsid w:val="00A84C83"/>
    <w:rsid w:val="00A95ADF"/>
    <w:rsid w:val="00AA1D33"/>
    <w:rsid w:val="00AA4C1D"/>
    <w:rsid w:val="00AB25C9"/>
    <w:rsid w:val="00AB6CD0"/>
    <w:rsid w:val="00AC0F49"/>
    <w:rsid w:val="00AE4A79"/>
    <w:rsid w:val="00AF31B1"/>
    <w:rsid w:val="00B60B08"/>
    <w:rsid w:val="00B63ECB"/>
    <w:rsid w:val="00B64001"/>
    <w:rsid w:val="00B67416"/>
    <w:rsid w:val="00B957C0"/>
    <w:rsid w:val="00BA018A"/>
    <w:rsid w:val="00BB4CDC"/>
    <w:rsid w:val="00BC2EFD"/>
    <w:rsid w:val="00BD640D"/>
    <w:rsid w:val="00BE0533"/>
    <w:rsid w:val="00BE0AC5"/>
    <w:rsid w:val="00BE4E84"/>
    <w:rsid w:val="00BE7821"/>
    <w:rsid w:val="00BF77A5"/>
    <w:rsid w:val="00C0473E"/>
    <w:rsid w:val="00C05FF4"/>
    <w:rsid w:val="00C070FB"/>
    <w:rsid w:val="00C15386"/>
    <w:rsid w:val="00C202E7"/>
    <w:rsid w:val="00C34AD5"/>
    <w:rsid w:val="00C35232"/>
    <w:rsid w:val="00C43A06"/>
    <w:rsid w:val="00C44B62"/>
    <w:rsid w:val="00C57761"/>
    <w:rsid w:val="00C61F5A"/>
    <w:rsid w:val="00C80A32"/>
    <w:rsid w:val="00C80ED9"/>
    <w:rsid w:val="00C831F7"/>
    <w:rsid w:val="00C9683C"/>
    <w:rsid w:val="00CB4BA6"/>
    <w:rsid w:val="00CB59D7"/>
    <w:rsid w:val="00CC6522"/>
    <w:rsid w:val="00CD08E0"/>
    <w:rsid w:val="00CD0A09"/>
    <w:rsid w:val="00CD2F20"/>
    <w:rsid w:val="00CD3A0F"/>
    <w:rsid w:val="00CE27D2"/>
    <w:rsid w:val="00D0124F"/>
    <w:rsid w:val="00D3403A"/>
    <w:rsid w:val="00D35D50"/>
    <w:rsid w:val="00D45378"/>
    <w:rsid w:val="00D4676B"/>
    <w:rsid w:val="00D46931"/>
    <w:rsid w:val="00D867C6"/>
    <w:rsid w:val="00DB120F"/>
    <w:rsid w:val="00DB17D7"/>
    <w:rsid w:val="00DC3AAA"/>
    <w:rsid w:val="00DD789A"/>
    <w:rsid w:val="00DE17A7"/>
    <w:rsid w:val="00DF66D6"/>
    <w:rsid w:val="00E03075"/>
    <w:rsid w:val="00E06460"/>
    <w:rsid w:val="00E167E7"/>
    <w:rsid w:val="00E33F25"/>
    <w:rsid w:val="00E40F8F"/>
    <w:rsid w:val="00E44FF5"/>
    <w:rsid w:val="00E52FAC"/>
    <w:rsid w:val="00E55CF9"/>
    <w:rsid w:val="00E55FD0"/>
    <w:rsid w:val="00E60A20"/>
    <w:rsid w:val="00E63EC6"/>
    <w:rsid w:val="00E66E2F"/>
    <w:rsid w:val="00E67B1C"/>
    <w:rsid w:val="00E81772"/>
    <w:rsid w:val="00E92A68"/>
    <w:rsid w:val="00E97E6D"/>
    <w:rsid w:val="00EB3CF3"/>
    <w:rsid w:val="00EB5F68"/>
    <w:rsid w:val="00EB78D5"/>
    <w:rsid w:val="00EC5B82"/>
    <w:rsid w:val="00EE3ABB"/>
    <w:rsid w:val="00EE49E7"/>
    <w:rsid w:val="00EF287A"/>
    <w:rsid w:val="00F0172B"/>
    <w:rsid w:val="00F14C00"/>
    <w:rsid w:val="00F23101"/>
    <w:rsid w:val="00F24997"/>
    <w:rsid w:val="00F24A87"/>
    <w:rsid w:val="00F378F8"/>
    <w:rsid w:val="00F37D65"/>
    <w:rsid w:val="00F53A01"/>
    <w:rsid w:val="00F64EAF"/>
    <w:rsid w:val="00F81518"/>
    <w:rsid w:val="00F83014"/>
    <w:rsid w:val="00F84283"/>
    <w:rsid w:val="00F96D22"/>
    <w:rsid w:val="00FA493E"/>
    <w:rsid w:val="00FB71E8"/>
    <w:rsid w:val="00FC0C38"/>
    <w:rsid w:val="00FD204D"/>
    <w:rsid w:val="00FD2AD0"/>
    <w:rsid w:val="00FD574B"/>
    <w:rsid w:val="00FD594E"/>
    <w:rsid w:val="00FF6F07"/>
    <w:rsid w:val="010D5FC6"/>
    <w:rsid w:val="013759AE"/>
    <w:rsid w:val="015B42E4"/>
    <w:rsid w:val="01F33470"/>
    <w:rsid w:val="04D12363"/>
    <w:rsid w:val="04F860D2"/>
    <w:rsid w:val="05777DA4"/>
    <w:rsid w:val="098E7AD4"/>
    <w:rsid w:val="09AF04F2"/>
    <w:rsid w:val="0B973B7F"/>
    <w:rsid w:val="0F59068B"/>
    <w:rsid w:val="115F2490"/>
    <w:rsid w:val="16BA0FE5"/>
    <w:rsid w:val="16C44FCB"/>
    <w:rsid w:val="176F19F9"/>
    <w:rsid w:val="18B30694"/>
    <w:rsid w:val="19AB0240"/>
    <w:rsid w:val="1A287F4C"/>
    <w:rsid w:val="1A9767F6"/>
    <w:rsid w:val="1CB6711D"/>
    <w:rsid w:val="1DD100EE"/>
    <w:rsid w:val="1E49610E"/>
    <w:rsid w:val="234B40F9"/>
    <w:rsid w:val="23D3442B"/>
    <w:rsid w:val="24562A35"/>
    <w:rsid w:val="24BB4158"/>
    <w:rsid w:val="24EC6623"/>
    <w:rsid w:val="254323FE"/>
    <w:rsid w:val="282A73DB"/>
    <w:rsid w:val="2A0474C2"/>
    <w:rsid w:val="2C5850ED"/>
    <w:rsid w:val="2C77199F"/>
    <w:rsid w:val="2E8E07E7"/>
    <w:rsid w:val="2F594349"/>
    <w:rsid w:val="34B2310F"/>
    <w:rsid w:val="35872F18"/>
    <w:rsid w:val="368B5C68"/>
    <w:rsid w:val="37BC7880"/>
    <w:rsid w:val="37C021BE"/>
    <w:rsid w:val="3D3047B1"/>
    <w:rsid w:val="3DEC5263"/>
    <w:rsid w:val="3E9767C7"/>
    <w:rsid w:val="3F2A39F5"/>
    <w:rsid w:val="3F462FA5"/>
    <w:rsid w:val="3F6F51DD"/>
    <w:rsid w:val="42035DD9"/>
    <w:rsid w:val="457C2F6B"/>
    <w:rsid w:val="457E0411"/>
    <w:rsid w:val="45F84BF8"/>
    <w:rsid w:val="4702264F"/>
    <w:rsid w:val="477C7697"/>
    <w:rsid w:val="480A21C4"/>
    <w:rsid w:val="481202EB"/>
    <w:rsid w:val="48707DF0"/>
    <w:rsid w:val="48F01AEA"/>
    <w:rsid w:val="49310464"/>
    <w:rsid w:val="49B34D65"/>
    <w:rsid w:val="4B322777"/>
    <w:rsid w:val="4B573AA2"/>
    <w:rsid w:val="4BA0651E"/>
    <w:rsid w:val="4D487DCD"/>
    <w:rsid w:val="4D9F4B75"/>
    <w:rsid w:val="4E6D030A"/>
    <w:rsid w:val="4EEA2AD2"/>
    <w:rsid w:val="4F5E6F76"/>
    <w:rsid w:val="50BE293A"/>
    <w:rsid w:val="53D578AD"/>
    <w:rsid w:val="55551D72"/>
    <w:rsid w:val="55DF1CDC"/>
    <w:rsid w:val="580616D0"/>
    <w:rsid w:val="58A82DC6"/>
    <w:rsid w:val="58B60FDF"/>
    <w:rsid w:val="599D7A39"/>
    <w:rsid w:val="5A595C18"/>
    <w:rsid w:val="5AB75F5E"/>
    <w:rsid w:val="5AD93182"/>
    <w:rsid w:val="5D2B78FF"/>
    <w:rsid w:val="5D416B66"/>
    <w:rsid w:val="5D454A69"/>
    <w:rsid w:val="5DF46715"/>
    <w:rsid w:val="5FB31915"/>
    <w:rsid w:val="61062551"/>
    <w:rsid w:val="61377DF9"/>
    <w:rsid w:val="61602369"/>
    <w:rsid w:val="61707B23"/>
    <w:rsid w:val="62795F89"/>
    <w:rsid w:val="62C457AD"/>
    <w:rsid w:val="63D47B81"/>
    <w:rsid w:val="63DA3245"/>
    <w:rsid w:val="6695404B"/>
    <w:rsid w:val="67625E8E"/>
    <w:rsid w:val="6AD43AD2"/>
    <w:rsid w:val="6B1C3E68"/>
    <w:rsid w:val="6C6D256F"/>
    <w:rsid w:val="6DD9077C"/>
    <w:rsid w:val="6E512686"/>
    <w:rsid w:val="6F0B6765"/>
    <w:rsid w:val="701100C8"/>
    <w:rsid w:val="712E1D9A"/>
    <w:rsid w:val="71E700C3"/>
    <w:rsid w:val="725D1673"/>
    <w:rsid w:val="728B6B91"/>
    <w:rsid w:val="730613D9"/>
    <w:rsid w:val="73B0718C"/>
    <w:rsid w:val="74F71786"/>
    <w:rsid w:val="7621652A"/>
    <w:rsid w:val="77E61A41"/>
    <w:rsid w:val="7D0A2C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widowControl w:val="0"/>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beforeLines="0" w:beforeAutospacing="0" w:after="260" w:afterLines="0" w:afterAutospacing="0" w:line="413" w:lineRule="auto"/>
      <w:outlineLvl w:val="2"/>
    </w:pPr>
    <w:rPr>
      <w:b/>
      <w:sz w:val="32"/>
    </w:rPr>
  </w:style>
  <w:style w:type="character" w:default="1" w:styleId="14">
    <w:name w:val="Default Paragraph Font"/>
    <w:autoRedefine/>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annotation text"/>
    <w:basedOn w:val="1"/>
    <w:qFormat/>
    <w:uiPriority w:val="0"/>
    <w:pPr>
      <w:jc w:val="left"/>
    </w:pPr>
  </w:style>
  <w:style w:type="paragraph" w:styleId="7">
    <w:name w:val="Date"/>
    <w:basedOn w:val="1"/>
    <w:next w:val="1"/>
    <w:autoRedefine/>
    <w:qFormat/>
    <w:uiPriority w:val="0"/>
    <w:pPr>
      <w:ind w:left="100" w:leftChars="2500"/>
    </w:pPr>
  </w:style>
  <w:style w:type="paragraph" w:styleId="8">
    <w:name w:val="Balloon Text"/>
    <w:basedOn w:val="1"/>
    <w:autoRedefine/>
    <w:qFormat/>
    <w:uiPriority w:val="0"/>
    <w:rPr>
      <w:sz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kern w:val="0"/>
      <w:sz w:val="24"/>
    </w:rPr>
  </w:style>
  <w:style w:type="table" w:styleId="1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 Char"/>
    <w:basedOn w:val="1"/>
    <w:autoRedefine/>
    <w:qFormat/>
    <w:uiPriority w:val="0"/>
    <w:rPr>
      <w:rFonts w:ascii="宋体"/>
      <w:sz w:val="32"/>
    </w:rPr>
  </w:style>
  <w:style w:type="paragraph" w:customStyle="1" w:styleId="17">
    <w:name w:val="Char Char1 Char"/>
    <w:basedOn w:val="1"/>
    <w:autoRedefine/>
    <w:qFormat/>
    <w:uiPriority w:val="0"/>
  </w:style>
  <w:style w:type="paragraph" w:customStyle="1" w:styleId="18">
    <w:name w:val=" Char Char Char Char Char Char Char Char Char Char"/>
    <w:basedOn w:val="1"/>
    <w:autoRedefine/>
    <w:qFormat/>
    <w:uiPriority w:val="0"/>
  </w:style>
  <w:style w:type="paragraph" w:customStyle="1" w:styleId="19">
    <w:name w:val="Char"/>
    <w:basedOn w:val="1"/>
    <w:autoRedefine/>
    <w:qFormat/>
    <w:uiPriority w:val="0"/>
    <w:pPr>
      <w:widowControl/>
      <w:spacing w:after="160" w:afterLines="0" w:afterAutospacing="0" w:line="240" w:lineRule="exact"/>
      <w:jc w:val="left"/>
    </w:pPr>
  </w:style>
  <w:style w:type="paragraph" w:customStyle="1" w:styleId="20">
    <w:name w:val="List Paragraph"/>
    <w:basedOn w:val="1"/>
    <w:autoRedefine/>
    <w:qFormat/>
    <w:uiPriority w:val="34"/>
    <w:pPr>
      <w:ind w:firstLine="420" w:firstLineChars="200"/>
    </w:p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150;&#20844;\&#21306;&#21457;&#25913;&#23616;&#25991;&#20214;%20&#27169;&#26495;(2).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区发改局文件 模板(2).dotm</Template>
  <Pages>24</Pages>
  <Words>10974</Words>
  <Characters>11069</Characters>
  <Lines>5</Lines>
  <Paragraphs>1</Paragraphs>
  <TotalTime>1061</TotalTime>
  <ScaleCrop>false</ScaleCrop>
  <LinksUpToDate>false</LinksUpToDate>
  <CharactersWithSpaces>11482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2024-04-16T03:18:00Z</dcterms:created>
  <dc:creator>~茜~</dc:creator>
  <cp:lastModifiedBy>被软禁的红</cp:lastModifiedBy>
  <cp:lastPrinted>2025-05-06T09:12:00Z</cp:lastPrinted>
  <dcterms:modified xsi:type="dcterms:W3CDTF">2025-06-09T01:33:45Z</dcterms:modified>
  <dc:title>乐山市人民政府办公室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26DFF3CE15054C9986D6078952C4CBA5_13</vt:lpwstr>
  </property>
  <property fmtid="{D5CDD505-2E9C-101B-9397-08002B2CF9AE}" pid="4" name="KSOTemplateDocerSaveRecord">
    <vt:lpwstr>eyJoZGlkIjoiNGIxOTEyNWUwNzM1YTUxNWIwNzc1YTEwYTc1M2JlZTEiLCJ1c2VySWQiOiIxMzEwNDQzOCJ9</vt:lpwstr>
  </property>
</Properties>
</file>