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BFAC">
      <w:pPr>
        <w:pStyle w:val="19"/>
        <w:spacing w:beforeAutospacing="0" w:afterAutospacing="0" w:line="820" w:lineRule="exact"/>
        <w:ind w:firstLine="0" w:firstLineChars="0"/>
        <w:jc w:val="center"/>
        <w:outlineLvl w:val="0"/>
        <w:rPr>
          <w:rFonts w:eastAsia="微软雅黑"/>
          <w:b/>
          <w:bCs/>
          <w:sz w:val="44"/>
          <w:szCs w:val="44"/>
        </w:rPr>
      </w:pPr>
      <w:bookmarkStart w:id="0" w:name="_Toc4926"/>
      <w:bookmarkStart w:id="1" w:name="_Toc4482"/>
      <w:bookmarkStart w:id="2" w:name="_Toc27923"/>
      <w:bookmarkStart w:id="3" w:name="_Toc16439"/>
      <w:r>
        <w:rPr>
          <w:rFonts w:hint="eastAsia" w:eastAsia="微软雅黑"/>
          <w:b/>
          <w:bCs/>
          <w:sz w:val="44"/>
          <w:szCs w:val="44"/>
        </w:rPr>
        <w:t>乐山市金口河区粮食和物资储备中心</w:t>
      </w:r>
      <w:bookmarkEnd w:id="0"/>
    </w:p>
    <w:p w14:paraId="2A5EA907">
      <w:pPr>
        <w:pStyle w:val="19"/>
        <w:spacing w:beforeAutospacing="0" w:afterAutospacing="0" w:line="820" w:lineRule="exact"/>
        <w:ind w:leftChars="-44" w:right="-480" w:rightChars="-150" w:hanging="141" w:hangingChars="32"/>
        <w:jc w:val="center"/>
        <w:outlineLvl w:val="0"/>
        <w:rPr>
          <w:rFonts w:eastAsia="微软雅黑"/>
          <w:b/>
          <w:bCs/>
          <w:sz w:val="44"/>
          <w:szCs w:val="44"/>
        </w:rPr>
      </w:pPr>
      <w:bookmarkStart w:id="4" w:name="_Toc12088"/>
      <w:r>
        <w:rPr>
          <w:rFonts w:hint="eastAsia" w:eastAsia="微软雅黑"/>
          <w:b/>
          <w:bCs/>
          <w:sz w:val="44"/>
          <w:szCs w:val="44"/>
        </w:rPr>
        <w:t>储备粮油费用补贴</w:t>
      </w:r>
      <w:bookmarkEnd w:id="4"/>
    </w:p>
    <w:bookmarkEnd w:id="1"/>
    <w:bookmarkEnd w:id="2"/>
    <w:bookmarkEnd w:id="3"/>
    <w:p w14:paraId="211221F4">
      <w:pPr>
        <w:pStyle w:val="19"/>
        <w:spacing w:beforeAutospacing="0" w:afterAutospacing="0" w:line="820" w:lineRule="exact"/>
        <w:ind w:right="83" w:rightChars="26" w:firstLine="0" w:firstLineChars="0"/>
        <w:jc w:val="center"/>
        <w:outlineLvl w:val="0"/>
        <w:rPr>
          <w:rFonts w:eastAsia="微软雅黑"/>
          <w:b/>
          <w:bCs/>
          <w:sz w:val="44"/>
          <w:szCs w:val="44"/>
        </w:rPr>
      </w:pPr>
    </w:p>
    <w:p w14:paraId="50BCC12E">
      <w:pPr>
        <w:pStyle w:val="19"/>
        <w:spacing w:beforeAutospacing="0" w:afterAutospacing="0" w:line="820" w:lineRule="exact"/>
        <w:ind w:right="83" w:rightChars="26" w:firstLine="0" w:firstLineChars="0"/>
        <w:jc w:val="center"/>
        <w:outlineLvl w:val="0"/>
        <w:rPr>
          <w:rFonts w:eastAsia="微软雅黑"/>
          <w:b/>
          <w:bCs/>
          <w:sz w:val="44"/>
          <w:szCs w:val="44"/>
        </w:rPr>
      </w:pPr>
      <w:bookmarkStart w:id="5" w:name="_Toc29784"/>
      <w:bookmarkStart w:id="6" w:name="_Toc24858"/>
      <w:r>
        <w:rPr>
          <w:rFonts w:hint="eastAsia" w:eastAsia="微软雅黑"/>
          <w:b/>
          <w:bCs/>
          <w:sz w:val="44"/>
          <w:szCs w:val="44"/>
        </w:rPr>
        <w:t>事</w:t>
      </w:r>
      <w:bookmarkEnd w:id="5"/>
      <w:bookmarkEnd w:id="6"/>
    </w:p>
    <w:p w14:paraId="1949E73D">
      <w:pPr>
        <w:pStyle w:val="19"/>
        <w:spacing w:beforeAutospacing="0" w:afterAutospacing="0" w:line="820" w:lineRule="exact"/>
        <w:ind w:right="83" w:rightChars="26" w:firstLine="0" w:firstLineChars="0"/>
        <w:jc w:val="center"/>
        <w:outlineLvl w:val="0"/>
        <w:rPr>
          <w:rFonts w:eastAsia="微软雅黑"/>
          <w:b/>
          <w:bCs/>
          <w:sz w:val="44"/>
          <w:szCs w:val="44"/>
        </w:rPr>
      </w:pPr>
      <w:bookmarkStart w:id="7" w:name="_Toc3257"/>
      <w:bookmarkStart w:id="8" w:name="_Toc19435"/>
      <w:r>
        <w:rPr>
          <w:rFonts w:hint="eastAsia" w:eastAsia="微软雅黑"/>
          <w:b/>
          <w:bCs/>
          <w:sz w:val="44"/>
          <w:szCs w:val="44"/>
        </w:rPr>
        <w:t>前</w:t>
      </w:r>
      <w:bookmarkEnd w:id="7"/>
      <w:bookmarkEnd w:id="8"/>
    </w:p>
    <w:p w14:paraId="77F83F2B">
      <w:pPr>
        <w:pStyle w:val="19"/>
        <w:spacing w:beforeAutospacing="0" w:afterAutospacing="0" w:line="820" w:lineRule="exact"/>
        <w:ind w:right="83" w:rightChars="26" w:firstLine="0" w:firstLineChars="0"/>
        <w:jc w:val="center"/>
        <w:outlineLvl w:val="0"/>
        <w:rPr>
          <w:rFonts w:eastAsia="微软雅黑"/>
          <w:b/>
          <w:bCs/>
          <w:sz w:val="44"/>
          <w:szCs w:val="44"/>
        </w:rPr>
      </w:pPr>
      <w:bookmarkStart w:id="9" w:name="_Toc13192"/>
      <w:bookmarkStart w:id="10" w:name="_Toc17772"/>
      <w:r>
        <w:rPr>
          <w:rFonts w:eastAsia="微软雅黑"/>
          <w:b/>
          <w:bCs/>
          <w:sz w:val="44"/>
          <w:szCs w:val="44"/>
        </w:rPr>
        <w:t>绩</w:t>
      </w:r>
      <w:bookmarkEnd w:id="9"/>
      <w:bookmarkEnd w:id="10"/>
    </w:p>
    <w:p w14:paraId="12A34238">
      <w:pPr>
        <w:pStyle w:val="19"/>
        <w:spacing w:beforeAutospacing="0" w:afterAutospacing="0" w:line="820" w:lineRule="exact"/>
        <w:ind w:right="83" w:rightChars="26" w:firstLine="0" w:firstLineChars="0"/>
        <w:jc w:val="center"/>
        <w:outlineLvl w:val="0"/>
        <w:rPr>
          <w:rFonts w:eastAsia="微软雅黑"/>
          <w:b/>
          <w:bCs/>
          <w:sz w:val="44"/>
          <w:szCs w:val="44"/>
        </w:rPr>
      </w:pPr>
      <w:bookmarkStart w:id="11" w:name="_Toc14778"/>
      <w:bookmarkStart w:id="12" w:name="_Toc30199"/>
      <w:r>
        <w:rPr>
          <w:rFonts w:eastAsia="微软雅黑"/>
          <w:b/>
          <w:bCs/>
          <w:sz w:val="44"/>
          <w:szCs w:val="44"/>
        </w:rPr>
        <w:t>效</w:t>
      </w:r>
      <w:bookmarkEnd w:id="11"/>
      <w:bookmarkEnd w:id="12"/>
    </w:p>
    <w:p w14:paraId="2D2A7990">
      <w:pPr>
        <w:pStyle w:val="19"/>
        <w:spacing w:beforeAutospacing="0" w:afterAutospacing="0" w:line="820" w:lineRule="exact"/>
        <w:ind w:right="83" w:rightChars="26" w:firstLine="0" w:firstLineChars="0"/>
        <w:jc w:val="center"/>
        <w:outlineLvl w:val="0"/>
        <w:rPr>
          <w:rFonts w:eastAsia="微软雅黑"/>
          <w:b/>
          <w:bCs/>
          <w:sz w:val="44"/>
          <w:szCs w:val="44"/>
        </w:rPr>
      </w:pPr>
      <w:bookmarkStart w:id="13" w:name="_Toc6131"/>
      <w:bookmarkStart w:id="14" w:name="_Toc27740"/>
      <w:r>
        <w:rPr>
          <w:rFonts w:eastAsia="微软雅黑"/>
          <w:b/>
          <w:bCs/>
          <w:sz w:val="44"/>
          <w:szCs w:val="44"/>
        </w:rPr>
        <w:t>评</w:t>
      </w:r>
      <w:bookmarkEnd w:id="13"/>
      <w:bookmarkEnd w:id="14"/>
    </w:p>
    <w:p w14:paraId="4F2141FB">
      <w:pPr>
        <w:pStyle w:val="19"/>
        <w:spacing w:beforeAutospacing="0" w:afterAutospacing="0" w:line="820" w:lineRule="exact"/>
        <w:ind w:right="83" w:rightChars="26" w:firstLine="0" w:firstLineChars="0"/>
        <w:jc w:val="center"/>
        <w:outlineLvl w:val="0"/>
        <w:rPr>
          <w:rFonts w:eastAsia="微软雅黑"/>
          <w:b/>
          <w:bCs/>
          <w:sz w:val="44"/>
          <w:szCs w:val="44"/>
        </w:rPr>
      </w:pPr>
      <w:bookmarkStart w:id="15" w:name="_Toc5005"/>
      <w:bookmarkStart w:id="16" w:name="_Toc18637"/>
      <w:r>
        <w:rPr>
          <w:rFonts w:eastAsia="微软雅黑"/>
          <w:b/>
          <w:bCs/>
          <w:sz w:val="44"/>
          <w:szCs w:val="44"/>
        </w:rPr>
        <w:t>价</w:t>
      </w:r>
      <w:bookmarkEnd w:id="15"/>
      <w:bookmarkEnd w:id="16"/>
    </w:p>
    <w:p w14:paraId="19BBD711">
      <w:pPr>
        <w:pStyle w:val="19"/>
        <w:spacing w:beforeAutospacing="0" w:afterAutospacing="0" w:line="820" w:lineRule="exact"/>
        <w:ind w:right="83" w:rightChars="26" w:firstLine="0" w:firstLineChars="0"/>
        <w:jc w:val="center"/>
        <w:outlineLvl w:val="0"/>
        <w:rPr>
          <w:rFonts w:eastAsia="微软雅黑"/>
          <w:b/>
          <w:bCs/>
          <w:sz w:val="44"/>
          <w:szCs w:val="44"/>
        </w:rPr>
      </w:pPr>
      <w:bookmarkStart w:id="17" w:name="_Toc14819"/>
      <w:bookmarkStart w:id="18" w:name="_Toc22413"/>
      <w:r>
        <w:rPr>
          <w:rFonts w:eastAsia="微软雅黑"/>
          <w:b/>
          <w:bCs/>
          <w:sz w:val="44"/>
          <w:szCs w:val="44"/>
        </w:rPr>
        <w:t>报</w:t>
      </w:r>
      <w:bookmarkEnd w:id="17"/>
      <w:bookmarkEnd w:id="18"/>
    </w:p>
    <w:p w14:paraId="2E0E7512">
      <w:pPr>
        <w:pStyle w:val="19"/>
        <w:spacing w:beforeAutospacing="0" w:afterAutospacing="0" w:line="820" w:lineRule="exact"/>
        <w:ind w:right="83" w:rightChars="26" w:firstLine="0" w:firstLineChars="0"/>
        <w:jc w:val="center"/>
        <w:outlineLvl w:val="0"/>
        <w:rPr>
          <w:rFonts w:eastAsia="微软雅黑"/>
          <w:b/>
          <w:bCs/>
          <w:sz w:val="44"/>
          <w:szCs w:val="44"/>
        </w:rPr>
      </w:pPr>
      <w:bookmarkStart w:id="19" w:name="_Toc5311"/>
      <w:bookmarkStart w:id="20" w:name="_Toc26914"/>
      <w:r>
        <w:rPr>
          <w:rFonts w:eastAsia="微软雅黑"/>
          <w:b/>
          <w:bCs/>
          <w:sz w:val="44"/>
          <w:szCs w:val="44"/>
        </w:rPr>
        <w:t>告</w:t>
      </w:r>
      <w:bookmarkEnd w:id="19"/>
      <w:bookmarkEnd w:id="20"/>
    </w:p>
    <w:p w14:paraId="01E82479">
      <w:pPr>
        <w:snapToGrid w:val="0"/>
        <w:spacing w:line="600" w:lineRule="exact"/>
        <w:rPr>
          <w:rStyle w:val="66"/>
          <w:rFonts w:hint="eastAsia" w:eastAsia="仿宋_GB2312"/>
          <w:bCs/>
          <w:sz w:val="28"/>
          <w:szCs w:val="28"/>
          <w:lang w:eastAsia="zh-CN"/>
        </w:rPr>
      </w:pPr>
    </w:p>
    <w:p w14:paraId="7C27CE07">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lang w:eastAsia="zh-CN"/>
        </w:rPr>
        <w:t>项目编号：</w:t>
      </w:r>
      <w:r>
        <w:rPr>
          <w:rStyle w:val="66"/>
          <w:rFonts w:eastAsia="仿宋_GB2312"/>
          <w:bCs/>
          <w:sz w:val="28"/>
          <w:szCs w:val="28"/>
          <w:highlight w:val="none"/>
          <w:lang w:eastAsia="zh-CN"/>
        </w:rPr>
        <w:t>金财绩评（202</w:t>
      </w:r>
      <w:r>
        <w:rPr>
          <w:rStyle w:val="66"/>
          <w:rFonts w:hint="eastAsia" w:eastAsia="仿宋_GB2312"/>
          <w:bCs/>
          <w:sz w:val="28"/>
          <w:szCs w:val="28"/>
          <w:highlight w:val="none"/>
          <w:lang w:eastAsia="zh-CN"/>
        </w:rPr>
        <w:t>5</w:t>
      </w:r>
      <w:r>
        <w:rPr>
          <w:rStyle w:val="66"/>
          <w:rFonts w:eastAsia="仿宋_GB2312"/>
          <w:bCs/>
          <w:sz w:val="28"/>
          <w:szCs w:val="28"/>
          <w:highlight w:val="none"/>
          <w:lang w:eastAsia="zh-CN"/>
        </w:rPr>
        <w:t>）0</w:t>
      </w:r>
      <w:r>
        <w:rPr>
          <w:rStyle w:val="66"/>
          <w:rFonts w:hint="eastAsia" w:eastAsia="仿宋_GB2312"/>
          <w:bCs/>
          <w:sz w:val="28"/>
          <w:szCs w:val="28"/>
          <w:highlight w:val="none"/>
          <w:lang w:eastAsia="zh-CN"/>
        </w:rPr>
        <w:t>4</w:t>
      </w:r>
      <w:r>
        <w:rPr>
          <w:rStyle w:val="66"/>
          <w:rFonts w:eastAsia="仿宋_GB2312"/>
          <w:bCs/>
          <w:sz w:val="28"/>
          <w:szCs w:val="28"/>
          <w:highlight w:val="none"/>
          <w:lang w:eastAsia="zh-CN"/>
        </w:rPr>
        <w:t>号</w:t>
      </w:r>
    </w:p>
    <w:p w14:paraId="1E935BD9">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主管部门：</w:t>
      </w:r>
      <w:r>
        <w:rPr>
          <w:rStyle w:val="66"/>
          <w:rFonts w:hint="eastAsia" w:eastAsia="仿宋_GB2312"/>
          <w:bCs/>
          <w:sz w:val="28"/>
          <w:szCs w:val="28"/>
          <w:lang w:eastAsia="zh-CN"/>
        </w:rPr>
        <w:t>乐山市金口河区粮食和物资储备中心</w:t>
      </w:r>
    </w:p>
    <w:p w14:paraId="1D5FECC3">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实施单位：</w:t>
      </w:r>
      <w:r>
        <w:rPr>
          <w:rStyle w:val="66"/>
          <w:rFonts w:hint="eastAsia" w:eastAsia="仿宋_GB2312"/>
          <w:bCs/>
          <w:sz w:val="28"/>
          <w:szCs w:val="28"/>
          <w:lang w:eastAsia="zh-CN"/>
        </w:rPr>
        <w:t>乐山市金口河区粮食和物资储备中心</w:t>
      </w:r>
    </w:p>
    <w:p w14:paraId="29941E0B">
      <w:pPr>
        <w:rPr>
          <w:rFonts w:eastAsia="微软雅黑"/>
          <w:b/>
          <w:szCs w:val="32"/>
          <w:lang w:eastAsia="zh-CN"/>
        </w:rPr>
      </w:pPr>
      <w:r>
        <w:rPr>
          <w:rStyle w:val="66"/>
          <w:rFonts w:eastAsia="仿宋_GB2312"/>
          <w:bCs/>
          <w:sz w:val="28"/>
          <w:szCs w:val="28"/>
          <w:lang w:eastAsia="zh-CN"/>
        </w:rPr>
        <w:t>评价单位：乐山市金口河区财政投资评价审核中心</w:t>
      </w:r>
    </w:p>
    <w:p w14:paraId="1C2D85B2">
      <w:pPr>
        <w:pStyle w:val="19"/>
        <w:widowControl/>
        <w:ind w:firstLine="880"/>
        <w:jc w:val="center"/>
        <w:rPr>
          <w:rFonts w:eastAsia="微软雅黑"/>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14:paraId="64F365BA">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21" w:name="_Toc27535"/>
      <w:r>
        <w:rPr>
          <w:rFonts w:hint="eastAsia" w:ascii="宋体" w:hAnsi="宋体" w:eastAsia="宋体" w:cs="宋体"/>
          <w:b w:val="0"/>
          <w:bCs w:val="0"/>
          <w:lang w:eastAsia="zh-CN"/>
        </w:rPr>
        <w:t>乐山市金口河区粮食和物资储备中心</w:t>
      </w:r>
      <w:bookmarkEnd w:id="21"/>
    </w:p>
    <w:p w14:paraId="6ECBA90F">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22" w:name="_Toc11450"/>
      <w:r>
        <w:rPr>
          <w:rFonts w:hint="eastAsia" w:ascii="宋体" w:hAnsi="宋体" w:eastAsia="宋体" w:cs="宋体"/>
          <w:b w:val="0"/>
          <w:bCs w:val="0"/>
          <w:lang w:eastAsia="zh-CN"/>
        </w:rPr>
        <w:t>储备粮油费用补贴</w:t>
      </w:r>
      <w:bookmarkEnd w:id="22"/>
    </w:p>
    <w:p w14:paraId="6818E73B">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23" w:name="_Toc23933"/>
      <w:bookmarkStart w:id="24" w:name="_Toc25871"/>
      <w:r>
        <w:rPr>
          <w:rFonts w:hint="eastAsia" w:ascii="宋体" w:hAnsi="宋体" w:eastAsia="宋体" w:cs="宋体"/>
          <w:b w:val="0"/>
          <w:bCs w:val="0"/>
          <w:lang w:eastAsia="zh-CN"/>
        </w:rPr>
        <w:t>事前绩效评价结论</w:t>
      </w:r>
      <w:bookmarkEnd w:id="23"/>
      <w:bookmarkEnd w:id="24"/>
    </w:p>
    <w:p w14:paraId="10AB6601">
      <w:pPr>
        <w:pStyle w:val="2"/>
        <w:spacing w:before="0" w:beforeLines="0" w:after="0" w:afterLines="0"/>
        <w:rPr>
          <w:rFonts w:hint="eastAsia" w:ascii="仿宋" w:hAnsi="仿宋" w:eastAsia="仿宋" w:cs="仿宋"/>
          <w:b w:val="0"/>
          <w:color w:val="auto"/>
          <w:lang w:eastAsia="zh-CN"/>
        </w:rPr>
      </w:pPr>
    </w:p>
    <w:p w14:paraId="4633A607">
      <w:pPr>
        <w:ind w:firstLine="640"/>
        <w:rPr>
          <w:rFonts w:hint="eastAsia" w:ascii="仿宋" w:hAnsi="仿宋" w:eastAsia="仿宋" w:cs="仿宋"/>
          <w:color w:val="auto"/>
          <w:lang w:eastAsia="zh-CN"/>
        </w:rPr>
      </w:pPr>
      <w:r>
        <w:rPr>
          <w:rFonts w:hint="eastAsia" w:ascii="仿宋" w:hAnsi="仿宋" w:eastAsia="仿宋" w:cs="仿宋"/>
          <w:color w:val="auto"/>
          <w:lang w:eastAsia="zh-CN"/>
        </w:rPr>
        <w:t>我中心对储备粮油费用补贴事前绩效评价综合得分为9</w:t>
      </w:r>
      <w:r>
        <w:rPr>
          <w:rFonts w:hint="eastAsia" w:ascii="仿宋" w:hAnsi="仿宋" w:eastAsia="仿宋" w:cs="仿宋"/>
          <w:color w:val="auto"/>
          <w:lang w:val="en-US" w:eastAsia="zh-CN"/>
        </w:rPr>
        <w:t>7</w:t>
      </w:r>
      <w:r>
        <w:rPr>
          <w:rFonts w:hint="eastAsia" w:ascii="仿宋" w:hAnsi="仿宋" w:eastAsia="仿宋" w:cs="仿宋"/>
          <w:color w:val="auto"/>
          <w:lang w:eastAsia="zh-CN"/>
        </w:rPr>
        <w:t>分，综合绩效评估结论为</w:t>
      </w:r>
      <w:r>
        <w:rPr>
          <w:rFonts w:ascii="仿宋" w:hAnsi="仿宋" w:eastAsia="仿宋" w:cs="仿宋"/>
          <w:szCs w:val="32"/>
          <w:lang w:eastAsia="zh-CN"/>
        </w:rPr>
        <w:t>“</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color w:val="auto"/>
          <w:lang w:eastAsia="zh-CN"/>
        </w:rPr>
        <w:t>（具体评分情况见三、事前绩效评估指标体系及得分情况）</w:t>
      </w:r>
    </w:p>
    <w:p w14:paraId="2B51AC70">
      <w:pPr>
        <w:tabs>
          <w:tab w:val="left" w:pos="1336"/>
        </w:tabs>
        <w:spacing w:line="480" w:lineRule="exact"/>
        <w:ind w:firstLine="0" w:firstLineChars="0"/>
        <w:jc w:val="center"/>
        <w:outlineLvl w:val="0"/>
        <w:rPr>
          <w:rFonts w:hint="eastAsia" w:ascii="仿宋" w:hAnsi="仿宋" w:eastAsia="仿宋" w:cs="仿宋"/>
          <w:szCs w:val="32"/>
          <w:lang w:eastAsia="zh-CN"/>
        </w:rPr>
      </w:pPr>
      <w:bookmarkStart w:id="25" w:name="_Toc2305"/>
      <w:r>
        <w:rPr>
          <w:rFonts w:hint="eastAsia" w:ascii="仿宋" w:hAnsi="仿宋" w:eastAsia="仿宋" w:cs="仿宋"/>
          <w:color w:val="auto"/>
          <w:lang w:eastAsia="zh-CN"/>
        </w:rPr>
        <w:t>储备粮油费用补贴</w:t>
      </w:r>
      <w:bookmarkEnd w:id="25"/>
    </w:p>
    <w:p w14:paraId="210E2583">
      <w:pPr>
        <w:tabs>
          <w:tab w:val="left" w:pos="1336"/>
        </w:tabs>
        <w:spacing w:line="480" w:lineRule="exact"/>
        <w:ind w:firstLine="0" w:firstLineChars="0"/>
        <w:jc w:val="center"/>
        <w:outlineLvl w:val="0"/>
        <w:rPr>
          <w:rFonts w:hint="eastAsia" w:ascii="仿宋" w:hAnsi="仿宋" w:eastAsia="仿宋" w:cs="仿宋"/>
          <w:szCs w:val="32"/>
          <w:lang w:eastAsia="zh-CN"/>
        </w:rPr>
      </w:pPr>
      <w:bookmarkStart w:id="26" w:name="_Toc4904"/>
      <w:bookmarkStart w:id="27" w:name="_Toc13580"/>
      <w:bookmarkStart w:id="28" w:name="_Toc25829"/>
      <w:bookmarkStart w:id="29" w:name="_Toc29428"/>
      <w:bookmarkStart w:id="30" w:name="_Toc13519"/>
      <w:r>
        <w:rPr>
          <w:rFonts w:hint="eastAsia" w:ascii="仿宋" w:hAnsi="仿宋" w:eastAsia="仿宋" w:cs="仿宋"/>
          <w:color w:val="auto"/>
          <w:lang w:eastAsia="zh-CN"/>
        </w:rPr>
        <w:t>事前绩效评价结论一览</w:t>
      </w:r>
      <w:r>
        <w:rPr>
          <w:rFonts w:hint="eastAsia" w:ascii="仿宋" w:hAnsi="仿宋" w:eastAsia="仿宋" w:cs="仿宋"/>
          <w:szCs w:val="32"/>
          <w:lang w:eastAsia="zh-CN"/>
        </w:rPr>
        <w:t>表</w:t>
      </w:r>
      <w:bookmarkEnd w:id="26"/>
      <w:bookmarkEnd w:id="27"/>
      <w:bookmarkEnd w:id="28"/>
      <w:bookmarkEnd w:id="29"/>
      <w:bookmarkEnd w:id="30"/>
    </w:p>
    <w:tbl>
      <w:tblPr>
        <w:tblStyle w:val="21"/>
        <w:tblW w:w="4923" w:type="pct"/>
        <w:tblInd w:w="0" w:type="dxa"/>
        <w:tblLayout w:type="fixed"/>
        <w:tblCellMar>
          <w:top w:w="0" w:type="dxa"/>
          <w:left w:w="108" w:type="dxa"/>
          <w:bottom w:w="0" w:type="dxa"/>
          <w:right w:w="108" w:type="dxa"/>
        </w:tblCellMar>
      </w:tblPr>
      <w:tblGrid>
        <w:gridCol w:w="4860"/>
        <w:gridCol w:w="1836"/>
        <w:gridCol w:w="1695"/>
      </w:tblGrid>
      <w:tr w14:paraId="15C4D9A7">
        <w:tblPrEx>
          <w:tblCellMar>
            <w:top w:w="0" w:type="dxa"/>
            <w:left w:w="108" w:type="dxa"/>
            <w:bottom w:w="0" w:type="dxa"/>
            <w:right w:w="108" w:type="dxa"/>
          </w:tblCellMar>
        </w:tblPrEx>
        <w:trPr>
          <w:trHeight w:val="624" w:hRule="exact"/>
        </w:trPr>
        <w:tc>
          <w:tcPr>
            <w:tcW w:w="2895"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CC12226">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109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2C604A2D">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101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72B6AE38">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14:paraId="43E66B7D">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759FF3E1">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项目实施的必要性、公益性、收益性</w:t>
            </w:r>
          </w:p>
        </w:tc>
        <w:tc>
          <w:tcPr>
            <w:tcW w:w="1094" w:type="pct"/>
            <w:tcBorders>
              <w:top w:val="nil"/>
              <w:left w:val="nil"/>
              <w:bottom w:val="single" w:color="auto" w:sz="4" w:space="0"/>
              <w:right w:val="single" w:color="auto" w:sz="4" w:space="0"/>
            </w:tcBorders>
            <w:shd w:val="clear" w:color="auto" w:fill="auto"/>
            <w:noWrap/>
            <w:vAlign w:val="center"/>
          </w:tcPr>
          <w:p w14:paraId="77679058">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w:t>
            </w:r>
          </w:p>
        </w:tc>
        <w:tc>
          <w:tcPr>
            <w:tcW w:w="1010" w:type="pct"/>
            <w:tcBorders>
              <w:top w:val="nil"/>
              <w:left w:val="nil"/>
              <w:bottom w:val="single" w:color="auto" w:sz="4" w:space="0"/>
              <w:right w:val="single" w:color="auto" w:sz="4" w:space="0"/>
            </w:tcBorders>
            <w:shd w:val="clear" w:color="auto" w:fill="auto"/>
            <w:noWrap/>
            <w:vAlign w:val="center"/>
          </w:tcPr>
          <w:p w14:paraId="4EF3492E">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w:t>
            </w:r>
          </w:p>
        </w:tc>
      </w:tr>
      <w:tr w14:paraId="44EEF03D">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1E240B7C">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实施合规性</w:t>
            </w:r>
            <w:r>
              <w:rPr>
                <w:rFonts w:hint="eastAsia" w:ascii="仿宋" w:hAnsi="仿宋" w:eastAsia="仿宋" w:cs="仿宋"/>
                <w:bCs/>
                <w:snapToGrid w:val="0"/>
                <w:sz w:val="28"/>
                <w:szCs w:val="28"/>
                <w:lang w:eastAsia="zh-CN"/>
              </w:rPr>
              <w:t>与项目成熟度</w:t>
            </w:r>
          </w:p>
        </w:tc>
        <w:tc>
          <w:tcPr>
            <w:tcW w:w="1094" w:type="pct"/>
            <w:tcBorders>
              <w:top w:val="nil"/>
              <w:left w:val="nil"/>
              <w:bottom w:val="single" w:color="auto" w:sz="4" w:space="0"/>
              <w:right w:val="single" w:color="auto" w:sz="4" w:space="0"/>
            </w:tcBorders>
            <w:shd w:val="clear" w:color="auto" w:fill="auto"/>
            <w:noWrap/>
            <w:vAlign w:val="center"/>
          </w:tcPr>
          <w:p w14:paraId="583CD256">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18</w:t>
            </w:r>
          </w:p>
        </w:tc>
        <w:tc>
          <w:tcPr>
            <w:tcW w:w="1010" w:type="pct"/>
            <w:tcBorders>
              <w:top w:val="nil"/>
              <w:left w:val="nil"/>
              <w:bottom w:val="single" w:color="auto" w:sz="4" w:space="0"/>
              <w:right w:val="single" w:color="auto" w:sz="4" w:space="0"/>
            </w:tcBorders>
            <w:shd w:val="clear" w:color="auto" w:fill="auto"/>
            <w:noWrap/>
            <w:vAlign w:val="center"/>
          </w:tcPr>
          <w:p w14:paraId="57FF61BE">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18</w:t>
            </w:r>
          </w:p>
        </w:tc>
      </w:tr>
      <w:tr w14:paraId="4E2D34C9">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03C10871">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项目资金来源、</w:t>
            </w:r>
            <w:r>
              <w:rPr>
                <w:rFonts w:hint="eastAsia" w:ascii="仿宋" w:hAnsi="仿宋" w:eastAsia="仿宋" w:cs="仿宋"/>
                <w:bCs/>
                <w:snapToGrid w:val="0"/>
                <w:sz w:val="28"/>
                <w:szCs w:val="28"/>
                <w:lang w:val="en-US" w:eastAsia="zh-CN"/>
              </w:rPr>
              <w:t>资金</w:t>
            </w:r>
            <w:r>
              <w:rPr>
                <w:rFonts w:hint="eastAsia" w:ascii="仿宋" w:hAnsi="仿宋" w:eastAsia="仿宋" w:cs="仿宋"/>
                <w:bCs/>
                <w:snapToGrid w:val="0"/>
                <w:sz w:val="28"/>
                <w:szCs w:val="28"/>
                <w:lang w:eastAsia="zh-CN"/>
              </w:rPr>
              <w:t>到位可行性</w:t>
            </w:r>
          </w:p>
        </w:tc>
        <w:tc>
          <w:tcPr>
            <w:tcW w:w="1094" w:type="pct"/>
            <w:tcBorders>
              <w:top w:val="nil"/>
              <w:left w:val="nil"/>
              <w:bottom w:val="single" w:color="auto" w:sz="4" w:space="0"/>
              <w:right w:val="single" w:color="auto" w:sz="4" w:space="0"/>
            </w:tcBorders>
            <w:shd w:val="clear" w:color="auto" w:fill="auto"/>
            <w:noWrap/>
            <w:vAlign w:val="center"/>
          </w:tcPr>
          <w:p w14:paraId="754B96A7">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c>
          <w:tcPr>
            <w:tcW w:w="1010" w:type="pct"/>
            <w:tcBorders>
              <w:top w:val="nil"/>
              <w:left w:val="nil"/>
              <w:bottom w:val="single" w:color="auto" w:sz="4" w:space="0"/>
              <w:right w:val="single" w:color="auto" w:sz="4" w:space="0"/>
            </w:tcBorders>
            <w:shd w:val="clear" w:color="auto" w:fill="auto"/>
            <w:noWrap/>
            <w:vAlign w:val="center"/>
          </w:tcPr>
          <w:p w14:paraId="69DAEA2F">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r>
      <w:tr w14:paraId="0272EC5C">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151F4DE3">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val="en-US" w:eastAsia="zh-CN"/>
              </w:rPr>
              <w:t>资金使用</w:t>
            </w:r>
            <w:r>
              <w:rPr>
                <w:rFonts w:hint="eastAsia" w:ascii="仿宋" w:hAnsi="仿宋" w:eastAsia="仿宋" w:cs="仿宋"/>
                <w:bCs/>
                <w:snapToGrid w:val="0"/>
                <w:sz w:val="28"/>
                <w:szCs w:val="28"/>
                <w:lang w:eastAsia="zh-CN"/>
              </w:rPr>
              <w:t>计划合理性、资金到位及时性</w:t>
            </w:r>
          </w:p>
        </w:tc>
        <w:tc>
          <w:tcPr>
            <w:tcW w:w="1094" w:type="pct"/>
            <w:tcBorders>
              <w:top w:val="nil"/>
              <w:left w:val="nil"/>
              <w:bottom w:val="single" w:color="auto" w:sz="4" w:space="0"/>
              <w:right w:val="single" w:color="auto" w:sz="4" w:space="0"/>
            </w:tcBorders>
            <w:shd w:val="clear" w:color="auto" w:fill="auto"/>
            <w:noWrap/>
            <w:vAlign w:val="center"/>
          </w:tcPr>
          <w:p w14:paraId="6F101A99">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c>
          <w:tcPr>
            <w:tcW w:w="1010" w:type="pct"/>
            <w:tcBorders>
              <w:top w:val="nil"/>
              <w:left w:val="nil"/>
              <w:bottom w:val="single" w:color="auto" w:sz="4" w:space="0"/>
              <w:right w:val="single" w:color="auto" w:sz="4" w:space="0"/>
            </w:tcBorders>
            <w:shd w:val="clear" w:color="auto" w:fill="auto"/>
            <w:noWrap/>
            <w:vAlign w:val="center"/>
          </w:tcPr>
          <w:p w14:paraId="06860BB7">
            <w:pPr>
              <w:widowControl/>
              <w:ind w:firstLine="0" w:firstLineChars="0"/>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w:t>
            </w:r>
          </w:p>
        </w:tc>
      </w:tr>
      <w:tr w14:paraId="536C7E7E">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026353C0">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项目绩效目标明确性、合理性</w:t>
            </w:r>
          </w:p>
        </w:tc>
        <w:tc>
          <w:tcPr>
            <w:tcW w:w="1094" w:type="pct"/>
            <w:tcBorders>
              <w:top w:val="nil"/>
              <w:left w:val="nil"/>
              <w:bottom w:val="single" w:color="auto" w:sz="4" w:space="0"/>
              <w:right w:val="single" w:color="auto" w:sz="4" w:space="0"/>
            </w:tcBorders>
            <w:shd w:val="clear" w:color="auto" w:fill="auto"/>
            <w:noWrap/>
            <w:vAlign w:val="center"/>
          </w:tcPr>
          <w:p w14:paraId="0305A451">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w:t>
            </w:r>
          </w:p>
        </w:tc>
        <w:tc>
          <w:tcPr>
            <w:tcW w:w="1010" w:type="pct"/>
            <w:tcBorders>
              <w:top w:val="nil"/>
              <w:left w:val="nil"/>
              <w:bottom w:val="single" w:color="auto" w:sz="4" w:space="0"/>
              <w:right w:val="single" w:color="auto" w:sz="4" w:space="0"/>
            </w:tcBorders>
            <w:shd w:val="clear" w:color="auto" w:fill="auto"/>
            <w:noWrap/>
            <w:vAlign w:val="center"/>
          </w:tcPr>
          <w:p w14:paraId="5EBC5ACE">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13</w:t>
            </w:r>
          </w:p>
        </w:tc>
      </w:tr>
      <w:tr w14:paraId="48467045">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2B4A531A">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管理办法执行</w:t>
            </w:r>
            <w:r>
              <w:rPr>
                <w:rFonts w:hint="eastAsia" w:ascii="仿宋" w:hAnsi="仿宋" w:eastAsia="仿宋" w:cs="仿宋"/>
                <w:bCs/>
                <w:snapToGrid w:val="0"/>
                <w:sz w:val="28"/>
                <w:szCs w:val="28"/>
                <w:lang w:eastAsia="zh-CN"/>
              </w:rPr>
              <w:t>的有效性</w:t>
            </w:r>
          </w:p>
        </w:tc>
        <w:tc>
          <w:tcPr>
            <w:tcW w:w="1094" w:type="pct"/>
            <w:tcBorders>
              <w:top w:val="nil"/>
              <w:left w:val="nil"/>
              <w:bottom w:val="single" w:color="auto" w:sz="4" w:space="0"/>
              <w:right w:val="single" w:color="auto" w:sz="4" w:space="0"/>
            </w:tcBorders>
            <w:shd w:val="clear" w:color="auto" w:fill="auto"/>
            <w:noWrap/>
            <w:vAlign w:val="center"/>
          </w:tcPr>
          <w:p w14:paraId="3604944E">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8</w:t>
            </w:r>
          </w:p>
        </w:tc>
        <w:tc>
          <w:tcPr>
            <w:tcW w:w="1010" w:type="pct"/>
            <w:tcBorders>
              <w:top w:val="nil"/>
              <w:left w:val="nil"/>
              <w:bottom w:val="single" w:color="auto" w:sz="4" w:space="0"/>
              <w:right w:val="single" w:color="auto" w:sz="4" w:space="0"/>
            </w:tcBorders>
            <w:shd w:val="clear" w:color="auto" w:fill="auto"/>
            <w:noWrap/>
            <w:vAlign w:val="center"/>
          </w:tcPr>
          <w:p w14:paraId="2624A840">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8</w:t>
            </w:r>
          </w:p>
        </w:tc>
      </w:tr>
      <w:tr w14:paraId="5200D935">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27E81E02">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项目实施成果合格性</w:t>
            </w:r>
          </w:p>
        </w:tc>
        <w:tc>
          <w:tcPr>
            <w:tcW w:w="1094" w:type="pct"/>
            <w:tcBorders>
              <w:top w:val="nil"/>
              <w:left w:val="nil"/>
              <w:bottom w:val="single" w:color="auto" w:sz="4" w:space="0"/>
              <w:right w:val="single" w:color="auto" w:sz="4" w:space="0"/>
            </w:tcBorders>
            <w:shd w:val="clear" w:color="auto" w:fill="auto"/>
            <w:noWrap/>
            <w:vAlign w:val="center"/>
          </w:tcPr>
          <w:p w14:paraId="42CA8CDB">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14:paraId="2F26E7EB">
            <w:pPr>
              <w:widowControl/>
              <w:ind w:firstLine="0" w:firstLineChars="0"/>
              <w:jc w:val="center"/>
              <w:textAlignment w:val="center"/>
              <w:rPr>
                <w:rFonts w:hint="default"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12</w:t>
            </w:r>
          </w:p>
        </w:tc>
      </w:tr>
      <w:tr w14:paraId="0471A486">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56E1F383">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1094" w:type="pct"/>
            <w:tcBorders>
              <w:top w:val="nil"/>
              <w:left w:val="nil"/>
              <w:bottom w:val="single" w:color="auto" w:sz="4" w:space="0"/>
              <w:right w:val="single" w:color="auto" w:sz="4" w:space="0"/>
            </w:tcBorders>
            <w:shd w:val="clear" w:color="auto" w:fill="auto"/>
            <w:noWrap/>
            <w:vAlign w:val="center"/>
          </w:tcPr>
          <w:p w14:paraId="53070C69">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1010" w:type="pct"/>
            <w:tcBorders>
              <w:top w:val="nil"/>
              <w:left w:val="nil"/>
              <w:bottom w:val="single" w:color="auto" w:sz="4" w:space="0"/>
              <w:right w:val="single" w:color="auto" w:sz="4" w:space="0"/>
            </w:tcBorders>
            <w:shd w:val="clear" w:color="auto" w:fill="auto"/>
            <w:noWrap/>
            <w:vAlign w:val="center"/>
          </w:tcPr>
          <w:p w14:paraId="7E8F8800">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val="en-US" w:eastAsia="zh-CN" w:bidi="ar"/>
              </w:rPr>
              <w:t>9</w:t>
            </w:r>
          </w:p>
        </w:tc>
      </w:tr>
      <w:tr w14:paraId="568BFE39">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41B00EF1">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sz w:val="28"/>
                <w:szCs w:val="28"/>
                <w:lang w:eastAsia="zh-CN" w:bidi="ar"/>
              </w:rPr>
              <w:t>综合得分</w:t>
            </w:r>
          </w:p>
        </w:tc>
        <w:tc>
          <w:tcPr>
            <w:tcW w:w="1094" w:type="pct"/>
            <w:tcBorders>
              <w:top w:val="nil"/>
              <w:left w:val="nil"/>
              <w:bottom w:val="single" w:color="auto" w:sz="4" w:space="0"/>
              <w:right w:val="single" w:color="auto" w:sz="4" w:space="0"/>
            </w:tcBorders>
            <w:shd w:val="clear" w:color="auto" w:fill="auto"/>
            <w:noWrap/>
            <w:vAlign w:val="center"/>
          </w:tcPr>
          <w:p w14:paraId="585D60D3">
            <w:pPr>
              <w:widowControl/>
              <w:ind w:firstLine="0" w:firstLineChars="0"/>
              <w:jc w:val="center"/>
              <w:textAlignment w:val="bottom"/>
              <w:rPr>
                <w:rFonts w:hint="eastAsia" w:ascii="仿宋" w:hAnsi="仿宋" w:eastAsia="仿宋" w:cs="仿宋"/>
                <w:b/>
                <w:bCs/>
                <w:color w:val="auto"/>
                <w:sz w:val="28"/>
                <w:szCs w:val="28"/>
              </w:rPr>
            </w:pPr>
            <w:r>
              <w:rPr>
                <w:rFonts w:ascii="仿宋" w:hAnsi="仿宋" w:eastAsia="仿宋" w:cs="仿宋"/>
                <w:b/>
                <w:bCs/>
                <w:color w:val="auto"/>
                <w:sz w:val="28"/>
                <w:szCs w:val="28"/>
              </w:rPr>
              <w:fldChar w:fldCharType="begin"/>
            </w:r>
            <w:r>
              <w:rPr>
                <w:rFonts w:ascii="仿宋" w:hAnsi="仿宋" w:eastAsia="仿宋" w:cs="仿宋"/>
                <w:b/>
                <w:bCs/>
                <w:color w:val="auto"/>
                <w:sz w:val="28"/>
                <w:szCs w:val="28"/>
              </w:rPr>
              <w:instrText xml:space="preserve"> =SUM(ABOVE) \* MERGEFORMAT </w:instrText>
            </w:r>
            <w:r>
              <w:rPr>
                <w:rFonts w:ascii="仿宋" w:hAnsi="仿宋" w:eastAsia="仿宋" w:cs="仿宋"/>
                <w:b/>
                <w:bCs/>
                <w:color w:val="auto"/>
                <w:sz w:val="28"/>
                <w:szCs w:val="28"/>
              </w:rPr>
              <w:fldChar w:fldCharType="separate"/>
            </w:r>
            <w:r>
              <w:rPr>
                <w:rFonts w:ascii="仿宋" w:hAnsi="仿宋" w:eastAsia="仿宋" w:cs="仿宋"/>
                <w:b/>
                <w:bCs/>
                <w:color w:val="auto"/>
                <w:sz w:val="28"/>
                <w:szCs w:val="28"/>
              </w:rPr>
              <w:t>100</w:t>
            </w:r>
            <w:r>
              <w:rPr>
                <w:rFonts w:ascii="仿宋" w:hAnsi="仿宋" w:eastAsia="仿宋" w:cs="仿宋"/>
                <w:b/>
                <w:bCs/>
                <w:color w:val="auto"/>
                <w:sz w:val="28"/>
                <w:szCs w:val="28"/>
              </w:rPr>
              <w:fldChar w:fldCharType="end"/>
            </w:r>
          </w:p>
        </w:tc>
        <w:tc>
          <w:tcPr>
            <w:tcW w:w="1010" w:type="pct"/>
            <w:tcBorders>
              <w:top w:val="nil"/>
              <w:left w:val="nil"/>
              <w:bottom w:val="single" w:color="auto" w:sz="4" w:space="0"/>
              <w:right w:val="single" w:color="auto" w:sz="4" w:space="0"/>
            </w:tcBorders>
            <w:shd w:val="clear" w:color="auto" w:fill="auto"/>
            <w:noWrap/>
            <w:vAlign w:val="center"/>
          </w:tcPr>
          <w:p w14:paraId="76A01065">
            <w:pPr>
              <w:widowControl/>
              <w:ind w:firstLine="0" w:firstLineChars="0"/>
              <w:jc w:val="center"/>
              <w:textAlignment w:val="center"/>
              <w:rPr>
                <w:rFonts w:hint="default" w:ascii="仿宋" w:hAnsi="仿宋" w:eastAsia="仿宋" w:cs="仿宋"/>
                <w:b/>
                <w:bCs/>
                <w:color w:val="auto"/>
                <w:sz w:val="28"/>
                <w:szCs w:val="28"/>
                <w:lang w:val="en-US" w:eastAsia="zh-CN"/>
              </w:rPr>
            </w:pPr>
            <w:r>
              <w:rPr>
                <w:rFonts w:ascii="仿宋" w:hAnsi="仿宋" w:eastAsia="仿宋" w:cs="仿宋"/>
                <w:b/>
                <w:bCs/>
                <w:color w:val="auto"/>
                <w:sz w:val="28"/>
                <w:szCs w:val="28"/>
                <w:lang w:eastAsia="zh-CN"/>
              </w:rPr>
              <w:fldChar w:fldCharType="begin"/>
            </w:r>
            <w:r>
              <w:rPr>
                <w:rFonts w:ascii="仿宋" w:hAnsi="仿宋" w:eastAsia="仿宋" w:cs="仿宋"/>
                <w:b/>
                <w:bCs/>
                <w:color w:val="auto"/>
                <w:sz w:val="28"/>
                <w:szCs w:val="28"/>
                <w:lang w:eastAsia="zh-CN"/>
              </w:rPr>
              <w:instrText xml:space="preserve"> =SUM(ABOVE) \* MERGEFORMAT </w:instrText>
            </w:r>
            <w:r>
              <w:rPr>
                <w:rFonts w:ascii="仿宋" w:hAnsi="仿宋" w:eastAsia="仿宋" w:cs="仿宋"/>
                <w:b/>
                <w:bCs/>
                <w:color w:val="auto"/>
                <w:sz w:val="28"/>
                <w:szCs w:val="28"/>
                <w:lang w:eastAsia="zh-CN"/>
              </w:rPr>
              <w:fldChar w:fldCharType="separate"/>
            </w:r>
            <w:r>
              <w:rPr>
                <w:rFonts w:ascii="仿宋" w:hAnsi="仿宋" w:eastAsia="仿宋" w:cs="仿宋"/>
                <w:b/>
                <w:bCs/>
                <w:color w:val="auto"/>
                <w:sz w:val="28"/>
                <w:szCs w:val="28"/>
                <w:lang w:eastAsia="zh-CN"/>
              </w:rPr>
              <w:t>9</w:t>
            </w:r>
            <w:r>
              <w:rPr>
                <w:rFonts w:ascii="仿宋" w:hAnsi="仿宋" w:eastAsia="仿宋" w:cs="仿宋"/>
                <w:b/>
                <w:bCs/>
                <w:color w:val="auto"/>
                <w:sz w:val="28"/>
                <w:szCs w:val="28"/>
                <w:lang w:eastAsia="zh-CN"/>
              </w:rPr>
              <w:fldChar w:fldCharType="end"/>
            </w:r>
            <w:r>
              <w:rPr>
                <w:rFonts w:hint="eastAsia" w:ascii="仿宋" w:hAnsi="仿宋" w:eastAsia="仿宋" w:cs="仿宋"/>
                <w:b/>
                <w:bCs/>
                <w:color w:val="auto"/>
                <w:sz w:val="28"/>
                <w:szCs w:val="28"/>
                <w:lang w:val="en-US" w:eastAsia="zh-CN"/>
              </w:rPr>
              <w:t>7</w:t>
            </w:r>
          </w:p>
        </w:tc>
      </w:tr>
      <w:tr w14:paraId="434FC9BD">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14:paraId="7DFB9B51">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sz w:val="28"/>
                <w:szCs w:val="28"/>
                <w:lang w:eastAsia="zh-CN"/>
              </w:rPr>
              <w:t>综合绩效评估结论</w:t>
            </w:r>
          </w:p>
        </w:tc>
        <w:tc>
          <w:tcPr>
            <w:tcW w:w="2104" w:type="pct"/>
            <w:gridSpan w:val="2"/>
            <w:tcBorders>
              <w:top w:val="nil"/>
              <w:left w:val="nil"/>
              <w:bottom w:val="single" w:color="auto" w:sz="4" w:space="0"/>
              <w:right w:val="single" w:color="auto" w:sz="4" w:space="0"/>
            </w:tcBorders>
            <w:shd w:val="clear" w:color="auto" w:fill="auto"/>
            <w:noWrap/>
            <w:vAlign w:val="center"/>
          </w:tcPr>
          <w:p w14:paraId="610CE9AF">
            <w:pPr>
              <w:widowControl/>
              <w:ind w:firstLine="0" w:firstLineChars="0"/>
              <w:jc w:val="center"/>
              <w:textAlignment w:val="center"/>
              <w:rPr>
                <w:rFonts w:hint="eastAsia" w:ascii="仿宋" w:hAnsi="仿宋" w:eastAsia="仿宋" w:cs="仿宋"/>
                <w:b/>
                <w:bCs/>
                <w:sz w:val="28"/>
                <w:szCs w:val="28"/>
                <w:lang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14:paraId="685E039D">
      <w:pPr>
        <w:ind w:firstLine="640"/>
        <w:rPr>
          <w:rFonts w:hint="eastAsia" w:ascii="宋体" w:hAnsi="宋体" w:eastAsia="宋体" w:cs="宋体"/>
          <w:lang w:eastAsia="zh-CN"/>
        </w:rPr>
      </w:pPr>
    </w:p>
    <w:p w14:paraId="51C040D3">
      <w:pPr>
        <w:ind w:firstLine="640"/>
        <w:rPr>
          <w:rFonts w:eastAsia="宋体"/>
          <w:szCs w:val="32"/>
          <w:lang w:eastAsia="zh-CN"/>
        </w:rPr>
      </w:pPr>
      <w:r>
        <w:rPr>
          <w:rFonts w:eastAsia="宋体"/>
          <w:szCs w:val="32"/>
          <w:lang w:eastAsia="zh-CN"/>
        </w:rPr>
        <w:br w:type="page"/>
      </w:r>
    </w:p>
    <w:p w14:paraId="4BC32E4A">
      <w:pPr>
        <w:tabs>
          <w:tab w:val="right" w:leader="dot" w:pos="8306"/>
        </w:tabs>
        <w:spacing w:line="500" w:lineRule="exact"/>
        <w:ind w:firstLine="480"/>
        <w:jc w:val="center"/>
        <w:rPr>
          <w:rFonts w:hint="eastAsia" w:ascii="仿宋" w:hAnsi="仿宋" w:eastAsia="仿宋" w:cs="仿宋"/>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14:paraId="1E98F163">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_Toc26032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_Toc26032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08379B">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_Toc13763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2CB068E">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_Toc5685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_Toc5685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79CEC5">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_Toc31055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（三）项目预算构成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_Toc31055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2B40A13">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_Toc8033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_Toc8033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C4FD7C2">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_Toc26870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_Toc26870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A27405">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_Toc6919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_Toc6919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56E72D6">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_Toc20949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_Toc20949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09AA403">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_Toc6680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_Toc6680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660ED25">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_Toc16442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_Toc16442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7143273">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_Toc16964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_Toc16964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62C4B0D">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_Toc19270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_Toc19270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0CE6AEC">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_Toc32146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_Toc32146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CA75DC1">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_Toc20132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_Toc20132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421D557">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_Toc29627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_Toc29627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6EBF9A1">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项目实施的必要性、公益性、收益性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99C04D1">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_Toc841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_Toc841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349F051">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_Toc11035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w:t>
      </w:r>
      <w:r>
        <w:rPr>
          <w:rFonts w:hint="eastAsia" w:ascii="仿宋" w:hAnsi="仿宋" w:eastAsia="仿宋" w:cs="仿宋"/>
          <w:kern w:val="44"/>
          <w:sz w:val="24"/>
          <w:szCs w:val="24"/>
          <w:lang w:val="en-US" w:eastAsia="zh-CN"/>
        </w:rPr>
        <w:t>资金</w:t>
      </w:r>
      <w:r>
        <w:rPr>
          <w:rFonts w:hint="eastAsia" w:ascii="仿宋" w:hAnsi="仿宋" w:eastAsia="仿宋" w:cs="仿宋"/>
          <w:kern w:val="44"/>
          <w:sz w:val="24"/>
          <w:szCs w:val="24"/>
          <w:lang w:eastAsia="zh-CN"/>
        </w:rPr>
        <w:t>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_Toc11035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689940">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_Toc24779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_Toc24779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2746683">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_Toc23225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_Toc23225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410EAAF">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_Toc29858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(六)项目管理办法执行的有效性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_Toc29858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8D02CD8">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_Toc17849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_Toc17849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ABC6FF">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_Toc5168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_Toc5168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09C6F47">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_Toc18699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_Toc18699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88F5AD9">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_Toc22888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_Toc22888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1F809C">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_Toc11379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w:t>
      </w:r>
      <w:r>
        <w:rPr>
          <w:rFonts w:hint="eastAsia" w:ascii="仿宋" w:hAnsi="仿宋" w:eastAsia="仿宋" w:cs="仿宋"/>
          <w:bCs/>
          <w:sz w:val="24"/>
          <w:szCs w:val="24"/>
          <w:lang w:val="en-US" w:eastAsia="zh-CN"/>
        </w:rPr>
        <w:t>储备粮、油借款利息测算依据不充分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_Toc11379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08A5D90">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_Toc13340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_Toc13340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C3C570">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_Toc13104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七、附件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_Toc13104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806CCD">
      <w:pPr>
        <w:pStyle w:val="14"/>
        <w:tabs>
          <w:tab w:val="right" w:leader="dot" w:pos="8306"/>
        </w:tabs>
        <w:spacing w:before="0" w:after="0" w:line="500" w:lineRule="exact"/>
        <w:ind w:firstLine="883"/>
        <w:jc w:val="center"/>
        <w:rPr>
          <w:rFonts w:eastAsia="宋体"/>
          <w:sz w:val="28"/>
          <w:szCs w:val="28"/>
          <w:lang w:eastAsia="zh-CN"/>
        </w:rPr>
      </w:pPr>
      <w:r>
        <w:rPr>
          <w:rFonts w:hint="eastAsia" w:ascii="仿宋" w:hAnsi="仿宋" w:eastAsia="仿宋" w:cs="仿宋"/>
          <w:sz w:val="24"/>
        </w:rPr>
        <w:fldChar w:fldCharType="end"/>
      </w:r>
    </w:p>
    <w:p w14:paraId="29E98C87">
      <w:pPr>
        <w:pStyle w:val="14"/>
        <w:tabs>
          <w:tab w:val="right" w:leader="dot" w:pos="8306"/>
        </w:tabs>
        <w:ind w:firstLine="562"/>
        <w:rPr>
          <w:rFonts w:ascii="Times New Roman" w:hAnsi="Times New Roman" w:eastAsia="宋体" w:cs="Times New Roman"/>
          <w:sz w:val="28"/>
          <w:szCs w:val="28"/>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宋体" w:cs="Times New Roman"/>
          <w:sz w:val="28"/>
          <w:szCs w:val="28"/>
          <w:lang w:eastAsia="zh-CN"/>
        </w:rPr>
        <w:br w:type="page"/>
      </w:r>
    </w:p>
    <w:p w14:paraId="3FB5DE41">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31" w:name="_Toc11577"/>
      <w:bookmarkStart w:id="32" w:name="_Toc28591"/>
      <w:bookmarkStart w:id="33" w:name="_Toc11127"/>
      <w:bookmarkStart w:id="34" w:name="_Toc18501"/>
      <w:bookmarkStart w:id="35" w:name="_Toc13216"/>
      <w:bookmarkStart w:id="36" w:name="_Toc132480512"/>
      <w:bookmarkStart w:id="37" w:name="_Toc132480957"/>
      <w:bookmarkStart w:id="38" w:name="_Toc22608"/>
      <w:bookmarkStart w:id="39" w:name="_Toc1902724683"/>
      <w:bookmarkStart w:id="40" w:name="_Toc17291"/>
      <w:bookmarkStart w:id="41" w:name="_Toc562319121"/>
      <w:bookmarkStart w:id="42" w:name="_Toc400713784"/>
      <w:bookmarkStart w:id="43" w:name="_Toc130033874"/>
      <w:bookmarkStart w:id="44" w:name="_Toc133498022"/>
      <w:bookmarkStart w:id="45" w:name="_Toc792595118"/>
      <w:bookmarkStart w:id="46" w:name="_Toc1675062758"/>
      <w:bookmarkStart w:id="47" w:name="_Toc1042875910_WPSOffice_Level1"/>
      <w:r>
        <w:rPr>
          <w:rFonts w:hint="eastAsia" w:ascii="宋体" w:hAnsi="宋体" w:eastAsia="宋体" w:cs="宋体"/>
          <w:b w:val="0"/>
          <w:bCs w:val="0"/>
          <w:lang w:eastAsia="zh-CN"/>
        </w:rPr>
        <w:t>乐山市金口河区粮食和物资储备中心</w:t>
      </w:r>
      <w:bookmarkEnd w:id="31"/>
    </w:p>
    <w:bookmarkEnd w:id="32"/>
    <w:bookmarkEnd w:id="33"/>
    <w:bookmarkEnd w:id="34"/>
    <w:p w14:paraId="5A893492">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48" w:name="_Toc17395"/>
      <w:bookmarkStart w:id="49" w:name="_Toc25169"/>
      <w:bookmarkStart w:id="50" w:name="_Toc32549"/>
      <w:bookmarkStart w:id="51" w:name="_Toc18917"/>
      <w:r>
        <w:rPr>
          <w:rFonts w:hint="eastAsia" w:ascii="宋体" w:hAnsi="宋体" w:eastAsia="宋体" w:cs="宋体"/>
          <w:b w:val="0"/>
          <w:bCs w:val="0"/>
          <w:lang w:eastAsia="zh-CN"/>
        </w:rPr>
        <w:t>储备粮油费用补贴</w:t>
      </w:r>
      <w:bookmarkEnd w:id="48"/>
    </w:p>
    <w:p w14:paraId="6C61730A">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52" w:name="_Toc25967"/>
      <w:bookmarkStart w:id="53" w:name="_Toc13059"/>
      <w:r>
        <w:rPr>
          <w:rFonts w:hint="eastAsia" w:ascii="宋体" w:hAnsi="宋体" w:eastAsia="宋体" w:cs="宋体"/>
          <w:b w:val="0"/>
          <w:bCs w:val="0"/>
          <w:lang w:eastAsia="zh-CN"/>
        </w:rPr>
        <w:t>事前绩效评价报告</w:t>
      </w:r>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p>
    <w:p w14:paraId="4CA2AF5C">
      <w:pPr>
        <w:ind w:firstLine="640"/>
        <w:rPr>
          <w:lang w:eastAsia="zh-CN"/>
        </w:rPr>
      </w:pPr>
    </w:p>
    <w:p w14:paraId="1C8F3DBF">
      <w:pPr>
        <w:pStyle w:val="2"/>
        <w:numPr>
          <w:ilvl w:val="0"/>
          <w:numId w:val="1"/>
        </w:numPr>
        <w:spacing w:before="0" w:beforeLines="0" w:after="0" w:afterLines="0"/>
        <w:rPr>
          <w:rFonts w:hint="eastAsia" w:ascii="仿宋" w:hAnsi="仿宋" w:eastAsia="仿宋" w:cs="仿宋"/>
          <w:b w:val="0"/>
          <w:bCs/>
          <w:szCs w:val="32"/>
          <w:lang w:eastAsia="zh-CN"/>
        </w:rPr>
      </w:pPr>
      <w:bookmarkStart w:id="54" w:name="_Toc9247"/>
      <w:bookmarkStart w:id="55" w:name="_Toc2001376203_WPSOffice_Level1"/>
      <w:bookmarkStart w:id="56" w:name="_Toc287850696"/>
      <w:bookmarkStart w:id="57" w:name="_Toc132480958"/>
      <w:bookmarkStart w:id="58" w:name="_Toc2225"/>
      <w:bookmarkStart w:id="59" w:name="_Toc305085885"/>
      <w:bookmarkStart w:id="60" w:name="_Toc26032"/>
      <w:bookmarkStart w:id="61" w:name="_Toc4405"/>
      <w:bookmarkStart w:id="62" w:name="_Toc1969419847"/>
      <w:bookmarkStart w:id="63" w:name="_Toc1416645183"/>
      <w:bookmarkStart w:id="64" w:name="_Toc7797"/>
      <w:r>
        <w:rPr>
          <w:rFonts w:hint="eastAsia" w:ascii="仿宋" w:hAnsi="仿宋" w:eastAsia="仿宋" w:cs="仿宋"/>
          <w:b w:val="0"/>
          <w:bCs/>
          <w:szCs w:val="32"/>
          <w:lang w:eastAsia="zh-CN"/>
        </w:rPr>
        <w:t>项目基本情况</w:t>
      </w:r>
      <w:bookmarkEnd w:id="54"/>
      <w:bookmarkEnd w:id="55"/>
      <w:bookmarkEnd w:id="56"/>
      <w:bookmarkEnd w:id="57"/>
      <w:bookmarkEnd w:id="58"/>
      <w:bookmarkEnd w:id="59"/>
      <w:bookmarkEnd w:id="60"/>
      <w:bookmarkEnd w:id="61"/>
      <w:bookmarkEnd w:id="62"/>
      <w:bookmarkEnd w:id="63"/>
      <w:bookmarkEnd w:id="64"/>
    </w:p>
    <w:p w14:paraId="31DC76D8">
      <w:pPr>
        <w:pStyle w:val="3"/>
        <w:spacing w:before="0" w:beforeLines="0" w:after="0" w:afterLines="0" w:line="580" w:lineRule="exact"/>
        <w:ind w:firstLineChars="0"/>
        <w:rPr>
          <w:rFonts w:hint="eastAsia" w:ascii="仿宋" w:hAnsi="仿宋" w:eastAsia="仿宋" w:cs="仿宋"/>
          <w:b w:val="0"/>
          <w:bCs/>
          <w:szCs w:val="32"/>
          <w:lang w:eastAsia="zh-CN"/>
        </w:rPr>
      </w:pPr>
      <w:bookmarkStart w:id="65" w:name="_Toc19438"/>
      <w:bookmarkStart w:id="66" w:name="_Toc1535003806"/>
      <w:bookmarkStart w:id="67" w:name="_Toc1042875910_WPSOffice_Level2"/>
      <w:bookmarkStart w:id="68" w:name="_Toc1773474628"/>
      <w:bookmarkStart w:id="69" w:name="_Toc873917318"/>
      <w:bookmarkStart w:id="70" w:name="_Toc132480959"/>
      <w:bookmarkStart w:id="71" w:name="_Toc404396392"/>
      <w:bookmarkStart w:id="72" w:name="_Toc14550"/>
      <w:bookmarkStart w:id="73" w:name="_Toc27921"/>
      <w:bookmarkStart w:id="74" w:name="_Toc12884"/>
      <w:bookmarkStart w:id="75" w:name="_Toc13763"/>
      <w:r>
        <w:rPr>
          <w:rFonts w:hint="eastAsia" w:ascii="仿宋" w:hAnsi="仿宋" w:eastAsia="仿宋" w:cs="仿宋"/>
          <w:b w:val="0"/>
          <w:bCs/>
          <w:szCs w:val="32"/>
          <w:lang w:eastAsia="zh-CN"/>
        </w:rPr>
        <w:t>（一）项目建设</w:t>
      </w:r>
      <w:bookmarkEnd w:id="65"/>
      <w:bookmarkEnd w:id="66"/>
      <w:bookmarkEnd w:id="67"/>
      <w:bookmarkEnd w:id="68"/>
      <w:bookmarkEnd w:id="69"/>
      <w:bookmarkEnd w:id="70"/>
      <w:bookmarkEnd w:id="71"/>
      <w:bookmarkEnd w:id="72"/>
      <w:bookmarkEnd w:id="73"/>
      <w:bookmarkStart w:id="76" w:name="_Toc23032"/>
      <w:bookmarkStart w:id="77" w:name="_Toc12111"/>
      <w:bookmarkStart w:id="78" w:name="_Toc18961"/>
      <w:bookmarkStart w:id="79" w:name="_Toc133498025"/>
      <w:bookmarkStart w:id="80" w:name="_Toc20062"/>
      <w:bookmarkStart w:id="81" w:name="_Toc27403"/>
      <w:bookmarkStart w:id="82" w:name="_Toc130033877"/>
      <w:bookmarkStart w:id="83" w:name="_Toc1287701793"/>
      <w:bookmarkStart w:id="84" w:name="_Toc1862536083"/>
      <w:bookmarkStart w:id="85" w:name="_Toc2051901236"/>
      <w:bookmarkStart w:id="86" w:name="_Toc9639"/>
      <w:bookmarkStart w:id="87" w:name="_Toc1087916031"/>
      <w:bookmarkStart w:id="88" w:name="_Toc1042875910_WPSOffice_Level3"/>
      <w:r>
        <w:rPr>
          <w:rFonts w:hint="eastAsia" w:ascii="仿宋" w:hAnsi="仿宋" w:eastAsia="仿宋" w:cs="仿宋"/>
          <w:b w:val="0"/>
          <w:bCs/>
          <w:szCs w:val="32"/>
          <w:lang w:eastAsia="zh-CN"/>
        </w:rPr>
        <w:t>背景</w:t>
      </w:r>
      <w:bookmarkEnd w:id="74"/>
      <w:bookmarkEnd w:id="75"/>
      <w:bookmarkEnd w:id="76"/>
      <w:bookmarkEnd w:id="77"/>
      <w:bookmarkEnd w:id="78"/>
      <w:bookmarkEnd w:id="79"/>
      <w:bookmarkEnd w:id="80"/>
      <w:bookmarkEnd w:id="81"/>
    </w:p>
    <w:p w14:paraId="7BCE21C2">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color w:val="auto"/>
          <w:lang w:eastAsia="zh-CN"/>
        </w:rPr>
        <w:t>区级储备粮是区政府调控粮食市场的重要物资。为使区级储备粮的轮换工作规范化、制</w:t>
      </w:r>
      <w:r>
        <w:rPr>
          <w:rFonts w:hint="eastAsia" w:ascii="仿宋" w:hAnsi="仿宋" w:eastAsia="仿宋" w:cs="仿宋"/>
          <w:color w:val="auto"/>
          <w:highlight w:val="none"/>
          <w:lang w:eastAsia="zh-CN"/>
        </w:rPr>
        <w:t>度化，确保</w:t>
      </w:r>
      <w:r>
        <w:rPr>
          <w:rFonts w:hint="eastAsia" w:ascii="仿宋" w:hAnsi="仿宋" w:eastAsia="仿宋" w:cs="仿宋"/>
          <w:color w:val="auto"/>
          <w:lang w:eastAsia="zh-CN"/>
        </w:rPr>
        <w:t>粮食储备规模、储存安全、质量良好，提高政府调控市场的能力，根据《四川省地方粮食储备管理办法》《乐山市金口河区区级储备粮管理办法》《乐山市金口河区区级储备粮轮换管理办法》的相关要求，乐山市金口河区发展和政革局(以下简称区发展改革局)、乐山市金口河区财政局(以下简称区财政局)、乐山市金口河区粮食和物资储备中心(以下简称区粮储中心)、中国农业发展银行峨眉山市支行(以下简称峨眉农发行)共同研究决定，同意按程序组织实施区级储备粮(稻谷)的轮换工作</w:t>
      </w:r>
      <w:r>
        <w:rPr>
          <w:rFonts w:hint="eastAsia" w:ascii="仿宋" w:hAnsi="仿宋" w:eastAsia="仿宋" w:cs="仿宋"/>
          <w:bCs/>
          <w:kern w:val="2"/>
          <w:szCs w:val="32"/>
          <w:lang w:eastAsia="zh-CN" w:bidi="ar-SA"/>
        </w:rPr>
        <w:t>。</w:t>
      </w:r>
    </w:p>
    <w:bookmarkEnd w:id="82"/>
    <w:bookmarkEnd w:id="83"/>
    <w:bookmarkEnd w:id="84"/>
    <w:bookmarkEnd w:id="85"/>
    <w:bookmarkEnd w:id="86"/>
    <w:bookmarkEnd w:id="87"/>
    <w:bookmarkEnd w:id="88"/>
    <w:p w14:paraId="14804B4B">
      <w:pPr>
        <w:pStyle w:val="3"/>
        <w:spacing w:before="0" w:beforeLines="0" w:after="0" w:afterLines="0" w:line="600" w:lineRule="exact"/>
        <w:ind w:firstLineChars="0"/>
        <w:rPr>
          <w:rFonts w:hint="eastAsia" w:ascii="仿宋" w:hAnsi="仿宋" w:eastAsia="仿宋" w:cs="仿宋"/>
          <w:b w:val="0"/>
          <w:bCs/>
          <w:szCs w:val="32"/>
          <w:lang w:eastAsia="zh-CN"/>
        </w:rPr>
      </w:pPr>
      <w:bookmarkStart w:id="89" w:name="_Toc15651"/>
      <w:bookmarkStart w:id="90" w:name="_Toc28877"/>
      <w:bookmarkStart w:id="91" w:name="_Toc133498028"/>
      <w:bookmarkStart w:id="92" w:name="_Toc24844"/>
      <w:bookmarkStart w:id="93" w:name="_Toc15203"/>
      <w:bookmarkStart w:id="94" w:name="_Toc1491763895"/>
      <w:bookmarkStart w:id="95" w:name="_Toc1372691542"/>
      <w:bookmarkStart w:id="96" w:name="_Toc17740"/>
      <w:bookmarkStart w:id="97" w:name="_Toc17270"/>
      <w:bookmarkStart w:id="98" w:name="_Toc12980"/>
      <w:bookmarkStart w:id="99" w:name="_Toc865934723"/>
      <w:bookmarkStart w:id="100" w:name="_Toc1093480860_WPSOffice_Level3"/>
      <w:bookmarkStart w:id="101" w:name="_Toc130033880"/>
      <w:bookmarkStart w:id="102" w:name="_Toc5685"/>
      <w:bookmarkStart w:id="103" w:name="_Toc153907914"/>
      <w:r>
        <w:rPr>
          <w:rFonts w:hint="eastAsia" w:ascii="仿宋" w:hAnsi="仿宋" w:eastAsia="仿宋" w:cs="仿宋"/>
          <w:b w:val="0"/>
          <w:bCs/>
          <w:szCs w:val="32"/>
          <w:lang w:eastAsia="zh-CN"/>
        </w:rPr>
        <w:t>（二）项目主要内容</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CA6A75C">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1.项目基本情况：</w:t>
      </w:r>
    </w:p>
    <w:p w14:paraId="35FEEDB8">
      <w:pPr>
        <w:widowControl/>
        <w:spacing w:line="600" w:lineRule="exact"/>
        <w:ind w:firstLine="640"/>
        <w:rPr>
          <w:rFonts w:hint="eastAsia" w:ascii="仿宋" w:hAnsi="仿宋" w:eastAsia="仿宋" w:cs="仿宋"/>
          <w:color w:val="auto"/>
          <w:lang w:val="zh-CN" w:eastAsia="zh-CN"/>
        </w:rPr>
      </w:pPr>
      <w:r>
        <w:rPr>
          <w:rFonts w:hint="eastAsia" w:ascii="仿宋" w:hAnsi="仿宋" w:eastAsia="仿宋" w:cs="仿宋"/>
          <w:bCs/>
          <w:szCs w:val="32"/>
          <w:lang w:val="zh-CN" w:eastAsia="zh-CN"/>
        </w:rPr>
        <w:t>项目名称：</w:t>
      </w:r>
      <w:r>
        <w:rPr>
          <w:rFonts w:hint="eastAsia" w:ascii="仿宋" w:hAnsi="仿宋" w:eastAsia="仿宋" w:cs="仿宋"/>
          <w:color w:val="auto"/>
          <w:lang w:val="zh-CN" w:eastAsia="zh-CN"/>
        </w:rPr>
        <w:t>储备粮油费用补贴</w:t>
      </w:r>
    </w:p>
    <w:p w14:paraId="141FF53F">
      <w:pPr>
        <w:widowControl/>
        <w:spacing w:line="600" w:lineRule="exact"/>
        <w:ind w:firstLine="640"/>
        <w:rPr>
          <w:rFonts w:hint="eastAsia" w:ascii="仿宋" w:hAnsi="仿宋" w:eastAsia="仿宋" w:cs="仿宋"/>
          <w:color w:val="auto"/>
          <w:lang w:val="zh-CN" w:eastAsia="zh-CN"/>
        </w:rPr>
      </w:pPr>
      <w:r>
        <w:rPr>
          <w:rFonts w:hint="eastAsia" w:ascii="仿宋" w:hAnsi="仿宋" w:eastAsia="仿宋" w:cs="仿宋"/>
          <w:bCs/>
          <w:szCs w:val="32"/>
          <w:lang w:val="zh-CN" w:eastAsia="zh-CN"/>
        </w:rPr>
        <w:t>项目单位：</w:t>
      </w:r>
      <w:r>
        <w:rPr>
          <w:rFonts w:hint="eastAsia" w:ascii="仿宋" w:hAnsi="仿宋" w:eastAsia="仿宋" w:cs="仿宋"/>
          <w:color w:val="auto"/>
          <w:lang w:val="zh-CN" w:eastAsia="zh-CN"/>
        </w:rPr>
        <w:t>乐山市金口河区粮食和物资储备中心</w:t>
      </w:r>
    </w:p>
    <w:p w14:paraId="70458B8E">
      <w:pPr>
        <w:widowControl/>
        <w:spacing w:line="600" w:lineRule="exact"/>
        <w:ind w:firstLine="640"/>
        <w:rPr>
          <w:rFonts w:hint="eastAsia" w:ascii="仿宋" w:hAnsi="仿宋" w:eastAsia="仿宋" w:cs="仿宋"/>
          <w:szCs w:val="32"/>
          <w:lang w:val="zh-CN" w:eastAsia="zh-CN"/>
        </w:rPr>
      </w:pPr>
      <w:r>
        <w:rPr>
          <w:rFonts w:hint="eastAsia" w:ascii="仿宋_GB2312"/>
          <w:szCs w:val="32"/>
          <w:lang w:eastAsia="zh-CN"/>
        </w:rPr>
        <w:t>主管部门：</w:t>
      </w:r>
      <w:r>
        <w:rPr>
          <w:rFonts w:hint="eastAsia" w:ascii="仿宋" w:hAnsi="仿宋" w:eastAsia="仿宋" w:cs="仿宋"/>
          <w:color w:val="auto"/>
          <w:lang w:val="zh-CN" w:eastAsia="zh-CN"/>
        </w:rPr>
        <w:t>乐山市金口河区粮食和物资储备中心</w:t>
      </w:r>
    </w:p>
    <w:p w14:paraId="65DB9A0C">
      <w:pPr>
        <w:widowControl/>
        <w:spacing w:line="600" w:lineRule="exact"/>
        <w:ind w:firstLine="640"/>
        <w:rPr>
          <w:rFonts w:hint="eastAsia" w:ascii="仿宋" w:hAnsi="仿宋" w:eastAsia="仿宋" w:cs="仿宋"/>
          <w:bCs/>
          <w:szCs w:val="32"/>
          <w:lang w:eastAsia="zh-CN"/>
        </w:rPr>
      </w:pPr>
      <w:r>
        <w:rPr>
          <w:rFonts w:hint="eastAsia" w:ascii="仿宋" w:hAnsi="仿宋" w:eastAsia="仿宋" w:cs="仿宋"/>
          <w:bCs/>
          <w:szCs w:val="32"/>
          <w:lang w:val="zh-CN" w:eastAsia="zh-CN"/>
        </w:rPr>
        <w:t>项目属性（新增/延续）：</w:t>
      </w:r>
      <w:r>
        <w:rPr>
          <w:rFonts w:hint="eastAsia" w:ascii="仿宋" w:hAnsi="仿宋" w:eastAsia="仿宋" w:cs="仿宋"/>
          <w:color w:val="auto"/>
          <w:lang w:val="zh-CN" w:eastAsia="zh-CN"/>
        </w:rPr>
        <w:t>新增性项目</w:t>
      </w:r>
    </w:p>
    <w:p w14:paraId="5CAB8175">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14:paraId="76E22081">
      <w:pPr>
        <w:widowControl/>
        <w:spacing w:line="600" w:lineRule="exact"/>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保证金口河区居民口粮供应，应对自然灾害和保障粮油市场稳定工作，维护全区粮食流通秩序，保障城乡居民、部队、学校口粮供应，保障全区粮食原粮的卫生安全及全区粮食供应总量平衡，维护社会稳定。</w:t>
      </w:r>
    </w:p>
    <w:p w14:paraId="219BDCF9">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3.项目概况：</w:t>
      </w:r>
    </w:p>
    <w:p w14:paraId="0422AB75">
      <w:pPr>
        <w:spacing w:line="600" w:lineRule="exact"/>
        <w:ind w:firstLine="640"/>
        <w:rPr>
          <w:rFonts w:hint="eastAsia" w:ascii="仿宋" w:hAnsi="仿宋" w:eastAsia="仿宋" w:cs="仿宋"/>
          <w:bCs/>
          <w:szCs w:val="32"/>
          <w:lang w:eastAsia="zh-CN"/>
        </w:rPr>
      </w:pPr>
      <w:bookmarkStart w:id="104" w:name="_Toc16114"/>
      <w:bookmarkStart w:id="105" w:name="_Toc8112"/>
      <w:bookmarkStart w:id="106" w:name="_Toc300186741"/>
      <w:bookmarkStart w:id="107" w:name="_Toc386835874"/>
      <w:bookmarkStart w:id="108" w:name="_Toc510053535"/>
      <w:bookmarkStart w:id="109" w:name="_Toc1256897804"/>
      <w:bookmarkStart w:id="110" w:name="_Toc20677"/>
      <w:bookmarkStart w:id="111" w:name="_Toc132480960"/>
      <w:bookmarkStart w:id="112" w:name="_Toc2001376203_WPSOffice_Level2"/>
      <w:r>
        <w:rPr>
          <w:rFonts w:hint="eastAsia" w:ascii="仿宋" w:hAnsi="仿宋" w:eastAsia="仿宋" w:cs="仿宋"/>
          <w:color w:val="auto"/>
          <w:lang w:val="zh-CN" w:eastAsia="zh-CN"/>
        </w:rPr>
        <w:t>区级储备粮轮换周期原则上执行稻谷3年、小麦4年、玉米2年、散装菜籽油2年，成品粮油原则上每年至少轮换1次，且至少在保质期到期前3个月进行轮换</w:t>
      </w:r>
      <w:r>
        <w:rPr>
          <w:rFonts w:hint="eastAsia" w:ascii="仿宋" w:hAnsi="仿宋" w:eastAsia="仿宋" w:cs="仿宋"/>
          <w:bCs/>
          <w:szCs w:val="32"/>
          <w:lang w:eastAsia="zh-CN"/>
        </w:rPr>
        <w:t>。</w:t>
      </w:r>
    </w:p>
    <w:p w14:paraId="21F4B67B">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color w:val="auto"/>
          <w:lang w:val="zh-CN" w:eastAsia="zh-CN"/>
        </w:rPr>
        <w:t>区粮储中心承担全区粮油和物资储备任务。为了保证金口河区居民口粮供应，应对自然灾害和保障粮油市场稳定工作，区储备中心在2025年部门预算中，预算储备粮油费用70.5万元，主要用于粮食2000吨、菜籽油10吨的保管费、轮换费及银行借款利息</w:t>
      </w:r>
      <w:r>
        <w:rPr>
          <w:rFonts w:hint="eastAsia" w:ascii="仿宋" w:hAnsi="仿宋" w:eastAsia="仿宋" w:cs="仿宋"/>
          <w:bCs/>
          <w:kern w:val="2"/>
          <w:szCs w:val="32"/>
          <w:lang w:eastAsia="zh-CN" w:bidi="ar-SA"/>
        </w:rPr>
        <w:t>。</w:t>
      </w:r>
    </w:p>
    <w:p w14:paraId="0226220D">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4.</w:t>
      </w:r>
      <w:r>
        <w:rPr>
          <w:rFonts w:hint="eastAsia" w:ascii="仿宋" w:hAnsi="仿宋" w:eastAsia="仿宋" w:cs="仿宋"/>
          <w:bCs/>
          <w:szCs w:val="32"/>
          <w:lang w:eastAsia="zh-CN"/>
        </w:rPr>
        <w:t>项目实施过程</w:t>
      </w:r>
    </w:p>
    <w:p w14:paraId="5C9E0E6B">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color w:val="auto"/>
          <w:lang w:val="zh-CN" w:eastAsia="zh-CN"/>
        </w:rPr>
        <w:t>保管费、轮换费依据《乐山市金口河区级储备粮油管理办法》(金发改[2022]109号)第七章第三十六条:区级储备粮的储备费用按储备总量(原粮)每年0.06元/斤补贴,轮换费用按储备总量(原粮)每年0.06元/斤补贴;第三十八条:区级储备粮、油的借款利息按农业发展银行同期农副产品收购贷款利率，由区财政局据实拔付。区级储备粮费用利息的拨付实行按季预发，并在次年第一季度内进行清算</w:t>
      </w:r>
      <w:r>
        <w:rPr>
          <w:rFonts w:hint="eastAsia" w:ascii="仿宋" w:hAnsi="仿宋" w:eastAsia="仿宋" w:cs="仿宋"/>
          <w:szCs w:val="32"/>
          <w:lang w:eastAsia="zh-CN"/>
        </w:rPr>
        <w:t>。</w:t>
      </w:r>
    </w:p>
    <w:p w14:paraId="24962829">
      <w:pPr>
        <w:pStyle w:val="3"/>
        <w:spacing w:before="0" w:beforeLines="0" w:after="0" w:afterLines="0" w:line="600" w:lineRule="exact"/>
        <w:ind w:firstLineChars="0"/>
        <w:rPr>
          <w:rFonts w:hint="eastAsia" w:ascii="仿宋" w:hAnsi="仿宋" w:eastAsia="仿宋" w:cs="仿宋"/>
          <w:b w:val="0"/>
          <w:bCs/>
          <w:szCs w:val="32"/>
          <w:lang w:eastAsia="zh-CN"/>
        </w:rPr>
      </w:pPr>
      <w:bookmarkStart w:id="113" w:name="_Toc31055"/>
      <w:r>
        <w:rPr>
          <w:rFonts w:hint="eastAsia" w:ascii="仿宋" w:hAnsi="仿宋" w:eastAsia="仿宋" w:cs="仿宋"/>
          <w:b w:val="0"/>
          <w:bCs/>
          <w:szCs w:val="32"/>
          <w:lang w:eastAsia="zh-CN"/>
        </w:rPr>
        <w:t>（三）项目预算构成</w:t>
      </w:r>
      <w:bookmarkEnd w:id="104"/>
      <w:bookmarkEnd w:id="105"/>
      <w:bookmarkEnd w:id="106"/>
      <w:bookmarkEnd w:id="107"/>
      <w:bookmarkEnd w:id="108"/>
      <w:bookmarkEnd w:id="109"/>
      <w:bookmarkEnd w:id="110"/>
      <w:bookmarkEnd w:id="111"/>
      <w:bookmarkEnd w:id="112"/>
      <w:bookmarkEnd w:id="113"/>
    </w:p>
    <w:p w14:paraId="5ED64F7E">
      <w:pPr>
        <w:spacing w:line="600" w:lineRule="exact"/>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根据区粮储中心提供的《金口河区储备粮油费用补贴预算及明细》《项目收支统计明细表》，区粮储中心2025年储备粮油费用补贴预算资金70.5万元。</w:t>
      </w:r>
    </w:p>
    <w:p w14:paraId="450A5688">
      <w:pPr>
        <w:spacing w:line="600" w:lineRule="exact"/>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预算资金主要用于粮食2000吨、菜籽油10吨的保管费、轮换费及银行借款利息。其依据为《乐山市金口河区级储备粮油管理办法》(金发改[2022]109号)第七章第三十六条:区级储备粮的储备费用按储备总量(原粮)每年0.06元/斤补贴,轮换费用按储备总量(原粮)每年0.06元/斤补贴;第三十八条:区级储备粮、油的借款利息按农业发展银行同期农副产品收购贷款利率，由区财政局据实拔付。区级储备粮费用利息的拨付实行按季预发，并在次年第一季度内进行清算</w:t>
      </w:r>
      <w:r>
        <w:rPr>
          <w:rFonts w:hint="eastAsia" w:ascii="仿宋" w:hAnsi="仿宋" w:eastAsia="仿宋" w:cs="仿宋"/>
          <w:bCs/>
          <w:szCs w:val="32"/>
          <w:lang w:eastAsia="zh-CN"/>
        </w:rPr>
        <w:t>。</w:t>
      </w:r>
    </w:p>
    <w:p w14:paraId="4718337C">
      <w:pPr>
        <w:pStyle w:val="2"/>
        <w:numPr>
          <w:ilvl w:val="0"/>
          <w:numId w:val="1"/>
        </w:numPr>
        <w:spacing w:before="0" w:beforeLines="0" w:after="0" w:afterLines="0"/>
        <w:rPr>
          <w:rFonts w:hint="eastAsia" w:ascii="仿宋" w:hAnsi="仿宋" w:eastAsia="仿宋" w:cs="仿宋"/>
          <w:b w:val="0"/>
          <w:bCs/>
          <w:szCs w:val="32"/>
          <w:lang w:eastAsia="zh-CN"/>
        </w:rPr>
      </w:pPr>
      <w:bookmarkStart w:id="114" w:name="_Toc9538"/>
      <w:bookmarkStart w:id="115" w:name="_Toc8033"/>
      <w:bookmarkStart w:id="116" w:name="_Toc23154"/>
      <w:bookmarkStart w:id="117" w:name="_Toc326378840"/>
      <w:bookmarkStart w:id="118" w:name="_Toc338550202"/>
      <w:bookmarkStart w:id="119" w:name="_Toc1396703300"/>
      <w:bookmarkStart w:id="120" w:name="_Toc1093480860_WPSOffice_Level1"/>
      <w:bookmarkStart w:id="121" w:name="_Toc132480961"/>
      <w:bookmarkStart w:id="122" w:name="_Toc451760287"/>
      <w:bookmarkStart w:id="123" w:name="_Toc1939"/>
      <w:bookmarkStart w:id="124" w:name="_Toc4357"/>
      <w:r>
        <w:rPr>
          <w:rFonts w:hint="eastAsia" w:ascii="仿宋" w:hAnsi="仿宋" w:eastAsia="仿宋" w:cs="仿宋"/>
          <w:b w:val="0"/>
          <w:bCs/>
          <w:szCs w:val="32"/>
          <w:lang w:eastAsia="zh-CN"/>
        </w:rPr>
        <w:t>绩效评价工作开展情况</w:t>
      </w:r>
      <w:bookmarkEnd w:id="114"/>
      <w:bookmarkEnd w:id="115"/>
      <w:bookmarkEnd w:id="116"/>
      <w:bookmarkEnd w:id="117"/>
      <w:bookmarkEnd w:id="118"/>
      <w:bookmarkEnd w:id="119"/>
      <w:bookmarkEnd w:id="120"/>
      <w:bookmarkEnd w:id="121"/>
      <w:bookmarkEnd w:id="122"/>
      <w:bookmarkEnd w:id="123"/>
      <w:bookmarkEnd w:id="124"/>
    </w:p>
    <w:p w14:paraId="2124F4A1">
      <w:pPr>
        <w:pStyle w:val="3"/>
        <w:numPr>
          <w:ilvl w:val="1"/>
          <w:numId w:val="2"/>
        </w:numPr>
        <w:spacing w:before="0" w:beforeLines="0" w:after="0" w:afterLines="0"/>
        <w:ind w:left="0" w:firstLine="709" w:firstLineChars="0"/>
        <w:rPr>
          <w:rFonts w:hint="eastAsia" w:ascii="仿宋" w:hAnsi="仿宋" w:eastAsia="仿宋" w:cs="仿宋"/>
          <w:b w:val="0"/>
          <w:bCs/>
          <w:szCs w:val="32"/>
          <w:lang w:eastAsia="zh-CN"/>
        </w:rPr>
      </w:pPr>
      <w:bookmarkStart w:id="125" w:name="_Toc29934"/>
      <w:bookmarkStart w:id="126" w:name="_Toc132480962"/>
      <w:bookmarkStart w:id="127" w:name="_Toc20456"/>
      <w:bookmarkStart w:id="128" w:name="_Toc6302"/>
      <w:bookmarkStart w:id="129" w:name="_Toc1380451464"/>
      <w:bookmarkStart w:id="130" w:name="_Toc1329064111"/>
      <w:bookmarkStart w:id="131" w:name="_Toc24814"/>
      <w:bookmarkStart w:id="132" w:name="_Toc775929442"/>
      <w:bookmarkStart w:id="133" w:name="_Toc26870"/>
      <w:bookmarkStart w:id="134" w:name="_Toc248617743"/>
      <w:r>
        <w:rPr>
          <w:rFonts w:hint="eastAsia" w:ascii="仿宋" w:hAnsi="仿宋" w:eastAsia="仿宋" w:cs="仿宋"/>
          <w:b w:val="0"/>
          <w:bCs/>
          <w:szCs w:val="32"/>
          <w:lang w:eastAsia="zh-CN"/>
        </w:rPr>
        <w:t>绩效评价目的</w:t>
      </w:r>
      <w:bookmarkEnd w:id="125"/>
      <w:bookmarkEnd w:id="126"/>
      <w:bookmarkEnd w:id="127"/>
      <w:bookmarkEnd w:id="128"/>
      <w:bookmarkEnd w:id="129"/>
      <w:bookmarkEnd w:id="130"/>
      <w:bookmarkEnd w:id="131"/>
      <w:bookmarkEnd w:id="132"/>
      <w:bookmarkEnd w:id="133"/>
      <w:bookmarkEnd w:id="134"/>
    </w:p>
    <w:p w14:paraId="2D4FB16D">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乐山市金口河区财政局关于委托金口河区财政投资评价审核中心开展2025年事前绩效评估工作的函》，金口河区财政局在各预算单位对2025年年初预算资金进行事前自评的基础上，按照“资金量较大、代表性较强、社会关注度较高、资金分配覆盖广且连续实施”的原则，委托我中心对储备粮油费用补贴项目进行评估。本项目的绩效评估主要判断项目申请资金支持的必要性和可行性；重点论证项目实施的必要性、公益性、收益性；项目</w:t>
      </w:r>
      <w:r>
        <w:rPr>
          <w:rFonts w:hint="eastAsia" w:ascii="仿宋" w:hAnsi="仿宋" w:eastAsia="仿宋" w:cs="仿宋"/>
          <w:color w:val="auto"/>
          <w:lang w:val="en-US" w:eastAsia="zh-CN"/>
        </w:rPr>
        <w:t>实施</w:t>
      </w:r>
      <w:r>
        <w:rPr>
          <w:rFonts w:hint="eastAsia" w:ascii="仿宋" w:hAnsi="仿宋" w:eastAsia="仿宋" w:cs="仿宋"/>
          <w:color w:val="auto"/>
          <w:lang w:val="zh-CN" w:eastAsia="zh-CN"/>
        </w:rPr>
        <w:t>合规性与项目成熟度；项目资金来源和到位可行性；项目绩效目标合理性、事前绩效评估论证结果。</w:t>
      </w:r>
    </w:p>
    <w:p w14:paraId="1A1977CA">
      <w:pPr>
        <w:pStyle w:val="3"/>
        <w:numPr>
          <w:ilvl w:val="0"/>
          <w:numId w:val="2"/>
        </w:numPr>
        <w:spacing w:before="0" w:beforeLines="0" w:after="0" w:afterLines="0"/>
        <w:ind w:left="0" w:firstLine="709" w:firstLineChars="0"/>
        <w:rPr>
          <w:rFonts w:hint="eastAsia" w:ascii="仿宋" w:hAnsi="仿宋" w:eastAsia="仿宋" w:cs="仿宋"/>
          <w:b w:val="0"/>
          <w:bCs/>
          <w:szCs w:val="32"/>
          <w:lang w:eastAsia="zh-CN"/>
        </w:rPr>
      </w:pPr>
      <w:bookmarkStart w:id="135" w:name="_Toc166470150"/>
      <w:bookmarkStart w:id="136" w:name="_Toc32534"/>
      <w:bookmarkStart w:id="137" w:name="_Toc2011308256"/>
      <w:bookmarkStart w:id="138" w:name="_Toc15142"/>
      <w:bookmarkStart w:id="139" w:name="_Toc132480963"/>
      <w:bookmarkStart w:id="140" w:name="_Toc1343165574"/>
      <w:bookmarkStart w:id="141" w:name="_Toc8572"/>
      <w:bookmarkStart w:id="142" w:name="_Toc1814348475"/>
      <w:bookmarkStart w:id="143" w:name="_Toc6017"/>
      <w:bookmarkStart w:id="144" w:name="_Toc6919"/>
      <w:r>
        <w:rPr>
          <w:rFonts w:hint="eastAsia" w:ascii="仿宋" w:hAnsi="仿宋" w:eastAsia="仿宋" w:cs="仿宋"/>
          <w:b w:val="0"/>
          <w:bCs/>
          <w:szCs w:val="32"/>
          <w:lang w:eastAsia="zh-CN"/>
        </w:rPr>
        <w:t>绩效评价</w:t>
      </w:r>
      <w:bookmarkEnd w:id="135"/>
      <w:bookmarkEnd w:id="136"/>
      <w:bookmarkEnd w:id="137"/>
      <w:bookmarkEnd w:id="138"/>
      <w:bookmarkEnd w:id="139"/>
      <w:bookmarkEnd w:id="140"/>
      <w:bookmarkEnd w:id="141"/>
      <w:bookmarkEnd w:id="142"/>
      <w:r>
        <w:rPr>
          <w:rFonts w:hint="eastAsia" w:ascii="仿宋" w:hAnsi="仿宋" w:eastAsia="仿宋" w:cs="仿宋"/>
          <w:b w:val="0"/>
          <w:bCs/>
          <w:szCs w:val="32"/>
          <w:lang w:eastAsia="zh-CN"/>
        </w:rPr>
        <w:t>指标</w:t>
      </w:r>
      <w:bookmarkEnd w:id="143"/>
      <w:bookmarkEnd w:id="144"/>
    </w:p>
    <w:p w14:paraId="567F24FB">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储备粮油费用补贴事前绩效评估指标直接影响绩效评估结果的有效性，设计和选择评估指标时，评估工作小组遵循“相关性、经济性、可比性、重要性”的原则，通过对储备粮油费用补贴相关文件的学习理解、对项目特点的深入研究以及对项目资料的整理分析的基础上，设计形成事前绩效评估体系。绩效评估总分100分，共设置一级指标8个，分值分别为16分、18分、12分、12分、13分、8分、</w:t>
      </w:r>
      <w:r>
        <w:rPr>
          <w:rFonts w:hint="eastAsia" w:ascii="仿宋" w:hAnsi="仿宋" w:eastAsia="仿宋" w:cs="仿宋"/>
          <w:color w:val="auto"/>
          <w:lang w:val="en-US" w:eastAsia="zh-CN"/>
        </w:rPr>
        <w:t>12</w:t>
      </w:r>
      <w:r>
        <w:rPr>
          <w:rFonts w:hint="eastAsia" w:ascii="仿宋" w:hAnsi="仿宋" w:eastAsia="仿宋" w:cs="仿宋"/>
          <w:color w:val="auto"/>
          <w:lang w:val="zh-CN" w:eastAsia="zh-CN"/>
        </w:rPr>
        <w:t>分和</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分，设置二级指标1</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个，重点论证立项必要性、绩效目标合理性、</w:t>
      </w:r>
      <w:r>
        <w:rPr>
          <w:rFonts w:hint="eastAsia" w:ascii="仿宋" w:hAnsi="仿宋" w:eastAsia="仿宋" w:cs="仿宋"/>
          <w:color w:val="auto"/>
          <w:lang w:val="en-US" w:eastAsia="zh-CN"/>
        </w:rPr>
        <w:t>管理办法执行的有效</w:t>
      </w:r>
      <w:r>
        <w:rPr>
          <w:rFonts w:hint="eastAsia" w:ascii="仿宋" w:hAnsi="仿宋" w:eastAsia="仿宋" w:cs="仿宋"/>
          <w:color w:val="auto"/>
          <w:lang w:val="zh-CN" w:eastAsia="zh-CN"/>
        </w:rPr>
        <w:t>性、</w:t>
      </w:r>
      <w:r>
        <w:rPr>
          <w:rFonts w:hint="eastAsia" w:ascii="仿宋" w:hAnsi="仿宋" w:eastAsia="仿宋" w:cs="仿宋"/>
          <w:color w:val="auto"/>
          <w:lang w:val="en-US" w:eastAsia="zh-CN"/>
        </w:rPr>
        <w:t>实施成果</w:t>
      </w:r>
      <w:r>
        <w:rPr>
          <w:rFonts w:hint="eastAsia" w:ascii="仿宋" w:hAnsi="仿宋" w:eastAsia="仿宋" w:cs="仿宋"/>
          <w:color w:val="auto"/>
          <w:lang w:val="zh-CN" w:eastAsia="zh-CN"/>
        </w:rPr>
        <w:t>合</w:t>
      </w:r>
      <w:r>
        <w:rPr>
          <w:rFonts w:hint="eastAsia" w:ascii="仿宋" w:hAnsi="仿宋" w:eastAsia="仿宋" w:cs="仿宋"/>
          <w:color w:val="auto"/>
          <w:lang w:val="en-US" w:eastAsia="zh-CN"/>
        </w:rPr>
        <w:t>格</w:t>
      </w:r>
      <w:r>
        <w:rPr>
          <w:rFonts w:hint="eastAsia" w:ascii="仿宋" w:hAnsi="仿宋" w:eastAsia="仿宋" w:cs="仿宋"/>
          <w:color w:val="auto"/>
          <w:lang w:val="zh-CN" w:eastAsia="zh-CN"/>
        </w:rPr>
        <w:t>性等方面，全面评估该项目的的预期绩效情况</w:t>
      </w:r>
      <w:r>
        <w:rPr>
          <w:rFonts w:ascii="仿宋" w:hAnsi="仿宋" w:eastAsia="仿宋" w:cs="仿宋"/>
          <w:bCs/>
          <w:szCs w:val="32"/>
          <w:lang w:eastAsia="zh-CN"/>
        </w:rPr>
        <w:t>。</w:t>
      </w:r>
    </w:p>
    <w:p w14:paraId="5CD2910D">
      <w:pPr>
        <w:pStyle w:val="3"/>
        <w:numPr>
          <w:ilvl w:val="0"/>
          <w:numId w:val="2"/>
        </w:numPr>
        <w:spacing w:before="0" w:beforeLines="0" w:after="0" w:afterLines="0"/>
        <w:ind w:left="0" w:firstLine="709" w:firstLineChars="0"/>
        <w:rPr>
          <w:rFonts w:hint="eastAsia" w:ascii="仿宋" w:hAnsi="仿宋" w:eastAsia="仿宋" w:cs="仿宋"/>
          <w:b w:val="0"/>
          <w:bCs/>
          <w:szCs w:val="32"/>
          <w:lang w:eastAsia="zh-CN"/>
        </w:rPr>
      </w:pPr>
      <w:bookmarkStart w:id="145" w:name="_Toc27238"/>
      <w:bookmarkStart w:id="146" w:name="_Toc133498040"/>
      <w:bookmarkStart w:id="147" w:name="_Toc9410"/>
      <w:bookmarkStart w:id="148" w:name="_Toc9540"/>
      <w:bookmarkStart w:id="149" w:name="_Toc11904"/>
      <w:bookmarkStart w:id="150" w:name="_Toc20949"/>
      <w:bookmarkStart w:id="151" w:name="_Toc22272"/>
      <w:bookmarkStart w:id="152" w:name="_Toc130033892"/>
      <w:r>
        <w:rPr>
          <w:rFonts w:hint="eastAsia" w:ascii="仿宋" w:hAnsi="仿宋" w:eastAsia="仿宋" w:cs="仿宋"/>
          <w:b w:val="0"/>
          <w:bCs/>
          <w:szCs w:val="32"/>
        </w:rPr>
        <w:t>评价依据</w:t>
      </w:r>
      <w:bookmarkEnd w:id="145"/>
      <w:bookmarkEnd w:id="146"/>
      <w:bookmarkEnd w:id="147"/>
      <w:bookmarkEnd w:id="148"/>
      <w:bookmarkEnd w:id="149"/>
      <w:bookmarkEnd w:id="150"/>
      <w:bookmarkEnd w:id="151"/>
      <w:bookmarkEnd w:id="152"/>
    </w:p>
    <w:p w14:paraId="7A464565">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关于印发&lt;乐山市金口河区区级储备粮管理办法&gt;的通知》(金发改〔2022〕109号)；</w:t>
      </w:r>
    </w:p>
    <w:p w14:paraId="4ADA23CA">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color w:val="auto"/>
          <w:lang w:val="zh-CN" w:eastAsia="zh-CN"/>
        </w:rPr>
        <w:t>项目单位提供的相关资料；</w:t>
      </w:r>
    </w:p>
    <w:p w14:paraId="366EB6BA">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color w:val="auto"/>
          <w:lang w:val="zh-CN" w:eastAsia="zh-CN"/>
        </w:rPr>
        <w:t>《粮食流通管理条例》（国务院令第407号）；</w:t>
      </w:r>
    </w:p>
    <w:p w14:paraId="45D6FF47">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w:t>
      </w:r>
      <w:r>
        <w:rPr>
          <w:rFonts w:hint="eastAsia" w:ascii="仿宋" w:hAnsi="仿宋" w:eastAsia="仿宋" w:cs="仿宋"/>
          <w:color w:val="auto"/>
          <w:lang w:val="zh-CN" w:eastAsia="zh-CN"/>
        </w:rPr>
        <w:t>中共中央国务院关于全面实施预算绩效管理的意见》（中发〔2018〕34号）；</w:t>
      </w:r>
    </w:p>
    <w:p w14:paraId="564964D1">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w:t>
      </w:r>
      <w:r>
        <w:rPr>
          <w:rFonts w:hint="eastAsia" w:ascii="仿宋" w:hAnsi="仿宋" w:eastAsia="仿宋" w:cs="仿宋"/>
          <w:color w:val="auto"/>
          <w:lang w:val="zh-CN" w:eastAsia="zh-CN"/>
        </w:rPr>
        <w:t>《中共四川省委四川省人民政府关于全面实施预算绩效管理的实施意见》（川委发〔2019〕8号）；</w:t>
      </w:r>
    </w:p>
    <w:p w14:paraId="14B08D54">
      <w:pPr>
        <w:ind w:firstLine="640"/>
        <w:rPr>
          <w:rFonts w:hint="eastAsia" w:ascii="仿宋" w:hAnsi="仿宋" w:eastAsia="仿宋" w:cs="仿宋"/>
          <w:bCs/>
          <w:kern w:val="2"/>
          <w:szCs w:val="32"/>
          <w:lang w:eastAsia="zh-CN" w:bidi="ar-SA"/>
        </w:rPr>
      </w:pPr>
      <w:r>
        <w:rPr>
          <w:rFonts w:hint="eastAsia" w:ascii="仿宋" w:hAnsi="仿宋" w:eastAsia="仿宋" w:cs="仿宋"/>
          <w:bCs/>
          <w:szCs w:val="32"/>
          <w:lang w:eastAsia="zh-CN"/>
        </w:rPr>
        <w:t>6.</w:t>
      </w:r>
      <w:r>
        <w:rPr>
          <w:rFonts w:hint="eastAsia" w:ascii="仿宋" w:hAnsi="仿宋" w:eastAsia="仿宋" w:cs="仿宋"/>
          <w:bCs/>
          <w:kern w:val="2"/>
          <w:szCs w:val="32"/>
          <w:lang w:eastAsia="zh-CN" w:bidi="ar-SA"/>
        </w:rPr>
        <w:t>《</w:t>
      </w:r>
      <w:r>
        <w:rPr>
          <w:rFonts w:hint="eastAsia" w:ascii="仿宋" w:hAnsi="仿宋" w:eastAsia="仿宋" w:cs="仿宋"/>
          <w:color w:val="auto"/>
          <w:lang w:val="zh-CN" w:eastAsia="zh-CN"/>
        </w:rPr>
        <w:t>四川省地方粮食储备管理办法》(四川省政府令第〔2021〕348号)；</w:t>
      </w:r>
    </w:p>
    <w:p w14:paraId="722FF4AC">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7.《</w:t>
      </w:r>
      <w:r>
        <w:rPr>
          <w:rFonts w:hint="eastAsia" w:ascii="仿宋" w:hAnsi="仿宋" w:eastAsia="仿宋" w:cs="仿宋"/>
          <w:color w:val="auto"/>
          <w:lang w:val="zh-CN" w:eastAsia="zh-CN"/>
        </w:rPr>
        <w:t>中共乐山市委办公室乐山市人民政府办公室&lt;关于印发全面实施预算绩效管理实施方案&gt;的通知》（乐委办发〔2020〕12号）；</w:t>
      </w:r>
    </w:p>
    <w:p w14:paraId="6401C565">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8.</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关于印发&lt;</w:t>
      </w:r>
      <w:r>
        <w:rPr>
          <w:rFonts w:hint="eastAsia" w:ascii="仿宋" w:hAnsi="仿宋" w:eastAsia="仿宋" w:cs="仿宋"/>
          <w:color w:val="auto"/>
          <w:lang w:val="zh-CN" w:eastAsia="zh-CN"/>
        </w:rPr>
        <w:t>乐山市金口河区区级储备粮轮换管理办法</w:t>
      </w:r>
      <w:r>
        <w:rPr>
          <w:rFonts w:hint="eastAsia" w:ascii="仿宋" w:hAnsi="仿宋" w:eastAsia="仿宋" w:cs="仿宋"/>
          <w:color w:val="auto"/>
          <w:lang w:val="en-US" w:eastAsia="zh-CN"/>
        </w:rPr>
        <w:t>&gt;的通知</w:t>
      </w:r>
      <w:r>
        <w:rPr>
          <w:rFonts w:hint="eastAsia" w:ascii="仿宋" w:hAnsi="仿宋" w:eastAsia="仿宋" w:cs="仿宋"/>
          <w:color w:val="auto"/>
          <w:lang w:val="zh-CN" w:eastAsia="zh-CN"/>
        </w:rPr>
        <w:t>》(金发改〔2022〕10</w:t>
      </w:r>
      <w:r>
        <w:rPr>
          <w:rFonts w:hint="eastAsia" w:ascii="仿宋" w:hAnsi="仿宋" w:eastAsia="仿宋" w:cs="仿宋"/>
          <w:color w:val="auto"/>
          <w:lang w:val="en-US" w:eastAsia="zh-CN"/>
        </w:rPr>
        <w:t>8</w:t>
      </w:r>
      <w:r>
        <w:rPr>
          <w:rFonts w:hint="eastAsia" w:ascii="仿宋" w:hAnsi="仿宋" w:eastAsia="仿宋" w:cs="仿宋"/>
          <w:color w:val="auto"/>
          <w:lang w:val="zh-CN" w:eastAsia="zh-CN"/>
        </w:rPr>
        <w:t>号)；</w:t>
      </w:r>
    </w:p>
    <w:p w14:paraId="3FEE7EF7">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9.</w:t>
      </w:r>
      <w:r>
        <w:rPr>
          <w:rFonts w:hint="eastAsia" w:ascii="仿宋" w:hAnsi="仿宋" w:eastAsia="仿宋" w:cs="仿宋"/>
          <w:color w:val="auto"/>
          <w:lang w:val="zh-CN" w:eastAsia="zh-CN"/>
        </w:rPr>
        <w:t>《乐山市金口河区粮食风险金管理办法》(金财政〔2022〕62号)；</w:t>
      </w:r>
    </w:p>
    <w:p w14:paraId="51B3686F">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10.</w:t>
      </w:r>
      <w:bookmarkStart w:id="153" w:name="_Toc8759"/>
      <w:bookmarkStart w:id="154" w:name="_Toc13032"/>
      <w:bookmarkStart w:id="155" w:name="_Toc4268"/>
      <w:r>
        <w:rPr>
          <w:rFonts w:hint="eastAsia" w:ascii="仿宋" w:hAnsi="仿宋" w:eastAsia="仿宋" w:cs="仿宋"/>
          <w:color w:val="auto"/>
          <w:lang w:val="zh-CN" w:eastAsia="zh-CN"/>
        </w:rPr>
        <w:t>《金口河区区级预算事前绩效评估管理暂行办法》；</w:t>
      </w:r>
    </w:p>
    <w:p w14:paraId="4F6785FC">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11.其</w:t>
      </w:r>
      <w:r>
        <w:rPr>
          <w:rFonts w:hint="eastAsia" w:ascii="仿宋" w:hAnsi="仿宋" w:eastAsia="仿宋" w:cs="仿宋"/>
          <w:color w:val="auto"/>
          <w:lang w:val="zh-CN" w:eastAsia="zh-CN"/>
        </w:rPr>
        <w:t>他与本次评价相关的制度、文件等资料。</w:t>
      </w:r>
      <w:bookmarkEnd w:id="153"/>
      <w:bookmarkEnd w:id="154"/>
      <w:bookmarkEnd w:id="155"/>
    </w:p>
    <w:p w14:paraId="7372748E">
      <w:pPr>
        <w:pStyle w:val="3"/>
        <w:numPr>
          <w:ilvl w:val="0"/>
          <w:numId w:val="2"/>
        </w:numPr>
        <w:spacing w:before="0" w:beforeLines="0" w:after="0" w:afterLines="0"/>
        <w:ind w:left="0" w:firstLine="709" w:firstLineChars="0"/>
        <w:rPr>
          <w:rFonts w:hint="eastAsia" w:ascii="仿宋" w:hAnsi="仿宋" w:eastAsia="仿宋" w:cs="仿宋"/>
          <w:b w:val="0"/>
          <w:bCs/>
          <w:szCs w:val="32"/>
        </w:rPr>
      </w:pPr>
      <w:bookmarkStart w:id="156" w:name="_Toc13724"/>
      <w:bookmarkStart w:id="157" w:name="_Toc2097"/>
      <w:bookmarkStart w:id="158" w:name="_Toc24196"/>
      <w:bookmarkStart w:id="159" w:name="_Toc6680"/>
      <w:bookmarkStart w:id="160" w:name="_Toc1840102656"/>
      <w:bookmarkStart w:id="161" w:name="_Toc235704954"/>
      <w:bookmarkStart w:id="162" w:name="_Toc28796"/>
      <w:bookmarkStart w:id="163" w:name="_Toc517771165"/>
      <w:bookmarkStart w:id="164" w:name="_Toc1492000300_WPSOffice_Level3"/>
      <w:bookmarkStart w:id="165" w:name="_Toc1634515572"/>
      <w:bookmarkStart w:id="166" w:name="_Toc133498039"/>
      <w:bookmarkStart w:id="167" w:name="_Toc15390"/>
      <w:bookmarkStart w:id="168" w:name="_Toc5444"/>
      <w:bookmarkStart w:id="169" w:name="_Toc130033891"/>
      <w:bookmarkStart w:id="170" w:name="_Toc576232511"/>
      <w:bookmarkStart w:id="171" w:name="_Toc2029979728_WPSOffice_Level3"/>
      <w:bookmarkStart w:id="172" w:name="_Toc30726"/>
      <w:bookmarkStart w:id="173" w:name="_Toc1533316810"/>
      <w:bookmarkStart w:id="174" w:name="_Toc692406180"/>
      <w:bookmarkStart w:id="175" w:name="_Toc9201"/>
      <w:bookmarkStart w:id="176" w:name="_Toc130033893"/>
      <w:bookmarkStart w:id="177" w:name="_Toc693338945"/>
      <w:bookmarkStart w:id="178" w:name="_Toc6461"/>
      <w:bookmarkStart w:id="179" w:name="_Toc15014"/>
      <w:bookmarkStart w:id="180" w:name="_Toc24488"/>
      <w:bookmarkStart w:id="181" w:name="_Toc133498041"/>
      <w:r>
        <w:rPr>
          <w:rFonts w:hint="eastAsia" w:ascii="仿宋" w:hAnsi="仿宋" w:eastAsia="仿宋" w:cs="仿宋"/>
          <w:b w:val="0"/>
          <w:bCs/>
          <w:szCs w:val="32"/>
        </w:rPr>
        <w:t>绩效评价原则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7C32770">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科学规范原则。绩效评价应当严格执行规定的程序，按科学可行的要求，采用定量与定性分析相结合、理论与实践相结合的方法设计合理的评估指标体系。</w:t>
      </w:r>
    </w:p>
    <w:p w14:paraId="4710FCFE">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2.公正公开原则。绩效评价应当符合真实、客观、公正的要求，依法公开并接受监督。</w:t>
      </w:r>
    </w:p>
    <w:p w14:paraId="1B20FA63">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3.利害关系回避原则。绩效评价工作由乐山市金口河区财政投资评价审核中心进行实施。</w:t>
      </w:r>
    </w:p>
    <w:p w14:paraId="1AD1A640">
      <w:pPr>
        <w:ind w:firstLine="640"/>
        <w:rPr>
          <w:rFonts w:hint="eastAsia" w:ascii="仿宋" w:hAnsi="仿宋" w:eastAsia="仿宋" w:cs="仿宋"/>
          <w:bCs/>
          <w:spacing w:val="-5"/>
          <w:szCs w:val="32"/>
          <w:lang w:eastAsia="zh-CN"/>
        </w:rPr>
      </w:pPr>
      <w:r>
        <w:rPr>
          <w:rFonts w:hint="eastAsia" w:ascii="仿宋" w:hAnsi="仿宋" w:eastAsia="仿宋" w:cs="仿宋"/>
          <w:color w:val="auto"/>
          <w:lang w:val="zh-CN" w:eastAsia="zh-CN"/>
        </w:rPr>
        <w:t>4.绩效相关原则。本次事前绩效评估针对储备粮油费用补贴预算金额及其预期绩效进行，评价结果清晰地反映两者之间的紧密对应关系</w:t>
      </w:r>
      <w:r>
        <w:rPr>
          <w:rFonts w:hint="eastAsia" w:ascii="仿宋" w:hAnsi="仿宋" w:eastAsia="仿宋" w:cs="仿宋"/>
          <w:bCs/>
          <w:szCs w:val="32"/>
          <w:lang w:eastAsia="zh-CN"/>
        </w:rPr>
        <w:t>。</w:t>
      </w:r>
    </w:p>
    <w:p w14:paraId="1D91C878">
      <w:pPr>
        <w:pStyle w:val="3"/>
        <w:numPr>
          <w:ilvl w:val="0"/>
          <w:numId w:val="2"/>
        </w:numPr>
        <w:spacing w:before="0" w:beforeLines="0" w:after="0" w:afterLines="0"/>
        <w:ind w:left="0" w:firstLine="709" w:firstLineChars="0"/>
        <w:rPr>
          <w:rFonts w:hint="eastAsia" w:ascii="仿宋" w:hAnsi="仿宋" w:eastAsia="仿宋" w:cs="仿宋"/>
          <w:b w:val="0"/>
          <w:bCs/>
          <w:szCs w:val="32"/>
        </w:rPr>
      </w:pPr>
      <w:bookmarkStart w:id="182" w:name="_Toc16442"/>
      <w:bookmarkStart w:id="183" w:name="_Toc4046"/>
      <w:r>
        <w:rPr>
          <w:rFonts w:hint="eastAsia" w:ascii="仿宋" w:hAnsi="仿宋" w:eastAsia="仿宋" w:cs="仿宋"/>
          <w:b w:val="0"/>
          <w:bCs/>
          <w:szCs w:val="32"/>
        </w:rPr>
        <w:t>评价</w:t>
      </w:r>
      <w:r>
        <w:rPr>
          <w:rFonts w:hint="eastAsia" w:ascii="仿宋" w:hAnsi="仿宋" w:eastAsia="仿宋" w:cs="仿宋"/>
          <w:b w:val="0"/>
          <w:bCs/>
          <w:szCs w:val="32"/>
          <w:lang w:eastAsia="zh-CN"/>
        </w:rPr>
        <w:t>方法和等级设定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BB1DF52">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本次绩效评估通过实施单位的数据填报,辅以评价工作小组实地调查、查阅问卷、听取汇报、查看项目管理及财务管理资料等方式收集信息，对拟使用资金项目的必要性、</w:t>
      </w:r>
      <w:r>
        <w:rPr>
          <w:rFonts w:hint="eastAsia" w:ascii="仿宋" w:hAnsi="仿宋" w:eastAsia="仿宋" w:cs="仿宋"/>
          <w:color w:val="auto"/>
          <w:lang w:val="en-US" w:eastAsia="zh-CN"/>
        </w:rPr>
        <w:t>资金来源</w:t>
      </w:r>
      <w:r>
        <w:rPr>
          <w:rFonts w:hint="eastAsia" w:ascii="仿宋" w:hAnsi="仿宋" w:eastAsia="仿宋" w:cs="仿宋"/>
          <w:color w:val="auto"/>
          <w:lang w:val="zh-CN" w:eastAsia="zh-CN"/>
        </w:rPr>
        <w:t>的可行性、绩效目标的合理性、资金使用</w:t>
      </w:r>
      <w:r>
        <w:rPr>
          <w:rFonts w:hint="eastAsia" w:ascii="仿宋" w:hAnsi="仿宋" w:eastAsia="仿宋" w:cs="仿宋"/>
          <w:color w:val="auto"/>
          <w:lang w:val="en-US" w:eastAsia="zh-CN"/>
        </w:rPr>
        <w:t>计划的合理性</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管理办法执行的有效</w:t>
      </w:r>
      <w:r>
        <w:rPr>
          <w:rFonts w:hint="eastAsia" w:ascii="仿宋" w:hAnsi="仿宋" w:eastAsia="仿宋" w:cs="仿宋"/>
          <w:color w:val="auto"/>
          <w:lang w:val="zh-CN" w:eastAsia="zh-CN"/>
        </w:rPr>
        <w:t>性等方面进行评判、论证和审查。以定量考核与定性分析相结合，汇总形成评估综合得分。评估结论分为建议实施、建议调整后实施、建议不予实施三个等级，根据各项指标得分合计分数，确定综合评估结论。具体如下</w:t>
      </w:r>
      <w:r>
        <w:rPr>
          <w:rFonts w:hint="eastAsia" w:ascii="仿宋" w:hAnsi="仿宋" w:eastAsia="仿宋" w:cs="仿宋"/>
          <w:bCs/>
          <w:szCs w:val="32"/>
          <w:lang w:eastAsia="zh-CN"/>
        </w:rPr>
        <w:t>:</w:t>
      </w:r>
    </w:p>
    <w:p w14:paraId="170D199B">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14:paraId="0BE8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14:paraId="048A4039">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评估结论</w:t>
            </w:r>
          </w:p>
        </w:tc>
        <w:tc>
          <w:tcPr>
            <w:tcW w:w="1854" w:type="dxa"/>
          </w:tcPr>
          <w:p w14:paraId="11D84400">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建议实施</w:t>
            </w:r>
          </w:p>
        </w:tc>
        <w:tc>
          <w:tcPr>
            <w:tcW w:w="2490" w:type="dxa"/>
          </w:tcPr>
          <w:p w14:paraId="5065E9B1">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建议调整后实施</w:t>
            </w:r>
          </w:p>
        </w:tc>
        <w:tc>
          <w:tcPr>
            <w:tcW w:w="2191" w:type="dxa"/>
          </w:tcPr>
          <w:p w14:paraId="15D8294C">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建议不予实施</w:t>
            </w:r>
          </w:p>
        </w:tc>
      </w:tr>
      <w:tr w14:paraId="701A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14:paraId="4B57CC26">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参考分值S</w:t>
            </w:r>
          </w:p>
        </w:tc>
        <w:tc>
          <w:tcPr>
            <w:tcW w:w="1854" w:type="dxa"/>
          </w:tcPr>
          <w:p w14:paraId="48BB9ACD">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S≥90</w:t>
            </w:r>
          </w:p>
        </w:tc>
        <w:tc>
          <w:tcPr>
            <w:tcW w:w="2490" w:type="dxa"/>
          </w:tcPr>
          <w:p w14:paraId="22B63526">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90&gt;S&gt;75</w:t>
            </w:r>
          </w:p>
        </w:tc>
        <w:tc>
          <w:tcPr>
            <w:tcW w:w="2191" w:type="dxa"/>
          </w:tcPr>
          <w:p w14:paraId="6AE09BA3">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S&lt;75</w:t>
            </w:r>
          </w:p>
        </w:tc>
      </w:tr>
    </w:tbl>
    <w:p w14:paraId="20225E18">
      <w:pPr>
        <w:pStyle w:val="3"/>
        <w:numPr>
          <w:ilvl w:val="0"/>
          <w:numId w:val="2"/>
        </w:numPr>
        <w:spacing w:before="0" w:beforeLines="0" w:after="0" w:afterLines="0"/>
        <w:ind w:left="0" w:firstLine="709" w:firstLineChars="0"/>
        <w:rPr>
          <w:rFonts w:hint="eastAsia" w:ascii="仿宋" w:hAnsi="仿宋" w:eastAsia="仿宋" w:cs="仿宋"/>
          <w:b w:val="0"/>
          <w:bCs/>
          <w:szCs w:val="32"/>
          <w:lang w:eastAsia="zh-CN"/>
        </w:rPr>
      </w:pPr>
      <w:bookmarkStart w:id="184" w:name="_Toc16964"/>
      <w:bookmarkStart w:id="185" w:name="_Toc21368"/>
      <w:r>
        <w:rPr>
          <w:rFonts w:hint="eastAsia" w:ascii="仿宋" w:hAnsi="仿宋" w:eastAsia="仿宋" w:cs="仿宋"/>
          <w:b w:val="0"/>
          <w:bCs/>
          <w:szCs w:val="32"/>
          <w:lang w:eastAsia="zh-CN"/>
        </w:rPr>
        <w:t>评价程序</w:t>
      </w:r>
      <w:bookmarkEnd w:id="184"/>
      <w:bookmarkEnd w:id="185"/>
    </w:p>
    <w:p w14:paraId="20344293">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下达评估入户通知。绩效考评中心以入户通知书的形式通知项目单位，并明确评估的依据、内容、目的、任务、时间、要求等事项</w:t>
      </w:r>
      <w:r>
        <w:rPr>
          <w:rFonts w:hint="eastAsia" w:ascii="仿宋" w:hAnsi="仿宋" w:eastAsia="仿宋" w:cs="仿宋"/>
          <w:bCs/>
          <w:szCs w:val="32"/>
          <w:lang w:eastAsia="zh-CN"/>
        </w:rPr>
        <w:t>。</w:t>
      </w:r>
    </w:p>
    <w:p w14:paraId="51F53030">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color w:val="auto"/>
          <w:lang w:val="zh-CN" w:eastAsia="zh-CN"/>
        </w:rPr>
        <w:t>拟定工作方案。评估工作组结合事前绩效评估工作要求，拟定《事前绩效评估工作方案》，包括评估对象、内容、方法、专家、时间安排等</w:t>
      </w:r>
      <w:r>
        <w:rPr>
          <w:rFonts w:hint="eastAsia" w:ascii="仿宋" w:hAnsi="仿宋" w:eastAsia="仿宋" w:cs="仿宋"/>
          <w:bCs/>
          <w:szCs w:val="32"/>
          <w:lang w:eastAsia="zh-CN"/>
        </w:rPr>
        <w:t>。</w:t>
      </w:r>
    </w:p>
    <w:p w14:paraId="2E91D0B3">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color w:val="auto"/>
          <w:lang w:val="zh-CN" w:eastAsia="zh-CN"/>
        </w:rPr>
        <w:t>组成评估小组。评估工作组遴选相关人员组成评估专家组，并适时开展业务培训</w:t>
      </w:r>
      <w:r>
        <w:rPr>
          <w:rFonts w:hint="eastAsia" w:ascii="仿宋" w:hAnsi="仿宋" w:eastAsia="仿宋" w:cs="仿宋"/>
          <w:bCs/>
          <w:szCs w:val="32"/>
          <w:lang w:eastAsia="zh-CN"/>
        </w:rPr>
        <w:t>。</w:t>
      </w:r>
    </w:p>
    <w:p w14:paraId="794640EE">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w:t>
      </w:r>
      <w:r>
        <w:rPr>
          <w:rFonts w:hint="eastAsia" w:ascii="仿宋" w:hAnsi="仿宋" w:eastAsia="仿宋" w:cs="仿宋"/>
          <w:color w:val="auto"/>
          <w:lang w:val="zh-CN" w:eastAsia="zh-CN"/>
        </w:rPr>
        <w:t>入户调研。评估工作组入户与被评估单位沟通，进一步熟悉项目内容;向项目单位出示《项目支出事前绩效评估资料准备清单》，指导项目单位填报《事前绩效评估项目申报书》、《项目支出绩效目标申报</w:t>
      </w:r>
      <w:r>
        <w:rPr>
          <w:rFonts w:hint="eastAsia" w:ascii="仿宋" w:hAnsi="仿宋" w:eastAsia="仿宋" w:cs="仿宋"/>
          <w:bCs/>
          <w:szCs w:val="32"/>
          <w:lang w:eastAsia="zh-CN"/>
        </w:rPr>
        <w:t>表》。</w:t>
      </w:r>
    </w:p>
    <w:p w14:paraId="247A2096">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w:t>
      </w:r>
      <w:r>
        <w:rPr>
          <w:rFonts w:hint="eastAsia" w:ascii="仿宋" w:hAnsi="仿宋" w:eastAsia="仿宋" w:cs="仿宋"/>
          <w:color w:val="auto"/>
          <w:lang w:val="zh-CN" w:eastAsia="zh-CN"/>
        </w:rPr>
        <w:t>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r>
        <w:rPr>
          <w:rFonts w:hint="eastAsia" w:ascii="仿宋" w:hAnsi="仿宋" w:eastAsia="仿宋" w:cs="仿宋"/>
          <w:bCs/>
          <w:szCs w:val="32"/>
          <w:lang w:eastAsia="zh-CN"/>
        </w:rPr>
        <w:t>。</w:t>
      </w:r>
    </w:p>
    <w:p w14:paraId="57812244">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w:t>
      </w:r>
      <w:r>
        <w:rPr>
          <w:rFonts w:hint="eastAsia" w:ascii="仿宋" w:hAnsi="仿宋" w:eastAsia="仿宋" w:cs="仿宋"/>
          <w:color w:val="auto"/>
          <w:lang w:val="zh-CN" w:eastAsia="zh-CN"/>
        </w:rPr>
        <w:t>组织实施评估。绩效考评组召开评估会议，了解项目基本情况，听取项目单位情况介绍，进行现场评议</w:t>
      </w:r>
      <w:r>
        <w:rPr>
          <w:rFonts w:hint="eastAsia" w:ascii="仿宋" w:hAnsi="仿宋" w:eastAsia="仿宋" w:cs="仿宋"/>
          <w:bCs/>
          <w:szCs w:val="32"/>
          <w:lang w:eastAsia="zh-CN"/>
        </w:rPr>
        <w:t>。</w:t>
      </w:r>
    </w:p>
    <w:p w14:paraId="231932E2">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采取多种方式，多方获取信息。通过咨询专家、查阅资料、问卷调查、电话采访、集中座谈等方式，全面了解并收集项目信息</w:t>
      </w:r>
      <w:r>
        <w:rPr>
          <w:rFonts w:hint="eastAsia" w:ascii="仿宋" w:hAnsi="仿宋" w:eastAsia="仿宋" w:cs="仿宋"/>
          <w:bCs/>
          <w:szCs w:val="32"/>
          <w:lang w:eastAsia="zh-CN"/>
        </w:rPr>
        <w:t>。</w:t>
      </w:r>
    </w:p>
    <w:p w14:paraId="1F24BD61">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color w:val="auto"/>
          <w:lang w:val="zh-CN" w:eastAsia="zh-CN"/>
        </w:rPr>
        <w:t>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r>
        <w:rPr>
          <w:rFonts w:hint="eastAsia" w:ascii="仿宋" w:hAnsi="仿宋" w:eastAsia="仿宋" w:cs="仿宋"/>
          <w:bCs/>
          <w:szCs w:val="32"/>
          <w:lang w:eastAsia="zh-CN"/>
        </w:rPr>
        <w:t>。</w:t>
      </w:r>
    </w:p>
    <w:p w14:paraId="1601700A">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color w:val="auto"/>
          <w:lang w:val="zh-CN" w:eastAsia="zh-CN"/>
        </w:rPr>
        <w:t>确认工作组意见，得出评估结论。评估工作组将评估个人初步意见报送评估工作组征求意见，评估工作组综合完善意见后，得出最终评估结论，填写《项目支出事前绩效评估工作组汇总意见》</w:t>
      </w:r>
      <w:r>
        <w:rPr>
          <w:rFonts w:hint="eastAsia" w:ascii="仿宋" w:hAnsi="仿宋" w:eastAsia="仿宋" w:cs="仿宋"/>
          <w:bCs/>
          <w:szCs w:val="32"/>
          <w:lang w:eastAsia="zh-CN"/>
        </w:rPr>
        <w:t>。</w:t>
      </w:r>
    </w:p>
    <w:p w14:paraId="38231472">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7.</w:t>
      </w:r>
      <w:r>
        <w:rPr>
          <w:rFonts w:hint="eastAsia" w:ascii="仿宋" w:hAnsi="仿宋" w:eastAsia="仿宋" w:cs="仿宋"/>
          <w:color w:val="auto"/>
          <w:lang w:val="zh-CN" w:eastAsia="zh-CN"/>
        </w:rPr>
        <w:t>汇报绩效评估结论。完成最终评价报告，提出评估结论意见。</w:t>
      </w:r>
    </w:p>
    <w:p w14:paraId="5B2540E8">
      <w:pPr>
        <w:pStyle w:val="3"/>
        <w:numPr>
          <w:ilvl w:val="0"/>
          <w:numId w:val="2"/>
        </w:numPr>
        <w:spacing w:before="0" w:beforeLines="0" w:after="0" w:afterLines="0"/>
        <w:ind w:left="0" w:firstLine="709" w:firstLineChars="0"/>
        <w:rPr>
          <w:rFonts w:hint="eastAsia" w:ascii="仿宋" w:hAnsi="仿宋" w:eastAsia="仿宋" w:cs="仿宋"/>
          <w:b w:val="0"/>
          <w:bCs/>
          <w:szCs w:val="32"/>
          <w:lang w:eastAsia="zh-CN"/>
        </w:rPr>
      </w:pPr>
      <w:bookmarkStart w:id="186" w:name="_Toc19270"/>
      <w:bookmarkStart w:id="187" w:name="_Toc28492"/>
      <w:r>
        <w:rPr>
          <w:rFonts w:hint="eastAsia" w:ascii="仿宋" w:hAnsi="仿宋" w:eastAsia="仿宋" w:cs="仿宋"/>
          <w:b w:val="0"/>
          <w:bCs/>
          <w:szCs w:val="32"/>
          <w:lang w:eastAsia="zh-CN"/>
        </w:rPr>
        <w:t>论证思路及方法</w:t>
      </w:r>
      <w:bookmarkEnd w:id="186"/>
      <w:bookmarkEnd w:id="187"/>
    </w:p>
    <w:p w14:paraId="1184FB84">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本次事前绩效评估主要针对项目</w:t>
      </w:r>
      <w:r>
        <w:rPr>
          <w:rFonts w:hint="eastAsia" w:ascii="仿宋" w:hAnsi="仿宋" w:eastAsia="仿宋" w:cs="仿宋"/>
          <w:color w:val="auto"/>
          <w:lang w:val="en-US" w:eastAsia="zh-CN"/>
        </w:rPr>
        <w:t>实施的必要</w:t>
      </w:r>
      <w:r>
        <w:rPr>
          <w:rFonts w:hint="eastAsia" w:ascii="仿宋" w:hAnsi="仿宋" w:eastAsia="仿宋" w:cs="仿宋"/>
          <w:color w:val="auto"/>
          <w:lang w:val="zh-CN" w:eastAsia="zh-CN"/>
        </w:rPr>
        <w:t>性、</w:t>
      </w:r>
      <w:r>
        <w:rPr>
          <w:rFonts w:hint="eastAsia" w:ascii="仿宋" w:hAnsi="仿宋" w:eastAsia="仿宋" w:cs="仿宋"/>
          <w:color w:val="auto"/>
          <w:lang w:val="en-US" w:eastAsia="zh-CN"/>
        </w:rPr>
        <w:t>资金来源的可行性</w:t>
      </w:r>
      <w:r>
        <w:rPr>
          <w:rFonts w:hint="eastAsia" w:ascii="仿宋" w:hAnsi="仿宋" w:eastAsia="仿宋" w:cs="仿宋"/>
          <w:color w:val="auto"/>
          <w:lang w:val="zh-CN" w:eastAsia="zh-CN"/>
        </w:rPr>
        <w:t>、项</w:t>
      </w:r>
      <w:r>
        <w:rPr>
          <w:rFonts w:hint="eastAsia" w:ascii="仿宋" w:hAnsi="仿宋" w:eastAsia="仿宋" w:cs="仿宋"/>
          <w:color w:val="auto"/>
          <w:lang w:val="en-US" w:eastAsia="zh-CN"/>
        </w:rPr>
        <w:t>绩效目标明确性</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管理办法执行的有效性</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实施成果合格性</w:t>
      </w:r>
      <w:r>
        <w:rPr>
          <w:rFonts w:hint="eastAsia" w:ascii="仿宋" w:hAnsi="仿宋" w:eastAsia="仿宋" w:cs="仿宋"/>
          <w:color w:val="auto"/>
          <w:lang w:val="zh-CN" w:eastAsia="zh-CN"/>
        </w:rPr>
        <w:t>等五方面进行综合评估、分析与论证，并提出相关建议。</w:t>
      </w:r>
    </w:p>
    <w:p w14:paraId="5F99ADD2">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本次事前绩效评估主要采用效益分析、比较分析、因素分析、历史分析等方法进行论证</w:t>
      </w:r>
      <w:r>
        <w:rPr>
          <w:rFonts w:hint="eastAsia" w:ascii="仿宋" w:hAnsi="仿宋" w:eastAsia="仿宋" w:cs="仿宋"/>
          <w:bCs/>
          <w:szCs w:val="32"/>
          <w:lang w:eastAsia="zh-CN"/>
        </w:rPr>
        <w:t>。</w:t>
      </w:r>
    </w:p>
    <w:p w14:paraId="4102DC17">
      <w:pPr>
        <w:pStyle w:val="3"/>
        <w:numPr>
          <w:ilvl w:val="0"/>
          <w:numId w:val="2"/>
        </w:numPr>
        <w:spacing w:before="0" w:beforeLines="0" w:after="0" w:afterLines="0"/>
        <w:ind w:left="0" w:firstLine="709" w:firstLineChars="0"/>
        <w:rPr>
          <w:rFonts w:hint="eastAsia" w:ascii="仿宋" w:hAnsi="仿宋" w:eastAsia="仿宋" w:cs="仿宋"/>
          <w:b w:val="0"/>
          <w:bCs/>
          <w:szCs w:val="32"/>
          <w:lang w:eastAsia="zh-CN"/>
        </w:rPr>
      </w:pPr>
      <w:bookmarkStart w:id="188" w:name="_Toc32146"/>
      <w:bookmarkStart w:id="189" w:name="_Toc17481"/>
      <w:r>
        <w:rPr>
          <w:rFonts w:hint="eastAsia" w:ascii="仿宋" w:hAnsi="仿宋" w:eastAsia="仿宋" w:cs="仿宋"/>
          <w:b w:val="0"/>
          <w:bCs/>
          <w:szCs w:val="32"/>
          <w:lang w:eastAsia="zh-CN"/>
        </w:rPr>
        <w:t>评估方式</w:t>
      </w:r>
      <w:bookmarkEnd w:id="188"/>
      <w:bookmarkEnd w:id="189"/>
    </w:p>
    <w:p w14:paraId="27CF8B9C">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本次事前绩效评估遵循全面考虑、重点突出的原则，主要采用比较分析的方式，同时辅之以资料分析、集中座谈、网络查询、电话采访、抽样调查等评估方式或手段，对项目的相关性、可行性、持续性等方面进行全面评估</w:t>
      </w:r>
      <w:r>
        <w:rPr>
          <w:rFonts w:hint="eastAsia" w:ascii="仿宋" w:hAnsi="仿宋" w:eastAsia="仿宋" w:cs="仿宋"/>
          <w:bCs/>
          <w:szCs w:val="32"/>
          <w:lang w:eastAsia="zh-CN"/>
        </w:rPr>
        <w:t>。</w:t>
      </w:r>
    </w:p>
    <w:p w14:paraId="312A2C90">
      <w:pPr>
        <w:pStyle w:val="2"/>
        <w:numPr>
          <w:ilvl w:val="0"/>
          <w:numId w:val="1"/>
        </w:numPr>
        <w:spacing w:before="0" w:beforeLines="0" w:after="0" w:afterLines="0"/>
        <w:rPr>
          <w:rFonts w:hint="eastAsia" w:ascii="仿宋" w:hAnsi="仿宋" w:eastAsia="仿宋" w:cs="仿宋"/>
          <w:b w:val="0"/>
          <w:bCs/>
          <w:szCs w:val="32"/>
          <w:lang w:eastAsia="zh-CN"/>
        </w:rPr>
      </w:pPr>
      <w:bookmarkStart w:id="190" w:name="_Toc1232831072"/>
      <w:bookmarkStart w:id="191" w:name="_Toc29976"/>
      <w:bookmarkStart w:id="192" w:name="_Toc20132"/>
      <w:bookmarkStart w:id="193" w:name="_Toc2810"/>
      <w:bookmarkStart w:id="194" w:name="_Toc709323845"/>
      <w:bookmarkStart w:id="195" w:name="_Toc5234"/>
      <w:bookmarkStart w:id="196" w:name="_Toc132480965"/>
      <w:bookmarkStart w:id="197" w:name="_Toc1850422540"/>
      <w:bookmarkStart w:id="198" w:name="_Toc27103"/>
      <w:bookmarkStart w:id="199" w:name="_Toc5665919"/>
      <w:bookmarkStart w:id="200" w:name="_Toc2115246641_WPSOffice_Level1"/>
      <w:r>
        <w:rPr>
          <w:rFonts w:hint="eastAsia" w:ascii="仿宋" w:hAnsi="仿宋" w:eastAsia="仿宋" w:cs="仿宋"/>
          <w:b w:val="0"/>
          <w:bCs/>
          <w:szCs w:val="32"/>
          <w:lang w:eastAsia="zh-CN"/>
        </w:rPr>
        <w:t>事前绩效评估指标体系及得分情况</w:t>
      </w:r>
      <w:bookmarkEnd w:id="190"/>
      <w:bookmarkEnd w:id="191"/>
      <w:bookmarkEnd w:id="192"/>
      <w:bookmarkEnd w:id="193"/>
      <w:bookmarkEnd w:id="194"/>
      <w:bookmarkEnd w:id="195"/>
      <w:bookmarkEnd w:id="196"/>
      <w:bookmarkEnd w:id="197"/>
      <w:bookmarkEnd w:id="198"/>
      <w:bookmarkEnd w:id="199"/>
      <w:bookmarkEnd w:id="200"/>
    </w:p>
    <w:p w14:paraId="0BF24B17">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评估工作小组按照相关性、经济性、可行性、重要性、可比性、系统性及合理性原则，设置项目事前绩效评估指标体系，其中共包含8个一级指标、1</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个二级指标以及3</w:t>
      </w:r>
      <w:r>
        <w:rPr>
          <w:rFonts w:hint="eastAsia" w:ascii="仿宋" w:hAnsi="仿宋" w:eastAsia="仿宋" w:cs="仿宋"/>
          <w:color w:val="auto"/>
          <w:lang w:val="en-US" w:eastAsia="zh-CN"/>
        </w:rPr>
        <w:t>1</w:t>
      </w:r>
      <w:r>
        <w:rPr>
          <w:rFonts w:hint="eastAsia" w:ascii="仿宋" w:hAnsi="仿宋" w:eastAsia="仿宋" w:cs="仿宋"/>
          <w:color w:val="auto"/>
          <w:lang w:val="zh-CN" w:eastAsia="zh-CN"/>
        </w:rPr>
        <w:t>个三级指标，各项指标内容及得分情况详见下表</w:t>
      </w:r>
      <w:r>
        <w:rPr>
          <w:rFonts w:hint="eastAsia" w:ascii="仿宋" w:hAnsi="仿宋" w:eastAsia="仿宋" w:cs="仿宋"/>
          <w:bCs/>
          <w:szCs w:val="32"/>
          <w:lang w:eastAsia="zh-CN"/>
        </w:rPr>
        <w:t>：</w:t>
      </w:r>
    </w:p>
    <w:p w14:paraId="78776ECB">
      <w:pPr>
        <w:ind w:firstLine="0" w:firstLineChars="0"/>
        <w:jc w:val="center"/>
        <w:rPr>
          <w:rFonts w:hint="eastAsia" w:ascii="仿宋" w:hAnsi="仿宋" w:eastAsia="仿宋" w:cs="仿宋"/>
          <w:bCs/>
          <w:szCs w:val="32"/>
          <w:lang w:eastAsia="zh-CN"/>
        </w:rPr>
      </w:pPr>
      <w:r>
        <w:rPr>
          <w:rFonts w:hint="eastAsia" w:ascii="仿宋" w:hAnsi="仿宋" w:eastAsia="仿宋" w:cs="仿宋"/>
          <w:color w:val="auto"/>
          <w:lang w:val="zh-CN" w:eastAsia="zh-CN"/>
        </w:rPr>
        <w:t>储备粮油费用补贴</w:t>
      </w:r>
    </w:p>
    <w:p w14:paraId="4FDE3CFB">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21"/>
        <w:tblW w:w="8487"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4737"/>
        <w:gridCol w:w="540"/>
        <w:gridCol w:w="541"/>
        <w:gridCol w:w="496"/>
      </w:tblGrid>
      <w:tr w14:paraId="48655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trPr>
        <w:tc>
          <w:tcPr>
            <w:tcW w:w="877" w:type="dxa"/>
            <w:shd w:val="clear" w:color="auto" w:fill="auto"/>
            <w:noWrap w:val="0"/>
            <w:vAlign w:val="center"/>
          </w:tcPr>
          <w:p w14:paraId="53B360D4">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shd w:val="clear" w:color="auto" w:fill="auto"/>
            <w:noWrap w:val="0"/>
            <w:vAlign w:val="center"/>
          </w:tcPr>
          <w:p w14:paraId="1B8EB841">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4737" w:type="dxa"/>
            <w:shd w:val="clear" w:color="auto" w:fill="auto"/>
            <w:noWrap w:val="0"/>
            <w:vAlign w:val="center"/>
          </w:tcPr>
          <w:p w14:paraId="54AD672F">
            <w:pPr>
              <w:pStyle w:val="67"/>
              <w:ind w:right="2325" w:firstLine="0" w:firstLineChars="0"/>
              <w:jc w:val="center"/>
              <w:rPr>
                <w:rFonts w:ascii="Arial" w:hAnsi="Arial" w:cs="Arial"/>
                <w:b/>
                <w:snapToGrid w:val="0"/>
                <w:sz w:val="21"/>
              </w:rPr>
            </w:pPr>
            <w:r>
              <w:rPr>
                <w:rFonts w:ascii="Arial" w:hAnsi="Arial" w:cs="Arial"/>
                <w:b/>
                <w:snapToGrid w:val="0"/>
                <w:sz w:val="21"/>
              </w:rPr>
              <w:t>评估要点</w:t>
            </w:r>
          </w:p>
        </w:tc>
        <w:tc>
          <w:tcPr>
            <w:tcW w:w="1081" w:type="dxa"/>
            <w:gridSpan w:val="2"/>
            <w:shd w:val="clear" w:color="auto" w:fill="auto"/>
            <w:noWrap w:val="0"/>
            <w:vAlign w:val="center"/>
          </w:tcPr>
          <w:p w14:paraId="10870B0D">
            <w:pPr>
              <w:pStyle w:val="67"/>
              <w:ind w:firstLine="0" w:firstLineChars="0"/>
              <w:jc w:val="center"/>
              <w:rPr>
                <w:rFonts w:ascii="Arial" w:hAnsi="Arial" w:cs="Arial"/>
                <w:b/>
                <w:snapToGrid w:val="0"/>
                <w:sz w:val="21"/>
                <w:lang w:eastAsia="zh-CN"/>
              </w:rPr>
            </w:pPr>
            <w:r>
              <w:rPr>
                <w:rFonts w:hint="eastAsia" w:ascii="Arial" w:hAnsi="Arial" w:cs="Arial"/>
                <w:b/>
                <w:snapToGrid w:val="0"/>
                <w:sz w:val="21"/>
                <w:lang w:eastAsia="zh-CN"/>
              </w:rPr>
              <w:t>分值</w:t>
            </w:r>
          </w:p>
        </w:tc>
        <w:tc>
          <w:tcPr>
            <w:tcW w:w="496" w:type="dxa"/>
            <w:shd w:val="clear" w:color="auto" w:fill="auto"/>
            <w:noWrap w:val="0"/>
            <w:vAlign w:val="center"/>
          </w:tcPr>
          <w:p w14:paraId="49424D2E">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14:paraId="4F93F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shd w:val="clear" w:color="auto" w:fill="auto"/>
            <w:noWrap w:val="0"/>
            <w:vAlign w:val="center"/>
          </w:tcPr>
          <w:p w14:paraId="0D589D10">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shd w:val="clear" w:color="auto" w:fill="auto"/>
            <w:noWrap w:val="0"/>
            <w:vAlign w:val="center"/>
          </w:tcPr>
          <w:p w14:paraId="337EA1EE">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4737" w:type="dxa"/>
            <w:shd w:val="clear" w:color="auto" w:fill="auto"/>
            <w:noWrap w:val="0"/>
            <w:vAlign w:val="center"/>
          </w:tcPr>
          <w:p w14:paraId="2CE36CB5">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①项目是否符合国情需要，是否在国家统一部署下开展。</w:t>
            </w:r>
          </w:p>
        </w:tc>
        <w:tc>
          <w:tcPr>
            <w:tcW w:w="540" w:type="dxa"/>
            <w:shd w:val="clear" w:color="auto" w:fill="auto"/>
            <w:noWrap w:val="0"/>
            <w:vAlign w:val="center"/>
          </w:tcPr>
          <w:p w14:paraId="1895FB42">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shd w:val="clear" w:color="auto" w:fill="auto"/>
            <w:noWrap w:val="0"/>
            <w:vAlign w:val="center"/>
          </w:tcPr>
          <w:p w14:paraId="7A9E4249">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shd w:val="clear" w:color="auto" w:fill="auto"/>
            <w:noWrap w:val="0"/>
            <w:vAlign w:val="center"/>
          </w:tcPr>
          <w:p w14:paraId="465DE289">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14:paraId="742E8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shd w:val="clear" w:color="auto" w:fill="auto"/>
            <w:noWrap w:val="0"/>
            <w:vAlign w:val="center"/>
          </w:tcPr>
          <w:p w14:paraId="73368E1E">
            <w:pPr>
              <w:pStyle w:val="67"/>
              <w:ind w:firstLine="0" w:firstLineChars="0"/>
              <w:rPr>
                <w:rFonts w:ascii="Arial" w:hAnsi="Arial" w:cs="Arial"/>
                <w:bCs/>
                <w:snapToGrid w:val="0"/>
                <w:sz w:val="20"/>
              </w:rPr>
            </w:pPr>
          </w:p>
        </w:tc>
        <w:tc>
          <w:tcPr>
            <w:tcW w:w="1296" w:type="dxa"/>
            <w:shd w:val="clear" w:color="auto" w:fill="auto"/>
            <w:noWrap w:val="0"/>
            <w:vAlign w:val="center"/>
          </w:tcPr>
          <w:p w14:paraId="06444960">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4737" w:type="dxa"/>
            <w:shd w:val="clear" w:color="auto" w:fill="auto"/>
            <w:noWrap w:val="0"/>
            <w:vAlign w:val="center"/>
          </w:tcPr>
          <w:p w14:paraId="2A0548CB">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540" w:type="dxa"/>
            <w:shd w:val="clear" w:color="auto" w:fill="auto"/>
            <w:noWrap w:val="0"/>
            <w:vAlign w:val="center"/>
          </w:tcPr>
          <w:p w14:paraId="5FF34D35">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shd w:val="clear" w:color="auto" w:fill="auto"/>
            <w:noWrap w:val="0"/>
            <w:vAlign w:val="center"/>
          </w:tcPr>
          <w:p w14:paraId="1AF349C0">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13398EB1">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14:paraId="6B44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14:paraId="04A24A4F">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14:paraId="4CE7D975">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收</w:t>
            </w:r>
            <w:r>
              <w:rPr>
                <w:rFonts w:hint="eastAsia" w:ascii="Arial" w:hAnsi="Arial" w:cs="Arial"/>
                <w:bCs/>
                <w:snapToGrid w:val="0"/>
                <w:sz w:val="20"/>
              </w:rPr>
              <w:t>益性</w:t>
            </w:r>
          </w:p>
        </w:tc>
        <w:tc>
          <w:tcPr>
            <w:tcW w:w="4737" w:type="dxa"/>
            <w:shd w:val="clear" w:color="auto" w:fill="auto"/>
            <w:noWrap w:val="0"/>
            <w:vAlign w:val="center"/>
          </w:tcPr>
          <w:p w14:paraId="0E2E110E">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①项目是否具有减少市场波动带来经济损失的能力；</w:t>
            </w:r>
          </w:p>
        </w:tc>
        <w:tc>
          <w:tcPr>
            <w:tcW w:w="540" w:type="dxa"/>
            <w:shd w:val="clear" w:color="auto" w:fill="auto"/>
            <w:noWrap w:val="0"/>
            <w:vAlign w:val="center"/>
          </w:tcPr>
          <w:p w14:paraId="2110F6F3">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shd w:val="clear" w:color="auto" w:fill="auto"/>
            <w:noWrap w:val="0"/>
            <w:vAlign w:val="center"/>
          </w:tcPr>
          <w:p w14:paraId="7163DAA0">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16A89246">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14:paraId="6467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14:paraId="71257BCE">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1696B3D7">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00793AE5">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②项目是否具有保护生态环境，促进农业生态系统的平衡和稳定的能力。</w:t>
            </w:r>
          </w:p>
        </w:tc>
        <w:tc>
          <w:tcPr>
            <w:tcW w:w="540" w:type="dxa"/>
            <w:shd w:val="clear" w:color="auto" w:fill="auto"/>
            <w:noWrap w:val="0"/>
            <w:vAlign w:val="center"/>
          </w:tcPr>
          <w:p w14:paraId="6A0AEBBC">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shd w:val="clear" w:color="auto" w:fill="auto"/>
            <w:noWrap w:val="0"/>
            <w:vAlign w:val="center"/>
          </w:tcPr>
          <w:p w14:paraId="3D5B453B">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34424CBF">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14:paraId="2FE74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shd w:val="clear" w:color="auto" w:fill="auto"/>
            <w:noWrap w:val="0"/>
            <w:vAlign w:val="center"/>
          </w:tcPr>
          <w:p w14:paraId="5F1597E7">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w:t>
            </w:r>
            <w:r>
              <w:rPr>
                <w:rFonts w:hint="eastAsia" w:ascii="Arial" w:hAnsi="Arial" w:cs="Arial"/>
                <w:bCs/>
                <w:snapToGrid w:val="0"/>
                <w:sz w:val="20"/>
                <w:lang w:val="en-US" w:eastAsia="zh-CN"/>
              </w:rPr>
              <w:t>实施合规性</w:t>
            </w:r>
            <w:r>
              <w:rPr>
                <w:rFonts w:hint="eastAsia" w:ascii="Arial" w:hAnsi="Arial" w:cs="Arial"/>
                <w:bCs/>
                <w:snapToGrid w:val="0"/>
                <w:sz w:val="20"/>
                <w:lang w:eastAsia="zh-CN"/>
              </w:rPr>
              <w:t>与项目成熟度</w:t>
            </w:r>
          </w:p>
        </w:tc>
        <w:tc>
          <w:tcPr>
            <w:tcW w:w="1296" w:type="dxa"/>
            <w:vMerge w:val="restart"/>
            <w:shd w:val="clear" w:color="auto" w:fill="auto"/>
            <w:noWrap w:val="0"/>
            <w:vAlign w:val="center"/>
          </w:tcPr>
          <w:p w14:paraId="165ADDF3">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实施</w:t>
            </w:r>
            <w:r>
              <w:rPr>
                <w:rFonts w:hint="eastAsia" w:ascii="Arial" w:hAnsi="Arial" w:cs="Arial"/>
                <w:bCs/>
                <w:snapToGrid w:val="0"/>
                <w:sz w:val="20"/>
              </w:rPr>
              <w:t>合规性</w:t>
            </w:r>
          </w:p>
        </w:tc>
        <w:tc>
          <w:tcPr>
            <w:tcW w:w="4737" w:type="dxa"/>
            <w:shd w:val="clear" w:color="auto" w:fill="auto"/>
            <w:noWrap w:val="0"/>
            <w:vAlign w:val="center"/>
          </w:tcPr>
          <w:p w14:paraId="72E6D547">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540" w:type="dxa"/>
            <w:shd w:val="clear" w:color="auto" w:fill="auto"/>
            <w:noWrap w:val="0"/>
            <w:vAlign w:val="center"/>
          </w:tcPr>
          <w:p w14:paraId="2430E78A">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shd w:val="clear" w:color="auto" w:fill="auto"/>
            <w:noWrap w:val="0"/>
            <w:vAlign w:val="center"/>
          </w:tcPr>
          <w:p w14:paraId="7671711C">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shd w:val="clear" w:color="auto" w:fill="auto"/>
            <w:noWrap w:val="0"/>
            <w:vAlign w:val="center"/>
          </w:tcPr>
          <w:p w14:paraId="5D8FDA63">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6BF4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7" w:type="dxa"/>
            <w:vMerge w:val="continue"/>
            <w:shd w:val="clear" w:color="auto" w:fill="auto"/>
            <w:noWrap w:val="0"/>
            <w:vAlign w:val="center"/>
          </w:tcPr>
          <w:p w14:paraId="12B154C8">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56DC0369">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34D3F064">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540" w:type="dxa"/>
            <w:shd w:val="clear" w:color="auto" w:fill="auto"/>
            <w:noWrap w:val="0"/>
            <w:vAlign w:val="center"/>
          </w:tcPr>
          <w:p w14:paraId="405F5A4F">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14:paraId="273E6890">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7956802F">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14:paraId="70D35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shd w:val="clear" w:color="auto" w:fill="auto"/>
            <w:noWrap w:val="0"/>
            <w:vAlign w:val="center"/>
          </w:tcPr>
          <w:p w14:paraId="2BBCFF3C">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05B1CE75">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6A3956E2">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w:t>
            </w:r>
            <w:r>
              <w:rPr>
                <w:rFonts w:hint="eastAsia" w:ascii="Arial" w:hAnsi="Arial" w:cs="Arial"/>
                <w:bCs/>
                <w:snapToGrid w:val="0"/>
                <w:sz w:val="20"/>
                <w:lang w:val="en-US" w:eastAsia="zh-CN"/>
              </w:rPr>
              <w:t>为</w:t>
            </w:r>
            <w:r>
              <w:rPr>
                <w:rFonts w:hint="eastAsia" w:ascii="Arial" w:hAnsi="Arial" w:cs="Arial"/>
                <w:bCs/>
                <w:snapToGrid w:val="0"/>
                <w:sz w:val="20"/>
                <w:lang w:eastAsia="zh-CN"/>
              </w:rPr>
              <w:t>国家确定的发展项目。</w:t>
            </w:r>
          </w:p>
        </w:tc>
        <w:tc>
          <w:tcPr>
            <w:tcW w:w="540" w:type="dxa"/>
            <w:shd w:val="clear" w:color="auto" w:fill="auto"/>
            <w:noWrap w:val="0"/>
            <w:vAlign w:val="center"/>
          </w:tcPr>
          <w:p w14:paraId="1F28A570">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shd w:val="clear" w:color="auto" w:fill="auto"/>
            <w:noWrap w:val="0"/>
            <w:vAlign w:val="center"/>
          </w:tcPr>
          <w:p w14:paraId="1C7B801D">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1CFC93D0">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0E6F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shd w:val="clear" w:color="auto" w:fill="auto"/>
            <w:noWrap w:val="0"/>
            <w:vAlign w:val="center"/>
          </w:tcPr>
          <w:p w14:paraId="4F65635B">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14:paraId="63ECD48A">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4737" w:type="dxa"/>
            <w:shd w:val="clear" w:color="auto" w:fill="auto"/>
            <w:noWrap w:val="0"/>
            <w:vAlign w:val="center"/>
          </w:tcPr>
          <w:p w14:paraId="22F0DC61">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w:t>
            </w:r>
            <w:r>
              <w:rPr>
                <w:rFonts w:hint="eastAsia" w:ascii="Arial" w:hAnsi="Arial" w:cs="Arial"/>
                <w:bCs/>
                <w:snapToGrid w:val="0"/>
                <w:sz w:val="20"/>
                <w:lang w:eastAsia="zh-CN"/>
              </w:rPr>
              <w:t>否完备齐全；</w:t>
            </w:r>
          </w:p>
        </w:tc>
        <w:tc>
          <w:tcPr>
            <w:tcW w:w="540" w:type="dxa"/>
            <w:shd w:val="clear" w:color="auto" w:fill="auto"/>
            <w:noWrap w:val="0"/>
            <w:vAlign w:val="center"/>
          </w:tcPr>
          <w:p w14:paraId="1A9B01E8">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14:paraId="37AC0035">
            <w:pPr>
              <w:pStyle w:val="67"/>
              <w:ind w:firstLine="0" w:firstLineChars="0"/>
              <w:jc w:val="center"/>
              <w:rPr>
                <w:rFonts w:ascii="Arial" w:hAnsi="Arial" w:cs="Arial"/>
                <w:bCs/>
                <w:snapToGrid w:val="0"/>
                <w:sz w:val="20"/>
                <w:lang w:eastAsia="zh-CN"/>
              </w:rPr>
            </w:pPr>
          </w:p>
        </w:tc>
        <w:tc>
          <w:tcPr>
            <w:tcW w:w="496" w:type="dxa"/>
            <w:shd w:val="clear" w:color="auto" w:fill="auto"/>
            <w:noWrap w:val="0"/>
            <w:vAlign w:val="center"/>
          </w:tcPr>
          <w:p w14:paraId="7CFE3461">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04DF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shd w:val="clear" w:color="auto" w:fill="auto"/>
            <w:noWrap w:val="0"/>
            <w:vAlign w:val="center"/>
          </w:tcPr>
          <w:p w14:paraId="563840BB">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65022AAD">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3E9C77E5">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540" w:type="dxa"/>
            <w:shd w:val="clear" w:color="auto" w:fill="auto"/>
            <w:noWrap w:val="0"/>
            <w:vAlign w:val="center"/>
          </w:tcPr>
          <w:p w14:paraId="31E3B7EA">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shd w:val="clear" w:color="auto" w:fill="auto"/>
            <w:noWrap w:val="0"/>
            <w:vAlign w:val="center"/>
          </w:tcPr>
          <w:p w14:paraId="3FBB90A0">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6EDC8A10">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38BD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shd w:val="clear" w:color="auto" w:fill="auto"/>
            <w:noWrap w:val="0"/>
            <w:vAlign w:val="center"/>
          </w:tcPr>
          <w:p w14:paraId="6F0559CB">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78C91EBD">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090D956C">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③是否具备明确的政策依据和管理办法。</w:t>
            </w:r>
          </w:p>
        </w:tc>
        <w:tc>
          <w:tcPr>
            <w:tcW w:w="540" w:type="dxa"/>
            <w:shd w:val="clear" w:color="auto" w:fill="auto"/>
            <w:noWrap w:val="0"/>
            <w:vAlign w:val="center"/>
          </w:tcPr>
          <w:p w14:paraId="057B83FA">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shd w:val="clear" w:color="auto" w:fill="auto"/>
            <w:noWrap w:val="0"/>
            <w:vAlign w:val="center"/>
          </w:tcPr>
          <w:p w14:paraId="5541EDF8">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56CE70F2">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43702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shd w:val="clear" w:color="auto" w:fill="auto"/>
            <w:noWrap w:val="0"/>
            <w:vAlign w:val="center"/>
          </w:tcPr>
          <w:p w14:paraId="3EDB7D0B">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w:t>
            </w:r>
            <w:r>
              <w:rPr>
                <w:rFonts w:hint="eastAsia" w:ascii="Arial" w:hAnsi="Arial" w:cs="Arial"/>
                <w:bCs/>
                <w:snapToGrid w:val="0"/>
                <w:sz w:val="20"/>
                <w:lang w:val="en-US" w:eastAsia="zh-CN"/>
              </w:rPr>
              <w:t>资金到</w:t>
            </w:r>
            <w:r>
              <w:rPr>
                <w:rFonts w:hint="eastAsia" w:ascii="Arial" w:hAnsi="Arial" w:cs="Arial"/>
                <w:bCs/>
                <w:snapToGrid w:val="0"/>
                <w:sz w:val="20"/>
                <w:lang w:eastAsia="zh-CN"/>
              </w:rPr>
              <w:t>位可行性</w:t>
            </w:r>
          </w:p>
        </w:tc>
        <w:tc>
          <w:tcPr>
            <w:tcW w:w="1296" w:type="dxa"/>
            <w:shd w:val="clear" w:color="auto" w:fill="auto"/>
            <w:noWrap w:val="0"/>
            <w:vAlign w:val="center"/>
          </w:tcPr>
          <w:p w14:paraId="7E515C79">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4737" w:type="dxa"/>
            <w:shd w:val="clear" w:color="auto" w:fill="auto"/>
            <w:noWrap w:val="0"/>
            <w:vAlign w:val="center"/>
          </w:tcPr>
          <w:p w14:paraId="17D67297">
            <w:pPr>
              <w:pStyle w:val="67"/>
              <w:ind w:firstLine="0" w:firstLineChars="0"/>
              <w:rPr>
                <w:rFonts w:hint="default" w:ascii="Arial" w:hAnsi="Arial" w:cs="Arial"/>
                <w:bCs/>
                <w:snapToGrid w:val="0"/>
                <w:sz w:val="20"/>
                <w:lang w:val="en-US" w:eastAsia="zh-CN"/>
              </w:rPr>
            </w:pPr>
            <w:r>
              <w:rPr>
                <w:rFonts w:hint="eastAsia" w:ascii="Arial" w:hAnsi="Arial" w:cs="Arial"/>
                <w:bCs/>
                <w:snapToGrid w:val="0"/>
                <w:sz w:val="20"/>
                <w:lang w:eastAsia="zh-CN"/>
              </w:rPr>
              <w:t>①资金来源渠道是否符合相关规定。</w:t>
            </w:r>
          </w:p>
        </w:tc>
        <w:tc>
          <w:tcPr>
            <w:tcW w:w="540" w:type="dxa"/>
            <w:shd w:val="clear" w:color="auto" w:fill="auto"/>
            <w:noWrap w:val="0"/>
            <w:vAlign w:val="center"/>
          </w:tcPr>
          <w:p w14:paraId="49AD496F">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14:paraId="7259C115">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shd w:val="clear" w:color="auto" w:fill="auto"/>
            <w:noWrap w:val="0"/>
            <w:vAlign w:val="center"/>
          </w:tcPr>
          <w:p w14:paraId="5B3648D5">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14:paraId="55807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shd w:val="clear" w:color="auto" w:fill="auto"/>
            <w:noWrap w:val="0"/>
            <w:vAlign w:val="center"/>
          </w:tcPr>
          <w:p w14:paraId="18CD035A">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14:paraId="1803802B">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4737" w:type="dxa"/>
            <w:shd w:val="clear" w:color="auto" w:fill="auto"/>
            <w:noWrap w:val="0"/>
            <w:vAlign w:val="center"/>
          </w:tcPr>
          <w:p w14:paraId="7969A0B2">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w:t>
            </w:r>
            <w:r>
              <w:rPr>
                <w:rFonts w:hint="eastAsia" w:ascii="Arial" w:hAnsi="Arial" w:cs="Arial"/>
                <w:bCs/>
                <w:snapToGrid w:val="0"/>
                <w:sz w:val="20"/>
                <w:lang w:val="en-US" w:eastAsia="zh-CN"/>
              </w:rPr>
              <w:t>到位</w:t>
            </w:r>
            <w:r>
              <w:rPr>
                <w:rFonts w:hint="eastAsia" w:ascii="Arial" w:hAnsi="Arial" w:cs="Arial"/>
                <w:bCs/>
                <w:snapToGrid w:val="0"/>
                <w:sz w:val="20"/>
                <w:lang w:eastAsia="zh-CN"/>
              </w:rPr>
              <w:t>是否已</w:t>
            </w:r>
            <w:r>
              <w:rPr>
                <w:rFonts w:hint="eastAsia" w:ascii="Arial" w:hAnsi="Arial" w:cs="Arial"/>
                <w:bCs/>
                <w:snapToGrid w:val="0"/>
                <w:sz w:val="20"/>
                <w:lang w:val="en-US" w:eastAsia="zh-CN"/>
              </w:rPr>
              <w:t>具备</w:t>
            </w:r>
            <w:r>
              <w:rPr>
                <w:rFonts w:hint="eastAsia" w:ascii="Arial" w:hAnsi="Arial" w:cs="Arial"/>
                <w:bCs/>
                <w:snapToGrid w:val="0"/>
                <w:sz w:val="20"/>
                <w:lang w:eastAsia="zh-CN"/>
              </w:rPr>
              <w:t>相关手续；</w:t>
            </w:r>
          </w:p>
        </w:tc>
        <w:tc>
          <w:tcPr>
            <w:tcW w:w="540" w:type="dxa"/>
            <w:shd w:val="clear" w:color="auto" w:fill="auto"/>
            <w:noWrap w:val="0"/>
            <w:vAlign w:val="center"/>
          </w:tcPr>
          <w:p w14:paraId="5ECB8557">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14:paraId="17540C65">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560F30BC">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55297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shd w:val="clear" w:color="auto" w:fill="auto"/>
            <w:noWrap w:val="0"/>
            <w:vAlign w:val="center"/>
          </w:tcPr>
          <w:p w14:paraId="5011532C">
            <w:pPr>
              <w:pStyle w:val="67"/>
              <w:ind w:firstLine="0" w:firstLineChars="0"/>
              <w:rPr>
                <w:rFonts w:ascii="Arial" w:hAnsi="Arial" w:cs="Arial"/>
                <w:bCs/>
                <w:snapToGrid w:val="0"/>
                <w:sz w:val="20"/>
              </w:rPr>
            </w:pPr>
          </w:p>
        </w:tc>
        <w:tc>
          <w:tcPr>
            <w:tcW w:w="1296" w:type="dxa"/>
            <w:vMerge w:val="continue"/>
            <w:shd w:val="clear" w:color="auto" w:fill="auto"/>
            <w:noWrap w:val="0"/>
            <w:vAlign w:val="center"/>
          </w:tcPr>
          <w:p w14:paraId="46E577A6">
            <w:pPr>
              <w:pStyle w:val="67"/>
              <w:ind w:firstLine="0" w:firstLineChars="0"/>
              <w:jc w:val="center"/>
              <w:rPr>
                <w:rFonts w:hint="eastAsia" w:ascii="Arial" w:hAnsi="Arial" w:cs="Arial"/>
                <w:bCs/>
                <w:snapToGrid w:val="0"/>
                <w:sz w:val="20"/>
              </w:rPr>
            </w:pPr>
          </w:p>
        </w:tc>
        <w:tc>
          <w:tcPr>
            <w:tcW w:w="4737" w:type="dxa"/>
            <w:shd w:val="clear" w:color="auto" w:fill="auto"/>
            <w:noWrap w:val="0"/>
            <w:vAlign w:val="center"/>
          </w:tcPr>
          <w:p w14:paraId="18A4A4AF">
            <w:pPr>
              <w:pStyle w:val="67"/>
              <w:ind w:firstLine="0" w:firstLineChars="0"/>
              <w:rPr>
                <w:rFonts w:hint="eastAsia" w:ascii="Arial" w:hAnsi="Arial" w:cs="Arial"/>
                <w:bCs/>
                <w:snapToGrid w:val="0"/>
                <w:sz w:val="20"/>
                <w:lang w:eastAsia="zh-CN"/>
              </w:rPr>
            </w:pPr>
            <w:r>
              <w:rPr>
                <w:rFonts w:hint="eastAsia" w:ascii="Arial" w:hAnsi="Arial" w:cs="Arial"/>
                <w:bCs/>
                <w:snapToGrid w:val="0"/>
                <w:sz w:val="20"/>
                <w:lang w:eastAsia="zh-CN"/>
              </w:rPr>
              <w:t>②是否有明确的计算依据；</w:t>
            </w:r>
          </w:p>
        </w:tc>
        <w:tc>
          <w:tcPr>
            <w:tcW w:w="540" w:type="dxa"/>
            <w:shd w:val="clear" w:color="auto" w:fill="auto"/>
            <w:noWrap w:val="0"/>
            <w:vAlign w:val="center"/>
          </w:tcPr>
          <w:p w14:paraId="2D7B538A">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shd w:val="clear" w:color="auto" w:fill="auto"/>
            <w:noWrap w:val="0"/>
            <w:vAlign w:val="center"/>
          </w:tcPr>
          <w:p w14:paraId="40C48ABC">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3F531D47">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14:paraId="1DAA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14:paraId="24784E51">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120417C0">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0126AFFE">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540" w:type="dxa"/>
            <w:shd w:val="clear" w:color="auto" w:fill="auto"/>
            <w:noWrap w:val="0"/>
            <w:vAlign w:val="center"/>
          </w:tcPr>
          <w:p w14:paraId="6B50CF5A">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shd w:val="clear" w:color="auto" w:fill="auto"/>
            <w:noWrap w:val="0"/>
            <w:vAlign w:val="center"/>
          </w:tcPr>
          <w:p w14:paraId="2FC765B9">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74FE6E91">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14:paraId="7C4F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shd w:val="clear" w:color="auto" w:fill="auto"/>
            <w:noWrap w:val="0"/>
            <w:vAlign w:val="center"/>
          </w:tcPr>
          <w:p w14:paraId="6523F4C1">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shd w:val="clear" w:color="auto" w:fill="auto"/>
            <w:noWrap w:val="0"/>
            <w:vAlign w:val="center"/>
          </w:tcPr>
          <w:p w14:paraId="1B8CA973">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4737" w:type="dxa"/>
            <w:shd w:val="clear" w:color="auto" w:fill="auto"/>
            <w:noWrap w:val="0"/>
            <w:vAlign w:val="center"/>
          </w:tcPr>
          <w:p w14:paraId="67369E62">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①资金使用计划测算依据是否充分；</w:t>
            </w:r>
          </w:p>
        </w:tc>
        <w:tc>
          <w:tcPr>
            <w:tcW w:w="540" w:type="dxa"/>
            <w:shd w:val="clear" w:color="auto" w:fill="auto"/>
            <w:noWrap w:val="0"/>
            <w:vAlign w:val="center"/>
          </w:tcPr>
          <w:p w14:paraId="51363C0D">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14:paraId="1594D910">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shd w:val="clear" w:color="auto" w:fill="auto"/>
            <w:noWrap w:val="0"/>
            <w:vAlign w:val="center"/>
          </w:tcPr>
          <w:p w14:paraId="097D72AC">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0</w:t>
            </w:r>
          </w:p>
        </w:tc>
      </w:tr>
      <w:tr w14:paraId="41375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shd w:val="clear" w:color="auto" w:fill="auto"/>
            <w:noWrap w:val="0"/>
            <w:vAlign w:val="center"/>
          </w:tcPr>
          <w:p w14:paraId="32756611">
            <w:pPr>
              <w:pStyle w:val="67"/>
              <w:ind w:firstLine="0" w:firstLineChars="0"/>
              <w:jc w:val="center"/>
              <w:rPr>
                <w:rFonts w:ascii="Arial" w:hAnsi="Arial" w:cs="Arial"/>
                <w:bCs/>
                <w:snapToGrid w:val="0"/>
                <w:sz w:val="20"/>
              </w:rPr>
            </w:pPr>
          </w:p>
        </w:tc>
        <w:tc>
          <w:tcPr>
            <w:tcW w:w="1296" w:type="dxa"/>
            <w:vMerge w:val="continue"/>
            <w:tcBorders>
              <w:top w:val="nil"/>
            </w:tcBorders>
            <w:shd w:val="clear" w:color="auto" w:fill="auto"/>
            <w:noWrap w:val="0"/>
            <w:vAlign w:val="center"/>
          </w:tcPr>
          <w:p w14:paraId="011ACABC">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1B45A4B5">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②资金使用是否按计划安排。</w:t>
            </w:r>
          </w:p>
        </w:tc>
        <w:tc>
          <w:tcPr>
            <w:tcW w:w="540" w:type="dxa"/>
            <w:shd w:val="clear" w:color="auto" w:fill="auto"/>
            <w:noWrap w:val="0"/>
            <w:vAlign w:val="center"/>
          </w:tcPr>
          <w:p w14:paraId="4F88595C">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shd w:val="clear" w:color="auto" w:fill="auto"/>
            <w:noWrap w:val="0"/>
            <w:vAlign w:val="center"/>
          </w:tcPr>
          <w:p w14:paraId="7794D931">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2928F242">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14:paraId="29073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shd w:val="clear" w:color="auto" w:fill="auto"/>
            <w:noWrap w:val="0"/>
            <w:vAlign w:val="center"/>
          </w:tcPr>
          <w:p w14:paraId="5CED5ACD">
            <w:pPr>
              <w:pStyle w:val="67"/>
              <w:ind w:firstLine="0" w:firstLineChars="0"/>
              <w:jc w:val="center"/>
              <w:rPr>
                <w:rFonts w:ascii="Arial" w:hAnsi="Arial" w:cs="Arial"/>
                <w:bCs/>
                <w:snapToGrid w:val="0"/>
                <w:sz w:val="20"/>
              </w:rPr>
            </w:pPr>
          </w:p>
        </w:tc>
        <w:tc>
          <w:tcPr>
            <w:tcW w:w="1296" w:type="dxa"/>
            <w:vMerge w:val="restart"/>
            <w:shd w:val="clear" w:color="auto" w:fill="auto"/>
            <w:noWrap w:val="0"/>
            <w:vAlign w:val="center"/>
          </w:tcPr>
          <w:p w14:paraId="04D83513">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4737" w:type="dxa"/>
            <w:shd w:val="clear" w:color="auto" w:fill="auto"/>
            <w:noWrap w:val="0"/>
            <w:vAlign w:val="center"/>
          </w:tcPr>
          <w:p w14:paraId="1FB90997">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540" w:type="dxa"/>
            <w:shd w:val="clear" w:color="auto" w:fill="auto"/>
            <w:noWrap w:val="0"/>
            <w:vAlign w:val="center"/>
          </w:tcPr>
          <w:p w14:paraId="646AF33C">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14:paraId="2860B657">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18328884">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613E0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14:paraId="522977DF">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5A6750AD">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24091B03">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540" w:type="dxa"/>
            <w:shd w:val="clear" w:color="auto" w:fill="auto"/>
            <w:noWrap w:val="0"/>
            <w:vAlign w:val="center"/>
          </w:tcPr>
          <w:p w14:paraId="62A7DF68">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14:paraId="4CD9D323">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19C9A78D">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4993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shd w:val="clear" w:color="auto" w:fill="auto"/>
            <w:noWrap w:val="0"/>
            <w:vAlign w:val="center"/>
          </w:tcPr>
          <w:p w14:paraId="193C5622">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shd w:val="clear" w:color="auto" w:fill="auto"/>
            <w:noWrap w:val="0"/>
            <w:vAlign w:val="center"/>
          </w:tcPr>
          <w:p w14:paraId="0866DE58">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4737" w:type="dxa"/>
            <w:shd w:val="clear" w:color="auto" w:fill="auto"/>
            <w:noWrap w:val="0"/>
            <w:vAlign w:val="center"/>
          </w:tcPr>
          <w:p w14:paraId="6912260F">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540" w:type="dxa"/>
            <w:shd w:val="clear" w:color="auto" w:fill="auto"/>
            <w:noWrap w:val="0"/>
            <w:vAlign w:val="center"/>
          </w:tcPr>
          <w:p w14:paraId="3C575B66">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14:paraId="7C26A399">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3</w:t>
            </w:r>
          </w:p>
        </w:tc>
        <w:tc>
          <w:tcPr>
            <w:tcW w:w="496" w:type="dxa"/>
            <w:shd w:val="clear" w:color="auto" w:fill="auto"/>
            <w:noWrap w:val="0"/>
            <w:vAlign w:val="center"/>
          </w:tcPr>
          <w:p w14:paraId="052EECA6">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14:paraId="7EBC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shd w:val="clear" w:color="auto" w:fill="auto"/>
            <w:noWrap w:val="0"/>
            <w:vAlign w:val="center"/>
          </w:tcPr>
          <w:p w14:paraId="6140EB52">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07F7D930">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45B3DB66">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②绩效目标设定是否明确，是否与年度工作目标一致；</w:t>
            </w:r>
          </w:p>
        </w:tc>
        <w:tc>
          <w:tcPr>
            <w:tcW w:w="540" w:type="dxa"/>
            <w:shd w:val="clear" w:color="auto" w:fill="auto"/>
            <w:noWrap w:val="0"/>
            <w:vAlign w:val="center"/>
          </w:tcPr>
          <w:p w14:paraId="45717F9A">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c>
          <w:tcPr>
            <w:tcW w:w="541" w:type="dxa"/>
            <w:vMerge w:val="continue"/>
            <w:tcBorders>
              <w:top w:val="nil"/>
            </w:tcBorders>
            <w:shd w:val="clear" w:color="auto" w:fill="auto"/>
            <w:noWrap w:val="0"/>
            <w:vAlign w:val="center"/>
          </w:tcPr>
          <w:p w14:paraId="7B7D283C">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346491EE">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14:paraId="6A22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shd w:val="clear" w:color="auto" w:fill="auto"/>
            <w:noWrap w:val="0"/>
            <w:vAlign w:val="center"/>
          </w:tcPr>
          <w:p w14:paraId="2EC40AD6">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14:paraId="21BFEB8F">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4737" w:type="dxa"/>
            <w:shd w:val="clear" w:color="auto" w:fill="auto"/>
            <w:noWrap w:val="0"/>
            <w:vAlign w:val="center"/>
          </w:tcPr>
          <w:p w14:paraId="10E3EB19">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540" w:type="dxa"/>
            <w:shd w:val="clear" w:color="auto" w:fill="auto"/>
            <w:noWrap w:val="0"/>
            <w:vAlign w:val="center"/>
          </w:tcPr>
          <w:p w14:paraId="1A5184F4">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14:paraId="47622F8C">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3B7216FA">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14:paraId="0131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shd w:val="clear" w:color="auto" w:fill="auto"/>
            <w:noWrap w:val="0"/>
            <w:vAlign w:val="center"/>
          </w:tcPr>
          <w:p w14:paraId="0322EC23">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5A39A165">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49E18E13">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540" w:type="dxa"/>
            <w:shd w:val="clear" w:color="auto" w:fill="auto"/>
            <w:noWrap w:val="0"/>
            <w:vAlign w:val="center"/>
          </w:tcPr>
          <w:p w14:paraId="00257201">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14:paraId="15EA6C23">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1621FEF0">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14:paraId="3EECF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shd w:val="clear" w:color="auto" w:fill="auto"/>
            <w:noWrap w:val="0"/>
            <w:vAlign w:val="center"/>
          </w:tcPr>
          <w:p w14:paraId="02459E85">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eastAsia="zh-CN"/>
              </w:rPr>
              <w:t>管理办法执行</w:t>
            </w:r>
            <w:r>
              <w:rPr>
                <w:rFonts w:ascii="Arial" w:hAnsi="Arial" w:cs="Arial"/>
                <w:bCs/>
                <w:snapToGrid w:val="0"/>
                <w:sz w:val="20"/>
                <w:lang w:eastAsia="zh-CN"/>
              </w:rPr>
              <w:t>的有效性</w:t>
            </w:r>
          </w:p>
        </w:tc>
        <w:tc>
          <w:tcPr>
            <w:tcW w:w="1296" w:type="dxa"/>
            <w:vMerge w:val="restart"/>
            <w:tcBorders>
              <w:top w:val="nil"/>
            </w:tcBorders>
            <w:shd w:val="clear" w:color="auto" w:fill="auto"/>
            <w:noWrap w:val="0"/>
            <w:vAlign w:val="center"/>
          </w:tcPr>
          <w:p w14:paraId="08B4C25C">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val="en-US" w:eastAsia="zh-CN"/>
              </w:rPr>
              <w:t>管理办法执行</w:t>
            </w:r>
            <w:r>
              <w:rPr>
                <w:rFonts w:ascii="Arial" w:hAnsi="Arial" w:cs="Arial"/>
                <w:bCs/>
                <w:snapToGrid w:val="0"/>
                <w:sz w:val="20"/>
                <w:lang w:eastAsia="zh-CN"/>
              </w:rPr>
              <w:t>的有效性</w:t>
            </w:r>
          </w:p>
        </w:tc>
        <w:tc>
          <w:tcPr>
            <w:tcW w:w="4737" w:type="dxa"/>
            <w:shd w:val="clear" w:color="auto" w:fill="auto"/>
            <w:noWrap w:val="0"/>
            <w:vAlign w:val="center"/>
          </w:tcPr>
          <w:p w14:paraId="1AE8355C">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w:t>
            </w:r>
            <w:r>
              <w:rPr>
                <w:rFonts w:hint="eastAsia" w:ascii="Arial" w:hAnsi="Arial" w:cs="Arial"/>
                <w:bCs/>
                <w:snapToGrid w:val="0"/>
                <w:sz w:val="20"/>
                <w:lang w:val="en-US" w:eastAsia="zh-CN"/>
              </w:rPr>
              <w:t>执行办法</w:t>
            </w:r>
            <w:r>
              <w:rPr>
                <w:rFonts w:hint="eastAsia" w:ascii="Arial" w:hAnsi="Arial" w:cs="Arial"/>
                <w:bCs/>
                <w:snapToGrid w:val="0"/>
                <w:sz w:val="20"/>
                <w:lang w:eastAsia="zh-CN"/>
              </w:rPr>
              <w:t>是否经过批复；</w:t>
            </w:r>
          </w:p>
        </w:tc>
        <w:tc>
          <w:tcPr>
            <w:tcW w:w="540" w:type="dxa"/>
            <w:shd w:val="clear" w:color="auto" w:fill="auto"/>
            <w:noWrap w:val="0"/>
            <w:vAlign w:val="center"/>
          </w:tcPr>
          <w:p w14:paraId="149CCA73">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tcBorders>
              <w:top w:val="nil"/>
            </w:tcBorders>
            <w:shd w:val="clear" w:color="auto" w:fill="auto"/>
            <w:noWrap w:val="0"/>
            <w:vAlign w:val="center"/>
          </w:tcPr>
          <w:p w14:paraId="49D376A1">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8</w:t>
            </w:r>
          </w:p>
        </w:tc>
        <w:tc>
          <w:tcPr>
            <w:tcW w:w="496" w:type="dxa"/>
            <w:shd w:val="clear" w:color="auto" w:fill="auto"/>
            <w:noWrap w:val="0"/>
            <w:vAlign w:val="center"/>
          </w:tcPr>
          <w:p w14:paraId="6C95003E">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14:paraId="7E51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shd w:val="clear" w:color="auto" w:fill="auto"/>
            <w:noWrap w:val="0"/>
            <w:vAlign w:val="center"/>
          </w:tcPr>
          <w:p w14:paraId="688D6396">
            <w:pPr>
              <w:pStyle w:val="67"/>
              <w:ind w:firstLine="0" w:firstLineChars="0"/>
              <w:rPr>
                <w:rFonts w:ascii="Arial" w:hAnsi="Arial" w:cs="Arial"/>
                <w:bCs/>
                <w:snapToGrid w:val="0"/>
                <w:sz w:val="20"/>
                <w:lang w:eastAsia="zh-CN"/>
              </w:rPr>
            </w:pPr>
          </w:p>
        </w:tc>
        <w:tc>
          <w:tcPr>
            <w:tcW w:w="1296" w:type="dxa"/>
            <w:vMerge w:val="continue"/>
            <w:shd w:val="clear" w:color="auto" w:fill="auto"/>
            <w:noWrap w:val="0"/>
            <w:vAlign w:val="center"/>
          </w:tcPr>
          <w:p w14:paraId="55352042">
            <w:pPr>
              <w:pStyle w:val="67"/>
              <w:ind w:firstLine="0" w:firstLineChars="0"/>
              <w:jc w:val="center"/>
              <w:rPr>
                <w:rFonts w:ascii="Arial" w:hAnsi="Arial" w:cs="Arial"/>
                <w:bCs/>
                <w:snapToGrid w:val="0"/>
                <w:sz w:val="20"/>
                <w:lang w:eastAsia="zh-CN"/>
              </w:rPr>
            </w:pPr>
          </w:p>
        </w:tc>
        <w:tc>
          <w:tcPr>
            <w:tcW w:w="4737" w:type="dxa"/>
            <w:shd w:val="clear" w:color="auto" w:fill="auto"/>
            <w:noWrap w:val="0"/>
            <w:vAlign w:val="center"/>
          </w:tcPr>
          <w:p w14:paraId="1D6BD34B">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w:t>
            </w:r>
            <w:r>
              <w:rPr>
                <w:rFonts w:hint="eastAsia" w:ascii="Arial" w:hAnsi="Arial" w:cs="Arial"/>
                <w:bCs/>
                <w:snapToGrid w:val="0"/>
                <w:sz w:val="20"/>
                <w:lang w:val="en-US" w:eastAsia="zh-CN"/>
              </w:rPr>
              <w:t>是否严格按照执行办法实施</w:t>
            </w:r>
            <w:r>
              <w:rPr>
                <w:rFonts w:hint="eastAsia" w:ascii="Arial" w:hAnsi="Arial" w:cs="Arial"/>
                <w:bCs/>
                <w:snapToGrid w:val="0"/>
                <w:sz w:val="20"/>
                <w:lang w:eastAsia="zh-CN"/>
              </w:rPr>
              <w:t>。</w:t>
            </w:r>
          </w:p>
        </w:tc>
        <w:tc>
          <w:tcPr>
            <w:tcW w:w="540" w:type="dxa"/>
            <w:shd w:val="clear" w:color="auto" w:fill="auto"/>
            <w:noWrap w:val="0"/>
            <w:vAlign w:val="center"/>
          </w:tcPr>
          <w:p w14:paraId="216C53A7">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shd w:val="clear" w:color="auto" w:fill="auto"/>
            <w:noWrap w:val="0"/>
            <w:vAlign w:val="center"/>
          </w:tcPr>
          <w:p w14:paraId="59C1AD69">
            <w:pPr>
              <w:pStyle w:val="67"/>
              <w:ind w:firstLine="0" w:firstLineChars="0"/>
              <w:jc w:val="center"/>
              <w:rPr>
                <w:rFonts w:ascii="Arial" w:hAnsi="Arial" w:cs="Arial"/>
                <w:bCs/>
                <w:snapToGrid w:val="0"/>
                <w:sz w:val="20"/>
                <w:lang w:eastAsia="zh-CN"/>
              </w:rPr>
            </w:pPr>
          </w:p>
        </w:tc>
        <w:tc>
          <w:tcPr>
            <w:tcW w:w="496" w:type="dxa"/>
            <w:shd w:val="clear" w:color="auto" w:fill="auto"/>
            <w:noWrap w:val="0"/>
            <w:vAlign w:val="center"/>
          </w:tcPr>
          <w:p w14:paraId="4E476223">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14:paraId="0713E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shd w:val="clear" w:color="auto" w:fill="auto"/>
            <w:noWrap w:val="0"/>
            <w:vAlign w:val="center"/>
          </w:tcPr>
          <w:p w14:paraId="7565ACFF">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shd w:val="clear" w:color="auto" w:fill="auto"/>
            <w:noWrap w:val="0"/>
            <w:vAlign w:val="center"/>
          </w:tcPr>
          <w:p w14:paraId="21D7D9EE">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服务数量</w:t>
            </w:r>
            <w:r>
              <w:rPr>
                <w:rFonts w:hint="eastAsia" w:ascii="Arial" w:hAnsi="Arial" w:cs="Arial"/>
                <w:bCs/>
                <w:snapToGrid w:val="0"/>
                <w:sz w:val="20"/>
                <w:lang w:eastAsia="zh-CN"/>
              </w:rPr>
              <w:t>合格性</w:t>
            </w:r>
          </w:p>
        </w:tc>
        <w:tc>
          <w:tcPr>
            <w:tcW w:w="4737" w:type="dxa"/>
            <w:shd w:val="clear" w:color="auto" w:fill="auto"/>
            <w:noWrap w:val="0"/>
            <w:vAlign w:val="center"/>
          </w:tcPr>
          <w:p w14:paraId="7C9C8CD6">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w:t>
            </w:r>
            <w:r>
              <w:rPr>
                <w:rFonts w:hint="eastAsia" w:ascii="Arial" w:hAnsi="Arial" w:cs="Arial"/>
                <w:bCs/>
                <w:snapToGrid w:val="0"/>
                <w:sz w:val="20"/>
                <w:lang w:val="en-US" w:eastAsia="zh-CN"/>
              </w:rPr>
              <w:t>数量是否与实际数量、批复数量一致</w:t>
            </w:r>
            <w:r>
              <w:rPr>
                <w:rFonts w:hint="eastAsia" w:ascii="Arial" w:hAnsi="Arial" w:cs="Arial"/>
                <w:bCs/>
                <w:snapToGrid w:val="0"/>
                <w:sz w:val="20"/>
                <w:lang w:eastAsia="zh-CN"/>
              </w:rPr>
              <w:t>。</w:t>
            </w:r>
          </w:p>
        </w:tc>
        <w:tc>
          <w:tcPr>
            <w:tcW w:w="540" w:type="dxa"/>
            <w:shd w:val="clear" w:color="auto" w:fill="auto"/>
            <w:noWrap w:val="0"/>
            <w:vAlign w:val="center"/>
          </w:tcPr>
          <w:p w14:paraId="1CAEB1A6">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14:paraId="03CF744E">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12</w:t>
            </w:r>
          </w:p>
        </w:tc>
        <w:tc>
          <w:tcPr>
            <w:tcW w:w="496" w:type="dxa"/>
            <w:shd w:val="clear" w:color="auto" w:fill="auto"/>
            <w:noWrap w:val="0"/>
            <w:vAlign w:val="center"/>
          </w:tcPr>
          <w:p w14:paraId="4B1ACC4D">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14:paraId="44B78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77" w:type="dxa"/>
            <w:vMerge w:val="continue"/>
            <w:shd w:val="clear" w:color="auto" w:fill="auto"/>
            <w:noWrap w:val="0"/>
            <w:vAlign w:val="center"/>
          </w:tcPr>
          <w:p w14:paraId="1F9EF976">
            <w:pPr>
              <w:pStyle w:val="67"/>
              <w:ind w:firstLine="0" w:firstLineChars="0"/>
              <w:rPr>
                <w:rFonts w:ascii="Arial" w:hAnsi="Arial" w:cs="Arial"/>
                <w:bCs/>
                <w:snapToGrid w:val="0"/>
                <w:sz w:val="20"/>
                <w:lang w:eastAsia="zh-CN"/>
              </w:rPr>
            </w:pPr>
          </w:p>
        </w:tc>
        <w:tc>
          <w:tcPr>
            <w:tcW w:w="1296" w:type="dxa"/>
            <w:vMerge w:val="restart"/>
            <w:shd w:val="clear" w:color="auto" w:fill="auto"/>
            <w:noWrap w:val="0"/>
            <w:vAlign w:val="center"/>
          </w:tcPr>
          <w:p w14:paraId="29872F0C">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服务</w:t>
            </w:r>
            <w:r>
              <w:rPr>
                <w:rFonts w:hint="eastAsia" w:ascii="Arial" w:hAnsi="Arial" w:cs="Arial"/>
                <w:bCs/>
                <w:snapToGrid w:val="0"/>
                <w:sz w:val="20"/>
                <w:lang w:eastAsia="zh-CN"/>
              </w:rPr>
              <w:t>质量合格性</w:t>
            </w:r>
          </w:p>
        </w:tc>
        <w:tc>
          <w:tcPr>
            <w:tcW w:w="4737" w:type="dxa"/>
            <w:shd w:val="clear" w:color="auto" w:fill="auto"/>
            <w:noWrap w:val="0"/>
            <w:vAlign w:val="center"/>
          </w:tcPr>
          <w:p w14:paraId="7C64ADF4">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存储粮油质量是否符合相关规定；</w:t>
            </w:r>
          </w:p>
        </w:tc>
        <w:tc>
          <w:tcPr>
            <w:tcW w:w="540" w:type="dxa"/>
            <w:shd w:val="clear" w:color="auto" w:fill="auto"/>
            <w:noWrap w:val="0"/>
            <w:vAlign w:val="center"/>
          </w:tcPr>
          <w:p w14:paraId="426BBD32">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14:paraId="77B11EBA">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26FC586E">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14:paraId="05FB8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shd w:val="clear" w:color="auto" w:fill="auto"/>
            <w:noWrap w:val="0"/>
            <w:vAlign w:val="center"/>
          </w:tcPr>
          <w:p w14:paraId="12659876">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65072321">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2337ED2A">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w:t>
            </w:r>
            <w:r>
              <w:rPr>
                <w:rFonts w:hint="eastAsia" w:ascii="Arial" w:hAnsi="Arial" w:cs="Arial"/>
                <w:bCs/>
                <w:snapToGrid w:val="0"/>
                <w:sz w:val="20"/>
                <w:lang w:val="en-US" w:eastAsia="zh-CN"/>
              </w:rPr>
              <w:t>粮油入库前是否经过检验。</w:t>
            </w:r>
          </w:p>
        </w:tc>
        <w:tc>
          <w:tcPr>
            <w:tcW w:w="540" w:type="dxa"/>
            <w:shd w:val="clear" w:color="auto" w:fill="auto"/>
            <w:noWrap w:val="0"/>
            <w:vAlign w:val="center"/>
          </w:tcPr>
          <w:p w14:paraId="499ECFEA">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14:paraId="4EE74173">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48994CC3">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14:paraId="4C43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shd w:val="clear" w:color="auto" w:fill="auto"/>
            <w:noWrap w:val="0"/>
            <w:vAlign w:val="center"/>
          </w:tcPr>
          <w:p w14:paraId="2876C2D5">
            <w:pPr>
              <w:pStyle w:val="67"/>
              <w:ind w:firstLine="0" w:firstLineChars="0"/>
              <w:rPr>
                <w:rFonts w:ascii="Arial" w:hAnsi="Arial" w:cs="Arial"/>
                <w:bCs/>
                <w:snapToGrid w:val="0"/>
                <w:sz w:val="20"/>
              </w:rPr>
            </w:pPr>
          </w:p>
        </w:tc>
        <w:tc>
          <w:tcPr>
            <w:tcW w:w="1296" w:type="dxa"/>
            <w:tcBorders>
              <w:top w:val="nil"/>
            </w:tcBorders>
            <w:shd w:val="clear" w:color="auto" w:fill="auto"/>
            <w:noWrap w:val="0"/>
            <w:vAlign w:val="center"/>
          </w:tcPr>
          <w:p w14:paraId="6721E950">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服务时效合格性</w:t>
            </w:r>
          </w:p>
        </w:tc>
        <w:tc>
          <w:tcPr>
            <w:tcW w:w="4737" w:type="dxa"/>
            <w:shd w:val="clear" w:color="auto" w:fill="auto"/>
            <w:noWrap w:val="0"/>
            <w:vAlign w:val="center"/>
          </w:tcPr>
          <w:p w14:paraId="6C85EDBF">
            <w:pPr>
              <w:pStyle w:val="67"/>
              <w:ind w:firstLine="0" w:firstLineChars="0"/>
              <w:rPr>
                <w:rFonts w:hint="default" w:ascii="Arial" w:hAnsi="Arial" w:cs="Arial"/>
                <w:bCs/>
                <w:snapToGrid w:val="0"/>
                <w:sz w:val="20"/>
                <w:lang w:val="en-US"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存储粮油服务时效是否符合相关规定。</w:t>
            </w:r>
          </w:p>
        </w:tc>
        <w:tc>
          <w:tcPr>
            <w:tcW w:w="540" w:type="dxa"/>
            <w:shd w:val="clear" w:color="auto" w:fill="auto"/>
            <w:noWrap w:val="0"/>
            <w:vAlign w:val="center"/>
          </w:tcPr>
          <w:p w14:paraId="39FA3009">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shd w:val="clear" w:color="auto" w:fill="auto"/>
            <w:noWrap w:val="0"/>
            <w:vAlign w:val="center"/>
          </w:tcPr>
          <w:p w14:paraId="79FE5BF0">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3F84FB0A">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14:paraId="2EC2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shd w:val="clear" w:color="auto" w:fill="auto"/>
            <w:noWrap w:val="0"/>
            <w:vAlign w:val="center"/>
          </w:tcPr>
          <w:p w14:paraId="1C46E4B7">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shd w:val="clear" w:color="auto" w:fill="auto"/>
            <w:noWrap w:val="0"/>
            <w:vAlign w:val="center"/>
          </w:tcPr>
          <w:p w14:paraId="365F35B9">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4737" w:type="dxa"/>
            <w:shd w:val="clear" w:color="auto" w:fill="auto"/>
            <w:noWrap w:val="0"/>
            <w:vAlign w:val="center"/>
          </w:tcPr>
          <w:p w14:paraId="5A26678C">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540" w:type="dxa"/>
            <w:shd w:val="clear" w:color="auto" w:fill="auto"/>
            <w:noWrap w:val="0"/>
            <w:vAlign w:val="center"/>
          </w:tcPr>
          <w:p w14:paraId="0571CFF8">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restart"/>
            <w:shd w:val="clear" w:color="auto" w:fill="auto"/>
            <w:noWrap w:val="0"/>
            <w:vAlign w:val="center"/>
          </w:tcPr>
          <w:p w14:paraId="5BD43593">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9</w:t>
            </w:r>
          </w:p>
        </w:tc>
        <w:tc>
          <w:tcPr>
            <w:tcW w:w="496" w:type="dxa"/>
            <w:shd w:val="clear" w:color="auto" w:fill="auto"/>
            <w:noWrap w:val="0"/>
            <w:vAlign w:val="center"/>
          </w:tcPr>
          <w:p w14:paraId="27607F1A">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r>
      <w:tr w14:paraId="3CAF3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shd w:val="clear" w:color="auto" w:fill="auto"/>
            <w:noWrap w:val="0"/>
            <w:vAlign w:val="center"/>
          </w:tcPr>
          <w:p w14:paraId="7853ACAF">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29334F42">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0AE9655E">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w:t>
            </w:r>
            <w:r>
              <w:rPr>
                <w:rFonts w:hint="eastAsia" w:ascii="Arial" w:hAnsi="Arial" w:cs="Arial"/>
                <w:bCs/>
                <w:snapToGrid w:val="0"/>
                <w:sz w:val="20"/>
                <w:lang w:val="en-US" w:eastAsia="zh-CN"/>
              </w:rPr>
              <w:t>是否有长期有效的政策依据</w:t>
            </w:r>
            <w:r>
              <w:rPr>
                <w:rFonts w:hint="eastAsia" w:ascii="Arial" w:hAnsi="Arial" w:cs="Arial"/>
                <w:bCs/>
                <w:snapToGrid w:val="0"/>
                <w:sz w:val="20"/>
                <w:lang w:eastAsia="zh-CN"/>
              </w:rPr>
              <w:t>；</w:t>
            </w:r>
          </w:p>
        </w:tc>
        <w:tc>
          <w:tcPr>
            <w:tcW w:w="540" w:type="dxa"/>
            <w:shd w:val="clear" w:color="auto" w:fill="auto"/>
            <w:noWrap w:val="0"/>
            <w:vAlign w:val="center"/>
          </w:tcPr>
          <w:p w14:paraId="2F77CD44">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shd w:val="clear" w:color="auto" w:fill="auto"/>
            <w:noWrap w:val="0"/>
            <w:vAlign w:val="center"/>
          </w:tcPr>
          <w:p w14:paraId="4DB6A5BA">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484061D9">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r>
      <w:tr w14:paraId="0999D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shd w:val="clear" w:color="auto" w:fill="auto"/>
            <w:noWrap w:val="0"/>
            <w:vAlign w:val="center"/>
          </w:tcPr>
          <w:p w14:paraId="6CD24481">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14:paraId="4FB92CFE">
            <w:pPr>
              <w:pStyle w:val="67"/>
              <w:ind w:firstLine="0" w:firstLineChars="0"/>
              <w:jc w:val="center"/>
              <w:rPr>
                <w:rFonts w:ascii="Arial" w:hAnsi="Arial" w:cs="Arial"/>
                <w:bCs/>
                <w:snapToGrid w:val="0"/>
                <w:sz w:val="20"/>
              </w:rPr>
            </w:pPr>
          </w:p>
        </w:tc>
        <w:tc>
          <w:tcPr>
            <w:tcW w:w="4737" w:type="dxa"/>
            <w:shd w:val="clear" w:color="auto" w:fill="auto"/>
            <w:noWrap w:val="0"/>
            <w:vAlign w:val="center"/>
          </w:tcPr>
          <w:p w14:paraId="1802CB0F">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③项目的实施</w:t>
            </w:r>
            <w:r>
              <w:rPr>
                <w:rFonts w:hint="eastAsia" w:ascii="Arial" w:hAnsi="Arial" w:cs="Arial"/>
                <w:bCs/>
                <w:snapToGrid w:val="0"/>
                <w:sz w:val="20"/>
                <w:lang w:val="en-US" w:eastAsia="zh-CN"/>
              </w:rPr>
              <w:t>是否有利于</w:t>
            </w:r>
            <w:r>
              <w:rPr>
                <w:rFonts w:hint="eastAsia" w:ascii="Arial" w:hAnsi="Arial" w:cs="Arial"/>
                <w:bCs/>
                <w:snapToGrid w:val="0"/>
                <w:sz w:val="20"/>
                <w:lang w:eastAsia="zh-CN"/>
              </w:rPr>
              <w:t>社会稳定。</w:t>
            </w:r>
          </w:p>
        </w:tc>
        <w:tc>
          <w:tcPr>
            <w:tcW w:w="540" w:type="dxa"/>
            <w:shd w:val="clear" w:color="auto" w:fill="auto"/>
            <w:noWrap w:val="0"/>
            <w:vAlign w:val="center"/>
          </w:tcPr>
          <w:p w14:paraId="18DA8DFE">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c>
          <w:tcPr>
            <w:tcW w:w="541" w:type="dxa"/>
            <w:vMerge w:val="continue"/>
            <w:tcBorders>
              <w:top w:val="nil"/>
            </w:tcBorders>
            <w:shd w:val="clear" w:color="auto" w:fill="auto"/>
            <w:noWrap w:val="0"/>
            <w:vAlign w:val="center"/>
          </w:tcPr>
          <w:p w14:paraId="74BE30F4">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5695DF9E">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r>
      <w:tr w14:paraId="1035E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910" w:type="dxa"/>
            <w:gridSpan w:val="3"/>
            <w:shd w:val="clear" w:color="auto" w:fill="auto"/>
            <w:noWrap w:val="0"/>
            <w:vAlign w:val="center"/>
          </w:tcPr>
          <w:p w14:paraId="71B7610B">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540" w:type="dxa"/>
            <w:shd w:val="clear" w:color="auto" w:fill="auto"/>
            <w:noWrap w:val="0"/>
            <w:vAlign w:val="center"/>
          </w:tcPr>
          <w:p w14:paraId="3FCC3EF3">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100</w:t>
            </w:r>
          </w:p>
        </w:tc>
        <w:tc>
          <w:tcPr>
            <w:tcW w:w="541" w:type="dxa"/>
            <w:shd w:val="clear" w:color="auto" w:fill="auto"/>
            <w:noWrap w:val="0"/>
            <w:vAlign w:val="center"/>
          </w:tcPr>
          <w:p w14:paraId="3A628EBD">
            <w:pPr>
              <w:pStyle w:val="67"/>
              <w:ind w:firstLine="0" w:firstLineChars="0"/>
              <w:jc w:val="center"/>
              <w:rPr>
                <w:rFonts w:ascii="Arial" w:hAnsi="Arial" w:cs="Arial"/>
                <w:bCs/>
                <w:snapToGrid w:val="0"/>
                <w:sz w:val="20"/>
              </w:rPr>
            </w:pPr>
          </w:p>
        </w:tc>
        <w:tc>
          <w:tcPr>
            <w:tcW w:w="496" w:type="dxa"/>
            <w:shd w:val="clear" w:color="auto" w:fill="auto"/>
            <w:noWrap w:val="0"/>
            <w:vAlign w:val="center"/>
          </w:tcPr>
          <w:p w14:paraId="533EAAA9">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97</w:t>
            </w:r>
          </w:p>
        </w:tc>
      </w:tr>
    </w:tbl>
    <w:p w14:paraId="30104DAD">
      <w:pPr>
        <w:pStyle w:val="2"/>
        <w:numPr>
          <w:ilvl w:val="0"/>
          <w:numId w:val="1"/>
        </w:numPr>
        <w:spacing w:before="0" w:beforeLines="0" w:after="0" w:afterLines="0"/>
        <w:rPr>
          <w:rFonts w:hint="eastAsia" w:ascii="仿宋" w:hAnsi="仿宋" w:eastAsia="仿宋" w:cs="仿宋"/>
          <w:b w:val="0"/>
          <w:szCs w:val="32"/>
          <w:lang w:eastAsia="zh-CN"/>
        </w:rPr>
      </w:pPr>
      <w:bookmarkStart w:id="201" w:name="_Toc20649"/>
      <w:bookmarkStart w:id="202" w:name="_Toc7074"/>
      <w:bookmarkStart w:id="203" w:name="_Toc924138418"/>
      <w:bookmarkStart w:id="204" w:name="_Toc737820165"/>
      <w:bookmarkStart w:id="205" w:name="_Toc193453926"/>
      <w:bookmarkStart w:id="206" w:name="_Toc1506002849_WPSOffice_Level1"/>
      <w:bookmarkStart w:id="207" w:name="_Toc1269600848"/>
      <w:bookmarkStart w:id="208" w:name="_Toc10752"/>
      <w:bookmarkStart w:id="209" w:name="_Toc132480966"/>
      <w:bookmarkStart w:id="210" w:name="_Toc6088"/>
      <w:bookmarkStart w:id="211" w:name="_Toc29627"/>
      <w:r>
        <w:rPr>
          <w:rFonts w:hint="eastAsia" w:ascii="仿宋" w:hAnsi="仿宋" w:eastAsia="仿宋" w:cs="仿宋"/>
          <w:b w:val="0"/>
          <w:szCs w:val="32"/>
          <w:lang w:eastAsia="zh-CN"/>
        </w:rPr>
        <w:t>绩效评价</w:t>
      </w:r>
      <w:bookmarkEnd w:id="201"/>
      <w:bookmarkEnd w:id="202"/>
      <w:bookmarkEnd w:id="203"/>
      <w:bookmarkEnd w:id="204"/>
      <w:bookmarkEnd w:id="205"/>
      <w:bookmarkEnd w:id="206"/>
      <w:bookmarkEnd w:id="207"/>
      <w:bookmarkEnd w:id="208"/>
      <w:bookmarkEnd w:id="209"/>
      <w:r>
        <w:rPr>
          <w:rFonts w:hint="eastAsia" w:ascii="仿宋" w:hAnsi="仿宋" w:eastAsia="仿宋" w:cs="仿宋"/>
          <w:b w:val="0"/>
          <w:szCs w:val="32"/>
          <w:lang w:eastAsia="zh-CN"/>
        </w:rPr>
        <w:t>内容与结论</w:t>
      </w:r>
      <w:bookmarkEnd w:id="210"/>
      <w:bookmarkEnd w:id="211"/>
    </w:p>
    <w:p w14:paraId="2F2D2D2F">
      <w:pPr>
        <w:pStyle w:val="3"/>
        <w:numPr>
          <w:ilvl w:val="0"/>
          <w:numId w:val="3"/>
        </w:numPr>
        <w:spacing w:before="0" w:beforeLines="0" w:after="0" w:afterLines="0"/>
        <w:ind w:firstLineChars="0"/>
        <w:rPr>
          <w:rFonts w:hint="eastAsia" w:ascii="仿宋" w:hAnsi="仿宋" w:eastAsia="仿宋" w:cs="仿宋"/>
          <w:b w:val="0"/>
          <w:szCs w:val="32"/>
          <w:lang w:eastAsia="zh-CN"/>
        </w:rPr>
      </w:pPr>
      <w:bookmarkStart w:id="212" w:name="_Toc785"/>
      <w:bookmarkStart w:id="213" w:name="_Toc2815"/>
      <w:r>
        <w:rPr>
          <w:rFonts w:hint="eastAsia" w:ascii="仿宋" w:hAnsi="仿宋" w:eastAsia="仿宋" w:cs="仿宋"/>
          <w:b w:val="0"/>
          <w:kern w:val="44"/>
          <w:szCs w:val="32"/>
          <w:lang w:eastAsia="zh-CN"/>
        </w:rPr>
        <w:t>项目实施的必要性、公益性、收益性</w:t>
      </w:r>
      <w:bookmarkEnd w:id="212"/>
      <w:bookmarkEnd w:id="213"/>
    </w:p>
    <w:p w14:paraId="1460E613">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项目实施的必要性、公益性、收益性方面，指标总分16分，评估得分16分。具体如下</w:t>
      </w:r>
      <w:r>
        <w:rPr>
          <w:rFonts w:hint="eastAsia" w:ascii="仿宋" w:hAnsi="仿宋" w:eastAsia="仿宋" w:cs="仿宋"/>
          <w:szCs w:val="32"/>
          <w:lang w:eastAsia="zh-CN"/>
        </w:rPr>
        <w:t>：</w:t>
      </w:r>
    </w:p>
    <w:p w14:paraId="350F829A">
      <w:pPr>
        <w:ind w:firstLine="640" w:firstLineChars="0"/>
        <w:rPr>
          <w:rFonts w:hint="eastAsia" w:ascii="仿宋" w:hAnsi="仿宋" w:eastAsia="仿宋" w:cs="仿宋"/>
          <w:szCs w:val="32"/>
          <w:lang w:eastAsia="zh-CN"/>
        </w:rPr>
      </w:pPr>
      <w:r>
        <w:rPr>
          <w:rFonts w:hint="eastAsia" w:ascii="仿宋" w:hAnsi="仿宋" w:eastAsia="仿宋" w:cs="仿宋"/>
          <w:szCs w:val="32"/>
          <w:lang w:eastAsia="zh-CN"/>
        </w:rPr>
        <w:t>1.项</w:t>
      </w:r>
      <w:bookmarkStart w:id="214" w:name="OLE_LINK3"/>
      <w:r>
        <w:rPr>
          <w:rFonts w:hint="eastAsia" w:ascii="仿宋" w:hAnsi="仿宋" w:eastAsia="仿宋" w:cs="仿宋"/>
          <w:szCs w:val="32"/>
          <w:lang w:eastAsia="zh-CN"/>
        </w:rPr>
        <w:t>目实施的必要性</w:t>
      </w:r>
      <w:bookmarkEnd w:id="214"/>
    </w:p>
    <w:p w14:paraId="5CEBA630">
      <w:pPr>
        <w:ind w:firstLine="640"/>
        <w:rPr>
          <w:rFonts w:hint="eastAsia" w:ascii="仿宋" w:hAnsi="仿宋" w:eastAsia="仿宋" w:cs="仿宋"/>
          <w:szCs w:val="32"/>
          <w:lang w:eastAsia="zh-CN"/>
        </w:rPr>
      </w:pPr>
      <w:bookmarkStart w:id="215" w:name="OLE_LINK1"/>
      <w:r>
        <w:rPr>
          <w:rFonts w:hint="eastAsia" w:ascii="仿宋" w:hAnsi="仿宋" w:eastAsia="仿宋" w:cs="仿宋"/>
          <w:color w:val="auto"/>
          <w:lang w:val="zh-CN" w:eastAsia="zh-CN"/>
        </w:rPr>
        <w:t>金口河区地处山区，粮食生产受自然条件限制较大。储备粮油可在自然灾害、市场波动等特殊时期保障区域内粮油的稳定供应，避免出现供应短缺和价格大幅波动，确保居民基本生活需求得到满足。建立储备粮油体系并给予费用补贴，能有效增强区域应对突发事件的能力。如在疫情防控、地震等紧急情况下，储备粮油可迅速投放市场，维持社会稳定。当市场上粮油价格因供求关系失衡出现大幅上涨或下跌时，政府可通过投放或收购储备粮油来调节市场供求，稳定粮油价格，保护消费者和农民的利益。储备粮油的存在以及相关补贴政策的实施，向市场传递出政府稳定粮油市场的决心和能力，有助于稳定市场参与者的预期，避免因恐慌性抢购或抛售导致市场秩序混乱。补贴项目有助于稳定当地粮油市场价格，保障农民收入，从而激励农民种粮积极性，促进区域内农业生产的稳定发展，推动农业产业结构优化升级</w:t>
      </w:r>
      <w:r>
        <w:rPr>
          <w:rFonts w:hint="eastAsia" w:ascii="仿宋" w:hAnsi="仿宋" w:eastAsia="仿宋" w:cs="仿宋"/>
          <w:szCs w:val="32"/>
          <w:lang w:eastAsia="zh-CN"/>
        </w:rPr>
        <w:t>。</w:t>
      </w:r>
      <w:bookmarkEnd w:id="215"/>
    </w:p>
    <w:p w14:paraId="44132879">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通过储备粮油费用补贴，确保其供应稳定和价格合理是保障民生的重要内容。储备粮油费用补贴项目的实施有助于解决低收入群体的生活困难，减少社会不稳定因素。储备粮油费用补贴</w:t>
      </w:r>
      <w:r>
        <w:rPr>
          <w:rFonts w:hint="eastAsia" w:ascii="仿宋" w:hAnsi="仿宋" w:eastAsia="仿宋" w:cs="仿宋"/>
          <w:color w:val="auto"/>
          <w:lang w:val="en-US" w:eastAsia="zh-CN"/>
        </w:rPr>
        <w:t>项目</w:t>
      </w:r>
      <w:r>
        <w:rPr>
          <w:rFonts w:hint="eastAsia" w:ascii="仿宋" w:hAnsi="仿宋" w:eastAsia="仿宋" w:cs="仿宋"/>
          <w:color w:val="auto"/>
          <w:lang w:val="zh-CN" w:eastAsia="zh-CN"/>
        </w:rPr>
        <w:t>符合国情需要，在国家统一部署下开展。根据评分标准，总分4分，得4分</w:t>
      </w:r>
      <w:r>
        <w:rPr>
          <w:rFonts w:hint="eastAsia" w:ascii="仿宋" w:hAnsi="仿宋" w:eastAsia="仿宋" w:cs="仿宋"/>
          <w:szCs w:val="32"/>
          <w:lang w:eastAsia="zh-CN"/>
        </w:rPr>
        <w:t>。</w:t>
      </w:r>
    </w:p>
    <w:p w14:paraId="1276A1E9">
      <w:pPr>
        <w:ind w:firstLineChars="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14:paraId="2120A2BE">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粮油是居民生活的必需品，储备粮油费用补贴项目的实施，能够确保在各种情况下，金口河区居民都有充足且稳定的粮油供应，满足人们的基本生活需求，维持正常的生活秩序。通过补贴维持合理的粮油储备，在市场供应不足时投放储备粮油，增加市场供给，平抑物价，防止因供求关系失衡导致粮油价格大幅上涨，让广大消费者能够以合理的价格购买到粮油，保障了消费者的利益</w:t>
      </w:r>
      <w:r>
        <w:rPr>
          <w:rFonts w:hint="eastAsia" w:ascii="仿宋" w:hAnsi="仿宋" w:eastAsia="仿宋" w:cs="仿宋"/>
          <w:szCs w:val="32"/>
          <w:lang w:eastAsia="zh-CN"/>
        </w:rPr>
        <w:t>。</w:t>
      </w:r>
    </w:p>
    <w:p w14:paraId="3B9ADA7D">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稳定的粮油供应和合理的价格是社会稳定的重要基础。该项目的实施能够避免因粮油供应短缺或价格大幅波动引发的社会不稳定因素，增强社会公众对政府保障民生能力的信心，维护社会的和谐稳定。根据评分标准，总分4分，得4分</w:t>
      </w:r>
      <w:r>
        <w:rPr>
          <w:rFonts w:hint="eastAsia" w:ascii="仿宋" w:hAnsi="仿宋" w:eastAsia="仿宋" w:cs="仿宋"/>
          <w:szCs w:val="32"/>
          <w:lang w:eastAsia="zh-CN"/>
        </w:rPr>
        <w:t>。</w:t>
      </w:r>
    </w:p>
    <w:p w14:paraId="6EC72A0A">
      <w:pPr>
        <w:ind w:firstLineChars="0"/>
        <w:rPr>
          <w:rFonts w:hint="eastAsia" w:ascii="仿宋" w:hAnsi="仿宋" w:eastAsia="仿宋" w:cs="仿宋"/>
          <w:szCs w:val="32"/>
          <w:lang w:eastAsia="zh-CN"/>
        </w:rPr>
      </w:pPr>
      <w:r>
        <w:rPr>
          <w:rFonts w:hint="eastAsia" w:ascii="仿宋" w:hAnsi="仿宋" w:eastAsia="仿宋" w:cs="仿宋"/>
          <w:szCs w:val="32"/>
          <w:lang w:eastAsia="zh-CN"/>
        </w:rPr>
        <w:t>3.项目实施的收益性</w:t>
      </w:r>
    </w:p>
    <w:p w14:paraId="16EF850D">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通过补贴维持合理的储备规模，在粮油市场供应紧张时投放储备，缓解供需矛盾，防止价格过度上涨；在供大于求时收购，避免价格大幅下跌，稳定市场价格，减少市场波动带来的经济损失。补贴项目使储备粮油业务得以顺利开展，能带动仓储、物流、加工等相关产业发展，为当地创造更多的经济增长点和就业机会，促进区域经济繁荣。完善的储备体系和补贴政策，增强了地区应对各种风险的能力，在紧急状态下能快速响应，保障人民群众的生命财产安全，减少灾害对社会的影响。补贴政策稳定了粮油价格和种植收益，激励农民采用更环保、可持续的种植方式，有助于保护生态环境，促进农业生态系统的平衡和稳定</w:t>
      </w:r>
      <w:r>
        <w:rPr>
          <w:rFonts w:hint="eastAsia" w:ascii="仿宋" w:hAnsi="仿宋" w:eastAsia="仿宋" w:cs="仿宋"/>
          <w:szCs w:val="32"/>
          <w:lang w:eastAsia="zh-CN"/>
        </w:rPr>
        <w:t>。</w:t>
      </w:r>
    </w:p>
    <w:p w14:paraId="676D6B2E">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合理的储备和补贴机制可避免因市场供需失衡导致的粮油过度生产或浪费现象，提高资源利用效率，减少在生产、储存和运输过程中的资源消耗和环境污染。根据评分标准，总分8分，得8分</w:t>
      </w:r>
      <w:r>
        <w:rPr>
          <w:rFonts w:hint="eastAsia" w:ascii="仿宋" w:hAnsi="仿宋" w:eastAsia="仿宋" w:cs="仿宋"/>
          <w:szCs w:val="32"/>
          <w:lang w:eastAsia="zh-CN"/>
        </w:rPr>
        <w:t>。</w:t>
      </w:r>
    </w:p>
    <w:p w14:paraId="3B84A6E9">
      <w:pPr>
        <w:pStyle w:val="3"/>
        <w:numPr>
          <w:ilvl w:val="0"/>
          <w:numId w:val="3"/>
        </w:numPr>
        <w:spacing w:before="0" w:beforeLines="0" w:after="0" w:afterLines="0"/>
        <w:ind w:firstLineChars="0"/>
        <w:rPr>
          <w:rFonts w:hint="eastAsia" w:ascii="仿宋" w:hAnsi="仿宋" w:eastAsia="仿宋" w:cs="仿宋"/>
          <w:b w:val="0"/>
          <w:szCs w:val="32"/>
          <w:lang w:eastAsia="zh-CN"/>
        </w:rPr>
      </w:pPr>
      <w:bookmarkStart w:id="216" w:name="_Toc12059"/>
      <w:bookmarkStart w:id="217" w:name="_Toc841"/>
      <w:r>
        <w:rPr>
          <w:rFonts w:hint="eastAsia" w:ascii="仿宋" w:hAnsi="仿宋" w:eastAsia="仿宋" w:cs="仿宋"/>
          <w:b w:val="0"/>
          <w:kern w:val="44"/>
          <w:szCs w:val="32"/>
          <w:lang w:eastAsia="zh-CN"/>
        </w:rPr>
        <w:t>项目实施合规性与</w:t>
      </w:r>
      <w:r>
        <w:rPr>
          <w:rFonts w:hint="eastAsia" w:ascii="仿宋" w:hAnsi="仿宋" w:eastAsia="仿宋" w:cs="仿宋"/>
          <w:b w:val="0"/>
          <w:kern w:val="44"/>
          <w:szCs w:val="32"/>
          <w:lang w:val="en-US" w:eastAsia="zh-CN"/>
        </w:rPr>
        <w:t>项目</w:t>
      </w:r>
      <w:r>
        <w:rPr>
          <w:rFonts w:hint="eastAsia" w:ascii="仿宋" w:hAnsi="仿宋" w:eastAsia="仿宋" w:cs="仿宋"/>
          <w:b w:val="0"/>
          <w:kern w:val="44"/>
          <w:szCs w:val="32"/>
          <w:lang w:eastAsia="zh-CN"/>
        </w:rPr>
        <w:t>成熟度</w:t>
      </w:r>
      <w:bookmarkEnd w:id="216"/>
      <w:bookmarkEnd w:id="217"/>
    </w:p>
    <w:p w14:paraId="08B647DF">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项目实施合规性与项目成熟度方面，指标总分18分，评估得分18分。具体如下</w:t>
      </w:r>
      <w:r>
        <w:rPr>
          <w:rFonts w:hint="eastAsia" w:ascii="仿宋" w:hAnsi="仿宋" w:eastAsia="仿宋" w:cs="仿宋"/>
          <w:szCs w:val="32"/>
          <w:lang w:eastAsia="zh-CN"/>
        </w:rPr>
        <w:t>：</w:t>
      </w:r>
    </w:p>
    <w:p w14:paraId="07374DF9">
      <w:pPr>
        <w:ind w:firstLine="640"/>
        <w:rPr>
          <w:rFonts w:hint="eastAsia" w:ascii="仿宋" w:hAnsi="仿宋" w:eastAsia="仿宋" w:cs="仿宋"/>
          <w:szCs w:val="32"/>
          <w:lang w:eastAsia="zh-CN"/>
        </w:rPr>
      </w:pPr>
      <w:r>
        <w:rPr>
          <w:rFonts w:hint="eastAsia" w:ascii="仿宋" w:hAnsi="仿宋" w:eastAsia="仿宋" w:cs="仿宋"/>
          <w:szCs w:val="32"/>
          <w:lang w:eastAsia="zh-CN"/>
        </w:rPr>
        <w:t>1.实施合规性</w:t>
      </w:r>
    </w:p>
    <w:p w14:paraId="7B1B9DF5">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为新增性项目。根据《乐山市金口河区区级储备粮轮换管理办法》，区级储备粮轮换周期原则上执行稻谷3年、小麦4年、玉米2年、散装菜籽油2年，成品粮油原则上每年至少轮换1次，且至少在保质期到期前3个月进行轮换</w:t>
      </w:r>
      <w:r>
        <w:rPr>
          <w:rFonts w:hint="eastAsia" w:ascii="仿宋" w:hAnsi="仿宋" w:eastAsia="仿宋" w:cs="仿宋"/>
          <w:bCs/>
          <w:szCs w:val="32"/>
          <w:lang w:eastAsia="zh-CN"/>
        </w:rPr>
        <w:t>。</w:t>
      </w:r>
    </w:p>
    <w:p w14:paraId="667ECEDA">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根据区粮储中心提供的2024年粮油</w:t>
      </w:r>
      <w:r>
        <w:rPr>
          <w:rFonts w:hint="eastAsia" w:ascii="仿宋" w:hAnsi="仿宋" w:eastAsia="仿宋" w:cs="仿宋"/>
          <w:color w:val="auto"/>
          <w:lang w:val="en-US" w:eastAsia="zh-CN"/>
        </w:rPr>
        <w:t>存储、</w:t>
      </w:r>
      <w:r>
        <w:rPr>
          <w:rFonts w:hint="eastAsia" w:ascii="仿宋" w:hAnsi="仿宋" w:eastAsia="仿宋" w:cs="仿宋"/>
          <w:color w:val="auto"/>
          <w:lang w:val="zh-CN" w:eastAsia="zh-CN"/>
        </w:rPr>
        <w:t>轮换相关资料，由区粮储中心根据粮油储存年限和品质情况提出申请，区发改局、区粮储中心审核提出年度轮换计划，会同区财政局、峨眉农发行下达执行。</w:t>
      </w:r>
    </w:p>
    <w:p w14:paraId="730BFD04">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综上，该项目立项过程合规、立项依据充分，项目资金来源渠道符合相关规定，资金筹措程序科学规范。根据评分标准，总分9分，得9分</w:t>
      </w:r>
      <w:r>
        <w:rPr>
          <w:rFonts w:hint="eastAsia" w:ascii="仿宋" w:hAnsi="仿宋" w:eastAsia="仿宋" w:cs="仿宋"/>
          <w:szCs w:val="32"/>
          <w:lang w:eastAsia="zh-CN"/>
        </w:rPr>
        <w:t>。</w:t>
      </w:r>
    </w:p>
    <w:p w14:paraId="41E6B786">
      <w:pPr>
        <w:ind w:firstLine="640"/>
        <w:rPr>
          <w:rFonts w:hint="eastAsia" w:ascii="仿宋" w:hAnsi="仿宋" w:eastAsia="仿宋" w:cs="仿宋"/>
          <w:szCs w:val="32"/>
          <w:lang w:eastAsia="zh-CN"/>
        </w:rPr>
      </w:pPr>
      <w:r>
        <w:rPr>
          <w:rFonts w:hint="eastAsia" w:ascii="仿宋" w:hAnsi="仿宋" w:eastAsia="仿宋" w:cs="仿宋"/>
          <w:szCs w:val="32"/>
          <w:lang w:eastAsia="zh-CN"/>
        </w:rPr>
        <w:t>2.项目成熟度</w:t>
      </w:r>
    </w:p>
    <w:p w14:paraId="02CE1325">
      <w:pPr>
        <w:ind w:firstLine="640"/>
        <w:rPr>
          <w:rFonts w:hint="eastAsia" w:ascii="仿宋" w:hAnsi="仿宋" w:eastAsia="仿宋" w:cs="仿宋"/>
          <w:bCs/>
          <w:kern w:val="2"/>
          <w:szCs w:val="32"/>
          <w:lang w:eastAsia="zh-CN" w:bidi="ar-SA"/>
        </w:rPr>
      </w:pPr>
      <w:r>
        <w:rPr>
          <w:rFonts w:hint="eastAsia" w:ascii="仿宋" w:hAnsi="仿宋" w:eastAsia="仿宋" w:cs="仿宋"/>
          <w:color w:val="auto"/>
          <w:lang w:val="zh-CN" w:eastAsia="zh-CN"/>
        </w:rPr>
        <w:t>《四川省地方粮食储备管理办法》为金口河区储备粮油费用补贴项目提供了明确的政策依据和指导方向。金口河区政府根据当地实际情况，制定了《关于印发&lt;乐山市金口河区区级储备粮管理办法&gt;的通知》、《乐山市金口河区粮食风险金管理办法》、《乐山市金口河区区级储备粮轮换管理办法》等具体的储备粮油管理办法和补贴政策，对项目的实施流程、补贴标准等进行了规范，这表明该项目在政策层面具有一定的成熟度。金口河区相关部门在长期的粮油储备管理工作中，逐渐建立了一套较为完善的管理体系，包括储备粮油的收储、轮换、储存管理以及补贴资金的申报、审核和发放等环节。同时，工作人员在实践中积累了丰富的经验，能够熟练应对各种问题，确保项目的顺利实施，体现出项目在管理方面的成熟性</w:t>
      </w:r>
      <w:r>
        <w:rPr>
          <w:rFonts w:hint="eastAsia" w:ascii="仿宋" w:hAnsi="仿宋" w:eastAsia="仿宋" w:cs="仿宋"/>
          <w:bCs/>
          <w:kern w:val="2"/>
          <w:szCs w:val="32"/>
          <w:lang w:eastAsia="zh-CN" w:bidi="ar-SA"/>
        </w:rPr>
        <w:t>。</w:t>
      </w:r>
    </w:p>
    <w:p w14:paraId="39983443">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政府在财政预算中专门安排了储备粮油费用补贴资金，并且建立了相应的资金管理制度，确保补贴资金能够按时、足额到位，为项目的持续开展提供了有力的资金保障。稳定的资金来源和规范的资金管理是项目成熟度的重要体现。金口河区拥有一定规模的粮油储备仓库等基础设施，并且不断进行升级改造，以满足现代粮油储备的要求。</w:t>
      </w:r>
    </w:p>
    <w:p w14:paraId="13ED9F83">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综上，该项目审批手续完善，项目成熟度高。根据评分标准，总分9分，得9分</w:t>
      </w:r>
      <w:r>
        <w:rPr>
          <w:rFonts w:hint="eastAsia" w:ascii="仿宋" w:hAnsi="仿宋" w:eastAsia="仿宋" w:cs="仿宋"/>
          <w:szCs w:val="32"/>
          <w:lang w:eastAsia="zh-CN"/>
        </w:rPr>
        <w:t>。</w:t>
      </w:r>
    </w:p>
    <w:p w14:paraId="3DC07EC8">
      <w:pPr>
        <w:pStyle w:val="3"/>
        <w:numPr>
          <w:ilvl w:val="0"/>
          <w:numId w:val="3"/>
        </w:numPr>
        <w:spacing w:before="0" w:beforeLines="0" w:after="0" w:afterLines="0"/>
        <w:ind w:left="0" w:firstLine="658" w:firstLineChars="0"/>
        <w:rPr>
          <w:rFonts w:hint="eastAsia" w:ascii="仿宋" w:hAnsi="仿宋" w:eastAsia="仿宋" w:cs="仿宋"/>
          <w:b w:val="0"/>
          <w:kern w:val="44"/>
          <w:szCs w:val="32"/>
          <w:lang w:eastAsia="zh-CN"/>
        </w:rPr>
      </w:pPr>
      <w:bookmarkStart w:id="218" w:name="_Toc11035"/>
      <w:bookmarkStart w:id="219" w:name="_Toc27007"/>
      <w:r>
        <w:rPr>
          <w:rFonts w:ascii="仿宋" w:hAnsi="仿宋" w:eastAsia="仿宋" w:cs="仿宋"/>
          <w:b w:val="0"/>
          <w:kern w:val="44"/>
          <w:szCs w:val="32"/>
          <w:lang w:eastAsia="zh-CN"/>
        </w:rPr>
        <w:t>项目资金来源</w:t>
      </w:r>
      <w:r>
        <w:rPr>
          <w:rFonts w:hint="eastAsia" w:ascii="仿宋" w:hAnsi="仿宋" w:eastAsia="仿宋" w:cs="仿宋"/>
          <w:b w:val="0"/>
          <w:kern w:val="44"/>
          <w:szCs w:val="32"/>
          <w:lang w:eastAsia="zh-CN"/>
        </w:rPr>
        <w:t>、</w:t>
      </w:r>
      <w:r>
        <w:rPr>
          <w:rFonts w:hint="eastAsia" w:ascii="仿宋" w:hAnsi="仿宋" w:eastAsia="仿宋" w:cs="仿宋"/>
          <w:b w:val="0"/>
          <w:kern w:val="44"/>
          <w:szCs w:val="32"/>
          <w:lang w:val="en-US" w:eastAsia="zh-CN"/>
        </w:rPr>
        <w:t>资金</w:t>
      </w:r>
      <w:r>
        <w:rPr>
          <w:rFonts w:ascii="仿宋" w:hAnsi="仿宋" w:eastAsia="仿宋" w:cs="仿宋"/>
          <w:b w:val="0"/>
          <w:kern w:val="44"/>
          <w:szCs w:val="32"/>
          <w:lang w:eastAsia="zh-CN"/>
        </w:rPr>
        <w:t>到位可行性</w:t>
      </w:r>
      <w:bookmarkEnd w:id="218"/>
      <w:bookmarkEnd w:id="219"/>
    </w:p>
    <w:p w14:paraId="4614D311">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项目资金来源、资金到位可行性方面，指标总分12分，评估得分12分。具体如下</w:t>
      </w:r>
      <w:r>
        <w:rPr>
          <w:rFonts w:ascii="仿宋" w:hAnsi="仿宋" w:eastAsia="仿宋" w:cs="仿宋"/>
          <w:szCs w:val="32"/>
          <w:lang w:eastAsia="zh-CN"/>
        </w:rPr>
        <w:t>：</w:t>
      </w:r>
    </w:p>
    <w:p w14:paraId="6AD6FCA1">
      <w:pPr>
        <w:ind w:firstLine="640"/>
        <w:rPr>
          <w:rFonts w:hint="eastAsia" w:ascii="仿宋" w:hAnsi="仿宋" w:eastAsia="仿宋" w:cs="仿宋"/>
          <w:szCs w:val="32"/>
          <w:lang w:eastAsia="zh-CN"/>
        </w:rPr>
      </w:pPr>
      <w:r>
        <w:rPr>
          <w:rFonts w:hint="eastAsia" w:ascii="仿宋" w:hAnsi="仿宋" w:eastAsia="仿宋" w:cs="仿宋"/>
          <w:szCs w:val="32"/>
          <w:lang w:eastAsia="zh-CN"/>
        </w:rPr>
        <w:t>1.资金来源可行性</w:t>
      </w:r>
    </w:p>
    <w:p w14:paraId="08597D23">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储备粮油费用在财政预算中安排，补贴资金经区发展改革局、区财政局、区粮储中心、峨眉农发行共同批复，资金来源为财政资金，资金来源渠道符合相关规定。资金筹措程序科学规范。根据评分标准，总分3分，得3分</w:t>
      </w:r>
      <w:r>
        <w:rPr>
          <w:rFonts w:hint="eastAsia" w:ascii="仿宋" w:hAnsi="仿宋" w:eastAsia="仿宋" w:cs="仿宋"/>
          <w:szCs w:val="32"/>
          <w:lang w:eastAsia="zh-CN"/>
        </w:rPr>
        <w:t>。</w:t>
      </w:r>
    </w:p>
    <w:p w14:paraId="309C0D0D">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14:paraId="16C5F5C7">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储备粮油费用项目资金来源为政府资金，主要用于粮食2000吨、菜籽油10吨的保管费、轮换费及银行借款利息。保管费、轮换费依据为《乐山市金口河区级储备粮油管理办法》(金发改[2022]109号)第七章第三十六条:区级储备粮的储备费用按储备总量(原粮)每年0.06元/斤补贴,轮换费用按储备总量(原粮)每年0.06元/斤补贴;第三十八条:区级储备粮、油的借款利息按农业发展银行同期农副产品收购贷款利率，由区财政局据实拔付。区级储备粮费用利息的拨付实行按季预发，并在次年第一季度内进行清算。资金能足额及时到位，</w:t>
      </w:r>
      <w:r>
        <w:rPr>
          <w:rFonts w:hint="eastAsia" w:ascii="仿宋" w:hAnsi="仿宋" w:eastAsia="仿宋" w:cs="仿宋"/>
          <w:color w:val="auto"/>
          <w:lang w:val="en-US" w:eastAsia="zh-CN"/>
        </w:rPr>
        <w:t>资金拨付符合相关规定</w:t>
      </w:r>
      <w:r>
        <w:rPr>
          <w:rFonts w:hint="eastAsia" w:ascii="仿宋" w:hAnsi="仿宋" w:eastAsia="仿宋" w:cs="仿宋"/>
          <w:color w:val="auto"/>
          <w:lang w:val="zh-CN" w:eastAsia="zh-CN"/>
        </w:rPr>
        <w:t>。根据评分标准，总分9分，得9分</w:t>
      </w:r>
      <w:r>
        <w:rPr>
          <w:rFonts w:hint="eastAsia" w:ascii="仿宋" w:hAnsi="仿宋" w:eastAsia="仿宋" w:cs="仿宋"/>
          <w:szCs w:val="32"/>
          <w:lang w:eastAsia="zh-CN"/>
        </w:rPr>
        <w:t>。</w:t>
      </w:r>
    </w:p>
    <w:p w14:paraId="31DE8375">
      <w:pPr>
        <w:pStyle w:val="3"/>
        <w:numPr>
          <w:ilvl w:val="0"/>
          <w:numId w:val="3"/>
        </w:numPr>
        <w:spacing w:before="0" w:beforeLines="0" w:after="0" w:afterLines="0"/>
        <w:ind w:left="0" w:firstLine="658" w:firstLineChars="0"/>
        <w:rPr>
          <w:rFonts w:hint="eastAsia" w:ascii="仿宋" w:hAnsi="仿宋" w:eastAsia="仿宋" w:cs="仿宋"/>
          <w:b w:val="0"/>
          <w:kern w:val="44"/>
          <w:szCs w:val="32"/>
          <w:lang w:eastAsia="zh-CN"/>
        </w:rPr>
      </w:pPr>
      <w:bookmarkStart w:id="220" w:name="OLE_LINK5"/>
      <w:bookmarkStart w:id="221" w:name="_Toc24779"/>
      <w:bookmarkStart w:id="222" w:name="_Toc9784"/>
      <w:r>
        <w:rPr>
          <w:rFonts w:hint="eastAsia" w:ascii="仿宋" w:hAnsi="仿宋" w:eastAsia="仿宋" w:cs="仿宋"/>
          <w:b w:val="0"/>
          <w:kern w:val="44"/>
          <w:szCs w:val="32"/>
          <w:lang w:eastAsia="zh-CN"/>
        </w:rPr>
        <w:t>资金使用计划合理性</w:t>
      </w:r>
      <w:bookmarkEnd w:id="220"/>
      <w:r>
        <w:rPr>
          <w:rFonts w:hint="eastAsia" w:ascii="仿宋" w:hAnsi="仿宋" w:eastAsia="仿宋" w:cs="仿宋"/>
          <w:b w:val="0"/>
          <w:kern w:val="44"/>
          <w:szCs w:val="32"/>
          <w:lang w:eastAsia="zh-CN"/>
        </w:rPr>
        <w:t>、资金到位及时性</w:t>
      </w:r>
      <w:bookmarkEnd w:id="221"/>
      <w:bookmarkEnd w:id="222"/>
    </w:p>
    <w:p w14:paraId="439A8F45">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资金使用计划合理性、资金到位及时性方面，指标总分12分，评估得分9分。具体如下</w:t>
      </w:r>
      <w:r>
        <w:rPr>
          <w:rFonts w:ascii="仿宋" w:hAnsi="仿宋" w:eastAsia="仿宋" w:cs="仿宋"/>
          <w:szCs w:val="32"/>
          <w:lang w:eastAsia="zh-CN"/>
        </w:rPr>
        <w:t>：</w:t>
      </w:r>
    </w:p>
    <w:p w14:paraId="0270AEBB">
      <w:pPr>
        <w:ind w:firstLine="640"/>
        <w:rPr>
          <w:rFonts w:hint="eastAsia" w:ascii="仿宋" w:hAnsi="仿宋" w:eastAsia="仿宋" w:cs="仿宋"/>
          <w:szCs w:val="32"/>
          <w:lang w:eastAsia="zh-CN"/>
        </w:rPr>
      </w:pPr>
      <w:r>
        <w:rPr>
          <w:rFonts w:hint="eastAsia" w:ascii="仿宋" w:hAnsi="仿宋" w:eastAsia="仿宋" w:cs="仿宋"/>
          <w:szCs w:val="32"/>
          <w:lang w:eastAsia="zh-CN"/>
        </w:rPr>
        <w:t>1.资金使用计划合理性</w:t>
      </w:r>
    </w:p>
    <w:p w14:paraId="6F2E9C61">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区粮储中心提供的《金口河区储备粮油费用补贴预算及明细》仅列示了轮换费用、保管费用的测算金额，未对利息费用进行测算。</w:t>
      </w:r>
    </w:p>
    <w:p w14:paraId="62F5C0D1">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2023年、2024年本项目收到的财政拨付金额分别为705,755.71元、698,887.04元，区粮储中心选择金额较高</w:t>
      </w:r>
      <w:r>
        <w:rPr>
          <w:rFonts w:hint="eastAsia" w:ascii="仿宋" w:hAnsi="仿宋" w:eastAsia="仿宋" w:cs="仿宋"/>
          <w:color w:val="auto"/>
          <w:lang w:val="en-US" w:eastAsia="zh-CN"/>
        </w:rPr>
        <w:t>的</w:t>
      </w:r>
      <w:r>
        <w:rPr>
          <w:rFonts w:hint="eastAsia" w:ascii="仿宋" w:hAnsi="仿宋" w:eastAsia="仿宋" w:cs="仿宋"/>
          <w:color w:val="auto"/>
          <w:lang w:val="zh-CN" w:eastAsia="zh-CN"/>
        </w:rPr>
        <w:t>2023年70.5</w:t>
      </w:r>
      <w:r>
        <w:rPr>
          <w:rFonts w:hint="eastAsia" w:ascii="仿宋" w:hAnsi="仿宋" w:eastAsia="仿宋" w:cs="仿宋"/>
          <w:color w:val="auto"/>
          <w:lang w:val="en-US" w:eastAsia="zh-CN"/>
        </w:rPr>
        <w:t>0</w:t>
      </w:r>
      <w:r>
        <w:rPr>
          <w:rFonts w:hint="eastAsia" w:ascii="仿宋" w:hAnsi="仿宋" w:eastAsia="仿宋" w:cs="仿宋"/>
          <w:color w:val="auto"/>
          <w:lang w:val="zh-CN" w:eastAsia="zh-CN"/>
        </w:rPr>
        <w:t>万元为本项目2025年资金使用计划金额。</w:t>
      </w:r>
    </w:p>
    <w:p w14:paraId="2D2CA8FC">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资金使用计划中贷款利息的编制依据不够充分合理，资金拨付计划安排按《乐山市金口河区级储备粮油管理办法》(金发改[2022]109号)规定执行。根据评分标准，总分6分，得3分。</w:t>
      </w:r>
    </w:p>
    <w:p w14:paraId="3DED1BFB">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2.资金到位及时性</w:t>
      </w:r>
    </w:p>
    <w:p w14:paraId="4FDF3A86">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项目资金全部为政府资金，总投资估算70.5</w:t>
      </w:r>
      <w:r>
        <w:rPr>
          <w:rFonts w:hint="eastAsia" w:ascii="仿宋" w:hAnsi="仿宋" w:eastAsia="仿宋" w:cs="仿宋"/>
          <w:color w:val="auto"/>
          <w:lang w:val="en-US" w:eastAsia="zh-CN"/>
        </w:rPr>
        <w:t>0</w:t>
      </w:r>
      <w:r>
        <w:rPr>
          <w:rFonts w:hint="eastAsia" w:ascii="仿宋" w:hAnsi="仿宋" w:eastAsia="仿宋" w:cs="仿宋"/>
          <w:color w:val="auto"/>
          <w:lang w:val="zh-CN" w:eastAsia="zh-CN"/>
        </w:rPr>
        <w:t>万元。</w:t>
      </w:r>
    </w:p>
    <w:p w14:paraId="0D4F28B4">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根据《乐山市金口河区级储备粮油管理办法》(金发改[2022]109号)第三十八条:区级储备粮、油的借款利息按农业发展银行同期农副产品收购贷款利率，由区财政局据实拔付。区级储备粮费用利息的拨付实行按季预发，并在次年第一季度内进行清算。根据区粮储中心提供的</w:t>
      </w:r>
      <w:r>
        <w:rPr>
          <w:rFonts w:hint="eastAsia" w:ascii="仿宋" w:hAnsi="仿宋" w:eastAsia="仿宋" w:cs="仿宋"/>
          <w:color w:val="auto"/>
          <w:lang w:val="en-US" w:eastAsia="zh-CN"/>
        </w:rPr>
        <w:t>2023年、2024年财政拨付资金等</w:t>
      </w:r>
      <w:r>
        <w:rPr>
          <w:rFonts w:hint="eastAsia" w:ascii="仿宋" w:hAnsi="仿宋" w:eastAsia="仿宋" w:cs="仿宋"/>
          <w:color w:val="auto"/>
          <w:lang w:val="zh-CN" w:eastAsia="zh-CN"/>
        </w:rPr>
        <w:t>相关资料显示，资金</w:t>
      </w:r>
      <w:r>
        <w:rPr>
          <w:rFonts w:hint="eastAsia" w:ascii="仿宋" w:hAnsi="仿宋" w:eastAsia="仿宋" w:cs="仿宋"/>
          <w:color w:val="auto"/>
          <w:lang w:val="en-US" w:eastAsia="zh-CN"/>
        </w:rPr>
        <w:t>足额到位且</w:t>
      </w:r>
      <w:r>
        <w:rPr>
          <w:rFonts w:hint="eastAsia" w:ascii="仿宋" w:hAnsi="仿宋" w:eastAsia="仿宋" w:cs="仿宋"/>
          <w:color w:val="auto"/>
          <w:lang w:val="zh-CN" w:eastAsia="zh-CN"/>
        </w:rPr>
        <w:t>到位及时。根据评分标准，总分6分，得6分</w:t>
      </w:r>
      <w:r>
        <w:rPr>
          <w:rFonts w:hint="eastAsia" w:ascii="仿宋" w:hAnsi="仿宋" w:eastAsia="仿宋" w:cs="仿宋"/>
          <w:szCs w:val="32"/>
          <w:lang w:eastAsia="zh-CN"/>
        </w:rPr>
        <w:t>。</w:t>
      </w:r>
    </w:p>
    <w:p w14:paraId="6BF4923B">
      <w:pPr>
        <w:pStyle w:val="3"/>
        <w:numPr>
          <w:ilvl w:val="0"/>
          <w:numId w:val="3"/>
        </w:numPr>
        <w:spacing w:before="0" w:beforeLines="0" w:after="0" w:afterLines="0"/>
        <w:ind w:firstLineChars="0"/>
        <w:rPr>
          <w:rFonts w:hint="eastAsia" w:ascii="仿宋" w:hAnsi="仿宋" w:eastAsia="仿宋" w:cs="仿宋"/>
          <w:b w:val="0"/>
          <w:szCs w:val="32"/>
          <w:lang w:eastAsia="zh-CN"/>
        </w:rPr>
      </w:pPr>
      <w:bookmarkStart w:id="223" w:name="_Toc30218"/>
      <w:bookmarkStart w:id="224" w:name="_Toc23225"/>
      <w:r>
        <w:rPr>
          <w:rFonts w:hint="eastAsia" w:ascii="仿宋" w:hAnsi="仿宋" w:eastAsia="仿宋" w:cs="仿宋"/>
          <w:b w:val="0"/>
          <w:kern w:val="44"/>
          <w:szCs w:val="32"/>
          <w:lang w:eastAsia="zh-CN"/>
        </w:rPr>
        <w:t>项目绩效目标明确性、合理性</w:t>
      </w:r>
      <w:bookmarkEnd w:id="223"/>
      <w:bookmarkEnd w:id="224"/>
    </w:p>
    <w:p w14:paraId="4361F878">
      <w:pPr>
        <w:ind w:firstLine="640"/>
        <w:rPr>
          <w:rFonts w:hint="eastAsia" w:ascii="仿宋" w:hAnsi="仿宋" w:eastAsia="仿宋" w:cs="仿宋"/>
          <w:szCs w:val="32"/>
          <w:lang w:eastAsia="zh-CN"/>
        </w:rPr>
      </w:pPr>
      <w:r>
        <w:rPr>
          <w:rFonts w:hint="eastAsia" w:ascii="仿宋" w:hAnsi="仿宋" w:eastAsia="仿宋" w:cs="仿宋"/>
          <w:color w:val="auto"/>
          <w:lang w:val="en-US" w:eastAsia="zh-CN"/>
        </w:rPr>
        <w:t>项目</w:t>
      </w:r>
      <w:r>
        <w:rPr>
          <w:rFonts w:hint="eastAsia" w:ascii="仿宋" w:hAnsi="仿宋" w:eastAsia="仿宋" w:cs="仿宋"/>
          <w:color w:val="auto"/>
          <w:lang w:val="zh-CN" w:eastAsia="zh-CN"/>
        </w:rPr>
        <w:t>绩效目标</w:t>
      </w:r>
      <w:r>
        <w:rPr>
          <w:rFonts w:hint="eastAsia" w:ascii="仿宋" w:hAnsi="仿宋" w:eastAsia="仿宋" w:cs="仿宋"/>
          <w:color w:val="auto"/>
          <w:lang w:val="en-US" w:eastAsia="zh-CN"/>
        </w:rPr>
        <w:t>明确性、</w:t>
      </w:r>
      <w:r>
        <w:rPr>
          <w:rFonts w:hint="eastAsia" w:ascii="仿宋" w:hAnsi="仿宋" w:eastAsia="仿宋" w:cs="仿宋"/>
          <w:color w:val="auto"/>
          <w:lang w:val="zh-CN" w:eastAsia="zh-CN"/>
        </w:rPr>
        <w:t>合理性</w:t>
      </w:r>
      <w:bookmarkStart w:id="225" w:name="OLE_LINK6"/>
      <w:r>
        <w:rPr>
          <w:rFonts w:hint="eastAsia" w:ascii="仿宋" w:hAnsi="仿宋" w:eastAsia="仿宋" w:cs="仿宋"/>
          <w:color w:val="auto"/>
          <w:lang w:val="zh-CN" w:eastAsia="zh-CN"/>
        </w:rPr>
        <w:t>方面，指标总分13分，评估得分13分。具体如下</w:t>
      </w:r>
      <w:r>
        <w:rPr>
          <w:rFonts w:hint="eastAsia" w:ascii="仿宋" w:hAnsi="仿宋" w:eastAsia="仿宋" w:cs="仿宋"/>
          <w:szCs w:val="32"/>
          <w:lang w:eastAsia="zh-CN"/>
        </w:rPr>
        <w:t>：</w:t>
      </w:r>
      <w:bookmarkEnd w:id="225"/>
    </w:p>
    <w:p w14:paraId="4527CFAB">
      <w:pPr>
        <w:ind w:firstLine="640"/>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14:paraId="058FCE36">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本次事前绩效评估根据《</w:t>
      </w:r>
      <w:r>
        <w:rPr>
          <w:rFonts w:hint="eastAsia" w:ascii="仿宋" w:hAnsi="仿宋" w:eastAsia="仿宋" w:cs="仿宋"/>
          <w:color w:val="auto"/>
          <w:lang w:val="zh-CN" w:eastAsia="zh-CN"/>
        </w:rPr>
        <w:fldChar w:fldCharType="begin"/>
      </w:r>
      <w:r>
        <w:rPr>
          <w:rFonts w:hint="eastAsia" w:ascii="仿宋" w:hAnsi="仿宋" w:eastAsia="仿宋" w:cs="仿宋"/>
          <w:color w:val="auto"/>
          <w:lang w:val="zh-CN"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color w:val="auto"/>
          <w:lang w:val="zh-CN" w:eastAsia="zh-CN"/>
        </w:rPr>
        <w:fldChar w:fldCharType="separate"/>
      </w:r>
      <w:r>
        <w:rPr>
          <w:rFonts w:hint="eastAsia" w:ascii="仿宋" w:hAnsi="仿宋" w:eastAsia="仿宋" w:cs="仿宋"/>
          <w:color w:val="auto"/>
          <w:lang w:val="zh-CN" w:eastAsia="zh-CN"/>
        </w:rPr>
        <w:t>四川省财政厅关于印发&lt;四川省预算评审管理实施细则（试行）&gt;的通知》（川财预〔2024〕38号）</w:t>
      </w:r>
      <w:r>
        <w:rPr>
          <w:rFonts w:hint="eastAsia" w:ascii="仿宋" w:hAnsi="仿宋" w:eastAsia="仿宋" w:cs="仿宋"/>
          <w:color w:val="auto"/>
          <w:lang w:val="zh-CN" w:eastAsia="zh-CN"/>
        </w:rPr>
        <w:fldChar w:fldCharType="end"/>
      </w:r>
      <w:r>
        <w:rPr>
          <w:rFonts w:hint="eastAsia" w:ascii="仿宋" w:hAnsi="仿宋" w:eastAsia="仿宋" w:cs="仿宋"/>
          <w:color w:val="auto"/>
          <w:lang w:val="zh-CN" w:eastAsia="zh-CN"/>
        </w:rPr>
        <w:t>进行，按照事前评估应当遵守的基本内容设计本项目个性评价指标，确保绩效目标可评、可量、可用于指导项目实施阶段绩效评价。</w:t>
      </w:r>
    </w:p>
    <w:p w14:paraId="3C6C102D">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该项目绩效目标设定明确，与年度工作目标一致，并且绩效目标的编制内容符合《项目支出绩效评价管理办法》（财预〔2020〕10号）政策规定，与项目内容高度相关。根据评分标准，总分7分，得7分</w:t>
      </w:r>
      <w:r>
        <w:rPr>
          <w:rFonts w:hint="eastAsia" w:ascii="仿宋" w:hAnsi="仿宋" w:eastAsia="仿宋" w:cs="仿宋"/>
          <w:szCs w:val="32"/>
          <w:lang w:eastAsia="zh-CN"/>
        </w:rPr>
        <w:t>。</w:t>
      </w:r>
    </w:p>
    <w:p w14:paraId="023FA81A">
      <w:pPr>
        <w:ind w:firstLine="640"/>
        <w:rPr>
          <w:rFonts w:hint="eastAsia" w:ascii="仿宋" w:hAnsi="仿宋" w:eastAsia="仿宋" w:cs="仿宋"/>
          <w:szCs w:val="32"/>
          <w:lang w:eastAsia="zh-CN"/>
        </w:rPr>
      </w:pPr>
      <w:r>
        <w:rPr>
          <w:rFonts w:hint="eastAsia" w:ascii="仿宋" w:hAnsi="仿宋" w:eastAsia="仿宋" w:cs="仿宋"/>
          <w:szCs w:val="32"/>
          <w:lang w:eastAsia="zh-CN"/>
        </w:rPr>
        <w:t>2.目标合理性</w:t>
      </w:r>
    </w:p>
    <w:p w14:paraId="60A10B06">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w:t>
      </w:r>
      <w:r>
        <w:rPr>
          <w:rFonts w:hint="eastAsia" w:ascii="仿宋" w:hAnsi="仿宋" w:eastAsia="仿宋" w:cs="仿宋"/>
          <w:color w:val="auto"/>
          <w:lang w:val="zh-CN" w:eastAsia="zh-CN"/>
        </w:rPr>
        <w:fldChar w:fldCharType="begin"/>
      </w:r>
      <w:r>
        <w:rPr>
          <w:rFonts w:hint="eastAsia" w:ascii="仿宋" w:hAnsi="仿宋" w:eastAsia="仿宋" w:cs="仿宋"/>
          <w:color w:val="auto"/>
          <w:lang w:val="zh-CN"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color w:val="auto"/>
          <w:lang w:val="zh-CN" w:eastAsia="zh-CN"/>
        </w:rPr>
        <w:fldChar w:fldCharType="separate"/>
      </w:r>
      <w:r>
        <w:rPr>
          <w:rFonts w:hint="eastAsia" w:ascii="仿宋" w:hAnsi="仿宋" w:eastAsia="仿宋" w:cs="仿宋"/>
          <w:color w:val="auto"/>
          <w:lang w:val="zh-CN" w:eastAsia="zh-CN"/>
        </w:rPr>
        <w:t>四川省财政厅关于印发&lt;四川省预算评审管理实施细则（试行）&gt;的通知》（川财预〔2024〕38号）</w:t>
      </w:r>
      <w:r>
        <w:rPr>
          <w:rFonts w:hint="eastAsia" w:ascii="仿宋" w:hAnsi="仿宋" w:eastAsia="仿宋" w:cs="仿宋"/>
          <w:color w:val="auto"/>
          <w:lang w:val="zh-CN" w:eastAsia="zh-CN"/>
        </w:rPr>
        <w:fldChar w:fldCharType="end"/>
      </w:r>
      <w:r>
        <w:rPr>
          <w:rFonts w:hint="eastAsia" w:ascii="仿宋" w:hAnsi="仿宋" w:eastAsia="仿宋" w:cs="仿宋"/>
          <w:color w:val="auto"/>
          <w:lang w:val="zh-CN" w:eastAsia="zh-CN"/>
        </w:rPr>
        <w:t>，本项目绩效目标重点反映了储备粮油费用补贴的产出数量、质量、时效、成本，还包括满意度绩效指标。</w:t>
      </w:r>
    </w:p>
    <w:p w14:paraId="583C90D2">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通过项目的实施，可在自然灾害、市场波动等特殊时期保障区域内粮油的稳定供应，避免出现供应短缺和价格大幅波动，确保居民基本生活需求得到满足。可在疫情防控、地震等紧急情况下，储备粮油可迅速投放市场，维持社会稳定。政府可通过投放或收购储备粮油来调节市场供求，稳定粮油价格，保护消费者和农民的利益。有助于稳定市场参与者的预期，避免因恐慌性抢购或抛售导致市场秩序混乱。有助于稳定当地粮油市场价格，保障农民收入，从而激励农民种粮积极性，促进区域内农业生产的稳定发展，推动农业产业结构优化升级。</w:t>
      </w:r>
    </w:p>
    <w:p w14:paraId="3844EF28">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因此，本项目的绩效目标合理，指标细化、量化、合理可考核且与申报预算的资金量相匹配。根据评分标准，总分6分，得6分</w:t>
      </w:r>
      <w:r>
        <w:rPr>
          <w:rFonts w:hint="eastAsia" w:ascii="仿宋" w:hAnsi="仿宋" w:eastAsia="仿宋" w:cs="仿宋"/>
          <w:szCs w:val="32"/>
          <w:lang w:eastAsia="zh-CN"/>
        </w:rPr>
        <w:t>。</w:t>
      </w:r>
    </w:p>
    <w:p w14:paraId="61ED424B">
      <w:pPr>
        <w:pStyle w:val="3"/>
        <w:numPr>
          <w:ilvl w:val="0"/>
          <w:numId w:val="3"/>
        </w:numPr>
        <w:spacing w:before="0" w:beforeLines="0" w:after="0" w:afterLines="0"/>
        <w:ind w:firstLineChars="0"/>
        <w:rPr>
          <w:rFonts w:hint="eastAsia" w:ascii="仿宋" w:hAnsi="仿宋" w:eastAsia="仿宋" w:cs="仿宋"/>
          <w:b w:val="0"/>
          <w:kern w:val="44"/>
          <w:szCs w:val="32"/>
          <w:lang w:eastAsia="zh-CN"/>
        </w:rPr>
      </w:pPr>
      <w:bookmarkStart w:id="226" w:name="_Toc29858"/>
      <w:bookmarkStart w:id="227" w:name="_Toc22418"/>
      <w:r>
        <w:rPr>
          <w:rFonts w:ascii="仿宋" w:hAnsi="仿宋" w:eastAsia="仿宋" w:cs="仿宋"/>
          <w:b w:val="0"/>
          <w:kern w:val="44"/>
          <w:szCs w:val="32"/>
          <w:lang w:eastAsia="zh-CN"/>
        </w:rPr>
        <w:t>项目</w:t>
      </w:r>
      <w:r>
        <w:rPr>
          <w:rFonts w:hint="eastAsia" w:ascii="仿宋" w:hAnsi="仿宋" w:eastAsia="仿宋" w:cs="仿宋"/>
          <w:b w:val="0"/>
          <w:kern w:val="44"/>
          <w:szCs w:val="32"/>
          <w:lang w:eastAsia="zh-CN"/>
        </w:rPr>
        <w:t>管理办法执行</w:t>
      </w:r>
      <w:r>
        <w:rPr>
          <w:rFonts w:ascii="仿宋" w:hAnsi="仿宋" w:eastAsia="仿宋" w:cs="仿宋"/>
          <w:b w:val="0"/>
          <w:kern w:val="44"/>
          <w:szCs w:val="32"/>
          <w:lang w:eastAsia="zh-CN"/>
        </w:rPr>
        <w:t>的有效性</w:t>
      </w:r>
      <w:bookmarkEnd w:id="226"/>
      <w:bookmarkEnd w:id="227"/>
    </w:p>
    <w:p w14:paraId="11587033">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项目管理办法执行的有效性方面，指标总分8分，评估得分8分。具体如下：</w:t>
      </w:r>
    </w:p>
    <w:p w14:paraId="74AD1A03">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《乐山市金口河区区级储备粮管理办法》</w:t>
      </w:r>
      <w:r>
        <w:rPr>
          <w:rFonts w:hint="eastAsia" w:ascii="仿宋" w:hAnsi="仿宋" w:eastAsia="仿宋" w:cs="仿宋"/>
          <w:color w:val="auto"/>
          <w:lang w:val="en-US" w:eastAsia="zh-CN"/>
        </w:rPr>
        <w:t>经</w:t>
      </w:r>
      <w:r>
        <w:rPr>
          <w:rFonts w:hint="eastAsia" w:ascii="仿宋" w:hAnsi="仿宋" w:eastAsia="仿宋" w:cs="仿宋"/>
          <w:color w:val="auto"/>
          <w:lang w:val="zh-CN" w:eastAsia="zh-CN"/>
        </w:rPr>
        <w:t>区发展改革局、区财政局、区粮储中心、峨眉农发行</w:t>
      </w:r>
      <w:r>
        <w:rPr>
          <w:rFonts w:hint="eastAsia" w:ascii="仿宋" w:hAnsi="仿宋" w:eastAsia="仿宋" w:cs="仿宋"/>
          <w:color w:val="auto"/>
          <w:lang w:val="en-US" w:eastAsia="zh-CN"/>
        </w:rPr>
        <w:t>共同印发。该办法</w:t>
      </w:r>
      <w:r>
        <w:rPr>
          <w:rFonts w:hint="eastAsia" w:ascii="仿宋" w:hAnsi="仿宋" w:eastAsia="仿宋" w:cs="仿宋"/>
          <w:color w:val="auto"/>
          <w:lang w:val="zh-CN" w:eastAsia="zh-CN"/>
        </w:rPr>
        <w:t>对地方粮食储备的计划、储存、轮换、动用、监督管理等活动进行了全面规范，明确了地方粮食储备管理各方主体责任，健全了地方政府粮食储备管理体系，严格了地方政府粮食储备动用程序，加强了地方粮食储备监督管理力度，对于保障区域粮食安全具有重要意义。</w:t>
      </w:r>
    </w:p>
    <w:p w14:paraId="4D6919AF">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在项目实施过程中，区粮储中心严格按照《乐山市金口河区区级储备粮管理办法》对轮换粮油进行</w:t>
      </w:r>
      <w:r>
        <w:rPr>
          <w:rFonts w:hint="eastAsia" w:ascii="仿宋" w:hAnsi="仿宋" w:eastAsia="仿宋" w:cs="仿宋"/>
          <w:color w:val="auto"/>
          <w:lang w:val="en-US" w:eastAsia="zh-CN"/>
        </w:rPr>
        <w:t>存储、</w:t>
      </w:r>
      <w:r>
        <w:rPr>
          <w:rFonts w:hint="eastAsia" w:ascii="仿宋" w:hAnsi="仿宋" w:eastAsia="仿宋" w:cs="仿宋"/>
          <w:color w:val="auto"/>
          <w:lang w:val="zh-CN" w:eastAsia="zh-CN"/>
        </w:rPr>
        <w:t>管理、监督和轮换，在项目实施过程中执行到位。根据评分标准，总分8分，得8分</w:t>
      </w:r>
      <w:r>
        <w:rPr>
          <w:rFonts w:hint="eastAsia" w:ascii="仿宋" w:hAnsi="仿宋" w:eastAsia="仿宋" w:cs="仿宋"/>
          <w:szCs w:val="32"/>
          <w:lang w:eastAsia="zh-CN"/>
        </w:rPr>
        <w:t>。</w:t>
      </w:r>
    </w:p>
    <w:p w14:paraId="5BCFAB46">
      <w:pPr>
        <w:pStyle w:val="3"/>
        <w:numPr>
          <w:ilvl w:val="0"/>
          <w:numId w:val="3"/>
        </w:numPr>
        <w:spacing w:before="0" w:beforeLines="0" w:after="0" w:afterLines="0"/>
        <w:ind w:firstLineChars="0"/>
        <w:rPr>
          <w:rFonts w:hint="eastAsia" w:ascii="仿宋" w:hAnsi="仿宋" w:eastAsia="仿宋" w:cs="仿宋"/>
          <w:b w:val="0"/>
          <w:kern w:val="44"/>
          <w:szCs w:val="32"/>
          <w:lang w:eastAsia="zh-CN"/>
        </w:rPr>
      </w:pPr>
      <w:bookmarkStart w:id="228" w:name="_Toc22324"/>
      <w:bookmarkStart w:id="229" w:name="_Toc17849"/>
      <w:r>
        <w:rPr>
          <w:rFonts w:ascii="仿宋" w:hAnsi="仿宋" w:eastAsia="仿宋" w:cs="仿宋"/>
          <w:b w:val="0"/>
          <w:kern w:val="44"/>
          <w:szCs w:val="32"/>
          <w:lang w:eastAsia="zh-CN"/>
        </w:rPr>
        <w:t>项目</w:t>
      </w:r>
      <w:r>
        <w:rPr>
          <w:rFonts w:hint="eastAsia" w:ascii="仿宋" w:hAnsi="仿宋" w:eastAsia="仿宋" w:cs="仿宋"/>
          <w:b w:val="0"/>
          <w:kern w:val="44"/>
          <w:szCs w:val="32"/>
          <w:lang w:eastAsia="zh-CN"/>
        </w:rPr>
        <w:t>实施成果合格性</w:t>
      </w:r>
      <w:bookmarkEnd w:id="228"/>
      <w:bookmarkEnd w:id="229"/>
    </w:p>
    <w:p w14:paraId="51748241">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项目实施成果合格情况方面，指标总分</w:t>
      </w:r>
      <w:r>
        <w:rPr>
          <w:rFonts w:hint="eastAsia" w:ascii="仿宋" w:hAnsi="仿宋" w:eastAsia="仿宋" w:cs="仿宋"/>
          <w:color w:val="auto"/>
          <w:lang w:val="en-US" w:eastAsia="zh-CN"/>
        </w:rPr>
        <w:t>12</w:t>
      </w:r>
      <w:r>
        <w:rPr>
          <w:rFonts w:hint="eastAsia" w:ascii="仿宋" w:hAnsi="仿宋" w:eastAsia="仿宋" w:cs="仿宋"/>
          <w:color w:val="auto"/>
          <w:lang w:val="zh-CN" w:eastAsia="zh-CN"/>
        </w:rPr>
        <w:t>分，评估得分</w:t>
      </w:r>
      <w:r>
        <w:rPr>
          <w:rFonts w:hint="eastAsia" w:ascii="仿宋" w:hAnsi="仿宋" w:eastAsia="仿宋" w:cs="仿宋"/>
          <w:color w:val="auto"/>
          <w:lang w:val="en-US" w:eastAsia="zh-CN"/>
        </w:rPr>
        <w:t>12</w:t>
      </w:r>
      <w:r>
        <w:rPr>
          <w:rFonts w:hint="eastAsia" w:ascii="仿宋" w:hAnsi="仿宋" w:eastAsia="仿宋" w:cs="仿宋"/>
          <w:color w:val="auto"/>
          <w:lang w:val="zh-CN" w:eastAsia="zh-CN"/>
        </w:rPr>
        <w:t>分。具体如下</w:t>
      </w:r>
      <w:r>
        <w:rPr>
          <w:rFonts w:hint="eastAsia" w:ascii="仿宋" w:hAnsi="仿宋" w:eastAsia="仿宋" w:cs="仿宋"/>
          <w:szCs w:val="32"/>
          <w:lang w:eastAsia="zh-CN"/>
        </w:rPr>
        <w:t>：</w:t>
      </w:r>
    </w:p>
    <w:p w14:paraId="03FCE2CB">
      <w:pPr>
        <w:ind w:firstLine="640"/>
        <w:rPr>
          <w:rFonts w:hint="eastAsia" w:ascii="仿宋" w:hAnsi="仿宋" w:eastAsia="仿宋" w:cs="仿宋"/>
          <w:szCs w:val="32"/>
          <w:lang w:eastAsia="zh-CN"/>
        </w:rPr>
      </w:pPr>
      <w:r>
        <w:rPr>
          <w:rFonts w:hint="eastAsia" w:ascii="仿宋" w:hAnsi="仿宋" w:eastAsia="仿宋" w:cs="仿宋"/>
          <w:szCs w:val="32"/>
          <w:lang w:eastAsia="zh-CN"/>
        </w:rPr>
        <w:t>1.服务数量合格性</w:t>
      </w:r>
    </w:p>
    <w:p w14:paraId="69395539">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经《乐山市金口河区人民政府关于2012年度新增1000吨区级储备粮食的请示的批复》文件同意，2012年度新增1000吨区级储备粮食，使全区地方储备粮规模达到2000吨。</w:t>
      </w:r>
      <w:r>
        <w:rPr>
          <w:rFonts w:hint="eastAsia" w:ascii="仿宋" w:hAnsi="仿宋" w:eastAsia="仿宋" w:cs="仿宋"/>
          <w:color w:val="auto"/>
          <w:highlight w:val="none"/>
          <w:lang w:val="en-US" w:eastAsia="zh-CN"/>
        </w:rPr>
        <w:t>截止2024年底</w:t>
      </w:r>
      <w:r>
        <w:rPr>
          <w:rFonts w:hint="eastAsia" w:ascii="仿宋" w:hAnsi="仿宋" w:eastAsia="仿宋" w:cs="仿宋"/>
          <w:color w:val="auto"/>
          <w:highlight w:val="none"/>
          <w:lang w:val="zh-CN" w:eastAsia="zh-CN"/>
        </w:rPr>
        <w:t>区粮储中心仓库存</w:t>
      </w:r>
      <w:r>
        <w:rPr>
          <w:rFonts w:hint="eastAsia" w:ascii="仿宋" w:hAnsi="仿宋" w:eastAsia="仿宋" w:cs="仿宋"/>
          <w:color w:val="auto"/>
          <w:highlight w:val="none"/>
          <w:lang w:val="en-US" w:eastAsia="zh-CN"/>
        </w:rPr>
        <w:t>储</w:t>
      </w:r>
      <w:r>
        <w:rPr>
          <w:rFonts w:hint="eastAsia" w:ascii="仿宋" w:hAnsi="仿宋" w:eastAsia="仿宋" w:cs="仿宋"/>
          <w:color w:val="auto"/>
          <w:highlight w:val="none"/>
          <w:lang w:val="zh-CN" w:eastAsia="zh-CN"/>
        </w:rPr>
        <w:t>粮食2000吨、菜籽油10吨，已完成既定储备数量。</w:t>
      </w:r>
      <w:r>
        <w:rPr>
          <w:rFonts w:hint="eastAsia" w:ascii="仿宋" w:hAnsi="仿宋" w:eastAsia="仿宋" w:cs="仿宋"/>
          <w:color w:val="auto"/>
          <w:lang w:val="zh-CN" w:eastAsia="zh-CN"/>
        </w:rPr>
        <w:t>在保管、轮换过程中，严格按照《乐山市金口河区区级储备粮管理办法》执行。保管、轮换数量与实际数</w:t>
      </w:r>
      <w:r>
        <w:rPr>
          <w:rFonts w:hint="eastAsia" w:ascii="仿宋" w:hAnsi="仿宋" w:eastAsia="仿宋" w:cs="仿宋"/>
          <w:color w:val="auto"/>
          <w:lang w:val="en-US" w:eastAsia="zh-CN"/>
        </w:rPr>
        <w:t>量、批复数量</w:t>
      </w:r>
      <w:r>
        <w:rPr>
          <w:rFonts w:hint="eastAsia" w:ascii="仿宋" w:hAnsi="仿宋" w:eastAsia="仿宋" w:cs="仿宋"/>
          <w:color w:val="auto"/>
          <w:lang w:val="zh-CN" w:eastAsia="zh-CN"/>
        </w:rPr>
        <w:t>相符。</w:t>
      </w:r>
      <w:bookmarkStart w:id="230" w:name="OLE_LINK8"/>
      <w:r>
        <w:rPr>
          <w:rFonts w:hint="eastAsia" w:ascii="仿宋" w:hAnsi="仿宋" w:eastAsia="仿宋" w:cs="仿宋"/>
          <w:color w:val="auto"/>
          <w:lang w:val="zh-CN" w:eastAsia="zh-CN"/>
        </w:rPr>
        <w:t>根据评分标准，总分3分，得3分</w:t>
      </w:r>
      <w:r>
        <w:rPr>
          <w:rFonts w:hint="eastAsia" w:ascii="仿宋" w:hAnsi="仿宋" w:eastAsia="仿宋" w:cs="仿宋"/>
          <w:szCs w:val="32"/>
          <w:lang w:eastAsia="zh-CN"/>
        </w:rPr>
        <w:t>。</w:t>
      </w:r>
      <w:bookmarkEnd w:id="230"/>
    </w:p>
    <w:p w14:paraId="27641721">
      <w:pPr>
        <w:ind w:firstLine="640"/>
        <w:rPr>
          <w:rFonts w:hint="eastAsia" w:ascii="仿宋" w:hAnsi="仿宋" w:eastAsia="仿宋" w:cs="仿宋"/>
          <w:szCs w:val="32"/>
          <w:lang w:eastAsia="zh-CN"/>
        </w:rPr>
      </w:pPr>
      <w:r>
        <w:rPr>
          <w:rFonts w:hint="eastAsia" w:ascii="仿宋" w:hAnsi="仿宋" w:eastAsia="仿宋" w:cs="仿宋"/>
          <w:szCs w:val="32"/>
          <w:lang w:eastAsia="zh-CN"/>
        </w:rPr>
        <w:t>2.服务质量合格性</w:t>
      </w:r>
    </w:p>
    <w:p w14:paraId="7D47B1F9">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区粮储中心按照《乐山市金口河区区级储备粮管理办法》第二十一条承储企业入库的区级储备粮，应当是最近粮食生产季生产的新粮。原粮须符合国家标准三级及以上，菜籽油须符合国家标准二级及以上，大米须符合国家标准二级及以上，采购的成品粮油原则上应为签订采购合同后30天内加工的产品，各项常规质量指标及包装标签标识符合国家标准要求，符合食品卫生安全标准。第二十二条区级储备粮入库前需进行空仓(罐)容验收入库后需进行数量、质量验收，验收均合格后方可确认为区级储备粮。</w:t>
      </w:r>
    </w:p>
    <w:p w14:paraId="7F3C481C">
      <w:pPr>
        <w:ind w:firstLine="640"/>
        <w:rPr>
          <w:rFonts w:hint="eastAsia" w:ascii="仿宋" w:hAnsi="仿宋" w:eastAsia="仿宋" w:cs="仿宋"/>
          <w:szCs w:val="32"/>
          <w:lang w:eastAsia="zh-CN"/>
        </w:rPr>
      </w:pPr>
      <w:bookmarkStart w:id="231" w:name="OLE_LINK7"/>
      <w:r>
        <w:rPr>
          <w:rFonts w:hint="eastAsia" w:ascii="仿宋" w:hAnsi="仿宋" w:eastAsia="仿宋" w:cs="仿宋"/>
          <w:color w:val="auto"/>
          <w:lang w:val="zh-CN" w:eastAsia="zh-CN"/>
        </w:rPr>
        <w:t>区粮储中心严格按照《四川省地方粮食储备管理办法》及相关规定执行，采购的储备粮油均通过乐山市粮油食品监测站进行检验，达到第二十一条之规定。根据评分标准，总分</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分，得</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分</w:t>
      </w:r>
      <w:r>
        <w:rPr>
          <w:rFonts w:hint="eastAsia" w:ascii="仿宋" w:hAnsi="仿宋" w:eastAsia="仿宋" w:cs="仿宋"/>
          <w:szCs w:val="32"/>
          <w:lang w:eastAsia="zh-CN"/>
        </w:rPr>
        <w:t>。</w:t>
      </w:r>
      <w:bookmarkEnd w:id="231"/>
    </w:p>
    <w:p w14:paraId="6721B93A">
      <w:pPr>
        <w:ind w:firstLine="640"/>
        <w:rPr>
          <w:rFonts w:hint="eastAsia" w:ascii="仿宋" w:hAnsi="仿宋" w:eastAsia="仿宋" w:cs="仿宋"/>
          <w:szCs w:val="32"/>
          <w:lang w:eastAsia="zh-CN"/>
        </w:rPr>
      </w:pPr>
      <w:r>
        <w:rPr>
          <w:rFonts w:hint="eastAsia" w:ascii="仿宋" w:hAnsi="仿宋" w:eastAsia="仿宋" w:cs="仿宋"/>
          <w:szCs w:val="32"/>
          <w:lang w:eastAsia="zh-CN"/>
        </w:rPr>
        <w:t>3.服务时效合格性</w:t>
      </w:r>
    </w:p>
    <w:p w14:paraId="7D7FE7B4">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区粮储中心按照《乐山市金口河区区级储备粮管理办法》第二十六条区级储备粮轮换周期原则上执行稻谷3年、小麦4年、玉米2年、散装菜籽油2年。成品粮油原则上每年至少轮换1次，且至少在保质期到期前3个月进行轮换。</w:t>
      </w:r>
    </w:p>
    <w:p w14:paraId="3A90C7EA">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区粮储中心严格按照《乐山市金口河区区级储备粮管理办法》及相关规定执行，采购的储备粮油轮换周期均在规定时间内。根据评分标准，总分3分，得3分</w:t>
      </w:r>
      <w:r>
        <w:rPr>
          <w:rFonts w:hint="eastAsia" w:ascii="仿宋" w:hAnsi="仿宋" w:eastAsia="仿宋" w:cs="仿宋"/>
          <w:szCs w:val="32"/>
          <w:lang w:eastAsia="zh-CN"/>
        </w:rPr>
        <w:t>。</w:t>
      </w:r>
    </w:p>
    <w:p w14:paraId="4AEF2048">
      <w:pPr>
        <w:pStyle w:val="3"/>
        <w:numPr>
          <w:ilvl w:val="0"/>
          <w:numId w:val="3"/>
        </w:numPr>
        <w:spacing w:before="0" w:beforeLines="0" w:after="0" w:afterLines="0"/>
        <w:ind w:firstLineChars="0"/>
        <w:rPr>
          <w:rFonts w:hint="eastAsia" w:ascii="仿宋" w:hAnsi="仿宋" w:eastAsia="仿宋" w:cs="仿宋"/>
          <w:b w:val="0"/>
          <w:kern w:val="44"/>
          <w:szCs w:val="32"/>
          <w:lang w:eastAsia="zh-CN"/>
        </w:rPr>
      </w:pPr>
      <w:bookmarkStart w:id="232" w:name="_Toc26124"/>
      <w:bookmarkStart w:id="233" w:name="_Toc5168"/>
      <w:r>
        <w:rPr>
          <w:rFonts w:hint="eastAsia" w:ascii="仿宋" w:hAnsi="仿宋" w:eastAsia="仿宋" w:cs="仿宋"/>
          <w:b w:val="0"/>
          <w:kern w:val="44"/>
          <w:szCs w:val="32"/>
          <w:lang w:eastAsia="zh-CN"/>
        </w:rPr>
        <w:t>项目实施的可持续性</w:t>
      </w:r>
      <w:bookmarkEnd w:id="232"/>
      <w:bookmarkEnd w:id="233"/>
    </w:p>
    <w:p w14:paraId="22B946A7">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项目实施的可持续性方面，指标总分</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分，评估得分</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分。具体如下：</w:t>
      </w:r>
    </w:p>
    <w:p w14:paraId="02DE11EB">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储备粮油费用补贴项目有《乐山市金口河区区级储备粮管理办法》等政策文件为依据，明确了储备粮油的管理规范和费用补贴标准，为项目实施提供了政策层面的保障。从资金来源看，储备粮油费用补贴由区财政承担，有相对稳定的财政资金来源渠道，能够为项目的持续实施提供资金支持。储备粮油对于保障金口河区居民、部队、学校口粮供应，维护全区粮食流通秩序，保障粮食供应总量平衡和社会稳定具有重要意义，社会对储备粮油有持续的需求，这是项目可持续实施的内在动力。</w:t>
      </w:r>
    </w:p>
    <w:p w14:paraId="4B53DE1E">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金口河区在储备粮油管理方面有明确的规定，包括对承储企业的要求、储备粮油的质量监管等，如承储企业需按规定对库存进行质量和品质检验，建立质量安全档案等，规范的管理有助于提高项目实施的效率和效果，保障项目的可持续性。根据评分标准，总分</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分，得</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w:t>
      </w:r>
      <w:r>
        <w:rPr>
          <w:rFonts w:hint="eastAsia" w:ascii="仿宋" w:hAnsi="仿宋" w:eastAsia="仿宋" w:cs="仿宋"/>
          <w:szCs w:val="32"/>
          <w:lang w:eastAsia="zh-CN"/>
        </w:rPr>
        <w:t>。</w:t>
      </w:r>
    </w:p>
    <w:p w14:paraId="73640F5C">
      <w:pPr>
        <w:pStyle w:val="3"/>
        <w:numPr>
          <w:ilvl w:val="0"/>
          <w:numId w:val="3"/>
        </w:numPr>
        <w:spacing w:before="0" w:beforeLines="0" w:after="0" w:afterLines="0"/>
        <w:ind w:firstLineChars="0"/>
        <w:rPr>
          <w:rFonts w:hint="eastAsia" w:ascii="仿宋" w:hAnsi="仿宋" w:eastAsia="仿宋" w:cs="仿宋"/>
          <w:b w:val="0"/>
          <w:kern w:val="44"/>
          <w:szCs w:val="32"/>
          <w:lang w:eastAsia="zh-CN"/>
        </w:rPr>
      </w:pPr>
      <w:bookmarkStart w:id="234" w:name="_Toc18699"/>
      <w:bookmarkStart w:id="235" w:name="_Toc24831"/>
      <w:r>
        <w:rPr>
          <w:rFonts w:ascii="仿宋" w:hAnsi="仿宋" w:eastAsia="仿宋" w:cs="仿宋"/>
          <w:b w:val="0"/>
          <w:kern w:val="44"/>
          <w:szCs w:val="32"/>
          <w:lang w:eastAsia="zh-CN"/>
        </w:rPr>
        <w:t>总体结论</w:t>
      </w:r>
      <w:bookmarkEnd w:id="234"/>
      <w:bookmarkEnd w:id="235"/>
    </w:p>
    <w:p w14:paraId="2E3FCFE1">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评估小组通过对前述8个一级指标、1</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个二级指标以及3</w:t>
      </w:r>
      <w:r>
        <w:rPr>
          <w:rFonts w:hint="eastAsia" w:ascii="仿宋" w:hAnsi="仿宋" w:eastAsia="仿宋" w:cs="仿宋"/>
          <w:color w:val="auto"/>
          <w:lang w:val="en-US" w:eastAsia="zh-CN"/>
        </w:rPr>
        <w:t>1</w:t>
      </w:r>
      <w:r>
        <w:rPr>
          <w:rFonts w:hint="eastAsia" w:ascii="仿宋" w:hAnsi="仿宋" w:eastAsia="仿宋" w:cs="仿宋"/>
          <w:color w:val="auto"/>
          <w:lang w:val="zh-CN" w:eastAsia="zh-CN"/>
        </w:rPr>
        <w:t>个三级指标评分的分析评估，全面评估该项目的预期绩效情况，评估总分9</w:t>
      </w:r>
      <w:r>
        <w:rPr>
          <w:rFonts w:hint="eastAsia" w:ascii="仿宋" w:hAnsi="仿宋" w:eastAsia="仿宋" w:cs="仿宋"/>
          <w:color w:val="auto"/>
          <w:lang w:val="en-US" w:eastAsia="zh-CN"/>
        </w:rPr>
        <w:t>7</w:t>
      </w:r>
      <w:r>
        <w:rPr>
          <w:rFonts w:hint="eastAsia" w:ascii="仿宋" w:hAnsi="仿宋" w:eastAsia="仿宋" w:cs="仿宋"/>
          <w:color w:val="auto"/>
          <w:lang w:val="zh-CN" w:eastAsia="zh-CN"/>
        </w:rPr>
        <w:t>分。储备粮油费用补贴项目的实施，能够确保在各种情况下，金口河区居民都有充足且稳定的粮油供应，满足人们的基本生活需求，维持正常的生活秩序。通过补贴维持合理的粮油储备，在市场供应不足时投放储备粮油，增加市场供给，平抑物价，防止因供求关系失衡导致粮油价格大幅上涨，让广大消费者能够以合理的价格购买到粮油，保障了消费者的利益。本项目通过社会调查、效益分析、对比分析等方法评估，综合考虑项目绩效目标和项目实际情况，预期绩效可实现性强，满足《</w:t>
      </w:r>
      <w:r>
        <w:rPr>
          <w:rFonts w:hint="eastAsia" w:ascii="仿宋" w:hAnsi="仿宋" w:eastAsia="仿宋" w:cs="仿宋"/>
          <w:color w:val="auto"/>
          <w:lang w:val="zh-CN" w:eastAsia="zh-CN"/>
        </w:rPr>
        <w:fldChar w:fldCharType="begin"/>
      </w:r>
      <w:r>
        <w:rPr>
          <w:rFonts w:hint="eastAsia" w:ascii="仿宋" w:hAnsi="仿宋" w:eastAsia="仿宋" w:cs="仿宋"/>
          <w:color w:val="auto"/>
          <w:lang w:val="zh-CN"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color w:val="auto"/>
          <w:lang w:val="zh-CN" w:eastAsia="zh-CN"/>
        </w:rPr>
        <w:fldChar w:fldCharType="separate"/>
      </w:r>
      <w:r>
        <w:rPr>
          <w:rFonts w:hint="eastAsia" w:ascii="仿宋" w:hAnsi="仿宋" w:eastAsia="仿宋" w:cs="仿宋"/>
          <w:color w:val="auto"/>
          <w:lang w:val="zh-CN" w:eastAsia="zh-CN"/>
        </w:rPr>
        <w:t>四川省财政厅关于印发&lt;四川省预算评审管理实施细则（试行）&gt;的通知》（川财预〔2024〕38号）</w:t>
      </w:r>
      <w:r>
        <w:rPr>
          <w:rFonts w:hint="eastAsia" w:ascii="仿宋" w:hAnsi="仿宋" w:eastAsia="仿宋" w:cs="仿宋"/>
          <w:color w:val="auto"/>
          <w:lang w:val="zh-CN" w:eastAsia="zh-CN"/>
        </w:rPr>
        <w:fldChar w:fldCharType="end"/>
      </w:r>
      <w:r>
        <w:rPr>
          <w:rFonts w:hint="eastAsia" w:ascii="仿宋" w:hAnsi="仿宋" w:eastAsia="仿宋" w:cs="仿宋"/>
          <w:color w:val="auto"/>
          <w:lang w:val="zh-CN" w:eastAsia="zh-CN"/>
        </w:rPr>
        <w:t>要求，综合绩效评估结论为“建议实施”</w:t>
      </w:r>
      <w:r>
        <w:rPr>
          <w:rFonts w:ascii="仿宋" w:hAnsi="仿宋" w:eastAsia="仿宋" w:cs="仿宋"/>
          <w:szCs w:val="32"/>
          <w:lang w:eastAsia="zh-CN"/>
        </w:rPr>
        <w:t>。</w:t>
      </w:r>
    </w:p>
    <w:p w14:paraId="1B981BBE">
      <w:pPr>
        <w:pStyle w:val="2"/>
        <w:numPr>
          <w:ilvl w:val="0"/>
          <w:numId w:val="1"/>
        </w:numPr>
        <w:spacing w:before="0" w:beforeLines="0" w:after="0" w:afterLines="0"/>
        <w:rPr>
          <w:rFonts w:hint="eastAsia" w:ascii="仿宋" w:hAnsi="仿宋" w:eastAsia="仿宋" w:cs="仿宋"/>
          <w:b w:val="0"/>
          <w:szCs w:val="32"/>
          <w:lang w:eastAsia="zh-CN"/>
        </w:rPr>
      </w:pPr>
      <w:bookmarkStart w:id="236" w:name="_Toc18341"/>
      <w:bookmarkStart w:id="237" w:name="_Toc22888"/>
      <w:r>
        <w:rPr>
          <w:rFonts w:ascii="仿宋" w:hAnsi="仿宋" w:eastAsia="仿宋" w:cs="仿宋"/>
          <w:b w:val="0"/>
          <w:szCs w:val="32"/>
          <w:lang w:eastAsia="zh-CN"/>
        </w:rPr>
        <w:t>相关建议</w:t>
      </w:r>
      <w:bookmarkEnd w:id="236"/>
      <w:bookmarkEnd w:id="237"/>
    </w:p>
    <w:p w14:paraId="58448638">
      <w:pPr>
        <w:pStyle w:val="3"/>
        <w:numPr>
          <w:ilvl w:val="0"/>
          <w:numId w:val="4"/>
        </w:numPr>
        <w:spacing w:before="120" w:after="120"/>
        <w:ind w:firstLine="640"/>
        <w:rPr>
          <w:rFonts w:hint="default" w:ascii="仿宋" w:hAnsi="仿宋" w:eastAsia="仿宋" w:cs="仿宋"/>
          <w:b w:val="0"/>
          <w:color w:val="auto"/>
          <w:sz w:val="32"/>
          <w:szCs w:val="24"/>
          <w:lang w:val="en-US" w:eastAsia="zh-CN" w:bidi="en-US"/>
        </w:rPr>
      </w:pPr>
      <w:bookmarkStart w:id="238" w:name="_Toc11379"/>
      <w:r>
        <w:rPr>
          <w:rFonts w:hint="eastAsia" w:ascii="仿宋" w:hAnsi="仿宋" w:eastAsia="仿宋" w:cs="仿宋"/>
          <w:b w:val="0"/>
          <w:color w:val="auto"/>
          <w:sz w:val="32"/>
          <w:szCs w:val="24"/>
          <w:lang w:val="en-US" w:eastAsia="zh-CN" w:bidi="en-US"/>
        </w:rPr>
        <w:t>储备粮、油借款利息测算依据不充分</w:t>
      </w:r>
      <w:bookmarkEnd w:id="238"/>
    </w:p>
    <w:p w14:paraId="2DCC4476">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根据《乐山市金口河区级储备粮油管理办法》(金发改[2022]109号)第三十八条:区级储备粮、油的借款利息按农业发展银行同期农副产品收购贷款利率，由区财政局据实拔付。区级储备粮费用利息的拨付实行按季预发，并在次年第一季度内进行清算。</w:t>
      </w:r>
      <w:r>
        <w:rPr>
          <w:rFonts w:hint="eastAsia" w:ascii="仿宋" w:hAnsi="仿宋" w:eastAsia="仿宋" w:cs="仿宋"/>
          <w:color w:val="auto"/>
          <w:lang w:val="en-US" w:eastAsia="zh-CN"/>
        </w:rPr>
        <w:t>在年初报财政预算时，区粮储中心应按</w:t>
      </w:r>
      <w:r>
        <w:rPr>
          <w:rFonts w:hint="eastAsia" w:ascii="仿宋" w:hAnsi="仿宋" w:eastAsia="仿宋" w:cs="仿宋"/>
          <w:color w:val="auto"/>
          <w:lang w:val="zh-CN" w:eastAsia="zh-CN"/>
        </w:rPr>
        <w:t>农业发展银行同期农副产品收购贷款利率</w:t>
      </w:r>
      <w:r>
        <w:rPr>
          <w:rFonts w:hint="eastAsia" w:ascii="仿宋" w:hAnsi="仿宋" w:eastAsia="仿宋" w:cs="仿宋"/>
          <w:color w:val="auto"/>
          <w:lang w:val="en-US" w:eastAsia="zh-CN"/>
        </w:rPr>
        <w:t>测算当年利息费用，应有明确的测算过程</w:t>
      </w:r>
      <w:r>
        <w:rPr>
          <w:rFonts w:hint="eastAsia" w:ascii="仿宋" w:hAnsi="仿宋" w:eastAsia="仿宋" w:cs="仿宋"/>
          <w:szCs w:val="32"/>
          <w:lang w:eastAsia="zh-CN"/>
        </w:rPr>
        <w:t>。</w:t>
      </w:r>
    </w:p>
    <w:p w14:paraId="273177B9">
      <w:pPr>
        <w:pStyle w:val="2"/>
        <w:numPr>
          <w:ilvl w:val="0"/>
          <w:numId w:val="1"/>
        </w:numPr>
        <w:spacing w:before="0" w:beforeLines="0" w:after="0" w:afterLines="0"/>
        <w:rPr>
          <w:rFonts w:hint="eastAsia" w:ascii="仿宋" w:hAnsi="仿宋" w:eastAsia="仿宋" w:cs="仿宋"/>
          <w:b w:val="0"/>
          <w:szCs w:val="32"/>
          <w:lang w:eastAsia="zh-CN"/>
        </w:rPr>
      </w:pPr>
      <w:bookmarkStart w:id="239" w:name="_Toc2492"/>
      <w:bookmarkStart w:id="240" w:name="_Toc13340"/>
      <w:r>
        <w:rPr>
          <w:rFonts w:ascii="仿宋" w:hAnsi="仿宋" w:eastAsia="仿宋" w:cs="仿宋"/>
          <w:b w:val="0"/>
          <w:szCs w:val="32"/>
          <w:lang w:eastAsia="zh-CN"/>
        </w:rPr>
        <w:t>其他需要说明的问题</w:t>
      </w:r>
      <w:bookmarkEnd w:id="239"/>
      <w:bookmarkEnd w:id="240"/>
    </w:p>
    <w:p w14:paraId="3471B635">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本报告是评价机构根据对项目主管单位所提供的材料进行全面分析与评估，结合现场考察情况，在评价人员评价意见的基础上综合形成</w:t>
      </w:r>
      <w:r>
        <w:rPr>
          <w:rFonts w:hint="eastAsia" w:ascii="仿宋" w:hAnsi="仿宋" w:eastAsia="仿宋" w:cs="仿宋"/>
          <w:color w:val="auto"/>
          <w:lang w:val="en-US" w:eastAsia="zh-CN"/>
        </w:rPr>
        <w:t>的</w:t>
      </w:r>
      <w:r>
        <w:rPr>
          <w:rFonts w:hint="eastAsia" w:ascii="仿宋" w:hAnsi="仿宋" w:eastAsia="仿宋" w:cs="仿宋"/>
          <w:color w:val="auto"/>
          <w:lang w:val="zh-CN" w:eastAsia="zh-CN"/>
        </w:rPr>
        <w:t>。报告重点针对项目2025年的预算申报进行评估。本报告的结论与意见是参考性的，仅供财政部门批复预算时使用，不做其他用途</w:t>
      </w:r>
      <w:r>
        <w:rPr>
          <w:rFonts w:ascii="仿宋" w:hAnsi="仿宋" w:eastAsia="仿宋" w:cs="仿宋"/>
          <w:szCs w:val="32"/>
          <w:lang w:eastAsia="zh-CN"/>
        </w:rPr>
        <w:t>。</w:t>
      </w:r>
    </w:p>
    <w:p w14:paraId="08E58630">
      <w:pPr>
        <w:ind w:firstLine="640"/>
        <w:rPr>
          <w:rFonts w:hint="eastAsia" w:ascii="仿宋" w:hAnsi="仿宋" w:eastAsia="仿宋" w:cs="仿宋"/>
          <w:szCs w:val="32"/>
          <w:lang w:eastAsia="zh-CN"/>
        </w:rPr>
      </w:pPr>
    </w:p>
    <w:p w14:paraId="33560E80">
      <w:pPr>
        <w:pStyle w:val="2"/>
        <w:numPr>
          <w:ilvl w:val="0"/>
          <w:numId w:val="1"/>
        </w:numPr>
        <w:spacing w:before="0" w:beforeLines="0" w:after="0" w:afterLines="0"/>
        <w:rPr>
          <w:rFonts w:hint="eastAsia" w:ascii="仿宋" w:hAnsi="仿宋" w:eastAsia="仿宋" w:cs="仿宋"/>
          <w:szCs w:val="32"/>
          <w:lang w:eastAsia="zh-CN"/>
        </w:rPr>
      </w:pPr>
      <w:bookmarkStart w:id="241" w:name="_Toc13104"/>
      <w:bookmarkStart w:id="242" w:name="_Toc23361"/>
      <w:r>
        <w:rPr>
          <w:rFonts w:ascii="仿宋" w:hAnsi="仿宋" w:eastAsia="仿宋" w:cs="仿宋"/>
          <w:b w:val="0"/>
          <w:szCs w:val="32"/>
          <w:lang w:eastAsia="zh-CN"/>
        </w:rPr>
        <w:t>附件</w:t>
      </w:r>
      <w:bookmarkEnd w:id="241"/>
      <w:bookmarkEnd w:id="242"/>
    </w:p>
    <w:p w14:paraId="6F5D79E2">
      <w:pPr>
        <w:ind w:firstLine="640"/>
        <w:rPr>
          <w:rFonts w:hint="eastAsia" w:ascii="仿宋" w:hAnsi="仿宋" w:eastAsia="仿宋" w:cs="仿宋"/>
          <w:szCs w:val="32"/>
          <w:lang w:eastAsia="zh-CN"/>
        </w:rPr>
      </w:pPr>
      <w:r>
        <w:rPr>
          <w:rFonts w:ascii="仿宋" w:hAnsi="仿宋" w:eastAsia="仿宋" w:cs="仿宋"/>
          <w:szCs w:val="32"/>
          <w:lang w:eastAsia="zh-CN"/>
        </w:rPr>
        <w:t>附件1:</w:t>
      </w:r>
      <w:r>
        <w:rPr>
          <w:rFonts w:hint="eastAsia" w:ascii="仿宋" w:hAnsi="仿宋" w:eastAsia="仿宋" w:cs="仿宋"/>
          <w:color w:val="auto"/>
          <w:lang w:val="zh-CN" w:eastAsia="zh-CN"/>
        </w:rPr>
        <w:t>事前评估项目情况报告</w:t>
      </w:r>
    </w:p>
    <w:p w14:paraId="7EB03B6E">
      <w:pPr>
        <w:ind w:firstLine="640"/>
        <w:rPr>
          <w:rFonts w:hint="eastAsia" w:ascii="仿宋" w:hAnsi="仿宋" w:eastAsia="仿宋" w:cs="仿宋"/>
          <w:szCs w:val="32"/>
          <w:lang w:eastAsia="zh-CN"/>
        </w:rPr>
      </w:pPr>
      <w:r>
        <w:rPr>
          <w:rFonts w:ascii="仿宋" w:hAnsi="仿宋" w:eastAsia="仿宋" w:cs="仿宋"/>
          <w:szCs w:val="32"/>
          <w:lang w:eastAsia="zh-CN"/>
        </w:rPr>
        <w:t>附件2:</w:t>
      </w:r>
      <w:r>
        <w:rPr>
          <w:rFonts w:hint="eastAsia" w:ascii="仿宋" w:hAnsi="仿宋" w:eastAsia="仿宋" w:cs="仿宋"/>
          <w:color w:val="auto"/>
          <w:lang w:val="zh-CN" w:eastAsia="zh-CN"/>
        </w:rPr>
        <w:t>项目支出绩效目标申报表</w:t>
      </w:r>
    </w:p>
    <w:p w14:paraId="1C4139E6">
      <w:pPr>
        <w:ind w:firstLine="640"/>
        <w:rPr>
          <w:rFonts w:hint="eastAsia" w:ascii="仿宋" w:hAnsi="仿宋" w:eastAsia="仿宋" w:cs="仿宋"/>
          <w:szCs w:val="32"/>
          <w:lang w:eastAsia="zh-CN"/>
        </w:rPr>
      </w:pPr>
    </w:p>
    <w:p w14:paraId="75AFC9DD">
      <w:pPr>
        <w:ind w:firstLine="640"/>
        <w:rPr>
          <w:rFonts w:hint="eastAsia" w:ascii="仿宋" w:hAnsi="仿宋" w:eastAsia="仿宋" w:cs="仿宋"/>
          <w:bCs/>
          <w:szCs w:val="32"/>
          <w:highlight w:val="yellow"/>
          <w:lang w:eastAsia="zh-CN"/>
        </w:rPr>
      </w:pPr>
    </w:p>
    <w:p w14:paraId="1F832598">
      <w:pPr>
        <w:spacing w:before="65" w:line="226" w:lineRule="auto"/>
        <w:ind w:firstLine="0" w:firstLineChars="0"/>
        <w:jc w:val="righ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乐山市金口河区财政投资评价审核中心</w:t>
      </w:r>
    </w:p>
    <w:p w14:paraId="493999FD">
      <w:pPr>
        <w:spacing w:before="65" w:line="226" w:lineRule="auto"/>
        <w:ind w:firstLine="0" w:firstLineChars="0"/>
        <w:jc w:val="center"/>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 xml:space="preserve">                2025年1月10日</w:t>
      </w:r>
    </w:p>
    <w:p w14:paraId="09EF2380">
      <w:pPr>
        <w:spacing w:before="65" w:line="226" w:lineRule="auto"/>
        <w:ind w:firstLine="0" w:firstLineChars="0"/>
        <w:rPr>
          <w:rFonts w:eastAsia="仿宋"/>
          <w:sz w:val="28"/>
          <w:szCs w:val="28"/>
          <w:lang w:eastAsia="zh-CN"/>
        </w:rPr>
      </w:pPr>
      <w:bookmarkStart w:id="243" w:name="_GoBack"/>
      <w:bookmarkEnd w:id="243"/>
    </w:p>
    <w:sectPr>
      <w:headerReference r:id="rId17" w:type="default"/>
      <w:footerReference r:id="rId18" w:type="default"/>
      <w:pgSz w:w="11906" w:h="16838"/>
      <w:pgMar w:top="837" w:right="1687" w:bottom="1421" w:left="1686" w:header="0" w:footer="559" w:gutter="0"/>
      <w:pgNumType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12DDB8-B921-4772-A150-8882307207D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D35BFED-3017-47DC-8174-C75C4D236521}"/>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38838C45-BECB-4F9B-AA41-F9252D212D91}"/>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8EBC992D-7713-4CEA-BE05-24577F181F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0693">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B8DC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BC43">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4DAA">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825B">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1A8C">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F814">
    <w:pPr>
      <w:pStyle w:val="12"/>
      <w:spacing w:after="120"/>
      <w:ind w:firstLine="360"/>
      <w:jc w:val="center"/>
      <w:rPr>
        <w:rFonts w:hint="eastAsia"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sdtPr>
                          <w:sdtEndPr>
                            <w:rPr>
                              <w:rFonts w:ascii="宋体" w:hAnsi="宋体" w:eastAsia="宋体"/>
                            </w:rPr>
                          </w:sdtEndPr>
                          <w:sdtContent>
                            <w:p w14:paraId="39E3AEED">
                              <w:pPr>
                                <w:pStyle w:val="12"/>
                                <w:spacing w:after="120"/>
                                <w:ind w:firstLine="360"/>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14:paraId="25F11831">
                          <w:pPr>
                            <w:ind w:firstLine="640"/>
                            <w:rPr>
                              <w:rFonts w:hint="eastAsia" w:ascii="宋体" w:hAnsi="宋体"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80247"/>
                    </w:sdtPr>
                    <w:sdtEndPr>
                      <w:rPr>
                        <w:rFonts w:ascii="宋体" w:hAnsi="宋体" w:eastAsia="宋体"/>
                      </w:rPr>
                    </w:sdtEndPr>
                    <w:sdtContent>
                      <w:p w14:paraId="39E3AEED">
                        <w:pPr>
                          <w:pStyle w:val="12"/>
                          <w:spacing w:after="120"/>
                          <w:ind w:firstLine="360"/>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14:paraId="25F11831">
                    <w:pPr>
                      <w:ind w:firstLine="640"/>
                      <w:rPr>
                        <w:rFonts w:hint="eastAsia" w:ascii="宋体" w:hAnsi="宋体" w:eastAsia="宋体"/>
                      </w:rPr>
                    </w:pPr>
                  </w:p>
                </w:txbxContent>
              </v:textbox>
            </v:shape>
          </w:pict>
        </mc:Fallback>
      </mc:AlternateContent>
    </w:r>
  </w:p>
  <w:p w14:paraId="035A6895">
    <w:pPr>
      <w:pStyle w:val="12"/>
      <w:ind w:firstLine="360"/>
    </w:pPr>
  </w:p>
  <w:p w14:paraId="03245FCE">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3374">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9EA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7E1B">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559D">
    <w:pPr>
      <w:pStyle w:val="13"/>
      <w:ind w:firstLine="0" w:firstLineChars="0"/>
      <w:rPr>
        <w:lang w:eastAsia="zh-CN"/>
      </w:rPr>
    </w:pPr>
  </w:p>
  <w:p w14:paraId="5EF7C452">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61D9">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C93F">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E9AE">
    <w:pPr>
      <w:pStyle w:val="13"/>
      <w:ind w:firstLine="0" w:firstLineChars="0"/>
      <w:rPr>
        <w:lang w:eastAsia="zh-CN"/>
      </w:rPr>
    </w:pPr>
  </w:p>
  <w:p w14:paraId="31AFBF21">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8DBCB"/>
    <w:multiLevelType w:val="singleLevel"/>
    <w:tmpl w:val="E5F8DBCB"/>
    <w:lvl w:ilvl="0" w:tentative="0">
      <w:start w:val="1"/>
      <w:numFmt w:val="chineseCounting"/>
      <w:suff w:val="space"/>
      <w:lvlText w:val="(%1)"/>
      <w:lvlJc w:val="left"/>
      <w:rPr>
        <w:rFonts w:hint="eastAsia"/>
      </w:rPr>
    </w:lvl>
  </w:abstractNum>
  <w:abstractNum w:abstractNumId="1">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3F295697"/>
    <w:multiLevelType w:val="multilevel"/>
    <w:tmpl w:val="3F295697"/>
    <w:lvl w:ilvl="0" w:tentative="0">
      <w:start w:val="1"/>
      <w:numFmt w:val="chineseCountingThousand"/>
      <w:lvlText w:val="(%1)"/>
      <w:lvlJc w:val="left"/>
      <w:pPr>
        <w:ind w:left="1083" w:hanging="440"/>
      </w:pPr>
    </w:lvl>
    <w:lvl w:ilvl="1" w:tentative="0">
      <w:start w:val="1"/>
      <w:numFmt w:val="chineseCountingThousand"/>
      <w:lvlText w:val="(%2)"/>
      <w:lvlJc w:val="left"/>
      <w:pPr>
        <w:ind w:left="1083" w:hanging="440"/>
      </w:pPr>
    </w:lvl>
    <w:lvl w:ilvl="2" w:tentative="0">
      <w:start w:val="1"/>
      <w:numFmt w:val="decimal"/>
      <w:lvlText w:val="%3."/>
      <w:lvlJc w:val="left"/>
      <w:pPr>
        <w:ind w:left="1883" w:hanging="360"/>
      </w:pPr>
      <w:rPr>
        <w:rFonts w:hint="default"/>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6A7601A5"/>
    <w:multiLevelType w:val="multilevel"/>
    <w:tmpl w:val="6A7601A5"/>
    <w:lvl w:ilvl="0" w:tentative="0">
      <w:start w:val="1"/>
      <w:numFmt w:val="chineseCountingThousand"/>
      <w:lvlText w:val="%1、"/>
      <w:lvlJc w:val="left"/>
      <w:pPr>
        <w:ind w:left="440" w:hanging="440"/>
      </w:pPr>
    </w:lvl>
    <w:lvl w:ilvl="1" w:tentative="0">
      <w:start w:val="1"/>
      <w:numFmt w:val="japaneseCounting"/>
      <w:lvlText w:val="（%2）"/>
      <w:lvlJc w:val="left"/>
      <w:pPr>
        <w:ind w:left="1520" w:hanging="108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33CBF"/>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0F74DF"/>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02C"/>
    <w:rsid w:val="001D4786"/>
    <w:rsid w:val="001D4787"/>
    <w:rsid w:val="001D5160"/>
    <w:rsid w:val="001D7093"/>
    <w:rsid w:val="001E3428"/>
    <w:rsid w:val="001F23E2"/>
    <w:rsid w:val="00202F15"/>
    <w:rsid w:val="002133D0"/>
    <w:rsid w:val="002135B2"/>
    <w:rsid w:val="00214FA9"/>
    <w:rsid w:val="00244786"/>
    <w:rsid w:val="00245809"/>
    <w:rsid w:val="00247CE2"/>
    <w:rsid w:val="002544DA"/>
    <w:rsid w:val="00256286"/>
    <w:rsid w:val="002751AB"/>
    <w:rsid w:val="00293F28"/>
    <w:rsid w:val="002C14AD"/>
    <w:rsid w:val="002D0937"/>
    <w:rsid w:val="002E0922"/>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B66F1"/>
    <w:rsid w:val="003C6D05"/>
    <w:rsid w:val="003C72DF"/>
    <w:rsid w:val="003E74AB"/>
    <w:rsid w:val="003F0644"/>
    <w:rsid w:val="003F5A52"/>
    <w:rsid w:val="003F786F"/>
    <w:rsid w:val="004014DE"/>
    <w:rsid w:val="0041363A"/>
    <w:rsid w:val="004136A6"/>
    <w:rsid w:val="00420D23"/>
    <w:rsid w:val="00421DDA"/>
    <w:rsid w:val="00426FAD"/>
    <w:rsid w:val="004272C9"/>
    <w:rsid w:val="00427E7E"/>
    <w:rsid w:val="00436A9C"/>
    <w:rsid w:val="0043777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1594"/>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84A18"/>
    <w:rsid w:val="0079415A"/>
    <w:rsid w:val="007B6431"/>
    <w:rsid w:val="007C2905"/>
    <w:rsid w:val="007C43E4"/>
    <w:rsid w:val="007C5302"/>
    <w:rsid w:val="007C6DAD"/>
    <w:rsid w:val="007D0612"/>
    <w:rsid w:val="007D1081"/>
    <w:rsid w:val="007D673A"/>
    <w:rsid w:val="007E3140"/>
    <w:rsid w:val="007E7A2D"/>
    <w:rsid w:val="007F6143"/>
    <w:rsid w:val="00804579"/>
    <w:rsid w:val="00804C84"/>
    <w:rsid w:val="0081088F"/>
    <w:rsid w:val="00815148"/>
    <w:rsid w:val="00822580"/>
    <w:rsid w:val="00824BBC"/>
    <w:rsid w:val="0082560C"/>
    <w:rsid w:val="008358F2"/>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39E2"/>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4E78"/>
    <w:rsid w:val="00AE5E6B"/>
    <w:rsid w:val="00AE7253"/>
    <w:rsid w:val="00AF0A51"/>
    <w:rsid w:val="00AF42B4"/>
    <w:rsid w:val="00B00467"/>
    <w:rsid w:val="00B00F10"/>
    <w:rsid w:val="00B03E44"/>
    <w:rsid w:val="00B042EC"/>
    <w:rsid w:val="00B0588D"/>
    <w:rsid w:val="00B14C98"/>
    <w:rsid w:val="00B17C4C"/>
    <w:rsid w:val="00B17CA8"/>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30F2"/>
    <w:rsid w:val="00B9431F"/>
    <w:rsid w:val="00BB07A4"/>
    <w:rsid w:val="00BB0E1D"/>
    <w:rsid w:val="00BB30FE"/>
    <w:rsid w:val="00BB6B9F"/>
    <w:rsid w:val="00C0248E"/>
    <w:rsid w:val="00C06AFC"/>
    <w:rsid w:val="00C07264"/>
    <w:rsid w:val="00C12E6F"/>
    <w:rsid w:val="00C21C0D"/>
    <w:rsid w:val="00C21DB7"/>
    <w:rsid w:val="00C26858"/>
    <w:rsid w:val="00C30660"/>
    <w:rsid w:val="00C323F4"/>
    <w:rsid w:val="00C40C1F"/>
    <w:rsid w:val="00C4300A"/>
    <w:rsid w:val="00C440BC"/>
    <w:rsid w:val="00C53DE5"/>
    <w:rsid w:val="00C558D9"/>
    <w:rsid w:val="00C56A00"/>
    <w:rsid w:val="00C6176D"/>
    <w:rsid w:val="00C6266B"/>
    <w:rsid w:val="00C7136B"/>
    <w:rsid w:val="00C72083"/>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3E24"/>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626EA9"/>
    <w:rsid w:val="01B41827"/>
    <w:rsid w:val="01FE6FC6"/>
    <w:rsid w:val="025E7212"/>
    <w:rsid w:val="026C0CB3"/>
    <w:rsid w:val="02DA2B5C"/>
    <w:rsid w:val="031A1D53"/>
    <w:rsid w:val="034F46D6"/>
    <w:rsid w:val="047C7B07"/>
    <w:rsid w:val="053562A4"/>
    <w:rsid w:val="059D5B4A"/>
    <w:rsid w:val="05C5173A"/>
    <w:rsid w:val="060D4527"/>
    <w:rsid w:val="062F578F"/>
    <w:rsid w:val="070A234B"/>
    <w:rsid w:val="07364783"/>
    <w:rsid w:val="07587466"/>
    <w:rsid w:val="07A80859"/>
    <w:rsid w:val="07B0009E"/>
    <w:rsid w:val="07DB3825"/>
    <w:rsid w:val="084E08CF"/>
    <w:rsid w:val="08747CBA"/>
    <w:rsid w:val="08815D8B"/>
    <w:rsid w:val="0932556D"/>
    <w:rsid w:val="095A32C1"/>
    <w:rsid w:val="096C6DF1"/>
    <w:rsid w:val="0994152E"/>
    <w:rsid w:val="09CA4A49"/>
    <w:rsid w:val="0A263634"/>
    <w:rsid w:val="0A6174F1"/>
    <w:rsid w:val="0A786C09"/>
    <w:rsid w:val="0A9052A5"/>
    <w:rsid w:val="0B964365"/>
    <w:rsid w:val="0BC41224"/>
    <w:rsid w:val="0BDF4B42"/>
    <w:rsid w:val="0C871385"/>
    <w:rsid w:val="0C961EA1"/>
    <w:rsid w:val="0CDF57F4"/>
    <w:rsid w:val="0D874AFD"/>
    <w:rsid w:val="0E460DCC"/>
    <w:rsid w:val="0E483F00"/>
    <w:rsid w:val="0E511842"/>
    <w:rsid w:val="0FB50233"/>
    <w:rsid w:val="0FB608BC"/>
    <w:rsid w:val="1050467E"/>
    <w:rsid w:val="10CD4389"/>
    <w:rsid w:val="11195595"/>
    <w:rsid w:val="11270A41"/>
    <w:rsid w:val="11326EB7"/>
    <w:rsid w:val="11EE00D5"/>
    <w:rsid w:val="12911695"/>
    <w:rsid w:val="129D460C"/>
    <w:rsid w:val="12A7171D"/>
    <w:rsid w:val="12C53952"/>
    <w:rsid w:val="12F164E1"/>
    <w:rsid w:val="13397BCE"/>
    <w:rsid w:val="13640E5B"/>
    <w:rsid w:val="13A726E2"/>
    <w:rsid w:val="144A13CC"/>
    <w:rsid w:val="14B86A5E"/>
    <w:rsid w:val="16574ED9"/>
    <w:rsid w:val="168E25CD"/>
    <w:rsid w:val="16F75866"/>
    <w:rsid w:val="16FA78CA"/>
    <w:rsid w:val="17397720"/>
    <w:rsid w:val="17F71489"/>
    <w:rsid w:val="183C78CE"/>
    <w:rsid w:val="18B52DD6"/>
    <w:rsid w:val="191537C8"/>
    <w:rsid w:val="19166917"/>
    <w:rsid w:val="1A807E46"/>
    <w:rsid w:val="1A807E56"/>
    <w:rsid w:val="1AA80D1D"/>
    <w:rsid w:val="1AE16358"/>
    <w:rsid w:val="1B063A1F"/>
    <w:rsid w:val="1B5F2753"/>
    <w:rsid w:val="1BD15AF4"/>
    <w:rsid w:val="1BD92985"/>
    <w:rsid w:val="1CD3289A"/>
    <w:rsid w:val="1D615742"/>
    <w:rsid w:val="1D7019C1"/>
    <w:rsid w:val="1D971EF3"/>
    <w:rsid w:val="1DBD8960"/>
    <w:rsid w:val="1E5410D3"/>
    <w:rsid w:val="1E776B18"/>
    <w:rsid w:val="1EAC0D7B"/>
    <w:rsid w:val="1EC12CF5"/>
    <w:rsid w:val="1F500934"/>
    <w:rsid w:val="1F5B4370"/>
    <w:rsid w:val="1FAA5120"/>
    <w:rsid w:val="1FB42712"/>
    <w:rsid w:val="1FBF3DD5"/>
    <w:rsid w:val="1FD941DA"/>
    <w:rsid w:val="1FEA5825"/>
    <w:rsid w:val="1FF73375"/>
    <w:rsid w:val="20665273"/>
    <w:rsid w:val="20DB35F6"/>
    <w:rsid w:val="216319C4"/>
    <w:rsid w:val="2173382E"/>
    <w:rsid w:val="220E3E9E"/>
    <w:rsid w:val="22696E4A"/>
    <w:rsid w:val="228A52D3"/>
    <w:rsid w:val="22A7A1EE"/>
    <w:rsid w:val="23815F46"/>
    <w:rsid w:val="23A00FD0"/>
    <w:rsid w:val="23A368F7"/>
    <w:rsid w:val="23D46DC8"/>
    <w:rsid w:val="23F5677C"/>
    <w:rsid w:val="24526CBD"/>
    <w:rsid w:val="245D6F1C"/>
    <w:rsid w:val="24A227D3"/>
    <w:rsid w:val="250C005C"/>
    <w:rsid w:val="25200AD8"/>
    <w:rsid w:val="255D282B"/>
    <w:rsid w:val="257C4A65"/>
    <w:rsid w:val="25D9458E"/>
    <w:rsid w:val="25EE29B2"/>
    <w:rsid w:val="260A429C"/>
    <w:rsid w:val="260C1F4B"/>
    <w:rsid w:val="264F0E19"/>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9777BC"/>
    <w:rsid w:val="2C002159"/>
    <w:rsid w:val="2DD75DC8"/>
    <w:rsid w:val="2DE73540"/>
    <w:rsid w:val="2DEF151A"/>
    <w:rsid w:val="2DF769DC"/>
    <w:rsid w:val="2DFDCA5F"/>
    <w:rsid w:val="2DFDEF9D"/>
    <w:rsid w:val="2DFE9ED2"/>
    <w:rsid w:val="2E570E39"/>
    <w:rsid w:val="2E8C65BF"/>
    <w:rsid w:val="2EA92E66"/>
    <w:rsid w:val="2ECA0CB3"/>
    <w:rsid w:val="2ED50269"/>
    <w:rsid w:val="2EEA0EAE"/>
    <w:rsid w:val="2EED128A"/>
    <w:rsid w:val="2F33419E"/>
    <w:rsid w:val="2F453EFD"/>
    <w:rsid w:val="2F7A4177"/>
    <w:rsid w:val="2FBB8AD3"/>
    <w:rsid w:val="2FF9E8AA"/>
    <w:rsid w:val="2FFF36BE"/>
    <w:rsid w:val="3115529C"/>
    <w:rsid w:val="31B76384"/>
    <w:rsid w:val="320B1AE3"/>
    <w:rsid w:val="32165B50"/>
    <w:rsid w:val="326B0E40"/>
    <w:rsid w:val="32B03984"/>
    <w:rsid w:val="33C67647"/>
    <w:rsid w:val="33D04B10"/>
    <w:rsid w:val="34151D3E"/>
    <w:rsid w:val="34727F6D"/>
    <w:rsid w:val="35745447"/>
    <w:rsid w:val="35950425"/>
    <w:rsid w:val="362E341B"/>
    <w:rsid w:val="36533F02"/>
    <w:rsid w:val="377F486E"/>
    <w:rsid w:val="37813EA9"/>
    <w:rsid w:val="378B2B5D"/>
    <w:rsid w:val="37F9916F"/>
    <w:rsid w:val="381B47D2"/>
    <w:rsid w:val="386FACB3"/>
    <w:rsid w:val="38AE7080"/>
    <w:rsid w:val="38FB2CC8"/>
    <w:rsid w:val="390262E6"/>
    <w:rsid w:val="391D56C6"/>
    <w:rsid w:val="39240A2E"/>
    <w:rsid w:val="39A77F9D"/>
    <w:rsid w:val="39BFDD17"/>
    <w:rsid w:val="3A4A6576"/>
    <w:rsid w:val="3A648840"/>
    <w:rsid w:val="3A723551"/>
    <w:rsid w:val="3AC07947"/>
    <w:rsid w:val="3AEC1CA2"/>
    <w:rsid w:val="3AEF411A"/>
    <w:rsid w:val="3AFF01EF"/>
    <w:rsid w:val="3B2D5FC6"/>
    <w:rsid w:val="3B3DC2A9"/>
    <w:rsid w:val="3B777999"/>
    <w:rsid w:val="3BB165B1"/>
    <w:rsid w:val="3BD78CFD"/>
    <w:rsid w:val="3BED365B"/>
    <w:rsid w:val="3BEFD7D2"/>
    <w:rsid w:val="3BFDE29B"/>
    <w:rsid w:val="3D6BF3A2"/>
    <w:rsid w:val="3DB521D7"/>
    <w:rsid w:val="3DFFC46E"/>
    <w:rsid w:val="3E363529"/>
    <w:rsid w:val="3E520203"/>
    <w:rsid w:val="3E6EBE7D"/>
    <w:rsid w:val="3EA606BD"/>
    <w:rsid w:val="3EB76EA9"/>
    <w:rsid w:val="3EBC1B98"/>
    <w:rsid w:val="3EEF565A"/>
    <w:rsid w:val="3EF7E3D7"/>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44563D4"/>
    <w:rsid w:val="44EF1B00"/>
    <w:rsid w:val="45CF4E46"/>
    <w:rsid w:val="46515BFC"/>
    <w:rsid w:val="46C45511"/>
    <w:rsid w:val="46D935A6"/>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E73E6"/>
    <w:rsid w:val="4A635F53"/>
    <w:rsid w:val="4AF773D7"/>
    <w:rsid w:val="4B3B3F0F"/>
    <w:rsid w:val="4B895879"/>
    <w:rsid w:val="4B974077"/>
    <w:rsid w:val="4BA90D67"/>
    <w:rsid w:val="4BFD0804"/>
    <w:rsid w:val="4BFFF00D"/>
    <w:rsid w:val="4C35155C"/>
    <w:rsid w:val="4CB90AB7"/>
    <w:rsid w:val="4CB92AAE"/>
    <w:rsid w:val="4D5325E2"/>
    <w:rsid w:val="4D9329DF"/>
    <w:rsid w:val="4DBF65EB"/>
    <w:rsid w:val="4DFC2D90"/>
    <w:rsid w:val="4E050DB4"/>
    <w:rsid w:val="4E25488F"/>
    <w:rsid w:val="4E7B1F42"/>
    <w:rsid w:val="4F1B0E49"/>
    <w:rsid w:val="4F3877D4"/>
    <w:rsid w:val="4F786B55"/>
    <w:rsid w:val="4F7A8AD3"/>
    <w:rsid w:val="4F7FF4D7"/>
    <w:rsid w:val="4F8A1DA6"/>
    <w:rsid w:val="4FD940E8"/>
    <w:rsid w:val="4FDF282B"/>
    <w:rsid w:val="4FEB9FB4"/>
    <w:rsid w:val="50885837"/>
    <w:rsid w:val="50A1286C"/>
    <w:rsid w:val="50AB1B35"/>
    <w:rsid w:val="51E1787A"/>
    <w:rsid w:val="51F80DD4"/>
    <w:rsid w:val="523E68B0"/>
    <w:rsid w:val="52AD5656"/>
    <w:rsid w:val="52D4EA7B"/>
    <w:rsid w:val="52DC22B4"/>
    <w:rsid w:val="53205C12"/>
    <w:rsid w:val="533D5BE8"/>
    <w:rsid w:val="538958EC"/>
    <w:rsid w:val="53CA0723"/>
    <w:rsid w:val="542D7105"/>
    <w:rsid w:val="55830218"/>
    <w:rsid w:val="558980E0"/>
    <w:rsid w:val="55E705A4"/>
    <w:rsid w:val="56203A0C"/>
    <w:rsid w:val="56383DB0"/>
    <w:rsid w:val="56530FA2"/>
    <w:rsid w:val="56AD6CAF"/>
    <w:rsid w:val="56E53ADB"/>
    <w:rsid w:val="571B7CCD"/>
    <w:rsid w:val="575F1FD6"/>
    <w:rsid w:val="577C8E54"/>
    <w:rsid w:val="57B34FD7"/>
    <w:rsid w:val="57ECB103"/>
    <w:rsid w:val="57EF0FD8"/>
    <w:rsid w:val="57F7833A"/>
    <w:rsid w:val="57F7A4BC"/>
    <w:rsid w:val="57FB75FC"/>
    <w:rsid w:val="57FD7CF3"/>
    <w:rsid w:val="583F79EB"/>
    <w:rsid w:val="585A70CD"/>
    <w:rsid w:val="58E262A4"/>
    <w:rsid w:val="58F5D9DD"/>
    <w:rsid w:val="5948147C"/>
    <w:rsid w:val="59573EF3"/>
    <w:rsid w:val="5A894C16"/>
    <w:rsid w:val="5AB756DD"/>
    <w:rsid w:val="5AFCBC6B"/>
    <w:rsid w:val="5B669575"/>
    <w:rsid w:val="5BDB3721"/>
    <w:rsid w:val="5C18763C"/>
    <w:rsid w:val="5C3E3948"/>
    <w:rsid w:val="5C4F6BDD"/>
    <w:rsid w:val="5C7E18E6"/>
    <w:rsid w:val="5C7F7B4E"/>
    <w:rsid w:val="5CD834DE"/>
    <w:rsid w:val="5CDA0FE8"/>
    <w:rsid w:val="5CE7B0FA"/>
    <w:rsid w:val="5D242C88"/>
    <w:rsid w:val="5D6B5466"/>
    <w:rsid w:val="5D7921C9"/>
    <w:rsid w:val="5DAD7E49"/>
    <w:rsid w:val="5DD56DEE"/>
    <w:rsid w:val="5DEFCEC9"/>
    <w:rsid w:val="5DFB97BE"/>
    <w:rsid w:val="5DFE3F84"/>
    <w:rsid w:val="5DFFA384"/>
    <w:rsid w:val="5E7A9A9A"/>
    <w:rsid w:val="5E7FBC5C"/>
    <w:rsid w:val="5E7FDF2E"/>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42B56B0"/>
    <w:rsid w:val="647B5B72"/>
    <w:rsid w:val="649B339C"/>
    <w:rsid w:val="64EFA138"/>
    <w:rsid w:val="65CF4325"/>
    <w:rsid w:val="65D33E68"/>
    <w:rsid w:val="65ED1F71"/>
    <w:rsid w:val="65FDAEE0"/>
    <w:rsid w:val="65FFC3A4"/>
    <w:rsid w:val="65FFEC08"/>
    <w:rsid w:val="66573B66"/>
    <w:rsid w:val="66AD4262"/>
    <w:rsid w:val="66B71094"/>
    <w:rsid w:val="66CB19B2"/>
    <w:rsid w:val="66FECB51"/>
    <w:rsid w:val="675B5A36"/>
    <w:rsid w:val="6763D5B0"/>
    <w:rsid w:val="67871415"/>
    <w:rsid w:val="67DFDD99"/>
    <w:rsid w:val="685E3EBD"/>
    <w:rsid w:val="687B3CF3"/>
    <w:rsid w:val="69A521C6"/>
    <w:rsid w:val="69AF24F6"/>
    <w:rsid w:val="69AF5125"/>
    <w:rsid w:val="69BC2895"/>
    <w:rsid w:val="69DD1E00"/>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CE334"/>
    <w:rsid w:val="6FFE7508"/>
    <w:rsid w:val="6FFFF4AF"/>
    <w:rsid w:val="70E78717"/>
    <w:rsid w:val="7170414E"/>
    <w:rsid w:val="71DF0AF3"/>
    <w:rsid w:val="71E82352"/>
    <w:rsid w:val="71FB2FE3"/>
    <w:rsid w:val="72211E04"/>
    <w:rsid w:val="722B3E46"/>
    <w:rsid w:val="724759C2"/>
    <w:rsid w:val="733F4938"/>
    <w:rsid w:val="73AE4630"/>
    <w:rsid w:val="73EB24A3"/>
    <w:rsid w:val="73EF23B4"/>
    <w:rsid w:val="73EF394F"/>
    <w:rsid w:val="73F1677E"/>
    <w:rsid w:val="73FF29DC"/>
    <w:rsid w:val="748FE1E7"/>
    <w:rsid w:val="74DC1816"/>
    <w:rsid w:val="755961C5"/>
    <w:rsid w:val="758C6643"/>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9018F"/>
    <w:rsid w:val="7BFDA313"/>
    <w:rsid w:val="7BFF3E46"/>
    <w:rsid w:val="7C137A81"/>
    <w:rsid w:val="7C292323"/>
    <w:rsid w:val="7C423ACB"/>
    <w:rsid w:val="7C774249"/>
    <w:rsid w:val="7C9E5EE6"/>
    <w:rsid w:val="7CBBCED2"/>
    <w:rsid w:val="7CBD0039"/>
    <w:rsid w:val="7CCE6F60"/>
    <w:rsid w:val="7CCF4580"/>
    <w:rsid w:val="7CDF64C7"/>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autoRedefine/>
    <w:qFormat/>
    <w:uiPriority w:val="0"/>
    <w:rPr>
      <w:rFonts w:hint="eastAsia" w:ascii="宋体" w:hAnsi="宋体" w:eastAsia="宋体" w:cs="宋体"/>
      <w:color w:val="000000"/>
      <w:sz w:val="22"/>
      <w:szCs w:val="22"/>
      <w:u w:val="none"/>
    </w:rPr>
  </w:style>
  <w:style w:type="character" w:customStyle="1" w:styleId="35">
    <w:name w:val="正文 + Arial Char"/>
    <w:link w:val="36"/>
    <w:autoRedefine/>
    <w:qFormat/>
    <w:locked/>
    <w:uiPriority w:val="0"/>
    <w:rPr>
      <w:rFonts w:ascii="Arial"/>
      <w:kern w:val="0"/>
      <w:sz w:val="24"/>
    </w:rPr>
  </w:style>
  <w:style w:type="paragraph" w:customStyle="1" w:styleId="36">
    <w:name w:val="正文 + Arial"/>
    <w:basedOn w:val="1"/>
    <w:link w:val="35"/>
    <w:autoRedefine/>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未处理的提及1"/>
    <w:basedOn w:val="23"/>
    <w:semiHidden/>
    <w:unhideWhenUsed/>
    <w:qFormat/>
    <w:uiPriority w:val="99"/>
    <w:rPr>
      <w:color w:val="605E5C"/>
      <w:shd w:val="clear" w:color="auto" w:fill="E1DFDD"/>
    </w:rPr>
  </w:style>
  <w:style w:type="paragraph" w:customStyle="1" w:styleId="69">
    <w:name w:val="〖A08〗公文标题"/>
    <w:next w:val="1"/>
    <w:qFormat/>
    <w:uiPriority w:val="0"/>
    <w:pPr>
      <w:widowControl w:val="0"/>
      <w:topLinePunct/>
      <w:spacing w:line="700" w:lineRule="exact"/>
      <w:jc w:val="center"/>
    </w:pPr>
    <w:rPr>
      <w:rFonts w:ascii="方正小标宋简体" w:hAnsi="Calibri" w:eastAsia="方正小标宋简体" w:cs="Times New Roman"/>
      <w:kern w:val="2"/>
      <w:sz w:val="4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25</Pages>
  <Words>10678</Words>
  <Characters>11022</Characters>
  <Lines>10</Lines>
  <Paragraphs>21</Paragraphs>
  <TotalTime>0</TotalTime>
  <ScaleCrop>false</ScaleCrop>
  <LinksUpToDate>false</LinksUpToDate>
  <CharactersWithSpaces>11050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2025-03-13T14:53:00Z</dcterms:created>
  <dc:creator>cll</dc:creator>
  <cp:lastModifiedBy>Admin</cp:lastModifiedBy>
  <cp:lastPrinted>2025-04-02T01:59:00Z</cp:lastPrinted>
  <dcterms:modified xsi:type="dcterms:W3CDTF">2025-05-12T08:36:12Z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