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9"/>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ascii="方正小标宋简体" w:hAnsi="方正小标宋简体" w:eastAsia="方正小标宋简体" w:cs="方正小标宋简体"/>
          <w:sz w:val="72"/>
          <w:szCs w:val="72"/>
        </w:rPr>
      </w:pPr>
      <w:bookmarkStart w:id="1" w:name="_Toc15377425"/>
      <w:bookmarkStart w:id="2" w:name="_Toc15396475"/>
      <w:bookmarkStart w:id="3" w:name="_Toc15377193"/>
      <w:bookmarkStart w:id="4" w:name="_Toc15378441"/>
      <w:bookmarkStart w:id="5" w:name="_Toc15396597"/>
      <w:r>
        <w:rPr>
          <w:rFonts w:hint="eastAsia" w:ascii="方正小标宋简体" w:hAnsi="方正小标宋简体" w:eastAsia="方正小标宋简体" w:cs="方正小标宋简体"/>
          <w:sz w:val="72"/>
          <w:szCs w:val="72"/>
          <w:lang w:eastAsia="zh-CN"/>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ascii="方正小标宋简体" w:hAnsi="方正小标宋简体" w:eastAsia="方正小标宋简体" w:cs="方正小标宋简体"/>
          <w:sz w:val="72"/>
          <w:szCs w:val="72"/>
        </w:rPr>
      </w:pPr>
      <w:bookmarkStart w:id="6" w:name="_Toc15396476"/>
      <w:bookmarkStart w:id="7" w:name="_Toc15377426"/>
      <w:bookmarkStart w:id="8" w:name="_Toc15396598"/>
      <w:bookmarkStart w:id="9" w:name="_Toc15377194"/>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乐山市金口河疾病预防控制中心</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jc w:val="center"/>
        <w:textAlignment w:val="auto"/>
        <w:outlineLvl w:val="9"/>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r>
        <w:rPr>
          <w:rFonts w:hint="eastAsia"/>
        </w:rPr>
        <w:t>公开时间：</w:t>
      </w:r>
      <w:r>
        <w:rPr>
          <w:rFonts w:hint="eastAsia"/>
          <w:lang w:eastAsia="zh-CN"/>
        </w:rPr>
        <w:t>2025</w:t>
      </w:r>
      <w:r>
        <w:rPr>
          <w:rFonts w:hint="eastAsia"/>
        </w:rPr>
        <w:t>年9月</w:t>
      </w:r>
      <w:r>
        <w:rPr>
          <w:rFonts w:hint="eastAsia"/>
          <w:lang w:val="en-US" w:eastAsia="zh-CN"/>
        </w:rPr>
        <w:t>25</w:t>
      </w:r>
      <w:r>
        <w:rPr>
          <w:rFonts w:hint="eastAsia"/>
        </w:rPr>
        <w:t>日</w:t>
      </w:r>
    </w:p>
    <w:sdt>
      <w:sdtPr>
        <w:rPr>
          <w:rFonts w:ascii="宋体" w:hAnsi="宋体" w:eastAsia="宋体" w:cs="Times New Roman"/>
          <w:kern w:val="2"/>
          <w:sz w:val="21"/>
          <w:szCs w:val="24"/>
          <w:lang w:val="en-US" w:eastAsia="zh-CN" w:bidi="ar-SA"/>
        </w:rPr>
        <w:id w:val="147451456"/>
        <w15:color w:val="DBDBDB"/>
        <w:docPartObj>
          <w:docPartGallery w:val="Table of Contents"/>
          <w:docPartUnique/>
        </w:docPartObj>
      </w:sdtPr>
      <w:sdtEndPr>
        <w:rPr>
          <w:rFonts w:hint="eastAsia" w:ascii="黑体" w:hAnsi="黑体" w:eastAsia="黑体" w:cs="Times New Roman"/>
          <w:b/>
          <w:bCs/>
          <w:kern w:val="44"/>
          <w:sz w:val="44"/>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35"/>
            <w:tabs>
              <w:tab w:val="right" w:leader="dot" w:pos="8306"/>
            </w:tabs>
            <w:rPr>
              <w:b/>
            </w:rPr>
          </w:pPr>
          <w:r>
            <w:rPr>
              <w:rFonts w:hint="eastAsia" w:ascii="黑体" w:hAnsi="黑体" w:eastAsia="黑体"/>
              <w:b w:val="0"/>
            </w:rPr>
            <w:fldChar w:fldCharType="begin"/>
          </w:r>
          <w:r>
            <w:rPr>
              <w:rFonts w:hint="eastAsia" w:ascii="黑体" w:hAnsi="黑体" w:eastAsia="黑体"/>
              <w:b w:val="0"/>
            </w:rPr>
            <w:instrText xml:space="preserve">TOC \o "1-2" \h \u </w:instrText>
          </w:r>
          <w:r>
            <w:rPr>
              <w:rFonts w:hint="eastAsia" w:ascii="黑体" w:hAnsi="黑体" w:eastAsia="黑体"/>
              <w:b w:val="0"/>
            </w:rPr>
            <w:fldChar w:fldCharType="separate"/>
          </w:r>
          <w:r>
            <w:rPr>
              <w:rFonts w:hint="eastAsia" w:ascii="黑体" w:hAnsi="黑体" w:eastAsia="黑体"/>
              <w:b/>
            </w:rPr>
            <w:fldChar w:fldCharType="begin"/>
          </w:r>
          <w:r>
            <w:rPr>
              <w:rFonts w:hint="eastAsia" w:ascii="黑体" w:hAnsi="黑体" w:eastAsia="黑体"/>
              <w:b/>
            </w:rPr>
            <w:instrText xml:space="preserve"> HYPERLINK \l _Toc15383 </w:instrText>
          </w:r>
          <w:r>
            <w:rPr>
              <w:rFonts w:hint="eastAsia" w:ascii="黑体" w:hAnsi="黑体" w:eastAsia="黑体"/>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_Toc15383 \h </w:instrText>
          </w:r>
          <w:r>
            <w:rPr>
              <w:b/>
            </w:rPr>
            <w:fldChar w:fldCharType="separate"/>
          </w:r>
          <w:r>
            <w:rPr>
              <w:b/>
            </w:rPr>
            <w:t>1</w:t>
          </w:r>
          <w:r>
            <w:rPr>
              <w:b/>
            </w:rPr>
            <w:fldChar w:fldCharType="end"/>
          </w:r>
          <w:r>
            <w:rPr>
              <w:rFonts w:hint="eastAsia" w:ascii="黑体" w:hAnsi="黑体" w:eastAsia="黑体"/>
              <w:b/>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_Toc2719 </w:instrText>
          </w:r>
          <w:r>
            <w:rPr>
              <w:rFonts w:hint="eastAsia" w:ascii="黑体" w:hAnsi="黑体" w:eastAsia="黑体"/>
            </w:rPr>
            <w:fldChar w:fldCharType="separate"/>
          </w:r>
          <w:r>
            <w:rPr>
              <w:rFonts w:hint="eastAsia" w:ascii="黑体" w:hAnsi="黑体" w:eastAsia="黑体"/>
              <w:bCs w:val="0"/>
            </w:rPr>
            <w:t>一、 主要职责</w:t>
          </w:r>
          <w:r>
            <w:tab/>
          </w:r>
          <w:r>
            <w:fldChar w:fldCharType="begin"/>
          </w:r>
          <w:r>
            <w:instrText xml:space="preserve"> PAGEREF _Toc2719 \h </w:instrText>
          </w:r>
          <w:r>
            <w:fldChar w:fldCharType="separate"/>
          </w:r>
          <w:r>
            <w:t>1</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_Toc6988 </w:instrText>
          </w:r>
          <w:r>
            <w:rPr>
              <w:rFonts w:hint="eastAsia" w:ascii="黑体" w:hAnsi="黑体" w:eastAsia="黑体"/>
            </w:rPr>
            <w:fldChar w:fldCharType="separate"/>
          </w:r>
          <w:r>
            <w:rPr>
              <w:rFonts w:hint="eastAsia" w:ascii="黑体" w:hAnsi="黑体" w:eastAsia="黑体"/>
            </w:rPr>
            <w:t>二、 机构设置</w:t>
          </w:r>
          <w:r>
            <w:tab/>
          </w:r>
          <w:r>
            <w:fldChar w:fldCharType="begin"/>
          </w:r>
          <w:r>
            <w:instrText xml:space="preserve"> PAGEREF _Toc6988 \h </w:instrText>
          </w:r>
          <w:r>
            <w:fldChar w:fldCharType="separate"/>
          </w:r>
          <w:r>
            <w:t>2</w:t>
          </w:r>
          <w:r>
            <w:fldChar w:fldCharType="end"/>
          </w:r>
          <w:r>
            <w:rPr>
              <w:rFonts w:hint="eastAsia" w:ascii="黑体" w:hAnsi="黑体" w:eastAsia="黑体"/>
            </w:rPr>
            <w:fldChar w:fldCharType="end"/>
          </w:r>
        </w:p>
        <w:p>
          <w:pPr>
            <w:pStyle w:val="35"/>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_Toc15206 </w:instrText>
          </w:r>
          <w:r>
            <w:rPr>
              <w:rFonts w:hint="eastAsia" w:ascii="黑体" w:hAnsi="黑体" w:eastAsia="黑体"/>
              <w:b/>
            </w:rPr>
            <w:fldChar w:fldCharType="separate"/>
          </w:r>
          <w:r>
            <w:rPr>
              <w:rFonts w:hint="eastAsia" w:ascii="黑体" w:hAnsi="黑体" w:eastAsia="黑体"/>
              <w:b/>
            </w:rPr>
            <w:t xml:space="preserve">第二部分 </w:t>
          </w:r>
          <w:r>
            <w:rPr>
              <w:rFonts w:hint="eastAsia" w:ascii="黑体" w:hAnsi="黑体" w:eastAsia="黑体"/>
              <w:b/>
              <w:lang w:eastAsia="zh-CN"/>
            </w:rPr>
            <w:t>2024</w:t>
          </w:r>
          <w:r>
            <w:rPr>
              <w:rFonts w:hint="eastAsia" w:ascii="黑体" w:hAnsi="黑体" w:eastAsia="黑体"/>
              <w:b/>
            </w:rPr>
            <w:t>年度</w:t>
          </w:r>
          <w:r>
            <w:rPr>
              <w:rFonts w:hint="eastAsia" w:ascii="黑体" w:hAnsi="黑体" w:eastAsia="黑体"/>
              <w:b/>
              <w:bCs/>
            </w:rPr>
            <w:t>单位决算情况说明</w:t>
          </w:r>
          <w:r>
            <w:rPr>
              <w:b/>
            </w:rPr>
            <w:tab/>
          </w:r>
          <w:r>
            <w:rPr>
              <w:b/>
            </w:rPr>
            <w:fldChar w:fldCharType="begin"/>
          </w:r>
          <w:r>
            <w:rPr>
              <w:b/>
            </w:rPr>
            <w:instrText xml:space="preserve"> PAGEREF _Toc15206 \h </w:instrText>
          </w:r>
          <w:r>
            <w:rPr>
              <w:b/>
            </w:rPr>
            <w:fldChar w:fldCharType="separate"/>
          </w:r>
          <w:r>
            <w:rPr>
              <w:b/>
            </w:rPr>
            <w:t>3</w:t>
          </w:r>
          <w:r>
            <w:rPr>
              <w:b/>
            </w:rPr>
            <w:fldChar w:fldCharType="end"/>
          </w:r>
          <w:r>
            <w:rPr>
              <w:rFonts w:hint="eastAsia" w:ascii="黑体" w:hAnsi="黑体" w:eastAsia="黑体"/>
              <w:b/>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_Toc20454 </w:instrText>
          </w:r>
          <w:r>
            <w:rPr>
              <w:rFonts w:hint="eastAsia" w:ascii="黑体" w:hAnsi="黑体" w:eastAsia="黑体"/>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_Toc20454 \h </w:instrText>
          </w:r>
          <w:r>
            <w:fldChar w:fldCharType="separate"/>
          </w:r>
          <w:r>
            <w:t>3</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_Toc12912 </w:instrText>
          </w:r>
          <w:r>
            <w:rPr>
              <w:rFonts w:hint="eastAsia" w:ascii="黑体" w:hAnsi="黑体" w:eastAsia="黑体"/>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_Toc12912 \h </w:instrText>
          </w:r>
          <w:r>
            <w:fldChar w:fldCharType="separate"/>
          </w:r>
          <w:r>
            <w:t>3</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_Toc28517 </w:instrText>
          </w:r>
          <w:r>
            <w:rPr>
              <w:rFonts w:hint="eastAsia" w:ascii="黑体" w:hAnsi="黑体" w:eastAsia="黑体"/>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_Toc28517 \h </w:instrText>
          </w:r>
          <w:r>
            <w:fldChar w:fldCharType="separate"/>
          </w:r>
          <w:r>
            <w:t>4</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_Toc31931 </w:instrText>
          </w:r>
          <w:r>
            <w:rPr>
              <w:rFonts w:hint="eastAsia" w:ascii="黑体" w:hAnsi="黑体" w:eastAsia="黑体"/>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_Toc31931 \h </w:instrText>
          </w:r>
          <w:r>
            <w:fldChar w:fldCharType="separate"/>
          </w:r>
          <w:r>
            <w:t>5</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_Toc29259 </w:instrText>
          </w:r>
          <w:r>
            <w:rPr>
              <w:rFonts w:hint="eastAsia" w:ascii="黑体" w:hAnsi="黑体" w:eastAsia="黑体"/>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_Toc29259 \h </w:instrText>
          </w:r>
          <w:r>
            <w:fldChar w:fldCharType="separate"/>
          </w:r>
          <w:r>
            <w:t>6</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_Toc14932 </w:instrText>
          </w:r>
          <w:r>
            <w:rPr>
              <w:rFonts w:hint="eastAsia" w:ascii="黑体" w:hAnsi="黑体" w:eastAsia="黑体"/>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_Toc14932 \h </w:instrText>
          </w:r>
          <w:r>
            <w:fldChar w:fldCharType="separate"/>
          </w:r>
          <w:r>
            <w:t>9</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_Toc9144 </w:instrText>
          </w:r>
          <w:r>
            <w:rPr>
              <w:rFonts w:hint="eastAsia" w:ascii="黑体" w:hAnsi="黑体" w:eastAsia="黑体"/>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_Toc9144 \h </w:instrText>
          </w:r>
          <w:r>
            <w:fldChar w:fldCharType="separate"/>
          </w:r>
          <w:r>
            <w:t>9</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_Toc12290 </w:instrText>
          </w:r>
          <w:r>
            <w:rPr>
              <w:rFonts w:hint="eastAsia" w:ascii="黑体" w:hAnsi="黑体" w:eastAsia="黑体"/>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_Toc12290 \h </w:instrText>
          </w:r>
          <w:r>
            <w:fldChar w:fldCharType="separate"/>
          </w:r>
          <w:r>
            <w:t>11</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_Toc19191 </w:instrText>
          </w:r>
          <w:r>
            <w:rPr>
              <w:rFonts w:hint="eastAsia" w:ascii="黑体" w:hAnsi="黑体" w:eastAsia="黑体"/>
            </w:rPr>
            <w:fldChar w:fldCharType="separate"/>
          </w:r>
          <w:r>
            <w:rPr>
              <w:rFonts w:hint="eastAsia" w:ascii="黑体" w:hAnsi="黑体" w:eastAsia="黑体"/>
            </w:rPr>
            <w:t>九、 国有资本经营预算支出决算情况说明</w:t>
          </w:r>
          <w:r>
            <w:tab/>
          </w:r>
          <w:r>
            <w:fldChar w:fldCharType="begin"/>
          </w:r>
          <w:r>
            <w:instrText xml:space="preserve"> PAGEREF _Toc19191 \h </w:instrText>
          </w:r>
          <w:r>
            <w:fldChar w:fldCharType="separate"/>
          </w:r>
          <w:r>
            <w:t>11</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_Toc12048 </w:instrText>
          </w:r>
          <w:r>
            <w:rPr>
              <w:rFonts w:hint="eastAsia" w:ascii="黑体" w:hAnsi="黑体" w:eastAsia="黑体"/>
            </w:rPr>
            <w:fldChar w:fldCharType="separate"/>
          </w:r>
          <w:r>
            <w:rPr>
              <w:rFonts w:hint="eastAsia" w:ascii="黑体" w:hAnsi="黑体" w:eastAsia="黑体"/>
            </w:rPr>
            <w:t>十、 其他重要事项的情况说明</w:t>
          </w:r>
          <w:r>
            <w:tab/>
          </w:r>
          <w:r>
            <w:fldChar w:fldCharType="begin"/>
          </w:r>
          <w:r>
            <w:instrText xml:space="preserve"> PAGEREF _Toc12048 \h </w:instrText>
          </w:r>
          <w:r>
            <w:fldChar w:fldCharType="separate"/>
          </w:r>
          <w:r>
            <w:t>12</w:t>
          </w:r>
          <w:r>
            <w:fldChar w:fldCharType="end"/>
          </w:r>
          <w:r>
            <w:rPr>
              <w:rFonts w:hint="eastAsia" w:ascii="黑体" w:hAnsi="黑体" w:eastAsia="黑体"/>
            </w:rPr>
            <w:fldChar w:fldCharType="end"/>
          </w:r>
        </w:p>
        <w:p>
          <w:pPr>
            <w:pStyle w:val="35"/>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_Toc18057 </w:instrText>
          </w:r>
          <w:r>
            <w:rPr>
              <w:rFonts w:hint="eastAsia" w:ascii="黑体" w:hAnsi="黑体" w:eastAsia="黑体"/>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_Toc18057 \h </w:instrText>
          </w:r>
          <w:r>
            <w:rPr>
              <w:b/>
            </w:rPr>
            <w:fldChar w:fldCharType="separate"/>
          </w:r>
          <w:r>
            <w:rPr>
              <w:b/>
            </w:rPr>
            <w:t>14</w:t>
          </w:r>
          <w:r>
            <w:rPr>
              <w:b/>
            </w:rPr>
            <w:fldChar w:fldCharType="end"/>
          </w:r>
          <w:r>
            <w:rPr>
              <w:rFonts w:hint="eastAsia" w:ascii="黑体" w:hAnsi="黑体" w:eastAsia="黑体"/>
              <w:b/>
            </w:rPr>
            <w:fldChar w:fldCharType="end"/>
          </w:r>
        </w:p>
        <w:p>
          <w:pPr>
            <w:pStyle w:val="35"/>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_Toc19646 </w:instrText>
          </w:r>
          <w:r>
            <w:rPr>
              <w:rFonts w:hint="eastAsia" w:ascii="黑体" w:hAnsi="黑体" w:eastAsia="黑体"/>
              <w:b/>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_Toc19646 \h </w:instrText>
          </w:r>
          <w:r>
            <w:rPr>
              <w:b/>
            </w:rPr>
            <w:fldChar w:fldCharType="separate"/>
          </w:r>
          <w:r>
            <w:rPr>
              <w:b/>
            </w:rPr>
            <w:t>16</w:t>
          </w:r>
          <w:r>
            <w:rPr>
              <w:b/>
            </w:rPr>
            <w:fldChar w:fldCharType="end"/>
          </w:r>
          <w:r>
            <w:rPr>
              <w:rFonts w:hint="eastAsia" w:ascii="黑体" w:hAnsi="黑体" w:eastAsia="黑体"/>
              <w:b/>
            </w:rPr>
            <w:fldChar w:fldCharType="end"/>
          </w:r>
        </w:p>
        <w:p>
          <w:pPr>
            <w:pStyle w:val="35"/>
            <w:tabs>
              <w:tab w:val="right" w:leader="dot" w:pos="8306"/>
            </w:tabs>
            <w:rPr>
              <w:b/>
            </w:rPr>
          </w:pPr>
          <w:r>
            <w:rPr>
              <w:rFonts w:hint="eastAsia" w:ascii="黑体" w:hAnsi="黑体" w:eastAsia="黑体"/>
              <w:b/>
            </w:rPr>
            <w:fldChar w:fldCharType="begin"/>
          </w:r>
          <w:r>
            <w:rPr>
              <w:rFonts w:hint="eastAsia" w:ascii="黑体" w:hAnsi="黑体" w:eastAsia="黑体"/>
              <w:b/>
            </w:rPr>
            <w:instrText xml:space="preserve"> HYPERLINK \l _Toc19567 </w:instrText>
          </w:r>
          <w:r>
            <w:rPr>
              <w:rFonts w:hint="eastAsia" w:ascii="黑体" w:hAnsi="黑体" w:eastAsia="黑体"/>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_Toc19567 \h </w:instrText>
          </w:r>
          <w:r>
            <w:rPr>
              <w:b/>
            </w:rPr>
            <w:fldChar w:fldCharType="separate"/>
          </w:r>
          <w:r>
            <w:rPr>
              <w:b/>
            </w:rPr>
            <w:t>17</w:t>
          </w:r>
          <w:r>
            <w:rPr>
              <w:b/>
            </w:rPr>
            <w:fldChar w:fldCharType="end"/>
          </w:r>
          <w:r>
            <w:rPr>
              <w:rFonts w:hint="eastAsia" w:ascii="黑体" w:hAnsi="黑体" w:eastAsia="黑体"/>
              <w:b/>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_Toc28127 </w:instrText>
          </w:r>
          <w:r>
            <w:rPr>
              <w:rFonts w:hint="eastAsia" w:ascii="黑体" w:hAnsi="黑体" w:eastAsia="黑体"/>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_Toc28127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_Toc25016 </w:instrText>
          </w:r>
          <w:r>
            <w:rPr>
              <w:rFonts w:hint="eastAsia" w:ascii="黑体" w:hAnsi="黑体" w:eastAsia="黑体"/>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_Toc25016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_Toc4260 </w:instrText>
          </w:r>
          <w:r>
            <w:rPr>
              <w:rFonts w:hint="eastAsia" w:ascii="黑体" w:hAnsi="黑体" w:eastAsia="黑体"/>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_Toc4260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_Toc27559 </w:instrText>
          </w:r>
          <w:r>
            <w:rPr>
              <w:rFonts w:hint="eastAsia" w:ascii="黑体" w:hAnsi="黑体" w:eastAsia="黑体"/>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_Toc27559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_Toc19894 </w:instrText>
          </w:r>
          <w:r>
            <w:rPr>
              <w:rFonts w:hint="eastAsia" w:ascii="黑体" w:hAnsi="黑体" w:eastAsia="黑体"/>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_Toc19894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_Toc3824 </w:instrText>
          </w:r>
          <w:r>
            <w:rPr>
              <w:rFonts w:hint="eastAsia" w:ascii="黑体" w:hAnsi="黑体" w:eastAsia="黑体"/>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_Toc3824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_Toc4861 </w:instrText>
          </w:r>
          <w:r>
            <w:rPr>
              <w:rFonts w:hint="eastAsia" w:ascii="黑体" w:hAnsi="黑体" w:eastAsia="黑体"/>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_Toc4861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_Toc30163 </w:instrText>
          </w:r>
          <w:r>
            <w:rPr>
              <w:rFonts w:hint="eastAsia" w:ascii="黑体" w:hAnsi="黑体" w:eastAsia="黑体"/>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_Toc30163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_Toc28108 </w:instrText>
          </w:r>
          <w:r>
            <w:rPr>
              <w:rFonts w:hint="eastAsia" w:ascii="黑体" w:hAnsi="黑体" w:eastAsia="黑体"/>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_Toc28108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_Toc7202 </w:instrText>
          </w:r>
          <w:r>
            <w:rPr>
              <w:rFonts w:hint="eastAsia" w:ascii="黑体" w:hAnsi="黑体" w:eastAsia="黑体"/>
            </w:rP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_Toc7202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_Toc10061 </w:instrText>
          </w:r>
          <w:r>
            <w:rPr>
              <w:rFonts w:hint="eastAsia" w:ascii="黑体" w:hAnsi="黑体" w:eastAsia="黑体"/>
            </w:rP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_Toc10061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_Toc30842 </w:instrText>
          </w:r>
          <w:r>
            <w:rPr>
              <w:rFonts w:hint="eastAsia" w:ascii="黑体" w:hAnsi="黑体" w:eastAsia="黑体"/>
            </w:rPr>
            <w:fldChar w:fldCharType="separate"/>
          </w:r>
          <w:r>
            <w:rPr>
              <w:rFonts w:hint="eastAsia" w:ascii="仿宋" w:hAnsi="仿宋" w:eastAsia="仿宋"/>
              <w:bCs w:val="0"/>
            </w:rPr>
            <w:t>十二、国有资本经营预算财政拨款支出决算表</w:t>
          </w:r>
          <w:r>
            <w:tab/>
          </w:r>
          <w:r>
            <w:fldChar w:fldCharType="begin"/>
          </w:r>
          <w:r>
            <w:instrText xml:space="preserve"> PAGEREF _Toc30842 \h </w:instrText>
          </w:r>
          <w:r>
            <w:fldChar w:fldCharType="separate"/>
          </w:r>
          <w:r>
            <w:t>17</w:t>
          </w:r>
          <w:r>
            <w:fldChar w:fldCharType="end"/>
          </w:r>
          <w:r>
            <w:rPr>
              <w:rFonts w:hint="eastAsia" w:ascii="黑体" w:hAnsi="黑体" w:eastAsia="黑体"/>
            </w:rPr>
            <w:fldChar w:fldCharType="end"/>
          </w:r>
        </w:p>
        <w:p>
          <w:pPr>
            <w:pStyle w:val="36"/>
            <w:tabs>
              <w:tab w:val="right" w:leader="dot" w:pos="8306"/>
            </w:tabs>
          </w:pPr>
          <w:r>
            <w:rPr>
              <w:rFonts w:hint="eastAsia" w:ascii="黑体" w:hAnsi="黑体" w:eastAsia="黑体"/>
            </w:rPr>
            <w:fldChar w:fldCharType="begin"/>
          </w:r>
          <w:r>
            <w:rPr>
              <w:rFonts w:hint="eastAsia" w:ascii="黑体" w:hAnsi="黑体" w:eastAsia="黑体"/>
            </w:rPr>
            <w:instrText xml:space="preserve"> HYPERLINK \l _Toc19802 </w:instrText>
          </w:r>
          <w:r>
            <w:rPr>
              <w:rFonts w:hint="eastAsia" w:ascii="黑体" w:hAnsi="黑体" w:eastAsia="黑体"/>
            </w:rPr>
            <w:fldChar w:fldCharType="separate"/>
          </w:r>
          <w:r>
            <w:rPr>
              <w:rFonts w:hint="eastAsia" w:ascii="仿宋" w:hAnsi="仿宋" w:eastAsia="仿宋"/>
              <w:bCs w:val="0"/>
            </w:rPr>
            <w:t>十三、财政拨款“三公”经费支出决算表</w:t>
          </w:r>
          <w:r>
            <w:tab/>
          </w:r>
          <w:r>
            <w:fldChar w:fldCharType="begin"/>
          </w:r>
          <w:r>
            <w:instrText xml:space="preserve"> PAGEREF _Toc19802 \h </w:instrText>
          </w:r>
          <w:r>
            <w:fldChar w:fldCharType="separate"/>
          </w:r>
          <w:r>
            <w:t>17</w:t>
          </w:r>
          <w:r>
            <w:fldChar w:fldCharType="end"/>
          </w:r>
          <w:r>
            <w:rPr>
              <w:rFonts w:hint="eastAsia" w:ascii="黑体" w:hAnsi="黑体" w:eastAsia="黑体"/>
            </w:rPr>
            <w:fldChar w:fldCharType="end"/>
          </w:r>
        </w:p>
        <w:p>
          <w:pPr>
            <w:pStyle w:val="5"/>
            <w:jc w:val="both"/>
            <w:outlineLvl w:val="9"/>
            <w:rPr>
              <w:rFonts w:hint="eastAsia" w:ascii="黑体" w:hAnsi="黑体" w:eastAsia="黑体"/>
              <w:b/>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pPr>
            <w:pStyle w:val="5"/>
            <w:jc w:val="both"/>
            <w:outlineLvl w:val="9"/>
            <w:rPr>
              <w:rFonts w:hint="eastAsia" w:ascii="黑体" w:hAnsi="黑体" w:eastAsia="黑体"/>
              <w:b w:val="0"/>
            </w:rPr>
          </w:pPr>
          <w:r>
            <w:rPr>
              <w:rFonts w:hint="eastAsia" w:ascii="黑体" w:hAnsi="黑体" w:eastAsia="黑体"/>
              <w:b/>
            </w:rPr>
            <w:fldChar w:fldCharType="end"/>
          </w:r>
          <w:bookmarkStart w:id="12" w:name="_Toc11476_WPSOffice_Level1"/>
        </w:p>
      </w:sdtContent>
    </w:sdt>
    <w:p>
      <w:pPr>
        <w:pStyle w:val="5"/>
        <w:jc w:val="center"/>
        <w:rPr>
          <w:rFonts w:ascii="黑体" w:eastAsia="黑体"/>
          <w:sz w:val="32"/>
          <w:szCs w:val="32"/>
        </w:rPr>
      </w:pPr>
      <w:bookmarkStart w:id="13" w:name="_Toc15383"/>
      <w:r>
        <w:rPr>
          <w:rFonts w:hint="eastAsia" w:ascii="黑体" w:hAnsi="黑体" w:eastAsia="黑体"/>
          <w:b w:val="0"/>
        </w:rPr>
        <w:t>第一部分 单位</w:t>
      </w:r>
      <w:r>
        <w:rPr>
          <w:rStyle w:val="29"/>
          <w:rFonts w:hint="eastAsia" w:ascii="黑体" w:hAnsi="黑体" w:eastAsia="黑体"/>
          <w:b w:val="0"/>
          <w:bCs w:val="0"/>
        </w:rPr>
        <w:t>概况</w:t>
      </w:r>
      <w:bookmarkEnd w:id="12"/>
      <w:bookmarkEnd w:id="13"/>
    </w:p>
    <w:p>
      <w:pPr>
        <w:pStyle w:val="6"/>
        <w:numPr>
          <w:ilvl w:val="0"/>
          <w:numId w:val="1"/>
        </w:numPr>
        <w:rPr>
          <w:rStyle w:val="30"/>
          <w:rFonts w:ascii="黑体" w:hAnsi="黑体" w:eastAsia="黑体"/>
          <w:b w:val="0"/>
          <w:bCs w:val="0"/>
        </w:rPr>
      </w:pPr>
      <w:bookmarkStart w:id="14" w:name="_Toc28979_WPSOffice_Level2"/>
      <w:bookmarkStart w:id="15" w:name="_Toc2719"/>
      <w:bookmarkStart w:id="16" w:name="_Toc15377197"/>
      <w:bookmarkStart w:id="17" w:name="_Toc15396600"/>
      <w:r>
        <w:rPr>
          <w:rStyle w:val="30"/>
          <w:rFonts w:hint="eastAsia" w:ascii="黑体" w:hAnsi="黑体" w:eastAsia="黑体"/>
          <w:b w:val="0"/>
          <w:bCs w:val="0"/>
        </w:rPr>
        <w:t>主要职责</w:t>
      </w:r>
      <w:bookmarkEnd w:id="14"/>
      <w:bookmarkEnd w:id="15"/>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1、负责全区传染病疫情统计、分析及相关传染病的预测预警。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2、根据上级要求及传染病地方病防制相关策略和技术规范，结合本地情况，负责制定全区相关传染病的工作计划，完成总结工作。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3、组织开展霍乱、伤寒、菌痢、感染性腹泻、流感、手足口病、埃博拉出血热、马尔保出血热等传染病的疫情报告、监测、流行病学调查、疫情处理。开展不明原因疾病、重大疫情调查处理。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4、组织开展碘缺乏病、地氟病、布病、寄生虫、疟疾等疾病的预防与控制。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5、负责对基层疾病预防控制人员的业务培训和技术指导。</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6、负责全市相关传染病地方病工作的资料汇总和归档。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7、配合卫生行政部门对全区相关传染病地方病疫情及工作的实施情况进行督导、考核与评价。</w:t>
      </w:r>
    </w:p>
    <w:p>
      <w:pPr>
        <w:ind w:firstLine="640" w:firstLineChars="200"/>
        <w:rPr>
          <w:rFonts w:hint="eastAsia" w:eastAsia="仿宋"/>
          <w:lang w:val="en-US" w:eastAsia="zh-CN"/>
        </w:rPr>
      </w:pPr>
      <w:r>
        <w:rPr>
          <w:rFonts w:hint="eastAsia" w:ascii="仿宋" w:hAnsi="仿宋" w:eastAsia="仿宋" w:cs="仿宋"/>
          <w:sz w:val="32"/>
          <w:szCs w:val="32"/>
          <w:lang w:eastAsia="zh-CN"/>
        </w:rPr>
        <w:t>8、积极开展专项调查及科研工作。</w:t>
      </w:r>
    </w:p>
    <w:p/>
    <w:p>
      <w:pPr>
        <w:pStyle w:val="6"/>
        <w:numPr>
          <w:ilvl w:val="0"/>
          <w:numId w:val="1"/>
        </w:numPr>
        <w:ind w:left="0" w:leftChars="0" w:firstLine="0" w:firstLineChars="0"/>
        <w:rPr>
          <w:rFonts w:hint="eastAsia" w:ascii="黑体" w:hAnsi="黑体" w:eastAsia="黑体"/>
          <w:b w:val="0"/>
        </w:rPr>
      </w:pPr>
      <w:bookmarkStart w:id="18" w:name="_Toc6988"/>
      <w:bookmarkStart w:id="19" w:name="_Toc12638_WPSOffice_Level2"/>
      <w:r>
        <w:rPr>
          <w:rFonts w:hint="eastAsia" w:ascii="黑体" w:hAnsi="黑体" w:eastAsia="黑体"/>
          <w:b w:val="0"/>
        </w:rPr>
        <w:t>机构设置</w:t>
      </w:r>
      <w:bookmarkEnd w:id="18"/>
      <w:bookmarkEnd w:id="19"/>
    </w:p>
    <w:p>
      <w:pPr>
        <w:numPr>
          <w:ilvl w:val="0"/>
          <w:numId w:val="0"/>
        </w:numPr>
        <w:ind w:leftChars="0" w:firstLine="640" w:firstLineChars="200"/>
      </w:pPr>
      <w:r>
        <w:rPr>
          <w:rFonts w:hint="eastAsia" w:ascii="仿宋" w:hAnsi="仿宋" w:eastAsia="仿宋" w:cs="宋体"/>
          <w:color w:val="000000"/>
          <w:kern w:val="0"/>
          <w:sz w:val="32"/>
          <w:szCs w:val="32"/>
          <w:lang w:eastAsia="zh-CN"/>
        </w:rPr>
        <w:t>乐山市金口河区疾病预防控制中心</w:t>
      </w:r>
      <w:r>
        <w:rPr>
          <w:rFonts w:hint="eastAsia" w:ascii="仿宋" w:hAnsi="仿宋" w:eastAsia="仿宋" w:cs="宋体"/>
          <w:color w:val="000000"/>
          <w:kern w:val="0"/>
          <w:sz w:val="32"/>
          <w:szCs w:val="32"/>
        </w:rPr>
        <w:t>预算单位</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个，其中：行政单位</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个，事业单位</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个。</w:t>
      </w:r>
    </w:p>
    <w:bookmarkEnd w:id="16"/>
    <w:bookmarkEnd w:id="17"/>
    <w:p>
      <w:pPr>
        <w:widowControl/>
        <w:jc w:val="left"/>
        <w:rPr>
          <w:rFonts w:ascii="仿宋" w:hAnsi="仿宋" w:eastAsia="仿宋"/>
          <w:kern w:val="0"/>
          <w:sz w:val="32"/>
          <w:szCs w:val="32"/>
        </w:rPr>
      </w:pPr>
      <w:r>
        <w:rPr>
          <w:rFonts w:ascii="仿宋" w:hAnsi="仿宋" w:eastAsia="仿宋"/>
          <w:sz w:val="32"/>
          <w:szCs w:val="32"/>
        </w:rPr>
        <w:br w:type="page"/>
      </w:r>
    </w:p>
    <w:p>
      <w:pPr>
        <w:pStyle w:val="5"/>
        <w:ind w:right="440"/>
        <w:jc w:val="center"/>
        <w:rPr>
          <w:rStyle w:val="29"/>
          <w:rFonts w:ascii="黑体" w:hAnsi="黑体" w:eastAsia="黑体"/>
          <w:b w:val="0"/>
          <w:bCs/>
        </w:rPr>
      </w:pPr>
      <w:bookmarkStart w:id="20" w:name="_Toc15396602"/>
      <w:bookmarkStart w:id="21" w:name="_Toc28979_WPSOffice_Level1"/>
      <w:bookmarkStart w:id="22" w:name="_Toc15206"/>
      <w:bookmarkStart w:id="23" w:name="_Toc15377204"/>
      <w:r>
        <w:rPr>
          <w:rFonts w:hint="eastAsia" w:ascii="黑体" w:hAnsi="黑体" w:eastAsia="黑体"/>
          <w:b w:val="0"/>
        </w:rPr>
        <w:t xml:space="preserve">第二部分 </w:t>
      </w:r>
      <w:r>
        <w:rPr>
          <w:rFonts w:hint="eastAsia" w:ascii="黑体" w:hAnsi="黑体" w:eastAsia="黑体"/>
          <w:b w:val="0"/>
          <w:lang w:eastAsia="zh-CN"/>
        </w:rPr>
        <w:t>2024</w:t>
      </w:r>
      <w:r>
        <w:rPr>
          <w:rFonts w:hint="eastAsia" w:ascii="黑体" w:hAnsi="黑体" w:eastAsia="黑体"/>
          <w:b w:val="0"/>
        </w:rPr>
        <w:t>年度</w:t>
      </w:r>
      <w:r>
        <w:rPr>
          <w:rStyle w:val="29"/>
          <w:rFonts w:hint="eastAsia" w:ascii="黑体" w:hAnsi="黑体" w:eastAsia="黑体"/>
          <w:b w:val="0"/>
          <w:bCs/>
        </w:rPr>
        <w:t>单位决算情况说明</w:t>
      </w:r>
      <w:bookmarkEnd w:id="20"/>
      <w:bookmarkEnd w:id="21"/>
      <w:bookmarkEnd w:id="22"/>
      <w:bookmarkEnd w:id="23"/>
    </w:p>
    <w:p/>
    <w:p>
      <w:pPr>
        <w:pStyle w:val="28"/>
        <w:numPr>
          <w:ilvl w:val="0"/>
          <w:numId w:val="2"/>
        </w:numPr>
        <w:spacing w:line="600" w:lineRule="exact"/>
        <w:ind w:firstLineChars="0"/>
        <w:outlineLvl w:val="1"/>
        <w:rPr>
          <w:rStyle w:val="30"/>
          <w:rFonts w:ascii="黑体" w:hAnsi="黑体" w:eastAsia="黑体"/>
          <w:b w:val="0"/>
        </w:rPr>
      </w:pPr>
      <w:bookmarkStart w:id="24" w:name="_Toc15377205"/>
      <w:bookmarkStart w:id="25" w:name="_Toc15396603"/>
      <w:bookmarkStart w:id="26" w:name="_Toc20454"/>
      <w:bookmarkStart w:id="27" w:name="_Toc6727_WPSOffice_Level2"/>
      <w:r>
        <w:rPr>
          <w:rFonts w:hint="eastAsia" w:ascii="黑体" w:hAnsi="黑体" w:eastAsia="黑体"/>
          <w:sz w:val="32"/>
          <w:szCs w:val="32"/>
        </w:rPr>
        <w:t>收</w:t>
      </w:r>
      <w:r>
        <w:rPr>
          <w:rStyle w:val="30"/>
          <w:rFonts w:hint="eastAsia" w:ascii="黑体" w:hAnsi="黑体" w:eastAsia="黑体"/>
          <w:b w:val="0"/>
        </w:rPr>
        <w:t>入支出决算总体情况说明</w:t>
      </w:r>
      <w:bookmarkEnd w:id="24"/>
      <w:bookmarkEnd w:id="25"/>
      <w:bookmarkEnd w:id="26"/>
      <w:bookmarkEnd w:id="27"/>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年度收、支总计均为</w:t>
      </w:r>
      <w:r>
        <w:rPr>
          <w:rFonts w:hint="eastAsia" w:ascii="仿宋" w:hAnsi="仿宋" w:eastAsia="仿宋"/>
          <w:b/>
          <w:sz w:val="32"/>
          <w:szCs w:val="32"/>
          <w:lang w:val="en-US" w:eastAsia="zh-CN"/>
        </w:rPr>
        <w:t>683.15</w:t>
      </w:r>
      <w:r>
        <w:rPr>
          <w:rFonts w:hint="eastAsia" w:ascii="仿宋" w:hAnsi="仿宋" w:eastAsia="仿宋"/>
          <w:sz w:val="32"/>
          <w:szCs w:val="32"/>
        </w:rPr>
        <w:t>万元。与</w:t>
      </w:r>
      <w:r>
        <w:rPr>
          <w:rFonts w:hint="eastAsia" w:ascii="仿宋" w:hAnsi="仿宋" w:eastAsia="仿宋"/>
          <w:sz w:val="32"/>
          <w:szCs w:val="32"/>
          <w:lang w:eastAsia="zh-CN"/>
        </w:rPr>
        <w:t>2023</w:t>
      </w:r>
      <w:r>
        <w:rPr>
          <w:rFonts w:hint="eastAsia" w:ascii="仿宋" w:hAnsi="仿宋" w:eastAsia="仿宋"/>
          <w:sz w:val="32"/>
          <w:szCs w:val="32"/>
        </w:rPr>
        <w:t>年度相比，收、支总计各增加</w:t>
      </w:r>
      <w:r>
        <w:rPr>
          <w:rFonts w:hint="eastAsia" w:ascii="仿宋" w:hAnsi="仿宋" w:eastAsia="仿宋"/>
          <w:sz w:val="32"/>
          <w:szCs w:val="32"/>
          <w:lang w:val="en-US" w:eastAsia="zh-CN"/>
        </w:rPr>
        <w:t>4.14</w:t>
      </w:r>
      <w:r>
        <w:rPr>
          <w:rFonts w:hint="eastAsia" w:ascii="仿宋" w:hAnsi="仿宋" w:eastAsia="仿宋"/>
          <w:sz w:val="32"/>
          <w:szCs w:val="32"/>
        </w:rPr>
        <w:t>万元，增长</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工资福利支出增加</w:t>
      </w:r>
      <w:r>
        <w:rPr>
          <w:rFonts w:hint="eastAsia" w:ascii="仿宋" w:hAnsi="仿宋" w:eastAsia="仿宋"/>
          <w:sz w:val="32"/>
          <w:szCs w:val="32"/>
        </w:rPr>
        <w:t>。</w:t>
      </w:r>
    </w:p>
    <w:p>
      <w:pPr>
        <w:spacing w:line="240" w:lineRule="auto"/>
        <w:ind w:firstLine="420" w:firstLineChars="200"/>
        <w:rPr>
          <w:rFonts w:hint="eastAsia" w:ascii="仿宋" w:hAnsi="仿宋" w:eastAsia="仿宋"/>
          <w:sz w:val="32"/>
          <w:szCs w:val="32"/>
          <w:lang w:eastAsia="zh-CN"/>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8"/>
        <w:numPr>
          <w:ilvl w:val="0"/>
          <w:numId w:val="2"/>
        </w:numPr>
        <w:spacing w:line="600" w:lineRule="exact"/>
        <w:ind w:firstLineChars="0"/>
        <w:outlineLvl w:val="1"/>
        <w:rPr>
          <w:rStyle w:val="30"/>
          <w:rFonts w:ascii="黑体" w:hAnsi="黑体" w:eastAsia="黑体"/>
          <w:b w:val="0"/>
        </w:rPr>
      </w:pPr>
      <w:bookmarkStart w:id="28" w:name="_Toc21630_WPSOffice_Level2"/>
      <w:bookmarkStart w:id="29" w:name="_Toc15396604"/>
      <w:bookmarkStart w:id="30" w:name="_Toc12912"/>
      <w:bookmarkStart w:id="31" w:name="_Toc15377206"/>
      <w:r>
        <w:rPr>
          <w:rFonts w:hint="eastAsia" w:ascii="黑体" w:hAnsi="黑体" w:eastAsia="黑体"/>
          <w:sz w:val="32"/>
          <w:szCs w:val="32"/>
        </w:rPr>
        <w:t>收</w:t>
      </w:r>
      <w:r>
        <w:rPr>
          <w:rStyle w:val="30"/>
          <w:rFonts w:hint="eastAsia" w:ascii="黑体" w:hAnsi="黑体" w:eastAsia="黑体"/>
          <w:b w:val="0"/>
        </w:rPr>
        <w:t>入决算情况说明</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2024</w:t>
      </w:r>
      <w:r>
        <w:rPr>
          <w:rFonts w:hint="eastAsia" w:ascii="仿宋" w:hAnsi="仿宋" w:eastAsia="仿宋"/>
          <w:sz w:val="32"/>
          <w:szCs w:val="32"/>
        </w:rPr>
        <w:t>年度本年收入合计</w:t>
      </w:r>
      <w:r>
        <w:rPr>
          <w:rFonts w:ascii="仿宋" w:hAnsi="仿宋" w:eastAsia="仿宋"/>
          <w:b/>
          <w:sz w:val="32"/>
          <w:szCs w:val="32"/>
        </w:rPr>
        <w:t>6</w:t>
      </w:r>
      <w:r>
        <w:rPr>
          <w:rFonts w:hint="eastAsia" w:ascii="仿宋" w:hAnsi="仿宋" w:eastAsia="仿宋"/>
          <w:b/>
          <w:sz w:val="32"/>
          <w:szCs w:val="32"/>
          <w:lang w:val="en-US" w:eastAsia="zh-CN"/>
        </w:rPr>
        <w:t>44.23</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644.17</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b/>
          <w:sz w:val="32"/>
          <w:szCs w:val="32"/>
          <w:lang w:val="en-US" w:eastAsia="zh-CN"/>
        </w:rPr>
        <w:t>.06</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p>
    <w:p>
      <w:pPr>
        <w:pStyle w:val="2"/>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pPr>
        <w:pStyle w:val="28"/>
        <w:numPr>
          <w:ilvl w:val="0"/>
          <w:numId w:val="2"/>
        </w:numPr>
        <w:spacing w:line="600" w:lineRule="exact"/>
        <w:ind w:firstLineChars="0"/>
        <w:outlineLvl w:val="1"/>
        <w:rPr>
          <w:rStyle w:val="30"/>
          <w:rFonts w:ascii="黑体" w:hAnsi="黑体" w:eastAsia="黑体"/>
          <w:b w:val="0"/>
        </w:rPr>
      </w:pPr>
      <w:bookmarkStart w:id="32" w:name="_Toc28517"/>
      <w:bookmarkStart w:id="33" w:name="_Toc15377207"/>
      <w:bookmarkStart w:id="34" w:name="_Toc15396605"/>
      <w:bookmarkStart w:id="35" w:name="_Toc13175_WPSOffice_Level2"/>
      <w:r>
        <w:rPr>
          <w:rFonts w:hint="eastAsia" w:ascii="黑体" w:hAnsi="黑体" w:eastAsia="黑体"/>
          <w:sz w:val="32"/>
          <w:szCs w:val="32"/>
        </w:rPr>
        <w:t>支</w:t>
      </w:r>
      <w:r>
        <w:rPr>
          <w:rStyle w:val="30"/>
          <w:rFonts w:hint="eastAsia" w:ascii="黑体" w:hAnsi="黑体" w:eastAsia="黑体"/>
          <w:b w:val="0"/>
        </w:rPr>
        <w:t>出决算情况说明</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年度本年支出合计</w:t>
      </w:r>
      <w:r>
        <w:rPr>
          <w:rFonts w:hint="eastAsia" w:ascii="仿宋" w:hAnsi="仿宋" w:eastAsia="仿宋"/>
          <w:sz w:val="32"/>
          <w:szCs w:val="32"/>
          <w:lang w:val="en-US" w:eastAsia="zh-CN"/>
        </w:rPr>
        <w:t>644.17</w:t>
      </w:r>
      <w:r>
        <w:rPr>
          <w:rFonts w:hint="eastAsia" w:ascii="仿宋" w:hAnsi="仿宋" w:eastAsia="仿宋"/>
          <w:sz w:val="32"/>
          <w:szCs w:val="32"/>
        </w:rPr>
        <w:t>万元，其中：基本支出</w:t>
      </w:r>
      <w:r>
        <w:rPr>
          <w:rFonts w:hint="eastAsia" w:ascii="仿宋" w:hAnsi="仿宋" w:eastAsia="仿宋"/>
          <w:b/>
          <w:sz w:val="32"/>
          <w:szCs w:val="32"/>
          <w:lang w:val="en-US" w:eastAsia="zh-CN"/>
        </w:rPr>
        <w:t>474.48</w:t>
      </w:r>
      <w:r>
        <w:rPr>
          <w:rFonts w:hint="eastAsia" w:ascii="仿宋" w:hAnsi="仿宋" w:eastAsia="仿宋"/>
          <w:sz w:val="32"/>
          <w:szCs w:val="32"/>
        </w:rPr>
        <w:t>万元，占</w:t>
      </w:r>
      <w:r>
        <w:rPr>
          <w:rFonts w:hint="eastAsia" w:ascii="仿宋" w:hAnsi="仿宋" w:eastAsia="仿宋"/>
          <w:b/>
          <w:sz w:val="32"/>
          <w:szCs w:val="32"/>
          <w:lang w:val="en-US" w:eastAsia="zh-CN"/>
        </w:rPr>
        <w:t>73.65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169.69</w:t>
      </w:r>
      <w:r>
        <w:rPr>
          <w:rFonts w:hint="eastAsia" w:ascii="仿宋" w:hAnsi="仿宋" w:eastAsia="仿宋"/>
          <w:sz w:val="32"/>
          <w:szCs w:val="32"/>
        </w:rPr>
        <w:t>万元，占</w:t>
      </w:r>
      <w:r>
        <w:rPr>
          <w:rFonts w:hint="eastAsia" w:ascii="仿宋" w:hAnsi="仿宋" w:eastAsia="仿宋"/>
          <w:b/>
          <w:sz w:val="32"/>
          <w:szCs w:val="32"/>
          <w:lang w:val="en-US" w:eastAsia="zh-CN"/>
        </w:rPr>
        <w:t>26.34</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240" w:lineRule="auto"/>
        <w:ind w:firstLine="640"/>
        <w:rPr>
          <w:rFonts w:hint="eastAsia" w:ascii="仿宋" w:hAnsi="仿宋" w:eastAsia="仿宋"/>
          <w:sz w:val="32"/>
          <w:szCs w:val="32"/>
          <w:shd w:val="pct10" w:color="auto" w:fill="FFFFFF"/>
          <w:lang w:eastAsia="zh-CN"/>
        </w:rPr>
      </w:pPr>
      <w:r>
        <w:drawing>
          <wp:inline distT="0" distB="0" distL="114300" distR="114300">
            <wp:extent cx="4572000" cy="2749550"/>
            <wp:effectExtent l="4445" t="4445" r="14605" b="825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30"/>
          <w:rFonts w:ascii="黑体" w:hAnsi="黑体" w:eastAsia="黑体"/>
          <w:b w:val="0"/>
        </w:rPr>
      </w:pPr>
      <w:bookmarkStart w:id="36" w:name="_Toc31931"/>
      <w:bookmarkStart w:id="37" w:name="_Toc26718_WPSOffice_Level2"/>
      <w:bookmarkStart w:id="38" w:name="_Toc15377208"/>
      <w:bookmarkStart w:id="39"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36"/>
      <w:bookmarkEnd w:id="37"/>
      <w:bookmarkEnd w:id="38"/>
      <w:bookmarkEnd w:id="39"/>
    </w:p>
    <w:p>
      <w:pPr>
        <w:spacing w:line="600" w:lineRule="exact"/>
        <w:ind w:firstLine="640"/>
        <w:rPr>
          <w:rFonts w:hint="default" w:ascii="仿宋" w:hAnsi="仿宋" w:eastAsia="仿宋"/>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644.17</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 w:hAnsi="仿宋" w:eastAsia="仿宋"/>
          <w:sz w:val="32"/>
          <w:szCs w:val="32"/>
        </w:rPr>
        <w:t>。与</w:t>
      </w:r>
      <w:r>
        <w:rPr>
          <w:rFonts w:hint="eastAsia" w:ascii="仿宋" w:hAnsi="仿宋" w:eastAsia="仿宋"/>
          <w:sz w:val="32"/>
          <w:szCs w:val="32"/>
          <w:lang w:eastAsia="zh-CN"/>
        </w:rPr>
        <w:t>2023</w:t>
      </w:r>
      <w:r>
        <w:rPr>
          <w:rFonts w:hint="eastAsia" w:ascii="仿宋" w:hAnsi="仿宋" w:eastAsia="仿宋"/>
          <w:sz w:val="32"/>
          <w:szCs w:val="32"/>
        </w:rPr>
        <w:t>年度相比，财政拨款收、支总计各</w:t>
      </w:r>
      <w:r>
        <w:rPr>
          <w:rFonts w:hint="eastAsia" w:ascii="仿宋" w:hAnsi="仿宋" w:eastAsia="仿宋"/>
          <w:sz w:val="32"/>
          <w:szCs w:val="32"/>
          <w:lang w:val="en-US" w:eastAsia="zh-CN"/>
        </w:rPr>
        <w:t>减少34.84</w:t>
      </w:r>
      <w:r>
        <w:rPr>
          <w:rFonts w:hint="eastAsia" w:ascii="仿宋" w:hAnsi="仿宋" w:eastAsia="仿宋"/>
          <w:sz w:val="32"/>
          <w:szCs w:val="32"/>
        </w:rPr>
        <w:t>万元，</w:t>
      </w:r>
      <w:r>
        <w:rPr>
          <w:rFonts w:hint="eastAsia" w:ascii="仿宋" w:hAnsi="仿宋" w:eastAsia="仿宋"/>
          <w:sz w:val="32"/>
          <w:szCs w:val="32"/>
          <w:lang w:val="en-US" w:eastAsia="zh-CN"/>
        </w:rPr>
        <w:t>降低5.13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项目支出减少。</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240" w:lineRule="auto"/>
        <w:rPr>
          <w:rFonts w:hint="eastAsia" w:ascii="仿宋" w:hAnsi="仿宋" w:eastAsia="仿宋"/>
          <w:sz w:val="32"/>
          <w:szCs w:val="32"/>
          <w:lang w:eastAsia="zh-CN"/>
        </w:rPr>
      </w:pPr>
      <w:r>
        <w:drawing>
          <wp:inline distT="0" distB="0" distL="114300" distR="114300">
            <wp:extent cx="4572000" cy="2749550"/>
            <wp:effectExtent l="4445" t="4445" r="14605" b="825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30"/>
          <w:rFonts w:ascii="黑体" w:hAnsi="黑体" w:eastAsia="黑体"/>
          <w:b w:val="0"/>
        </w:rPr>
      </w:pPr>
      <w:bookmarkStart w:id="40" w:name="_Toc9248_WPSOffice_Level2"/>
      <w:bookmarkStart w:id="41" w:name="_Toc15377209"/>
      <w:bookmarkStart w:id="42" w:name="_Toc15396607"/>
      <w:bookmarkStart w:id="43" w:name="_Toc2925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40"/>
      <w:bookmarkEnd w:id="41"/>
      <w:bookmarkEnd w:id="42"/>
      <w:bookmarkEnd w:id="43"/>
    </w:p>
    <w:p>
      <w:pPr>
        <w:spacing w:line="600" w:lineRule="exact"/>
        <w:ind w:firstLine="643" w:firstLineChars="200"/>
        <w:outlineLvl w:val="2"/>
        <w:rPr>
          <w:rFonts w:ascii="仿宋" w:hAnsi="仿宋" w:eastAsia="仿宋"/>
          <w:b/>
          <w:sz w:val="32"/>
          <w:szCs w:val="32"/>
        </w:rPr>
      </w:pPr>
      <w:bookmarkStart w:id="44" w:name="_Toc15377210"/>
      <w:r>
        <w:rPr>
          <w:rFonts w:hint="eastAsia" w:ascii="仿宋" w:hAnsi="仿宋" w:eastAsia="仿宋"/>
          <w:b/>
          <w:sz w:val="32"/>
          <w:szCs w:val="32"/>
        </w:rPr>
        <w:t>（一）一般公共预算财政拨款支出决算总体情况</w:t>
      </w:r>
      <w:bookmarkEnd w:id="44"/>
    </w:p>
    <w:p>
      <w:pPr>
        <w:spacing w:line="600" w:lineRule="exact"/>
        <w:ind w:firstLine="640"/>
        <w:rPr>
          <w:rFonts w:hint="default" w:ascii="仿宋" w:hAnsi="仿宋" w:eastAsia="仿宋"/>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644.17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sz w:val="32"/>
          <w:szCs w:val="32"/>
        </w:rPr>
        <w:t>与</w:t>
      </w:r>
      <w:r>
        <w:rPr>
          <w:rFonts w:hint="eastAsia" w:ascii="仿宋" w:hAnsi="仿宋" w:eastAsia="仿宋"/>
          <w:sz w:val="32"/>
          <w:szCs w:val="32"/>
          <w:lang w:eastAsia="zh-CN"/>
        </w:rPr>
        <w:t>2023</w:t>
      </w:r>
      <w:r>
        <w:rPr>
          <w:rFonts w:hint="eastAsia" w:ascii="仿宋" w:hAnsi="仿宋" w:eastAsia="仿宋"/>
          <w:sz w:val="32"/>
          <w:szCs w:val="32"/>
        </w:rPr>
        <w:t>年度相比，一般公共预算财政拨款支出</w:t>
      </w:r>
      <w:r>
        <w:rPr>
          <w:rFonts w:hint="eastAsia" w:ascii="仿宋" w:hAnsi="仿宋" w:eastAsia="仿宋"/>
          <w:sz w:val="32"/>
          <w:szCs w:val="32"/>
          <w:lang w:val="en-US" w:eastAsia="zh-CN"/>
        </w:rPr>
        <w:t>减少34.84</w:t>
      </w:r>
      <w:r>
        <w:rPr>
          <w:rFonts w:hint="eastAsia" w:ascii="仿宋" w:hAnsi="仿宋" w:eastAsia="仿宋"/>
          <w:sz w:val="32"/>
          <w:szCs w:val="32"/>
        </w:rPr>
        <w:t>万元，</w:t>
      </w:r>
      <w:r>
        <w:rPr>
          <w:rFonts w:hint="eastAsia" w:ascii="仿宋" w:hAnsi="仿宋" w:eastAsia="仿宋"/>
          <w:sz w:val="32"/>
          <w:szCs w:val="32"/>
          <w:lang w:val="en-US" w:eastAsia="zh-CN"/>
        </w:rPr>
        <w:t>降低5.13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项目支出减少。</w:t>
      </w:r>
    </w:p>
    <w:p>
      <w:pPr>
        <w:spacing w:line="600" w:lineRule="exact"/>
        <w:ind w:firstLine="640"/>
        <w:rPr>
          <w:rFonts w:ascii="仿宋" w:hAnsi="仿宋" w:eastAsia="仿宋"/>
          <w:sz w:val="32"/>
          <w:szCs w:val="32"/>
        </w:rPr>
      </w:pPr>
    </w:p>
    <w:p>
      <w:pPr>
        <w:pStyle w:val="2"/>
      </w:pP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45" w:name="_Toc15377211"/>
      <w:r>
        <w:rPr>
          <w:rFonts w:hint="eastAsia" w:ascii="仿宋" w:hAnsi="仿宋" w:eastAsia="仿宋"/>
          <w:b/>
          <w:sz w:val="32"/>
          <w:szCs w:val="32"/>
        </w:rPr>
        <w:t>（二）一般公共预算财政拨款支出决算结构情况</w:t>
      </w:r>
      <w:bookmarkEnd w:id="45"/>
    </w:p>
    <w:p>
      <w:pPr>
        <w:spacing w:line="600" w:lineRule="exact"/>
        <w:ind w:firstLine="640"/>
        <w:rPr>
          <w:rFonts w:ascii="仿宋" w:hAnsi="仿宋" w:eastAsia="仿宋"/>
          <w:b/>
          <w:sz w:val="32"/>
          <w:szCs w:val="32"/>
        </w:rPr>
      </w:pPr>
      <w:r>
        <w:rPr>
          <w:rFonts w:hint="eastAsia" w:ascii="仿宋" w:hAnsi="仿宋" w:eastAsia="仿宋"/>
          <w:sz w:val="32"/>
          <w:szCs w:val="32"/>
          <w:lang w:eastAsia="zh-CN"/>
        </w:rPr>
        <w:t>2024</w:t>
      </w:r>
      <w:r>
        <w:rPr>
          <w:rFonts w:hint="eastAsia" w:ascii="仿宋" w:hAnsi="仿宋" w:eastAsia="仿宋"/>
          <w:sz w:val="32"/>
          <w:szCs w:val="32"/>
        </w:rPr>
        <w:t>年度一般公共预算财政拨款支出</w:t>
      </w:r>
      <w:r>
        <w:rPr>
          <w:rFonts w:hint="eastAsia" w:ascii="仿宋" w:hAnsi="仿宋" w:eastAsia="仿宋"/>
          <w:b/>
          <w:sz w:val="32"/>
          <w:szCs w:val="32"/>
          <w:lang w:val="en-US" w:eastAsia="zh-CN"/>
        </w:rPr>
        <w:t>644.17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112.19</w:t>
      </w:r>
      <w:r>
        <w:rPr>
          <w:rFonts w:hint="eastAsia" w:ascii="仿宋" w:hAnsi="仿宋" w:eastAsia="仿宋"/>
          <w:sz w:val="32"/>
          <w:szCs w:val="32"/>
        </w:rPr>
        <w:t>万元，占</w:t>
      </w:r>
      <w:r>
        <w:rPr>
          <w:rFonts w:hint="eastAsia" w:ascii="仿宋" w:hAnsi="仿宋" w:eastAsia="仿宋"/>
          <w:sz w:val="32"/>
          <w:szCs w:val="32"/>
          <w:lang w:val="en-US" w:eastAsia="zh-CN"/>
        </w:rPr>
        <w:t>17.42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495.39</w:t>
      </w:r>
      <w:r>
        <w:rPr>
          <w:rFonts w:hint="eastAsia" w:ascii="仿宋" w:hAnsi="仿宋" w:eastAsia="仿宋"/>
          <w:sz w:val="32"/>
          <w:szCs w:val="32"/>
        </w:rPr>
        <w:t>万元，占</w:t>
      </w:r>
      <w:r>
        <w:rPr>
          <w:rFonts w:hint="eastAsia" w:ascii="仿宋" w:hAnsi="仿宋" w:eastAsia="仿宋"/>
          <w:sz w:val="32"/>
          <w:szCs w:val="32"/>
          <w:lang w:val="en-US" w:eastAsia="zh-CN"/>
        </w:rPr>
        <w:t>76.9</w:t>
      </w:r>
      <w:r>
        <w:rPr>
          <w:rFonts w:ascii="仿宋" w:hAnsi="仿宋" w:eastAsia="仿宋"/>
          <w:sz w:val="32"/>
          <w:szCs w:val="32"/>
        </w:rPr>
        <w:t>%</w:t>
      </w:r>
      <w:r>
        <w:rPr>
          <w:rFonts w:hint="eastAsia" w:ascii="仿宋" w:hAnsi="仿宋" w:eastAsia="仿宋"/>
          <w:sz w:val="32"/>
          <w:szCs w:val="32"/>
        </w:rPr>
        <w:t>；</w:t>
      </w:r>
      <w:bookmarkStart w:id="46" w:name="OLE_LINK1"/>
      <w:r>
        <w:rPr>
          <w:rFonts w:hint="eastAsia" w:ascii="仿宋" w:hAnsi="仿宋" w:eastAsia="仿宋"/>
          <w:b/>
          <w:bCs/>
          <w:sz w:val="32"/>
          <w:szCs w:val="32"/>
        </w:rPr>
        <w:t>住房保障支出</w:t>
      </w:r>
      <w:r>
        <w:rPr>
          <w:rFonts w:hint="eastAsia" w:ascii="仿宋" w:hAnsi="仿宋" w:eastAsia="仿宋"/>
          <w:sz w:val="32"/>
          <w:szCs w:val="32"/>
          <w:lang w:val="en-US" w:eastAsia="zh-CN"/>
        </w:rPr>
        <w:t>36.59</w:t>
      </w:r>
      <w:r>
        <w:rPr>
          <w:rFonts w:hint="eastAsia" w:ascii="仿宋" w:hAnsi="仿宋" w:eastAsia="仿宋"/>
          <w:sz w:val="32"/>
          <w:szCs w:val="32"/>
        </w:rPr>
        <w:t>万元，占</w:t>
      </w:r>
      <w:r>
        <w:rPr>
          <w:rFonts w:hint="eastAsia" w:ascii="仿宋" w:hAnsi="仿宋" w:eastAsia="仿宋"/>
          <w:sz w:val="32"/>
          <w:szCs w:val="32"/>
          <w:lang w:val="en-US" w:eastAsia="zh-CN"/>
        </w:rPr>
        <w:t>5.68</w:t>
      </w:r>
      <w:bookmarkEnd w:id="46"/>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rPr>
          <w:rFonts w:ascii="仿宋" w:hAnsi="仿宋" w:eastAsia="仿宋"/>
          <w:sz w:val="32"/>
          <w:szCs w:val="32"/>
        </w:rPr>
      </w:pPr>
    </w:p>
    <w:p>
      <w:pPr>
        <w:pStyle w:val="2"/>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47" w:name="_Toc15377212"/>
      <w:r>
        <w:rPr>
          <w:rFonts w:hint="eastAsia" w:ascii="仿宋" w:hAnsi="仿宋" w:eastAsia="仿宋"/>
          <w:b/>
          <w:sz w:val="32"/>
          <w:szCs w:val="32"/>
        </w:rPr>
        <w:t>（三）一般公共预算财政拨款支出决算具体情况</w:t>
      </w:r>
      <w:bookmarkEnd w:id="47"/>
    </w:p>
    <w:p>
      <w:pPr>
        <w:spacing w:line="600" w:lineRule="exact"/>
        <w:ind w:firstLine="643" w:firstLineChars="200"/>
        <w:outlineLvl w:val="2"/>
        <w:rPr>
          <w:rFonts w:ascii="仿宋" w:hAnsi="仿宋" w:eastAsia="仿宋"/>
          <w:sz w:val="32"/>
          <w:szCs w:val="32"/>
        </w:rPr>
      </w:pPr>
      <w:bookmarkStart w:id="48" w:name="_Toc15377213"/>
      <w:bookmarkStart w:id="49" w:name="_Toc15378460"/>
      <w:bookmarkStart w:id="50" w:name="_Toc15377444"/>
      <w:r>
        <w:rPr>
          <w:rFonts w:hint="eastAsia" w:ascii="仿宋" w:hAnsi="仿宋" w:eastAsia="仿宋"/>
          <w:b/>
          <w:sz w:val="32"/>
          <w:szCs w:val="32"/>
          <w:lang w:eastAsia="zh-CN"/>
        </w:rPr>
        <w:t>2024</w:t>
      </w:r>
      <w:r>
        <w:rPr>
          <w:rFonts w:hint="eastAsia" w:ascii="仿宋" w:hAnsi="仿宋" w:eastAsia="仿宋"/>
          <w:b/>
          <w:sz w:val="32"/>
          <w:szCs w:val="32"/>
        </w:rPr>
        <w:t>年度一般公共预算支出决算数为</w:t>
      </w:r>
      <w:r>
        <w:rPr>
          <w:rFonts w:hint="eastAsia" w:ascii="仿宋" w:hAnsi="仿宋" w:eastAsia="仿宋"/>
          <w:b/>
          <w:sz w:val="32"/>
          <w:szCs w:val="32"/>
          <w:lang w:val="en-US" w:eastAsia="zh-CN"/>
        </w:rPr>
        <w:t>644.17万元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48"/>
      <w:bookmarkEnd w:id="49"/>
      <w:bookmarkEnd w:id="50"/>
    </w:p>
    <w:p>
      <w:pP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1.</w:t>
      </w:r>
      <w:r>
        <w:rPr>
          <w:rFonts w:hint="eastAsia" w:ascii="仿宋" w:hAnsi="仿宋" w:eastAsia="仿宋" w:cs="仿宋"/>
          <w:sz w:val="32"/>
          <w:szCs w:val="32"/>
          <w:lang w:val="en-US" w:eastAsia="zh-CN"/>
        </w:rPr>
        <w:t>社会保障和就业支出（类）行政事业单位养老支出（款）机关事业单位基本养老保险缴费支出（项）：</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41.36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2.</w:t>
      </w:r>
      <w:r>
        <w:rPr>
          <w:rFonts w:hint="eastAsia" w:ascii="仿宋" w:hAnsi="仿宋" w:eastAsia="仿宋" w:cs="仿宋"/>
          <w:sz w:val="32"/>
          <w:szCs w:val="32"/>
          <w:lang w:val="en-US" w:eastAsia="zh-CN"/>
        </w:rPr>
        <w:t>社会保障和就业（类）行政事业单位养老支出（款）机关事业单位职业年金缴费支出（项）:</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w:t>
      </w:r>
      <w:r>
        <w:rPr>
          <w:rStyle w:val="18"/>
          <w:rFonts w:hint="eastAsia" w:ascii="仿宋" w:hAnsi="仿宋" w:eastAsia="仿宋"/>
          <w:b w:val="0"/>
          <w:bCs/>
          <w:color w:val="auto"/>
          <w:sz w:val="32"/>
          <w:szCs w:val="32"/>
          <w:highlight w:val="none"/>
          <w:lang w:val="en-US" w:eastAsia="zh-CN"/>
        </w:rPr>
        <w:t>20.68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ascii="仿宋" w:hAnsi="仿宋" w:eastAsia="仿宋"/>
          <w:bCs/>
          <w:color w:val="auto"/>
          <w:sz w:val="32"/>
          <w:szCs w:val="32"/>
          <w:highlight w:val="none"/>
        </w:rPr>
        <w:t>3.</w:t>
      </w:r>
      <w:r>
        <w:rPr>
          <w:rFonts w:hint="eastAsia" w:ascii="仿宋" w:hAnsi="仿宋" w:eastAsia="仿宋" w:cs="Times New Roman"/>
          <w:b w:val="0"/>
          <w:bCs/>
          <w:sz w:val="32"/>
          <w:szCs w:val="32"/>
          <w:lang w:val="en-US" w:eastAsia="zh-CN"/>
        </w:rPr>
        <w:t>社会保障和就业支出（</w:t>
      </w:r>
      <w:r>
        <w:rPr>
          <w:rFonts w:hint="eastAsia" w:ascii="仿宋" w:hAnsi="仿宋" w:eastAsia="仿宋" w:cs="仿宋"/>
          <w:sz w:val="32"/>
          <w:szCs w:val="32"/>
          <w:lang w:val="en-US" w:eastAsia="zh-CN"/>
        </w:rPr>
        <w:t>类</w:t>
      </w:r>
      <w:r>
        <w:rPr>
          <w:rFonts w:hint="eastAsia" w:ascii="仿宋" w:hAnsi="仿宋" w:eastAsia="仿宋" w:cs="Times New Roman"/>
          <w:b w:val="0"/>
          <w:bCs/>
          <w:sz w:val="32"/>
          <w:szCs w:val="32"/>
          <w:lang w:val="en-US" w:eastAsia="zh-CN"/>
        </w:rPr>
        <w:t>）行政事业单位养老支出（</w:t>
      </w:r>
      <w:r>
        <w:rPr>
          <w:rFonts w:hint="eastAsia" w:ascii="仿宋" w:hAnsi="仿宋" w:eastAsia="仿宋" w:cs="仿宋"/>
          <w:sz w:val="32"/>
          <w:szCs w:val="32"/>
          <w:lang w:val="en-US" w:eastAsia="zh-CN"/>
        </w:rPr>
        <w:t>款</w:t>
      </w:r>
      <w:r>
        <w:rPr>
          <w:rFonts w:hint="eastAsia" w:ascii="仿宋" w:hAnsi="仿宋" w:eastAsia="仿宋" w:cs="Times New Roman"/>
          <w:b w:val="0"/>
          <w:bCs/>
          <w:sz w:val="32"/>
          <w:szCs w:val="32"/>
          <w:lang w:val="en-US" w:eastAsia="zh-CN"/>
        </w:rPr>
        <w:t>）其他行政事业单位养老支出（</w:t>
      </w:r>
      <w:r>
        <w:rPr>
          <w:rFonts w:hint="eastAsia" w:ascii="仿宋" w:hAnsi="仿宋" w:eastAsia="仿宋" w:cs="仿宋"/>
          <w:sz w:val="32"/>
          <w:szCs w:val="32"/>
          <w:lang w:val="en-US" w:eastAsia="zh-CN"/>
        </w:rPr>
        <w:t>项</w:t>
      </w:r>
      <w:r>
        <w:rPr>
          <w:rFonts w:hint="eastAsia" w:ascii="仿宋" w:hAnsi="仿宋" w:eastAsia="仿宋" w:cs="Times New Roman"/>
          <w:b w:val="0"/>
          <w:bCs/>
          <w:sz w:val="32"/>
          <w:szCs w:val="32"/>
          <w:lang w:val="en-US" w:eastAsia="zh-CN"/>
        </w:rPr>
        <w:t>）</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ascii="仿宋" w:hAnsi="仿宋" w:eastAsia="仿宋"/>
          <w:bCs/>
          <w:color w:val="auto"/>
          <w:sz w:val="32"/>
          <w:szCs w:val="32"/>
          <w:highlight w:val="none"/>
        </w:rPr>
        <w:t>4.</w:t>
      </w:r>
      <w:r>
        <w:rPr>
          <w:rFonts w:hint="eastAsia" w:ascii="仿宋" w:hAnsi="仿宋" w:eastAsia="仿宋" w:cs="仿宋"/>
          <w:sz w:val="32"/>
          <w:szCs w:val="32"/>
          <w:lang w:val="en-US" w:eastAsia="zh-CN"/>
        </w:rPr>
        <w:t>社会保障和就业支出（类）残疾人事业（款） 残疾人就业（项）:</w:t>
      </w:r>
      <w:r>
        <w:rPr>
          <w:rStyle w:val="18"/>
          <w:rFonts w:hint="eastAsia" w:ascii="仿宋" w:hAnsi="仿宋" w:eastAsia="仿宋" w:cs="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4.36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Fonts w:hint="eastAsia"/>
        </w:rPr>
      </w:pPr>
      <w:r>
        <w:rPr>
          <w:rStyle w:val="18"/>
          <w:rFonts w:hint="eastAsia" w:ascii="仿宋" w:hAnsi="仿宋" w:eastAsia="仿宋"/>
          <w:bCs/>
          <w:color w:val="auto"/>
          <w:sz w:val="32"/>
          <w:szCs w:val="32"/>
          <w:highlight w:val="none"/>
          <w:lang w:val="en-US" w:eastAsia="zh-CN"/>
        </w:rPr>
        <w:t>5</w:t>
      </w:r>
      <w:r>
        <w:rPr>
          <w:rStyle w:val="18"/>
          <w:rFonts w:ascii="仿宋" w:hAnsi="仿宋" w:eastAsia="仿宋"/>
          <w:bCs/>
          <w:color w:val="auto"/>
          <w:sz w:val="32"/>
          <w:szCs w:val="32"/>
          <w:highlight w:val="none"/>
        </w:rPr>
        <w:t>.</w:t>
      </w:r>
      <w:r>
        <w:rPr>
          <w:rFonts w:hint="eastAsia" w:ascii="仿宋" w:hAnsi="仿宋" w:eastAsia="仿宋" w:cs="仿宋"/>
          <w:sz w:val="32"/>
          <w:szCs w:val="32"/>
          <w:lang w:val="en-US" w:eastAsia="zh-CN"/>
        </w:rPr>
        <w:t>社会保障和就业支出（类）其他社会保障和就业支出（款） 其他社会保障和就业支出（项）:</w:t>
      </w:r>
      <w:r>
        <w:rPr>
          <w:rStyle w:val="18"/>
          <w:rFonts w:hint="eastAsia" w:ascii="仿宋" w:hAnsi="仿宋" w:eastAsia="仿宋" w:cs="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43.4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6</w:t>
      </w:r>
      <w:r>
        <w:rPr>
          <w:rStyle w:val="18"/>
          <w:rFonts w:ascii="仿宋" w:hAnsi="仿宋" w:eastAsia="仿宋"/>
          <w:bCs/>
          <w:color w:val="auto"/>
          <w:sz w:val="32"/>
          <w:szCs w:val="32"/>
          <w:highlight w:val="none"/>
        </w:rPr>
        <w:t>.</w:t>
      </w:r>
      <w:r>
        <w:rPr>
          <w:rFonts w:hint="eastAsia" w:ascii="仿宋" w:hAnsi="仿宋" w:eastAsia="仿宋" w:cs="仿宋"/>
          <w:sz w:val="32"/>
          <w:szCs w:val="32"/>
          <w:lang w:val="en-US" w:eastAsia="zh-CN"/>
        </w:rPr>
        <w:t>卫生健康支出（类）公共卫生（款）疾病预防控制机构（项）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w:t>
      </w:r>
      <w:r>
        <w:rPr>
          <w:rStyle w:val="18"/>
          <w:rFonts w:hint="eastAsia" w:ascii="仿宋" w:hAnsi="仿宋" w:eastAsia="仿宋"/>
          <w:b w:val="0"/>
          <w:bCs/>
          <w:color w:val="auto"/>
          <w:sz w:val="32"/>
          <w:szCs w:val="32"/>
          <w:highlight w:val="none"/>
          <w:lang w:val="en-US" w:eastAsia="zh-CN"/>
        </w:rPr>
        <w:t>351.65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7</w:t>
      </w:r>
      <w:r>
        <w:rPr>
          <w:rStyle w:val="18"/>
          <w:rFonts w:ascii="仿宋" w:hAnsi="仿宋" w:eastAsia="仿宋"/>
          <w:bCs/>
          <w:color w:val="auto"/>
          <w:sz w:val="32"/>
          <w:szCs w:val="32"/>
          <w:highlight w:val="none"/>
        </w:rPr>
        <w:t>.</w:t>
      </w:r>
      <w:r>
        <w:rPr>
          <w:rFonts w:hint="eastAsia" w:ascii="仿宋" w:hAnsi="仿宋" w:eastAsia="仿宋" w:cs="仿宋"/>
          <w:sz w:val="32"/>
          <w:szCs w:val="32"/>
          <w:lang w:val="en-US" w:eastAsia="zh-CN"/>
        </w:rPr>
        <w:t>卫生健康支出（类）公共卫生（款） 基本公共卫生服务（项）：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18.65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0" w:firstLineChars="200"/>
        <w:rPr>
          <w:rStyle w:val="18"/>
          <w:rFonts w:hint="eastAsia" w:ascii="仿宋" w:hAnsi="仿宋" w:eastAsia="仿宋"/>
          <w:b w:val="0"/>
          <w:bCs/>
          <w:color w:val="auto"/>
          <w:sz w:val="32"/>
          <w:szCs w:val="32"/>
          <w:highlight w:val="none"/>
          <w:lang w:val="en-US" w:eastAsia="zh-CN"/>
        </w:rPr>
      </w:pPr>
      <w:r>
        <w:rPr>
          <w:rFonts w:hint="eastAsia" w:ascii="仿宋" w:hAnsi="仿宋" w:eastAsia="仿宋"/>
          <w:color w:val="auto"/>
          <w:sz w:val="32"/>
          <w:szCs w:val="32"/>
          <w:highlight w:val="none"/>
          <w:lang w:val="en-US" w:eastAsia="zh-CN"/>
        </w:rPr>
        <w:t>8.</w:t>
      </w:r>
      <w:r>
        <w:rPr>
          <w:rFonts w:hint="eastAsia" w:ascii="仿宋" w:hAnsi="仿宋" w:eastAsia="仿宋" w:cs="仿宋"/>
          <w:sz w:val="32"/>
          <w:szCs w:val="32"/>
          <w:lang w:val="en-US" w:eastAsia="zh-CN"/>
        </w:rPr>
        <w:t>卫生健康支出（类）公共卫生（款） 重大公共卫生服务（项）：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61.63</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 xml:space="preserve">       </w:t>
      </w:r>
    </w:p>
    <w:p>
      <w:pPr>
        <w:spacing w:line="600" w:lineRule="exact"/>
        <w:ind w:firstLine="640" w:firstLineChars="200"/>
        <w:rPr>
          <w:rStyle w:val="18"/>
          <w:rFonts w:hint="eastAsia" w:ascii="仿宋" w:hAnsi="仿宋" w:eastAsia="仿宋"/>
          <w:b w:val="0"/>
          <w:bCs/>
          <w:color w:val="auto"/>
          <w:sz w:val="32"/>
          <w:szCs w:val="32"/>
          <w:highlight w:val="none"/>
        </w:rPr>
      </w:pPr>
      <w:r>
        <w:rPr>
          <w:rStyle w:val="18"/>
          <w:rFonts w:hint="eastAsia" w:ascii="仿宋" w:hAnsi="仿宋" w:eastAsia="仿宋"/>
          <w:b w:val="0"/>
          <w:bCs/>
          <w:color w:val="auto"/>
          <w:sz w:val="32"/>
          <w:szCs w:val="32"/>
          <w:highlight w:val="none"/>
          <w:lang w:val="en-US" w:eastAsia="zh-CN"/>
        </w:rPr>
        <w:t>9.</w:t>
      </w:r>
      <w:r>
        <w:rPr>
          <w:rFonts w:hint="eastAsia" w:ascii="仿宋" w:hAnsi="仿宋" w:eastAsia="仿宋" w:cs="仿宋"/>
          <w:sz w:val="32"/>
          <w:szCs w:val="32"/>
          <w:lang w:val="en-US" w:eastAsia="zh-CN"/>
        </w:rPr>
        <w:t>卫生健康支出（类）公共卫生（款）其他公共卫生支出（项）：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18.97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Style w:val="9"/>
        <w:ind w:firstLine="640" w:firstLineChars="200"/>
        <w:rPr>
          <w:rFonts w:hint="eastAsia"/>
          <w:lang w:val="en-US" w:eastAsia="zh-CN"/>
        </w:rPr>
      </w:pPr>
      <w:r>
        <w:rPr>
          <w:rStyle w:val="18"/>
          <w:rFonts w:hint="eastAsia" w:ascii="仿宋" w:hAnsi="仿宋" w:eastAsia="仿宋"/>
          <w:b w:val="0"/>
          <w:bCs/>
          <w:color w:val="auto"/>
          <w:sz w:val="32"/>
          <w:szCs w:val="32"/>
          <w:highlight w:val="none"/>
          <w:lang w:val="en-US" w:eastAsia="zh-CN"/>
        </w:rPr>
        <w:t>10.</w:t>
      </w:r>
      <w:r>
        <w:rPr>
          <w:rFonts w:hint="eastAsia"/>
          <w:lang w:val="en-US" w:eastAsia="zh-CN"/>
        </w:rPr>
        <w:t>卫生健康支出（</w:t>
      </w:r>
      <w:r>
        <w:rPr>
          <w:rFonts w:hint="eastAsia" w:ascii="仿宋" w:hAnsi="仿宋" w:eastAsia="仿宋" w:cs="仿宋"/>
          <w:sz w:val="32"/>
          <w:szCs w:val="32"/>
          <w:lang w:val="en-US" w:eastAsia="zh-CN"/>
        </w:rPr>
        <w:t>类</w:t>
      </w:r>
      <w:r>
        <w:rPr>
          <w:rFonts w:hint="eastAsia"/>
          <w:lang w:val="en-US" w:eastAsia="zh-CN"/>
        </w:rPr>
        <w:t>）行政事业单位医疗（</w:t>
      </w:r>
      <w:r>
        <w:rPr>
          <w:rFonts w:hint="eastAsia" w:ascii="仿宋" w:hAnsi="仿宋" w:eastAsia="仿宋" w:cs="仿宋"/>
          <w:sz w:val="32"/>
          <w:szCs w:val="32"/>
          <w:lang w:val="en-US" w:eastAsia="zh-CN"/>
        </w:rPr>
        <w:t>款</w:t>
      </w:r>
      <w:r>
        <w:rPr>
          <w:rFonts w:hint="eastAsia"/>
          <w:lang w:val="en-US" w:eastAsia="zh-CN"/>
        </w:rPr>
        <w:t>）事业单位医疗（</w:t>
      </w:r>
      <w:r>
        <w:rPr>
          <w:rFonts w:hint="eastAsia" w:ascii="仿宋" w:hAnsi="仿宋" w:eastAsia="仿宋" w:cs="仿宋"/>
          <w:sz w:val="32"/>
          <w:szCs w:val="32"/>
          <w:lang w:val="en-US" w:eastAsia="zh-CN"/>
        </w:rPr>
        <w:t>项</w:t>
      </w:r>
      <w:r>
        <w:rPr>
          <w:rFonts w:hint="eastAsia"/>
          <w:lang w:val="en-US"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15.77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Style w:val="9"/>
        <w:ind w:firstLine="640" w:firstLineChars="200"/>
        <w:rPr>
          <w:rStyle w:val="18"/>
          <w:rFonts w:hint="eastAsia" w:ascii="仿宋" w:hAnsi="仿宋" w:eastAsia="仿宋"/>
          <w:b w:val="0"/>
          <w:bCs/>
          <w:color w:val="auto"/>
          <w:sz w:val="32"/>
          <w:szCs w:val="32"/>
          <w:highlight w:val="none"/>
        </w:rPr>
      </w:pPr>
      <w:r>
        <w:rPr>
          <w:rFonts w:hint="eastAsia" w:ascii="仿宋" w:hAnsi="仿宋" w:eastAsia="仿宋" w:cs="仿宋"/>
          <w:sz w:val="32"/>
          <w:szCs w:val="32"/>
          <w:lang w:val="en-US" w:eastAsia="zh-CN"/>
        </w:rPr>
        <w:t>11.卫生健康支出（类）行政事业单位医疗（款）公务员医疗补助（项）: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1.8</w:t>
      </w:r>
      <w:r>
        <w:rPr>
          <w:rStyle w:val="18"/>
          <w:rFonts w:hint="eastAsia" w:ascii="仿宋" w:hAnsi="仿宋" w:eastAsia="仿宋"/>
          <w:b w:val="0"/>
          <w:bCs/>
          <w:color w:val="auto"/>
          <w:sz w:val="32"/>
          <w:szCs w:val="32"/>
          <w:highlight w:val="none"/>
        </w:rPr>
        <w:t>万元</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Style w:val="9"/>
        <w:ind w:firstLine="640" w:firstLineChars="200"/>
        <w:rPr>
          <w:rFonts w:hint="default" w:eastAsia="仿宋"/>
          <w:lang w:val="en-US" w:eastAsia="zh-CN"/>
        </w:rPr>
      </w:pPr>
      <w:r>
        <w:rPr>
          <w:rStyle w:val="18"/>
          <w:rFonts w:hint="eastAsia" w:ascii="仿宋" w:hAnsi="仿宋" w:eastAsia="仿宋"/>
          <w:b w:val="0"/>
          <w:bCs/>
          <w:color w:val="auto"/>
          <w:sz w:val="32"/>
          <w:szCs w:val="32"/>
          <w:highlight w:val="none"/>
          <w:lang w:val="en-US" w:eastAsia="zh-CN"/>
        </w:rPr>
        <w:t>12.</w:t>
      </w:r>
      <w:r>
        <w:rPr>
          <w:rFonts w:hint="eastAsia" w:ascii="仿宋" w:hAnsi="仿宋" w:eastAsia="仿宋" w:cs="仿宋"/>
          <w:sz w:val="32"/>
          <w:szCs w:val="32"/>
          <w:lang w:val="en-US" w:eastAsia="zh-CN"/>
        </w:rPr>
        <w:t>卫生健康支出（类）疾病预防控制事务（款）其他疾病预防控制事务支出（项）: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14.8</w:t>
      </w:r>
      <w:r>
        <w:rPr>
          <w:rStyle w:val="18"/>
          <w:rFonts w:hint="eastAsia" w:ascii="仿宋" w:hAnsi="仿宋" w:eastAsia="仿宋"/>
          <w:b w:val="0"/>
          <w:bCs/>
          <w:color w:val="auto"/>
          <w:sz w:val="32"/>
          <w:szCs w:val="32"/>
          <w:highlight w:val="none"/>
        </w:rPr>
        <w:t>万元</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Style w:val="9"/>
        <w:ind w:firstLine="600" w:firstLineChars="200"/>
        <w:rPr>
          <w:rStyle w:val="18"/>
          <w:rFonts w:hint="eastAsia" w:ascii="仿宋" w:hAnsi="仿宋" w:eastAsia="仿宋"/>
          <w:b w:val="0"/>
          <w:bCs/>
          <w:color w:val="auto"/>
          <w:sz w:val="32"/>
          <w:szCs w:val="32"/>
          <w:highlight w:val="none"/>
        </w:rPr>
      </w:pPr>
      <w:r>
        <w:rPr>
          <w:rFonts w:hint="default"/>
          <w:lang w:eastAsia="zh-CN"/>
        </w:rPr>
        <w:t>1</w:t>
      </w:r>
      <w:r>
        <w:rPr>
          <w:rFonts w:hint="eastAsia"/>
          <w:lang w:val="en-US" w:eastAsia="zh-CN"/>
        </w:rPr>
        <w:t>3</w:t>
      </w:r>
      <w:r>
        <w:rPr>
          <w:rFonts w:hint="default"/>
          <w:lang w:eastAsia="zh-CN"/>
        </w:rPr>
        <w:t>.</w:t>
      </w:r>
      <w:r>
        <w:rPr>
          <w:rFonts w:hint="eastAsia"/>
          <w:lang w:val="en-US" w:eastAsia="zh-CN"/>
        </w:rPr>
        <w:t>卫生健康支出（</w:t>
      </w:r>
      <w:r>
        <w:rPr>
          <w:rFonts w:hint="eastAsia" w:ascii="仿宋" w:hAnsi="仿宋" w:eastAsia="仿宋" w:cs="仿宋"/>
          <w:sz w:val="32"/>
          <w:szCs w:val="32"/>
          <w:lang w:val="en-US" w:eastAsia="zh-CN"/>
        </w:rPr>
        <w:t>类</w:t>
      </w:r>
      <w:r>
        <w:rPr>
          <w:rFonts w:hint="eastAsia"/>
          <w:lang w:val="en-US" w:eastAsia="zh-CN"/>
        </w:rPr>
        <w:t>）</w:t>
      </w:r>
      <w:r>
        <w:rPr>
          <w:rFonts w:hint="default"/>
          <w:lang w:eastAsia="zh-CN"/>
        </w:rPr>
        <w:t>其他卫生健康支出</w:t>
      </w:r>
      <w:r>
        <w:rPr>
          <w:rFonts w:hint="eastAsia"/>
          <w:lang w:val="en-US" w:eastAsia="zh-CN"/>
        </w:rPr>
        <w:t>（</w:t>
      </w:r>
      <w:r>
        <w:rPr>
          <w:rFonts w:hint="eastAsia" w:ascii="仿宋" w:hAnsi="仿宋" w:eastAsia="仿宋" w:cs="仿宋"/>
          <w:sz w:val="32"/>
          <w:szCs w:val="32"/>
          <w:lang w:val="en-US" w:eastAsia="zh-CN"/>
        </w:rPr>
        <w:t>款</w:t>
      </w:r>
      <w:r>
        <w:rPr>
          <w:rFonts w:hint="eastAsia"/>
          <w:lang w:val="en-US" w:eastAsia="zh-CN"/>
        </w:rPr>
        <w:t>）</w:t>
      </w:r>
      <w:r>
        <w:rPr>
          <w:rFonts w:hint="default"/>
          <w:lang w:eastAsia="zh-CN"/>
        </w:rPr>
        <w:t>其他卫生健康支出</w:t>
      </w:r>
      <w:r>
        <w:rPr>
          <w:rFonts w:hint="eastAsia"/>
          <w:lang w:val="en-US" w:eastAsia="zh-CN"/>
        </w:rPr>
        <w:t>（</w:t>
      </w:r>
      <w:r>
        <w:rPr>
          <w:rFonts w:hint="eastAsia" w:ascii="仿宋" w:hAnsi="仿宋" w:eastAsia="仿宋" w:cs="仿宋"/>
          <w:sz w:val="32"/>
          <w:szCs w:val="32"/>
          <w:lang w:val="en-US" w:eastAsia="zh-CN"/>
        </w:rPr>
        <w:t>项</w:t>
      </w:r>
      <w:r>
        <w:rPr>
          <w:rFonts w:hint="eastAsia"/>
          <w:lang w:val="en-US"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12.11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Style w:val="9"/>
        <w:ind w:firstLine="640" w:firstLineChars="200"/>
        <w:rPr>
          <w:rStyle w:val="18"/>
          <w:rFonts w:hint="eastAsia" w:ascii="仿宋" w:hAnsi="仿宋" w:eastAsia="仿宋"/>
          <w:b w:val="0"/>
          <w:bCs/>
          <w:color w:val="auto"/>
          <w:sz w:val="32"/>
          <w:szCs w:val="32"/>
          <w:highlight w:val="none"/>
        </w:rPr>
      </w:pPr>
      <w:r>
        <w:rPr>
          <w:rStyle w:val="18"/>
          <w:rFonts w:hint="default" w:ascii="仿宋" w:hAnsi="仿宋" w:eastAsia="仿宋"/>
          <w:b w:val="0"/>
          <w:bCs/>
          <w:color w:val="auto"/>
          <w:sz w:val="32"/>
          <w:szCs w:val="32"/>
          <w:highlight w:val="none"/>
        </w:rPr>
        <w:t>1</w:t>
      </w:r>
      <w:r>
        <w:rPr>
          <w:rStyle w:val="18"/>
          <w:rFonts w:hint="eastAsia" w:ascii="仿宋" w:hAnsi="仿宋" w:eastAsia="仿宋"/>
          <w:b w:val="0"/>
          <w:bCs/>
          <w:color w:val="auto"/>
          <w:sz w:val="32"/>
          <w:szCs w:val="32"/>
          <w:highlight w:val="none"/>
          <w:lang w:val="en-US" w:eastAsia="zh-CN"/>
        </w:rPr>
        <w:t>4.</w:t>
      </w:r>
      <w:r>
        <w:rPr>
          <w:rFonts w:hint="eastAsia" w:ascii="仿宋" w:hAnsi="仿宋" w:eastAsia="仿宋" w:cs="仿宋"/>
          <w:sz w:val="32"/>
          <w:szCs w:val="32"/>
          <w:lang w:val="en-US" w:eastAsia="zh-CN"/>
        </w:rPr>
        <w:t>住房保障支出（类）住房改革支出（款） 住房公积金（项）:</w:t>
      </w:r>
      <w:r>
        <w:rPr>
          <w:rStyle w:val="18"/>
          <w:rFonts w:hint="eastAsia" w:ascii="仿宋" w:hAnsi="仿宋" w:eastAsia="仿宋"/>
          <w:b w:val="0"/>
          <w:bCs/>
          <w:color w:val="auto"/>
          <w:sz w:val="32"/>
          <w:szCs w:val="32"/>
          <w:highlight w:val="none"/>
        </w:rPr>
        <w:t>支出决算</w:t>
      </w:r>
      <w:r>
        <w:rPr>
          <w:rStyle w:val="18"/>
          <w:rFonts w:hint="eastAsia" w:ascii="仿宋" w:hAnsi="仿宋" w:eastAsia="仿宋"/>
          <w:b w:val="0"/>
          <w:bCs/>
          <w:color w:val="auto"/>
          <w:sz w:val="32"/>
          <w:szCs w:val="32"/>
          <w:highlight w:val="none"/>
          <w:lang w:val="en-US" w:eastAsia="zh-CN"/>
        </w:rPr>
        <w:t>36.59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30"/>
        </w:rPr>
      </w:pPr>
      <w:bookmarkStart w:id="51" w:name="_Toc15377214"/>
      <w:bookmarkStart w:id="52" w:name="_Toc12711_WPSOffice_Level2"/>
      <w:bookmarkStart w:id="53" w:name="_Toc15396608"/>
      <w:bookmarkStart w:id="54" w:name="_Toc1493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51"/>
      <w:bookmarkEnd w:id="52"/>
      <w:bookmarkEnd w:id="53"/>
      <w:bookmarkEnd w:id="54"/>
      <w:r>
        <w:rPr>
          <w:rStyle w:val="30"/>
          <w:rFonts w:ascii="黑体" w:hAnsi="黑体" w:eastAsia="黑体"/>
          <w:b w:val="0"/>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474.48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5"/>
        <w:rPr>
          <w:rFonts w:ascii="仿宋" w:hAnsi="仿宋" w:eastAsia="仿宋"/>
          <w:b/>
          <w:sz w:val="32"/>
          <w:szCs w:val="32"/>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437.24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37.24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30"/>
          <w:rFonts w:ascii="黑体" w:hAnsi="黑体" w:eastAsia="黑体"/>
          <w:b w:val="0"/>
        </w:rPr>
      </w:pPr>
      <w:bookmarkStart w:id="55" w:name="_Toc15396609"/>
      <w:bookmarkStart w:id="56" w:name="_Toc15377215"/>
      <w:bookmarkStart w:id="57" w:name="_Toc5660_WPSOffice_Level2"/>
      <w:bookmarkStart w:id="58" w:name="_Toc9144"/>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55"/>
      <w:bookmarkEnd w:id="56"/>
      <w:bookmarkEnd w:id="57"/>
      <w:bookmarkEnd w:id="58"/>
    </w:p>
    <w:p>
      <w:pPr>
        <w:spacing w:line="600" w:lineRule="exact"/>
        <w:ind w:firstLine="640"/>
        <w:outlineLvl w:val="2"/>
        <w:rPr>
          <w:rFonts w:ascii="仿宋" w:hAnsi="仿宋" w:eastAsia="仿宋"/>
          <w:b/>
          <w:sz w:val="32"/>
          <w:szCs w:val="32"/>
        </w:rPr>
      </w:pPr>
      <w:bookmarkStart w:id="59" w:name="_Toc15377216"/>
      <w:r>
        <w:rPr>
          <w:rFonts w:hint="eastAsia" w:ascii="仿宋" w:hAnsi="仿宋" w:eastAsia="仿宋"/>
          <w:b/>
          <w:sz w:val="32"/>
          <w:szCs w:val="32"/>
        </w:rPr>
        <w:t>（一）“三公”经费财政拨款支出决算总体情况说明</w:t>
      </w:r>
      <w:bookmarkEnd w:id="59"/>
    </w:p>
    <w:p>
      <w:pPr>
        <w:spacing w:line="600" w:lineRule="exact"/>
        <w:ind w:firstLine="64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年度“三公”经费财政拨款支出决算为</w:t>
      </w:r>
      <w:r>
        <w:rPr>
          <w:rFonts w:ascii="仿宋" w:hAnsi="仿宋" w:eastAsia="仿宋"/>
          <w:b/>
          <w:sz w:val="32"/>
          <w:szCs w:val="32"/>
        </w:rPr>
        <w:t>7</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0.05</w:t>
      </w:r>
      <w:r>
        <w:rPr>
          <w:rFonts w:hint="eastAsia" w:ascii="仿宋" w:hAnsi="仿宋" w:eastAsia="仿宋"/>
          <w:sz w:val="32"/>
          <w:szCs w:val="32"/>
        </w:rPr>
        <w:t>万元，下降</w:t>
      </w:r>
      <w:r>
        <w:rPr>
          <w:rFonts w:hint="eastAsia" w:ascii="仿宋" w:hAnsi="仿宋" w:eastAsia="仿宋"/>
          <w:sz w:val="32"/>
          <w:szCs w:val="32"/>
          <w:lang w:val="en-US" w:eastAsia="zh-CN"/>
        </w:rPr>
        <w:t>0.7</w:t>
      </w:r>
      <w:r>
        <w:rPr>
          <w:rFonts w:hint="eastAsia" w:ascii="仿宋" w:hAnsi="仿宋" w:eastAsia="仿宋"/>
          <w:sz w:val="32"/>
          <w:szCs w:val="32"/>
        </w:rPr>
        <w:t>%。预算数持平的主要原因是</w:t>
      </w:r>
      <w:r>
        <w:rPr>
          <w:rFonts w:hint="eastAsia" w:ascii="仿宋" w:hAnsi="仿宋" w:eastAsia="仿宋"/>
          <w:sz w:val="32"/>
          <w:szCs w:val="32"/>
          <w:lang w:val="en-US" w:eastAsia="zh-CN"/>
        </w:rPr>
        <w:t>例行节约</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60" w:name="_Toc15377217"/>
      <w:r>
        <w:rPr>
          <w:rFonts w:hint="eastAsia" w:ascii="仿宋" w:hAnsi="仿宋" w:eastAsia="仿宋"/>
          <w:b/>
          <w:sz w:val="32"/>
          <w:szCs w:val="32"/>
        </w:rPr>
        <w:t>（二）“三公”经费财政拨款支出决算具体情况说明</w:t>
      </w:r>
      <w:bookmarkEnd w:id="60"/>
    </w:p>
    <w:p>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6.</w:t>
      </w:r>
      <w:r>
        <w:rPr>
          <w:rFonts w:hint="eastAsia" w:ascii="仿宋" w:hAnsi="仿宋" w:eastAsia="仿宋"/>
          <w:b/>
          <w:sz w:val="32"/>
          <w:szCs w:val="32"/>
          <w:lang w:val="en-US" w:eastAsia="zh-CN"/>
        </w:rPr>
        <w:t>02</w:t>
      </w:r>
      <w:r>
        <w:rPr>
          <w:rFonts w:hint="eastAsia" w:ascii="仿宋" w:hAnsi="仿宋" w:eastAsia="仿宋"/>
          <w:sz w:val="32"/>
          <w:szCs w:val="32"/>
        </w:rPr>
        <w:t>万元，占</w:t>
      </w:r>
      <w:r>
        <w:rPr>
          <w:rFonts w:ascii="仿宋" w:hAnsi="仿宋" w:eastAsia="仿宋"/>
          <w:b/>
          <w:sz w:val="32"/>
          <w:szCs w:val="32"/>
        </w:rPr>
        <w:t>8</w:t>
      </w:r>
      <w:r>
        <w:rPr>
          <w:rFonts w:hint="eastAsia" w:ascii="仿宋" w:hAnsi="仿宋" w:eastAsia="仿宋"/>
          <w:b/>
          <w:sz w:val="32"/>
          <w:szCs w:val="32"/>
          <w:lang w:val="en-US" w:eastAsia="zh-CN"/>
        </w:rPr>
        <w:t>6</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0.9</w:t>
      </w:r>
      <w:r>
        <w:rPr>
          <w:rFonts w:hint="eastAsia" w:ascii="仿宋" w:hAnsi="仿宋" w:eastAsia="仿宋"/>
          <w:b/>
          <w:sz w:val="32"/>
          <w:szCs w:val="32"/>
          <w:lang w:val="en-US" w:eastAsia="zh-CN"/>
        </w:rPr>
        <w:t>8</w:t>
      </w:r>
      <w:r>
        <w:rPr>
          <w:rFonts w:hint="eastAsia" w:ascii="仿宋" w:hAnsi="仿宋" w:eastAsia="仿宋"/>
          <w:sz w:val="32"/>
          <w:szCs w:val="32"/>
        </w:rPr>
        <w:t>万元，占</w:t>
      </w:r>
      <w:r>
        <w:rPr>
          <w:rFonts w:ascii="仿宋" w:hAnsi="仿宋" w:eastAsia="仿宋"/>
          <w:b/>
          <w:sz w:val="32"/>
          <w:szCs w:val="32"/>
        </w:rPr>
        <w:t>1</w:t>
      </w:r>
      <w:r>
        <w:rPr>
          <w:rFonts w:hint="eastAsia" w:ascii="仿宋" w:hAnsi="仿宋" w:eastAsia="仿宋"/>
          <w:b/>
          <w:sz w:val="32"/>
          <w:szCs w:val="32"/>
          <w:lang w:val="en-US" w:eastAsia="zh-CN"/>
        </w:rPr>
        <w:t>4</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p>
    <w:p>
      <w:pPr>
        <w:pStyle w:val="3"/>
        <w:rPr>
          <w:rFonts w:hint="eastAsia"/>
          <w:lang w:eastAsia="zh-CN"/>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61" w:name="_Toc15396610"/>
      <w:bookmarkStart w:id="62"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w:t>
      </w:r>
      <w:r>
        <w:rPr>
          <w:rFonts w:hint="eastAsia" w:ascii="仿宋_GB2312" w:eastAsia="仿宋_GB2312"/>
          <w:sz w:val="32"/>
          <w:szCs w:val="32"/>
          <w:lang w:eastAsia="zh-CN"/>
        </w:rPr>
        <w:t>2023</w:t>
      </w:r>
      <w:r>
        <w:rPr>
          <w:rFonts w:hint="eastAsia" w:ascii="仿宋_GB2312" w:eastAsia="仿宋_GB2312"/>
          <w:sz w:val="32"/>
          <w:szCs w:val="32"/>
        </w:rPr>
        <w:t>年</w:t>
      </w:r>
      <w:r>
        <w:rPr>
          <w:rFonts w:hint="eastAsia" w:ascii="仿宋_GB2312" w:eastAsia="仿宋_GB2312"/>
          <w:sz w:val="32"/>
          <w:szCs w:val="32"/>
          <w:lang w:eastAsia="zh-CN"/>
        </w:rPr>
        <w:t>度</w:t>
      </w:r>
      <w:bookmarkStart w:id="116" w:name="_GoBack"/>
      <w:bookmarkEnd w:id="116"/>
      <w:r>
        <w:rPr>
          <w:rFonts w:hint="eastAsia" w:ascii="仿宋_GB2312" w:eastAsia="仿宋_GB2312"/>
          <w:sz w:val="32"/>
          <w:szCs w:val="32"/>
        </w:rPr>
        <w:t>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6.</w:t>
      </w:r>
      <w:r>
        <w:rPr>
          <w:rFonts w:hint="eastAsia" w:ascii="仿宋" w:hAnsi="仿宋" w:eastAsia="仿宋"/>
          <w:b/>
          <w:sz w:val="32"/>
          <w:szCs w:val="32"/>
          <w:lang w:val="en-US" w:eastAsia="zh-CN"/>
        </w:rPr>
        <w:t>02</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hint="eastAsia" w:ascii="仿宋_GB2312" w:eastAsia="仿宋_GB2312"/>
          <w:sz w:val="32"/>
          <w:szCs w:val="32"/>
          <w:lang w:eastAsia="zh-CN"/>
        </w:rPr>
        <w:t>2023</w:t>
      </w:r>
      <w:r>
        <w:rPr>
          <w:rFonts w:hint="eastAsia" w:ascii="仿宋_GB2312" w:eastAsia="仿宋_GB2312"/>
          <w:sz w:val="32"/>
          <w:szCs w:val="32"/>
        </w:rPr>
        <w:t>年度</w:t>
      </w:r>
      <w:r>
        <w:rPr>
          <w:rFonts w:hint="eastAsia" w:ascii="仿宋_GB2312" w:eastAsia="仿宋_GB2312"/>
          <w:sz w:val="32"/>
          <w:szCs w:val="32"/>
          <w:lang w:val="en-US" w:eastAsia="zh-CN"/>
        </w:rPr>
        <w:t>减少0.12</w:t>
      </w:r>
      <w:r>
        <w:rPr>
          <w:rFonts w:hint="eastAsia" w:ascii="仿宋_GB2312" w:eastAsia="仿宋_GB2312"/>
          <w:sz w:val="32"/>
          <w:szCs w:val="32"/>
        </w:rPr>
        <w:t>万元，</w:t>
      </w:r>
      <w:r>
        <w:rPr>
          <w:rFonts w:hint="eastAsia" w:ascii="仿宋_GB2312" w:eastAsia="仿宋_GB2312"/>
          <w:sz w:val="32"/>
          <w:szCs w:val="32"/>
          <w:lang w:val="en-US" w:eastAsia="zh-CN"/>
        </w:rPr>
        <w:t>降低1.95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公务用车次数减少</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hint="eastAsia" w:ascii="仿宋_GB2312" w:eastAsia="仿宋_GB2312"/>
          <w:sz w:val="32"/>
          <w:szCs w:val="32"/>
          <w:lang w:eastAsia="zh-CN"/>
        </w:rPr>
        <w:t>2024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color w:val="auto"/>
          <w:sz w:val="32"/>
          <w:szCs w:val="32"/>
          <w:highlight w:val="none"/>
          <w:lang w:eastAsia="zh-CN"/>
        </w:rPr>
        <w:t>其他车辆</w:t>
      </w:r>
      <w:r>
        <w:rPr>
          <w:rFonts w:hint="eastAsia" w:ascii="仿宋_GB2312" w:eastAsia="仿宋_GB2312"/>
          <w:color w:val="auto"/>
          <w:sz w:val="32"/>
          <w:szCs w:val="32"/>
          <w:highlight w:val="none"/>
          <w:lang w:val="en-US" w:eastAsia="zh-CN"/>
        </w:rPr>
        <w:t>3辆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6.</w:t>
      </w:r>
      <w:r>
        <w:rPr>
          <w:rFonts w:hint="eastAsia" w:ascii="仿宋" w:hAnsi="仿宋" w:eastAsia="仿宋"/>
          <w:b/>
          <w:sz w:val="32"/>
          <w:szCs w:val="32"/>
          <w:lang w:val="en-US" w:eastAsia="zh-CN"/>
        </w:rPr>
        <w:t>02</w:t>
      </w:r>
      <w:r>
        <w:rPr>
          <w:rFonts w:hint="eastAsia" w:ascii="仿宋_GB2312" w:eastAsia="仿宋_GB2312"/>
          <w:sz w:val="32"/>
          <w:szCs w:val="32"/>
        </w:rPr>
        <w:t>万元。主要用于</w:t>
      </w:r>
      <w:r>
        <w:rPr>
          <w:rFonts w:hint="eastAsia" w:ascii="仿宋_GB2312" w:eastAsia="仿宋_GB2312"/>
          <w:color w:val="auto"/>
          <w:sz w:val="32"/>
          <w:szCs w:val="32"/>
          <w:highlight w:val="none"/>
          <w:lang w:eastAsia="zh-CN"/>
        </w:rPr>
        <w:t>办公出行</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0.9</w:t>
      </w:r>
      <w:r>
        <w:rPr>
          <w:rFonts w:hint="eastAsia" w:ascii="仿宋" w:hAnsi="仿宋" w:eastAsia="仿宋"/>
          <w:b/>
          <w:sz w:val="32"/>
          <w:szCs w:val="32"/>
          <w:lang w:val="en-US" w:eastAsia="zh-CN"/>
        </w:rPr>
        <w:t>8</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hint="eastAsia" w:ascii="仿宋_GB2312" w:eastAsia="仿宋_GB2312"/>
          <w:sz w:val="32"/>
          <w:szCs w:val="32"/>
          <w:lang w:eastAsia="zh-CN"/>
        </w:rPr>
        <w:t>2023</w:t>
      </w:r>
      <w:r>
        <w:rPr>
          <w:rFonts w:hint="eastAsia" w:ascii="仿宋_GB2312" w:eastAsia="仿宋_GB2312"/>
          <w:sz w:val="32"/>
          <w:szCs w:val="32"/>
        </w:rPr>
        <w:t>年度</w:t>
      </w:r>
      <w:r>
        <w:rPr>
          <w:rFonts w:hint="eastAsia" w:ascii="仿宋_GB2312" w:eastAsia="仿宋_GB2312"/>
          <w:sz w:val="32"/>
          <w:szCs w:val="32"/>
          <w:lang w:val="en-US" w:eastAsia="zh-CN"/>
        </w:rPr>
        <w:t>增加0.07</w:t>
      </w:r>
      <w:r>
        <w:rPr>
          <w:rFonts w:hint="eastAsia" w:ascii="仿宋_GB2312" w:eastAsia="仿宋_GB2312"/>
          <w:sz w:val="32"/>
          <w:szCs w:val="32"/>
        </w:rPr>
        <w:t>万元，</w:t>
      </w:r>
      <w:r>
        <w:rPr>
          <w:rFonts w:hint="eastAsia" w:ascii="仿宋_GB2312" w:eastAsia="仿宋_GB2312"/>
          <w:sz w:val="32"/>
          <w:szCs w:val="32"/>
          <w:lang w:val="en-US" w:eastAsia="zh-CN"/>
        </w:rPr>
        <w:t>增长7.6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接待增加</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0.9</w:t>
      </w:r>
      <w:r>
        <w:rPr>
          <w:rFonts w:hint="eastAsia" w:ascii="仿宋" w:hAnsi="仿宋" w:eastAsia="仿宋"/>
          <w:b/>
          <w:sz w:val="32"/>
          <w:szCs w:val="32"/>
          <w:lang w:val="en-US" w:eastAsia="zh-CN"/>
        </w:rPr>
        <w:t>8</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25</w:t>
      </w:r>
      <w:r>
        <w:rPr>
          <w:rFonts w:hint="eastAsia" w:ascii="仿宋_GB2312" w:eastAsia="仿宋_GB2312"/>
          <w:sz w:val="32"/>
          <w:szCs w:val="32"/>
        </w:rPr>
        <w:t>批次，</w:t>
      </w:r>
      <w:r>
        <w:rPr>
          <w:rFonts w:hint="eastAsia" w:ascii="仿宋_GB2312" w:eastAsia="仿宋_GB2312"/>
          <w:sz w:val="32"/>
          <w:szCs w:val="32"/>
          <w:lang w:val="en-US" w:eastAsia="zh-CN"/>
        </w:rPr>
        <w:t>98</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0.98</w:t>
      </w:r>
      <w:r>
        <w:rPr>
          <w:rFonts w:hint="eastAsia" w:ascii="仿宋_GB2312" w:eastAsia="仿宋_GB2312"/>
          <w:sz w:val="32"/>
          <w:szCs w:val="32"/>
        </w:rPr>
        <w:t>万元，具体内容包括：</w:t>
      </w:r>
      <w:r>
        <w:rPr>
          <w:rFonts w:hint="eastAsia" w:ascii="仿宋" w:hAnsi="仿宋" w:eastAsia="仿宋" w:cs="Times New Roman"/>
          <w:color w:val="000000"/>
          <w:kern w:val="2"/>
          <w:sz w:val="32"/>
          <w:szCs w:val="32"/>
          <w:lang w:val="en-US" w:eastAsia="zh-CN" w:bidi="ar-SA"/>
        </w:rPr>
        <w:t>开展疾病预防各项事业工作</w:t>
      </w:r>
      <w:r>
        <w:rPr>
          <w:rFonts w:hint="eastAsia" w:ascii="仿宋_GB2312" w:eastAsia="仿宋_GB2312"/>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30"/>
          <w:rFonts w:ascii="黑体" w:hAnsi="黑体" w:eastAsia="黑体"/>
        </w:rPr>
      </w:pPr>
      <w:bookmarkStart w:id="63" w:name="_Toc4946_WPSOffice_Level2"/>
      <w:bookmarkStart w:id="64" w:name="_Toc12290"/>
      <w:r>
        <w:rPr>
          <w:rFonts w:hint="eastAsia" w:ascii="黑体" w:eastAsia="黑体"/>
          <w:sz w:val="32"/>
          <w:szCs w:val="32"/>
        </w:rPr>
        <w:t>八、</w:t>
      </w:r>
      <w:r>
        <w:rPr>
          <w:rStyle w:val="30"/>
          <w:rFonts w:hint="eastAsia" w:ascii="黑体" w:hAnsi="黑体" w:eastAsia="黑体"/>
          <w:b w:val="0"/>
        </w:rPr>
        <w:t>政府性基金预算支出决算情况说明</w:t>
      </w:r>
      <w:bookmarkEnd w:id="61"/>
      <w:bookmarkEnd w:id="62"/>
      <w:bookmarkEnd w:id="63"/>
      <w:bookmarkEnd w:id="64"/>
    </w:p>
    <w:p>
      <w:pPr>
        <w:spacing w:line="600" w:lineRule="exact"/>
        <w:ind w:firstLine="64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65" w:name="_Toc26334_WPSOffice_Level2"/>
      <w:bookmarkStart w:id="66" w:name="_Toc15377219"/>
      <w:bookmarkStart w:id="67" w:name="_Toc19191"/>
      <w:bookmarkStart w:id="68" w:name="_Toc15396611"/>
      <w:r>
        <w:rPr>
          <w:rStyle w:val="30"/>
          <w:rFonts w:hint="eastAsia" w:ascii="黑体" w:hAnsi="黑体" w:eastAsia="黑体"/>
          <w:b w:val="0"/>
        </w:rPr>
        <w:t>国有资本经营预算支出决算情况说明</w:t>
      </w:r>
      <w:bookmarkEnd w:id="65"/>
      <w:bookmarkEnd w:id="66"/>
      <w:bookmarkEnd w:id="67"/>
      <w:bookmarkEnd w:id="68"/>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lang w:eastAsia="zh-CN"/>
        </w:rPr>
        <w:t>2024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69" w:name="_Toc15377221"/>
      <w:bookmarkStart w:id="70" w:name="_Toc15396612"/>
      <w:bookmarkStart w:id="71" w:name="_Toc27104_WPSOffice_Level2"/>
      <w:bookmarkStart w:id="72" w:name="_Toc12048"/>
      <w:r>
        <w:rPr>
          <w:rStyle w:val="30"/>
          <w:rFonts w:hint="eastAsia" w:ascii="黑体" w:hAnsi="黑体" w:eastAsia="黑体"/>
          <w:b w:val="0"/>
        </w:rPr>
        <w:t>其他重要事项的情况说明</w:t>
      </w:r>
      <w:bookmarkEnd w:id="69"/>
      <w:bookmarkEnd w:id="70"/>
      <w:bookmarkEnd w:id="71"/>
      <w:bookmarkEnd w:id="72"/>
    </w:p>
    <w:p>
      <w:pPr>
        <w:spacing w:line="600" w:lineRule="exact"/>
        <w:ind w:firstLine="643" w:firstLineChars="200"/>
        <w:outlineLvl w:val="2"/>
        <w:rPr>
          <w:rFonts w:ascii="仿宋" w:hAnsi="仿宋" w:eastAsia="仿宋"/>
          <w:sz w:val="32"/>
          <w:szCs w:val="32"/>
        </w:rPr>
      </w:pPr>
      <w:bookmarkStart w:id="73" w:name="_Toc15377222"/>
      <w:r>
        <w:rPr>
          <w:rFonts w:hint="eastAsia" w:ascii="仿宋" w:hAnsi="仿宋" w:eastAsia="仿宋"/>
          <w:b/>
          <w:sz w:val="32"/>
          <w:szCs w:val="32"/>
        </w:rPr>
        <w:t>（一）机关运行经费支出情况</w:t>
      </w:r>
      <w:bookmarkEnd w:id="73"/>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w:t>
      </w:r>
      <w:r>
        <w:rPr>
          <w:rFonts w:ascii="仿宋_GB2312" w:eastAsia="仿宋_GB2312"/>
          <w:b/>
          <w:sz w:val="32"/>
          <w:szCs w:val="32"/>
        </w:rPr>
        <w:t>乐山市金口河区疾病预防控制中心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w:t>
      </w:r>
      <w:r>
        <w:rPr>
          <w:rFonts w:hint="eastAsia" w:ascii="仿宋_GB2312" w:eastAsia="仿宋_GB2312"/>
          <w:sz w:val="32"/>
          <w:szCs w:val="32"/>
          <w:lang w:eastAsia="zh-CN"/>
        </w:rPr>
        <w:t>2023</w:t>
      </w:r>
      <w:r>
        <w:rPr>
          <w:rFonts w:hint="eastAsia" w:ascii="仿宋_GB2312" w:eastAsia="仿宋_GB2312"/>
          <w:sz w:val="32"/>
          <w:szCs w:val="32"/>
        </w:rPr>
        <w:t>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5377223"/>
      <w:r>
        <w:rPr>
          <w:rFonts w:hint="eastAsia" w:ascii="仿宋" w:hAnsi="仿宋" w:eastAsia="仿宋"/>
          <w:b/>
          <w:sz w:val="32"/>
          <w:szCs w:val="32"/>
        </w:rPr>
        <w:t>（二）政府采购支出情况</w:t>
      </w:r>
      <w:bookmarkEnd w:id="74"/>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w:t>
      </w:r>
      <w:r>
        <w:rPr>
          <w:rFonts w:ascii="仿宋_GB2312" w:eastAsia="仿宋_GB2312"/>
          <w:b/>
          <w:sz w:val="32"/>
          <w:szCs w:val="32"/>
        </w:rPr>
        <w:t>乐山市金口河区疾病预防控制中心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5" w:name="_Toc15377224"/>
      <w:r>
        <w:rPr>
          <w:rFonts w:hint="eastAsia" w:ascii="仿宋" w:hAnsi="仿宋" w:eastAsia="仿宋"/>
          <w:b/>
          <w:sz w:val="32"/>
          <w:szCs w:val="32"/>
        </w:rPr>
        <w:t>（三）国有资产占有使用情况</w:t>
      </w:r>
      <w:bookmarkEnd w:id="7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eastAsia="zh-CN"/>
        </w:rPr>
        <w:t>2024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乐山市金口河区疾病预防控制中心</w:t>
      </w:r>
      <w:r>
        <w:rPr>
          <w:rFonts w:hint="eastAsia" w:ascii="仿宋_GB2312" w:eastAsia="仿宋_GB2312"/>
          <w:sz w:val="32"/>
          <w:szCs w:val="32"/>
        </w:rPr>
        <w:t>共有车辆</w:t>
      </w:r>
      <w:r>
        <w:rPr>
          <w:rFonts w:hint="eastAsia" w:ascii="仿宋_GB2312" w:eastAsia="仿宋_GB2312"/>
          <w:b/>
          <w:sz w:val="32"/>
          <w:szCs w:val="32"/>
        </w:rPr>
        <w:t>3</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3</w:t>
      </w:r>
      <w:r>
        <w:rPr>
          <w:rFonts w:hint="eastAsia" w:ascii="仿宋_GB2312" w:eastAsia="仿宋_GB2312"/>
          <w:sz w:val="32"/>
          <w:szCs w:val="32"/>
        </w:rPr>
        <w:t>辆，其他用车主要是用于</w:t>
      </w:r>
      <w:r>
        <w:rPr>
          <w:rFonts w:hint="eastAsia" w:ascii="仿宋_GB2312" w:eastAsia="仿宋_GB2312"/>
          <w:sz w:val="32"/>
          <w:szCs w:val="32"/>
          <w:lang w:val="en-US" w:eastAsia="zh-CN"/>
        </w:rPr>
        <w:t>开展疾病预防日常工作</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w:t>
      </w:r>
      <w:r>
        <w:rPr>
          <w:rFonts w:hint="eastAsia" w:ascii="仿宋_GB2312" w:eastAsia="仿宋_GB2312"/>
          <w:sz w:val="32"/>
          <w:szCs w:val="32"/>
          <w:lang w:eastAsia="zh-CN"/>
        </w:rPr>
        <w:t>2024</w:t>
      </w:r>
      <w:r>
        <w:rPr>
          <w:rFonts w:hint="eastAsia" w:ascii="仿宋_GB2312" w:eastAsia="仿宋_GB2312"/>
          <w:sz w:val="32"/>
          <w:szCs w:val="32"/>
        </w:rPr>
        <w:t>年度预算编制阶段，组织对公共卫生特别服务岗经费</w:t>
      </w:r>
      <w:r>
        <w:rPr>
          <w:rFonts w:hint="eastAsia" w:ascii="仿宋_GB2312" w:eastAsia="仿宋_GB2312"/>
          <w:sz w:val="32"/>
          <w:szCs w:val="32"/>
          <w:lang w:eastAsia="zh-CN"/>
        </w:rPr>
        <w:t>、</w:t>
      </w:r>
      <w:r>
        <w:rPr>
          <w:rFonts w:hint="eastAsia" w:ascii="仿宋_GB2312" w:eastAsia="仿宋_GB2312"/>
          <w:sz w:val="32"/>
          <w:szCs w:val="32"/>
        </w:rPr>
        <w:t>病媒生物监测工作经费</w:t>
      </w:r>
      <w:r>
        <w:rPr>
          <w:rFonts w:hint="eastAsia" w:ascii="仿宋_GB2312" w:eastAsia="仿宋_GB2312"/>
          <w:sz w:val="32"/>
          <w:szCs w:val="32"/>
          <w:lang w:eastAsia="zh-CN"/>
        </w:rPr>
        <w:t>、</w:t>
      </w:r>
      <w:r>
        <w:rPr>
          <w:rFonts w:hint="eastAsia" w:ascii="仿宋_GB2312" w:eastAsia="仿宋_GB2312"/>
          <w:sz w:val="32"/>
          <w:szCs w:val="32"/>
        </w:rPr>
        <w:t>卫生监测检验工作经费</w:t>
      </w:r>
      <w:r>
        <w:rPr>
          <w:rFonts w:hint="eastAsia" w:ascii="仿宋_GB2312" w:eastAsia="仿宋_GB2312"/>
          <w:sz w:val="32"/>
          <w:szCs w:val="32"/>
          <w:lang w:eastAsia="zh-CN"/>
        </w:rPr>
        <w:t>、</w:t>
      </w:r>
      <w:r>
        <w:rPr>
          <w:rFonts w:hint="eastAsia" w:ascii="仿宋_GB2312" w:eastAsia="仿宋_GB2312"/>
          <w:sz w:val="32"/>
          <w:szCs w:val="32"/>
        </w:rPr>
        <w:t>免疫规划项目经费</w:t>
      </w:r>
      <w:r>
        <w:rPr>
          <w:rFonts w:hint="eastAsia" w:ascii="仿宋_GB2312" w:eastAsia="仿宋_GB2312"/>
          <w:sz w:val="32"/>
          <w:szCs w:val="32"/>
          <w:lang w:eastAsia="zh-CN"/>
        </w:rPr>
        <w:t>、</w:t>
      </w:r>
      <w:r>
        <w:rPr>
          <w:rFonts w:hint="eastAsia" w:ascii="仿宋_GB2312" w:eastAsia="仿宋_GB2312"/>
          <w:sz w:val="32"/>
          <w:szCs w:val="32"/>
        </w:rPr>
        <w:t>基本公共卫生服务工作经费等</w:t>
      </w:r>
      <w:r>
        <w:rPr>
          <w:rFonts w:hint="eastAsia" w:ascii="仿宋_GB2312" w:eastAsia="仿宋_GB2312"/>
          <w:sz w:val="32"/>
          <w:szCs w:val="32"/>
          <w:lang w:val="en-US" w:eastAsia="zh-CN"/>
        </w:rPr>
        <w:t>7</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7</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7</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7</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9"/>
          <w:rFonts w:ascii="黑体" w:hAnsi="黑体" w:eastAsia="黑体"/>
          <w:b w:val="0"/>
        </w:rPr>
      </w:pPr>
      <w:bookmarkStart w:id="76" w:name="_Toc15377225"/>
      <w:bookmarkStart w:id="77" w:name="_Toc15396613"/>
      <w:bookmarkStart w:id="78" w:name="_Toc12638_WPSOffice_Level1"/>
      <w:bookmarkStart w:id="79" w:name="_Toc18057"/>
      <w:r>
        <w:rPr>
          <w:rFonts w:hint="eastAsia" w:ascii="黑体" w:hAnsi="黑体" w:eastAsia="黑体"/>
          <w:sz w:val="44"/>
          <w:szCs w:val="44"/>
        </w:rPr>
        <w:t>名</w:t>
      </w:r>
      <w:r>
        <w:rPr>
          <w:rStyle w:val="29"/>
          <w:rFonts w:hint="eastAsia" w:ascii="黑体" w:hAnsi="黑体" w:eastAsia="黑体"/>
          <w:b w:val="0"/>
        </w:rPr>
        <w:t>词解释</w:t>
      </w:r>
      <w:bookmarkEnd w:id="76"/>
      <w:bookmarkEnd w:id="77"/>
      <w:bookmarkEnd w:id="78"/>
      <w:bookmarkEnd w:id="79"/>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hint="eastAsia" w:ascii="仿宋_GB2312" w:eastAsia="仿宋_GB2312"/>
          <w:color w:val="auto"/>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color w:val="auto"/>
          <w:sz w:val="32"/>
          <w:szCs w:val="32"/>
          <w:highlight w:val="none"/>
          <w:lang w:val="en-US" w:eastAsia="zh-CN"/>
        </w:rPr>
        <w:t>社会保障和就业支出（类）行政事业单位养老支出（款）机关事业单位基本养老保险缴费支出（项）：反映机关事业单位实施养老保险制度由单位缴纳的基本养老保险费的支出</w:t>
      </w:r>
      <w:r>
        <w:rPr>
          <w:rFonts w:hint="eastAsia" w:ascii="仿宋_GB2312" w:eastAsia="仿宋_GB2312"/>
          <w:color w:val="auto"/>
          <w:sz w:val="32"/>
          <w:szCs w:val="32"/>
        </w:rPr>
        <w:t>。</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4.社会保障和就业支出（类）行政事业单位养老支出（款）机关事业单位职业年金缴费支出（项）：反映机关事业单位实施养老保险制度由单位实际缴纳的职业年金支出。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5.社会保障和就业支出（类）行政事业单位养老支出（款）其他行政事业单位基本养老支出（项）：反映除上述项目以外其他用于行政事业单位养老方面的支出。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6.社会保障和就业支出（类）其他社会保障和就业支出（款）其他社会保障和就业支出（项）：反映除上述项目以外其他用于社会保障和就业方面的支出。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7.卫生健康支出（类）公共卫生（款）基本公共卫生服务</w:t>
      </w:r>
      <w:r>
        <w:rPr>
          <w:rFonts w:hint="default" w:ascii="仿宋_GB2312" w:eastAsia="仿宋_GB2312"/>
          <w:color w:val="auto"/>
          <w:sz w:val="32"/>
          <w:szCs w:val="32"/>
          <w:lang w:val="en-US" w:eastAsia="zh-CN"/>
        </w:rPr>
        <w:t>（项）</w:t>
      </w:r>
      <w:r>
        <w:rPr>
          <w:rFonts w:hint="eastAsia" w:ascii="仿宋_GB2312" w:eastAsia="仿宋_GB2312"/>
          <w:color w:val="auto"/>
          <w:sz w:val="32"/>
          <w:szCs w:val="32"/>
          <w:lang w:val="en-US" w:eastAsia="zh-CN"/>
        </w:rPr>
        <w:t>：指基本公共卫生服务支出。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8.卫生健康支出（类）公共卫生（款）重大公共卫生服务</w:t>
      </w:r>
      <w:r>
        <w:rPr>
          <w:rFonts w:hint="default" w:ascii="仿宋_GB2312" w:eastAsia="仿宋_GB2312"/>
          <w:color w:val="auto"/>
          <w:sz w:val="32"/>
          <w:szCs w:val="32"/>
          <w:lang w:val="en-US" w:eastAsia="zh-CN"/>
        </w:rPr>
        <w:t>（项）</w:t>
      </w:r>
      <w:r>
        <w:rPr>
          <w:rFonts w:hint="eastAsia" w:ascii="仿宋_GB2312" w:eastAsia="仿宋_GB2312"/>
          <w:color w:val="auto"/>
          <w:sz w:val="32"/>
          <w:szCs w:val="32"/>
          <w:lang w:val="en-US" w:eastAsia="zh-CN"/>
        </w:rPr>
        <w:t>：指重大疾病预防控制等重大公共卫生服务项目支出。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9.卫生健康支出（类）公共卫生（款）其他公共卫生支出</w:t>
      </w:r>
      <w:r>
        <w:rPr>
          <w:rFonts w:hint="default" w:ascii="仿宋_GB2312" w:eastAsia="仿宋_GB2312"/>
          <w:color w:val="auto"/>
          <w:sz w:val="32"/>
          <w:szCs w:val="32"/>
          <w:lang w:val="en-US" w:eastAsia="zh-CN"/>
        </w:rPr>
        <w:t>（项）</w:t>
      </w:r>
      <w:r>
        <w:rPr>
          <w:rFonts w:hint="eastAsia" w:ascii="仿宋_GB2312" w:eastAsia="仿宋_GB2312"/>
          <w:color w:val="auto"/>
          <w:sz w:val="32"/>
          <w:szCs w:val="32"/>
          <w:lang w:val="en-US" w:eastAsia="zh-CN"/>
        </w:rPr>
        <w:t>：指其他公共卫生支出。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10.卫生健康支出（类）行政事业单位医疗（款）事业单位医疗（项）：指事业单位用于缴纳单位基本医疗保险支出。</w:t>
      </w:r>
    </w:p>
    <w:p>
      <w:pPr>
        <w:pStyle w:val="27"/>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11.卫生健康支出（类）其他卫生健康支出（款）其他卫生健康支出</w:t>
      </w:r>
      <w:r>
        <w:rPr>
          <w:rFonts w:hint="default" w:ascii="仿宋_GB2312" w:eastAsia="仿宋_GB2312"/>
          <w:color w:val="auto"/>
          <w:sz w:val="32"/>
          <w:szCs w:val="32"/>
          <w:lang w:val="en-US" w:eastAsia="zh-CN"/>
        </w:rPr>
        <w:t>（项）</w:t>
      </w:r>
      <w:r>
        <w:rPr>
          <w:rFonts w:hint="eastAsia" w:ascii="仿宋_GB2312" w:eastAsia="仿宋_GB2312"/>
          <w:color w:val="auto"/>
          <w:sz w:val="32"/>
          <w:szCs w:val="32"/>
          <w:lang w:val="en-US" w:eastAsia="zh-CN"/>
        </w:rPr>
        <w:t>：指用于其他卫生健康方面的支出。</w:t>
      </w:r>
    </w:p>
    <w:p>
      <w:pPr>
        <w:pStyle w:val="27"/>
        <w:spacing w:line="560" w:lineRule="exact"/>
        <w:ind w:firstLine="640" w:firstLineChars="200"/>
        <w:rPr>
          <w:rFonts w:ascii="仿宋" w:hAnsi="仿宋" w:eastAsia="仿宋"/>
          <w:b/>
          <w:sz w:val="32"/>
          <w:szCs w:val="32"/>
        </w:rPr>
      </w:pPr>
      <w:r>
        <w:rPr>
          <w:rFonts w:hint="eastAsia" w:ascii="仿宋_GB2312" w:eastAsia="仿宋_GB2312"/>
          <w:color w:val="auto"/>
          <w:sz w:val="32"/>
          <w:szCs w:val="32"/>
          <w:lang w:val="en-US" w:eastAsia="zh-CN"/>
        </w:rPr>
        <w:t>12.</w:t>
      </w:r>
      <w:r>
        <w:rPr>
          <w:rFonts w:hint="default" w:ascii="仿宋_GB2312" w:eastAsia="仿宋_GB2312"/>
          <w:color w:val="auto"/>
          <w:sz w:val="32"/>
          <w:szCs w:val="32"/>
          <w:lang w:val="en-US" w:eastAsia="zh-CN"/>
        </w:rPr>
        <w:t>住房保障支出（类）住房改革支出（款）住房公积金（项）:指由单位及其在职职工按规定缴存的住房公积金支出</w:t>
      </w:r>
      <w:r>
        <w:rPr>
          <w:rFonts w:hint="eastAsia" w:ascii="仿宋_GB2312" w:eastAsia="仿宋_GB2312"/>
          <w:color w:val="auto"/>
          <w:sz w:val="32"/>
          <w:szCs w:val="32"/>
          <w:lang w:val="en-US" w:eastAsia="zh-CN"/>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9"/>
        <w:rPr>
          <w:rFonts w:ascii="宋体"/>
          <w:b/>
          <w:sz w:val="44"/>
          <w:szCs w:val="44"/>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bookmarkStart w:id="80" w:name="_Toc15377226"/>
      <w:r>
        <w:rPr>
          <w:rFonts w:ascii="宋体"/>
          <w:b/>
          <w:sz w:val="44"/>
          <w:szCs w:val="44"/>
        </w:rPr>
        <w:br w:type="page"/>
      </w:r>
      <w:bookmarkStart w:id="81" w:name="_Toc15396614"/>
    </w:p>
    <w:bookmarkEnd w:id="81"/>
    <w:p>
      <w:pPr>
        <w:spacing w:line="600" w:lineRule="exact"/>
        <w:jc w:val="center"/>
        <w:outlineLvl w:val="0"/>
        <w:rPr>
          <w:rStyle w:val="29"/>
          <w:rFonts w:ascii="黑体" w:hAnsi="黑体" w:eastAsia="黑体"/>
          <w:b w:val="0"/>
          <w:highlight w:val="none"/>
        </w:rPr>
      </w:pPr>
      <w:bookmarkStart w:id="82" w:name="_Toc30376_WPSOffice_Level1"/>
      <w:bookmarkStart w:id="83" w:name="_Toc19646"/>
      <w:bookmarkStart w:id="84" w:name="_Toc15396618"/>
      <w:r>
        <w:rPr>
          <w:rFonts w:hint="eastAsia" w:ascii="黑体" w:hAnsi="黑体" w:eastAsia="黑体"/>
          <w:sz w:val="44"/>
          <w:szCs w:val="44"/>
          <w:highlight w:val="none"/>
        </w:rPr>
        <w:t>第</w:t>
      </w:r>
      <w:r>
        <w:rPr>
          <w:rStyle w:val="29"/>
          <w:rFonts w:hint="eastAsia" w:ascii="黑体" w:hAnsi="黑体" w:eastAsia="黑体"/>
          <w:b w:val="0"/>
          <w:highlight w:val="none"/>
        </w:rPr>
        <w:t>四部分 附件</w:t>
      </w:r>
      <w:bookmarkEnd w:id="82"/>
      <w:bookmarkEnd w:id="83"/>
    </w:p>
    <w:p>
      <w:pPr>
        <w:spacing w:line="572" w:lineRule="exact"/>
        <w:jc w:val="left"/>
        <w:outlineLvl w:val="9"/>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黑体" w:hAnsi="黑体" w:eastAsia="黑体"/>
          <w:color w:val="FF0000"/>
          <w:sz w:val="44"/>
          <w:szCs w:val="44"/>
          <w:highlight w:val="none"/>
        </w:rPr>
      </w:pPr>
      <w:bookmarkStart w:id="85" w:name="_Toc1711_WPSOffice_Level2"/>
      <w:bookmarkStart w:id="86" w:name="_Toc12367_WPSOffice_Level2"/>
      <w:bookmarkStart w:id="87" w:name="_Toc32539_WPSOffice_Level2"/>
      <w:r>
        <w:rPr>
          <w:rFonts w:hint="eastAsia"/>
          <w:sz w:val="32"/>
          <w:szCs w:val="32"/>
          <w:highlight w:val="none"/>
        </w:rPr>
        <w:t>部门预算项目支出绩效自评表（</w:t>
      </w:r>
      <w:r>
        <w:rPr>
          <w:rFonts w:hint="eastAsia"/>
          <w:sz w:val="32"/>
          <w:szCs w:val="32"/>
          <w:highlight w:val="none"/>
          <w:lang w:eastAsia="zh-CN"/>
        </w:rPr>
        <w:t>2024</w:t>
      </w:r>
      <w:r>
        <w:rPr>
          <w:rFonts w:hint="eastAsia"/>
          <w:sz w:val="32"/>
          <w:szCs w:val="32"/>
          <w:highlight w:val="none"/>
        </w:rPr>
        <w:t>年度）</w:t>
      </w:r>
      <w:bookmarkEnd w:id="85"/>
      <w:bookmarkEnd w:id="86"/>
      <w:bookmarkEnd w:id="87"/>
    </w:p>
    <w:p>
      <w:pPr>
        <w:pStyle w:val="3"/>
        <w:spacing w:line="560" w:lineRule="exact"/>
        <w:ind w:left="0" w:leftChars="0" w:firstLine="640"/>
        <w:rPr>
          <w:sz w:val="32"/>
          <w:highlight w:val="none"/>
        </w:rPr>
      </w:pPr>
    </w:p>
    <w:p>
      <w:pPr>
        <w:pStyle w:val="3"/>
        <w:spacing w:line="560" w:lineRule="exact"/>
        <w:ind w:left="0" w:leftChars="0" w:firstLine="640"/>
        <w:rPr>
          <w:rFonts w:hAnsi="Calibri" w:eastAsia="仿宋_GB2312" w:cs="仿宋"/>
          <w:sz w:val="32"/>
          <w:highlight w:val="none"/>
          <w:lang w:val="zh-CN"/>
        </w:rPr>
      </w:pPr>
      <w:r>
        <w:rPr>
          <w:rFonts w:hint="eastAsia" w:hAnsi="Calibri" w:eastAsia="仿宋_GB2312" w:cs="仿宋"/>
          <w:sz w:val="32"/>
          <w:highlight w:val="none"/>
        </w:rPr>
        <w:t>（备注：“部门预算项目支出绩效自评表（</w:t>
      </w:r>
      <w:r>
        <w:rPr>
          <w:rFonts w:hint="eastAsia" w:hAnsi="Calibri" w:eastAsia="仿宋_GB2312" w:cs="仿宋"/>
          <w:sz w:val="32"/>
          <w:highlight w:val="none"/>
          <w:lang w:eastAsia="zh-CN"/>
        </w:rPr>
        <w:t>2024</w:t>
      </w:r>
      <w:r>
        <w:rPr>
          <w:rFonts w:hint="eastAsia" w:hAnsi="Calibri" w:eastAsia="仿宋_GB2312" w:cs="仿宋"/>
          <w:sz w:val="32"/>
          <w:highlight w:val="none"/>
        </w:rPr>
        <w:t>年度）”，该表格作为附件予以公开。）</w:t>
      </w: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pStyle w:val="9"/>
        <w:spacing w:before="93"/>
        <w:rPr>
          <w:rFonts w:hAnsi="Calibri" w:cs="仿宋"/>
          <w:sz w:val="32"/>
          <w:szCs w:val="32"/>
        </w:rPr>
      </w:pPr>
    </w:p>
    <w:p>
      <w:pPr>
        <w:spacing w:line="600" w:lineRule="exact"/>
        <w:jc w:val="center"/>
        <w:outlineLvl w:val="9"/>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bookmarkStart w:id="88" w:name="_Toc31520_WPSOffice_Level1"/>
      <w:bookmarkStart w:id="89" w:name="_Toc19567"/>
    </w:p>
    <w:p>
      <w:pPr>
        <w:spacing w:line="600" w:lineRule="exact"/>
        <w:jc w:val="center"/>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88"/>
      <w:bookmarkEnd w:id="89"/>
    </w:p>
    <w:p>
      <w:pPr>
        <w:pStyle w:val="6"/>
        <w:rPr>
          <w:rFonts w:ascii="仿宋" w:hAnsi="仿宋" w:eastAsia="仿宋"/>
        </w:rPr>
      </w:pPr>
      <w:bookmarkStart w:id="90" w:name="_Toc28127"/>
      <w:bookmarkStart w:id="91" w:name="_Toc28522_WPSOffice_Level2"/>
      <w:r>
        <w:rPr>
          <w:rFonts w:hint="eastAsia" w:ascii="仿宋" w:hAnsi="仿宋" w:eastAsia="仿宋"/>
          <w:b w:val="0"/>
        </w:rPr>
        <w:t>一、收</w:t>
      </w:r>
      <w:r>
        <w:rPr>
          <w:rStyle w:val="30"/>
          <w:rFonts w:hint="eastAsia" w:ascii="仿宋" w:hAnsi="仿宋" w:eastAsia="仿宋"/>
          <w:b w:val="0"/>
          <w:bCs w:val="0"/>
        </w:rPr>
        <w:t>入支出决算总表</w:t>
      </w:r>
      <w:bookmarkEnd w:id="90"/>
      <w:bookmarkEnd w:id="91"/>
    </w:p>
    <w:p>
      <w:pPr>
        <w:pStyle w:val="6"/>
        <w:rPr>
          <w:rFonts w:ascii="仿宋" w:hAnsi="仿宋" w:eastAsia="仿宋"/>
        </w:rPr>
      </w:pPr>
      <w:bookmarkStart w:id="92" w:name="_Toc9443_WPSOffice_Level2"/>
      <w:bookmarkStart w:id="93" w:name="_Toc25016"/>
      <w:r>
        <w:rPr>
          <w:rFonts w:hint="eastAsia" w:ascii="仿宋" w:hAnsi="仿宋" w:eastAsia="仿宋"/>
          <w:b w:val="0"/>
        </w:rPr>
        <w:t>二、收</w:t>
      </w:r>
      <w:r>
        <w:rPr>
          <w:rStyle w:val="30"/>
          <w:rFonts w:hint="eastAsia" w:ascii="仿宋" w:hAnsi="仿宋" w:eastAsia="仿宋"/>
          <w:b w:val="0"/>
          <w:bCs w:val="0"/>
        </w:rPr>
        <w:t>入决算表</w:t>
      </w:r>
      <w:bookmarkEnd w:id="92"/>
      <w:bookmarkEnd w:id="93"/>
    </w:p>
    <w:p>
      <w:pPr>
        <w:pStyle w:val="6"/>
        <w:rPr>
          <w:rFonts w:ascii="仿宋" w:hAnsi="仿宋" w:eastAsia="仿宋"/>
        </w:rPr>
      </w:pPr>
      <w:bookmarkStart w:id="94" w:name="_Toc16843_WPSOffice_Level2"/>
      <w:bookmarkStart w:id="95" w:name="_Toc4260"/>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94"/>
      <w:bookmarkEnd w:id="95"/>
    </w:p>
    <w:p>
      <w:pPr>
        <w:pStyle w:val="6"/>
        <w:rPr>
          <w:rFonts w:ascii="仿宋" w:hAnsi="仿宋" w:eastAsia="仿宋"/>
          <w:b w:val="0"/>
        </w:rPr>
      </w:pPr>
      <w:bookmarkStart w:id="96" w:name="_Toc12809_WPSOffice_Level2"/>
      <w:bookmarkStart w:id="97" w:name="_Toc27559"/>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96"/>
      <w:bookmarkEnd w:id="97"/>
    </w:p>
    <w:p>
      <w:pPr>
        <w:pStyle w:val="6"/>
        <w:rPr>
          <w:rStyle w:val="30"/>
          <w:rFonts w:ascii="仿宋" w:hAnsi="仿宋" w:eastAsia="仿宋"/>
          <w:b w:val="0"/>
          <w:bCs w:val="0"/>
        </w:rPr>
      </w:pPr>
      <w:bookmarkStart w:id="98" w:name="_Toc19894"/>
      <w:bookmarkStart w:id="99" w:name="_Toc20378_WPSOffice_Level2"/>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98"/>
      <w:bookmarkEnd w:id="99"/>
    </w:p>
    <w:p>
      <w:pPr>
        <w:pStyle w:val="6"/>
        <w:rPr>
          <w:rFonts w:ascii="仿宋" w:hAnsi="仿宋" w:eastAsia="仿宋"/>
        </w:rPr>
      </w:pPr>
      <w:bookmarkStart w:id="100" w:name="_Toc8823_WPSOffice_Level2"/>
      <w:bookmarkStart w:id="101" w:name="_Toc3824"/>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100"/>
      <w:bookmarkEnd w:id="101"/>
    </w:p>
    <w:p>
      <w:pPr>
        <w:pStyle w:val="6"/>
        <w:rPr>
          <w:rFonts w:ascii="仿宋" w:hAnsi="仿宋" w:eastAsia="仿宋"/>
        </w:rPr>
      </w:pPr>
      <w:bookmarkStart w:id="102" w:name="_Toc994_WPSOffice_Level2"/>
      <w:bookmarkStart w:id="103" w:name="_Toc4861"/>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102"/>
      <w:bookmarkEnd w:id="103"/>
    </w:p>
    <w:p>
      <w:pPr>
        <w:pStyle w:val="6"/>
        <w:rPr>
          <w:rFonts w:ascii="仿宋" w:hAnsi="仿宋" w:eastAsia="仿宋"/>
        </w:rPr>
      </w:pPr>
      <w:bookmarkStart w:id="104" w:name="_Toc31627_WPSOffice_Level2"/>
      <w:bookmarkStart w:id="105" w:name="_Toc30163"/>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104"/>
      <w:bookmarkEnd w:id="105"/>
    </w:p>
    <w:p>
      <w:pPr>
        <w:pStyle w:val="6"/>
        <w:rPr>
          <w:rFonts w:ascii="仿宋" w:hAnsi="仿宋" w:eastAsia="仿宋"/>
        </w:rPr>
      </w:pPr>
      <w:bookmarkStart w:id="106" w:name="_Toc770_WPSOffice_Level2"/>
      <w:bookmarkStart w:id="107" w:name="_Toc28108"/>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106"/>
      <w:bookmarkEnd w:id="107"/>
    </w:p>
    <w:p>
      <w:pPr>
        <w:pStyle w:val="6"/>
        <w:rPr>
          <w:rFonts w:ascii="仿宋" w:hAnsi="仿宋" w:eastAsia="仿宋"/>
        </w:rPr>
      </w:pPr>
      <w:bookmarkStart w:id="108" w:name="_Toc6846_WPSOffice_Level2"/>
      <w:bookmarkStart w:id="109" w:name="_Toc7202"/>
      <w:r>
        <w:rPr>
          <w:rStyle w:val="30"/>
          <w:rFonts w:hint="eastAsia" w:ascii="仿宋" w:hAnsi="仿宋" w:eastAsia="仿宋"/>
          <w:b w:val="0"/>
          <w:bCs w:val="0"/>
        </w:rPr>
        <w:t>十、</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08"/>
      <w:bookmarkEnd w:id="109"/>
    </w:p>
    <w:p>
      <w:pPr>
        <w:pStyle w:val="6"/>
        <w:rPr>
          <w:rFonts w:ascii="仿宋" w:hAnsi="仿宋" w:eastAsia="仿宋"/>
        </w:rPr>
      </w:pPr>
      <w:bookmarkStart w:id="110" w:name="_Toc7381_WPSOffice_Level2"/>
      <w:bookmarkStart w:id="111" w:name="_Toc10061"/>
      <w:r>
        <w:rPr>
          <w:rStyle w:val="30"/>
          <w:rFonts w:hint="eastAsia" w:ascii="仿宋" w:hAnsi="仿宋" w:eastAsia="仿宋"/>
          <w:b w:val="0"/>
          <w:bCs w:val="0"/>
        </w:rPr>
        <w:t>十一、</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10"/>
      <w:bookmarkEnd w:id="111"/>
    </w:p>
    <w:p>
      <w:pPr>
        <w:pStyle w:val="6"/>
        <w:rPr>
          <w:rFonts w:ascii="仿宋" w:hAnsi="仿宋" w:eastAsia="仿宋"/>
        </w:rPr>
      </w:pPr>
      <w:bookmarkStart w:id="112" w:name="_Toc32667_WPSOffice_Level2"/>
      <w:bookmarkStart w:id="113" w:name="_Toc30842"/>
      <w:r>
        <w:rPr>
          <w:rStyle w:val="30"/>
          <w:rFonts w:hint="eastAsia" w:ascii="仿宋" w:hAnsi="仿宋" w:eastAsia="仿宋"/>
          <w:b w:val="0"/>
          <w:bCs w:val="0"/>
        </w:rPr>
        <w:t>十二、国有资本经营预算财政拨款支出决算表</w:t>
      </w:r>
      <w:bookmarkEnd w:id="112"/>
      <w:bookmarkEnd w:id="113"/>
    </w:p>
    <w:p>
      <w:pPr>
        <w:pStyle w:val="6"/>
        <w:rPr>
          <w:rFonts w:eastAsia="仿宋"/>
        </w:rPr>
      </w:pPr>
      <w:bookmarkStart w:id="114" w:name="_Toc3417_WPSOffice_Level2"/>
      <w:bookmarkStart w:id="115" w:name="_Toc19802"/>
      <w:r>
        <w:rPr>
          <w:rStyle w:val="30"/>
          <w:rFonts w:hint="eastAsia" w:ascii="仿宋" w:hAnsi="仿宋" w:eastAsia="仿宋"/>
          <w:b w:val="0"/>
          <w:bCs w:val="0"/>
        </w:rPr>
        <w:t>十三、财政拨款“三公”经费支出决算表</w:t>
      </w:r>
      <w:bookmarkEnd w:id="114"/>
      <w:bookmarkEnd w:id="115"/>
    </w:p>
    <w:p/>
    <w:bookmarkEnd w:id="80"/>
    <w:bookmarkEnd w:id="84"/>
    <w:p>
      <w:pPr>
        <w:pStyle w:val="9"/>
        <w:spacing w:before="93"/>
        <w:rPr>
          <w:rFonts w:hAnsi="Calibri" w:cs="仿宋"/>
          <w:sz w:val="32"/>
          <w:szCs w:val="32"/>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p>
    <w:pPr>
      <w:pStyle w:val="12"/>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1EEE"/>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C5627E"/>
    <w:rsid w:val="03DC2831"/>
    <w:rsid w:val="04C25A1A"/>
    <w:rsid w:val="07427224"/>
    <w:rsid w:val="07CD36F0"/>
    <w:rsid w:val="081B5E94"/>
    <w:rsid w:val="0A2032A3"/>
    <w:rsid w:val="0ADA45FA"/>
    <w:rsid w:val="0B811FD3"/>
    <w:rsid w:val="0B8A37D8"/>
    <w:rsid w:val="0C944736"/>
    <w:rsid w:val="0CC25C62"/>
    <w:rsid w:val="0DE9745F"/>
    <w:rsid w:val="0F1E182B"/>
    <w:rsid w:val="0F5FFB2F"/>
    <w:rsid w:val="0FFFCF60"/>
    <w:rsid w:val="10C055FF"/>
    <w:rsid w:val="118107EC"/>
    <w:rsid w:val="11DD6519"/>
    <w:rsid w:val="16BB723D"/>
    <w:rsid w:val="18015F3F"/>
    <w:rsid w:val="18782FFF"/>
    <w:rsid w:val="1AC96B41"/>
    <w:rsid w:val="1B1D148D"/>
    <w:rsid w:val="1BE8440E"/>
    <w:rsid w:val="1D155CEE"/>
    <w:rsid w:val="1FDBBF84"/>
    <w:rsid w:val="20F57F95"/>
    <w:rsid w:val="22803037"/>
    <w:rsid w:val="22AF5F1D"/>
    <w:rsid w:val="239801AB"/>
    <w:rsid w:val="23E407F1"/>
    <w:rsid w:val="240371BF"/>
    <w:rsid w:val="25711CC6"/>
    <w:rsid w:val="25C741E6"/>
    <w:rsid w:val="26C044C0"/>
    <w:rsid w:val="276F80C0"/>
    <w:rsid w:val="27842671"/>
    <w:rsid w:val="29FD04D3"/>
    <w:rsid w:val="2ABE7A3E"/>
    <w:rsid w:val="2AD2538E"/>
    <w:rsid w:val="2AF86FB7"/>
    <w:rsid w:val="2AFF09B6"/>
    <w:rsid w:val="2CA234A8"/>
    <w:rsid w:val="2EFA178C"/>
    <w:rsid w:val="2EFDF86C"/>
    <w:rsid w:val="2F9D17E1"/>
    <w:rsid w:val="2FBF4562"/>
    <w:rsid w:val="30B46D73"/>
    <w:rsid w:val="319F7F4E"/>
    <w:rsid w:val="31A613B2"/>
    <w:rsid w:val="32D05453"/>
    <w:rsid w:val="32EC0F9D"/>
    <w:rsid w:val="33EE2DB3"/>
    <w:rsid w:val="33F23F60"/>
    <w:rsid w:val="356A28F1"/>
    <w:rsid w:val="357C035A"/>
    <w:rsid w:val="368E000D"/>
    <w:rsid w:val="383D272C"/>
    <w:rsid w:val="39AE70AB"/>
    <w:rsid w:val="3A4DCE41"/>
    <w:rsid w:val="3BCB56FA"/>
    <w:rsid w:val="3C0C0783"/>
    <w:rsid w:val="3C1476CE"/>
    <w:rsid w:val="3D1D7F38"/>
    <w:rsid w:val="3EBF1EE8"/>
    <w:rsid w:val="3EE7C2F4"/>
    <w:rsid w:val="3F371B56"/>
    <w:rsid w:val="3F792ED8"/>
    <w:rsid w:val="3F9F3A96"/>
    <w:rsid w:val="3FECA4B2"/>
    <w:rsid w:val="3FF58C48"/>
    <w:rsid w:val="40105871"/>
    <w:rsid w:val="40D21E79"/>
    <w:rsid w:val="42383FE7"/>
    <w:rsid w:val="42A33A63"/>
    <w:rsid w:val="42FF6694"/>
    <w:rsid w:val="48BF60AB"/>
    <w:rsid w:val="493C27E9"/>
    <w:rsid w:val="496F39ED"/>
    <w:rsid w:val="49FF41D3"/>
    <w:rsid w:val="4BC2110B"/>
    <w:rsid w:val="4BE068DB"/>
    <w:rsid w:val="4BF00BF6"/>
    <w:rsid w:val="4BF6002B"/>
    <w:rsid w:val="4BFFC6BE"/>
    <w:rsid w:val="4DA90C22"/>
    <w:rsid w:val="4ECE2238"/>
    <w:rsid w:val="4EE146C6"/>
    <w:rsid w:val="4F694580"/>
    <w:rsid w:val="4FD41261"/>
    <w:rsid w:val="51DB4B86"/>
    <w:rsid w:val="51F64DB0"/>
    <w:rsid w:val="5502249E"/>
    <w:rsid w:val="55333C3E"/>
    <w:rsid w:val="582E1525"/>
    <w:rsid w:val="5CC3448B"/>
    <w:rsid w:val="5DE422CA"/>
    <w:rsid w:val="5F67802D"/>
    <w:rsid w:val="5F7DC4F2"/>
    <w:rsid w:val="5FB36814"/>
    <w:rsid w:val="5FBB8E56"/>
    <w:rsid w:val="5FFB5535"/>
    <w:rsid w:val="60D262B6"/>
    <w:rsid w:val="62CF13AE"/>
    <w:rsid w:val="63064726"/>
    <w:rsid w:val="640B7AF5"/>
    <w:rsid w:val="643B5327"/>
    <w:rsid w:val="64CA39A1"/>
    <w:rsid w:val="66CF23CE"/>
    <w:rsid w:val="69630ADE"/>
    <w:rsid w:val="69BD5F13"/>
    <w:rsid w:val="69FB0B4B"/>
    <w:rsid w:val="6BFFE1FB"/>
    <w:rsid w:val="6C4A05C8"/>
    <w:rsid w:val="6D3B1A89"/>
    <w:rsid w:val="6DB7D8A3"/>
    <w:rsid w:val="6EC78701"/>
    <w:rsid w:val="6EE0235A"/>
    <w:rsid w:val="6F7A5481"/>
    <w:rsid w:val="6FFE07A9"/>
    <w:rsid w:val="71BF4EC2"/>
    <w:rsid w:val="7215643C"/>
    <w:rsid w:val="72734D90"/>
    <w:rsid w:val="737A36EE"/>
    <w:rsid w:val="73C23771"/>
    <w:rsid w:val="73E75B71"/>
    <w:rsid w:val="7412278C"/>
    <w:rsid w:val="75DDCDA9"/>
    <w:rsid w:val="75FF44B1"/>
    <w:rsid w:val="77670518"/>
    <w:rsid w:val="777FA627"/>
    <w:rsid w:val="77930011"/>
    <w:rsid w:val="77DF1B5F"/>
    <w:rsid w:val="77EF2D9D"/>
    <w:rsid w:val="788C5B12"/>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95FED"/>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Normal Indent"/>
    <w:basedOn w:val="1"/>
    <w:qFormat/>
    <w:uiPriority w:val="0"/>
    <w:pPr>
      <w:ind w:firstLine="420" w:firstLineChars="200"/>
    </w:pPr>
  </w:style>
  <w:style w:type="paragraph" w:styleId="9">
    <w:name w:val="Body Text"/>
    <w:basedOn w:val="1"/>
    <w:next w:val="1"/>
    <w:link w:val="26"/>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9"/>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5"/>
    <w:qFormat/>
    <w:uiPriority w:val="9"/>
    <w:rPr>
      <w:rFonts w:ascii="Times New Roman" w:hAnsi="Times New Roman"/>
      <w:b/>
      <w:bCs/>
      <w:kern w:val="44"/>
      <w:sz w:val="44"/>
      <w:szCs w:val="44"/>
    </w:rPr>
  </w:style>
  <w:style w:type="character" w:customStyle="1" w:styleId="30">
    <w:name w:val="标题 2 字符"/>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1"/>
    <w:semiHidden/>
    <w:qFormat/>
    <w:uiPriority w:val="99"/>
    <w:rPr>
      <w:rFonts w:ascii="Times New Roman" w:hAnsi="Times New Roman"/>
      <w:kern w:val="2"/>
      <w:sz w:val="18"/>
      <w:szCs w:val="18"/>
    </w:rPr>
  </w:style>
  <w:style w:type="character" w:customStyle="1" w:styleId="33">
    <w:name w:val="标题 3 字符"/>
    <w:basedOn w:val="17"/>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4180;&#20915;&#31639;&#20844;&#24320;1\&#22270;&#2925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4180;&#20915;&#31639;&#20844;&#24320;1\&#22270;&#2925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4&#24180;&#20915;&#31639;&#20844;&#24320;1\&#22270;&#2925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4&#24180;&#20915;&#31639;&#20844;&#24320;1\&#22270;&#2925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4&#24180;&#20915;&#31639;&#20844;&#24320;1\&#22270;&#2925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4&#24180;&#20915;&#31639;&#20844;&#24320;1\&#22270;&#2925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4&#24180;&#20915;&#31639;&#20844;&#24320;1\&#22270;&#292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[图片.xlsx]Sheet1!$B$2</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[图片.xlsx]Sheet1!$A$3:$A$4</c:f>
              <c:strCache>
                <c:ptCount val="2"/>
                <c:pt idx="0">
                  <c:v>2023年决算数</c:v>
                </c:pt>
                <c:pt idx="1">
                  <c:v>2024年决算数</c:v>
                </c:pt>
              </c:strCache>
            </c:strRef>
          </c:cat>
          <c:val>
            <c:numRef>
              <c:f>[图片.xlsx]Sheet1!$B$3:$B$4</c:f>
              <c:numCache>
                <c:formatCode>General</c:formatCode>
                <c:ptCount val="2"/>
                <c:pt idx="0">
                  <c:v>679.01</c:v>
                </c:pt>
                <c:pt idx="1">
                  <c:v>683.15</c:v>
                </c:pt>
              </c:numCache>
            </c:numRef>
          </c:val>
        </c:ser>
        <c:dLbls>
          <c:showLegendKey val="0"/>
          <c:showVal val="1"/>
          <c:showCatName val="0"/>
          <c:showSerName val="0"/>
          <c:showPercent val="0"/>
          <c:showBubbleSize val="0"/>
        </c:dLbls>
        <c:gapWidth val="150"/>
        <c:overlap val="0"/>
        <c:axId val="709590036"/>
        <c:axId val="889296884"/>
      </c:barChart>
      <c:catAx>
        <c:axId val="7095900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9296884"/>
        <c:crosses val="autoZero"/>
        <c:auto val="1"/>
        <c:lblAlgn val="ctr"/>
        <c:lblOffset val="100"/>
        <c:noMultiLvlLbl val="0"/>
      </c:catAx>
      <c:valAx>
        <c:axId val="8892968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959003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[图片.xlsx]Sheet1!$A$9:$A$10</c:f>
              <c:strCache>
                <c:ptCount val="2"/>
                <c:pt idx="0">
                  <c:v>一般公共预算财政拨款收入644.17万元，占100%</c:v>
                </c:pt>
                <c:pt idx="1">
                  <c:v>其他收入0.06万元，占0%</c:v>
                </c:pt>
              </c:strCache>
            </c:strRef>
          </c:cat>
          <c:val>
            <c:numRef>
              <c:f>[图片.xlsx]Sheet1!$B$9:$B$10</c:f>
              <c:numCache>
                <c:formatCode>General</c:formatCode>
                <c:ptCount val="2"/>
                <c:pt idx="0">
                  <c:v>644.17</c:v>
                </c:pt>
                <c:pt idx="1">
                  <c:v>0.06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[图片.xlsx]Sheet1!$A$20:$A$21</c:f>
              <c:strCache>
                <c:ptCount val="2"/>
                <c:pt idx="0">
                  <c:v>基本支出474.48万元，占73.65%</c:v>
                </c:pt>
                <c:pt idx="1">
                  <c:v>项目支出169.69万元，占26.34%</c:v>
                </c:pt>
              </c:strCache>
            </c:strRef>
          </c:cat>
          <c:val>
            <c:numRef>
              <c:f>[图片.xlsx]Sheet1!$B$20:$B$21</c:f>
              <c:numCache>
                <c:formatCode>General</c:formatCode>
                <c:ptCount val="2"/>
                <c:pt idx="0">
                  <c:v>474.48</c:v>
                </c:pt>
                <c:pt idx="1">
                  <c:v>169.69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[图片.xlsx]Sheet1!$B$25</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[图片.xlsx]Sheet1!$A$26:$A$27</c:f>
              <c:strCache>
                <c:ptCount val="2"/>
                <c:pt idx="0">
                  <c:v>2023年决算数</c:v>
                </c:pt>
                <c:pt idx="1">
                  <c:v>2024年决算数</c:v>
                </c:pt>
              </c:strCache>
            </c:strRef>
          </c:cat>
          <c:val>
            <c:numRef>
              <c:f>[图片.xlsx]Sheet1!$B$26:$B$27</c:f>
              <c:numCache>
                <c:formatCode>General</c:formatCode>
                <c:ptCount val="2"/>
                <c:pt idx="0">
                  <c:v>679.01</c:v>
                </c:pt>
                <c:pt idx="1">
                  <c:v>644.17</c:v>
                </c:pt>
              </c:numCache>
            </c:numRef>
          </c:val>
        </c:ser>
        <c:dLbls>
          <c:showLegendKey val="0"/>
          <c:showVal val="1"/>
          <c:showCatName val="0"/>
          <c:showSerName val="0"/>
          <c:showPercent val="0"/>
          <c:showBubbleSize val="0"/>
        </c:dLbls>
        <c:gapWidth val="150"/>
        <c:overlap val="0"/>
        <c:axId val="876608263"/>
        <c:axId val="473195609"/>
      </c:barChart>
      <c:catAx>
        <c:axId val="876608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3195609"/>
        <c:crosses val="autoZero"/>
        <c:auto val="1"/>
        <c:lblAlgn val="ctr"/>
        <c:lblOffset val="100"/>
        <c:noMultiLvlLbl val="0"/>
      </c:catAx>
      <c:valAx>
        <c:axId val="4731956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608263"/>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[图片.xlsx]Sheet1!$B$32</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[图片.xlsx]Sheet1!$A$33:$A$34</c:f>
              <c:strCache>
                <c:ptCount val="2"/>
                <c:pt idx="0">
                  <c:v>2023年决算数</c:v>
                </c:pt>
                <c:pt idx="1">
                  <c:v>2024年决算数</c:v>
                </c:pt>
              </c:strCache>
            </c:strRef>
          </c:cat>
          <c:val>
            <c:numRef>
              <c:f>[图片.xlsx]Sheet1!$B$33:$B$34</c:f>
              <c:numCache>
                <c:formatCode>General</c:formatCode>
                <c:ptCount val="2"/>
                <c:pt idx="0">
                  <c:v>679.01</c:v>
                </c:pt>
                <c:pt idx="1">
                  <c:v>644.17</c:v>
                </c:pt>
              </c:numCache>
            </c:numRef>
          </c:val>
        </c:ser>
        <c:dLbls>
          <c:showLegendKey val="0"/>
          <c:showVal val="1"/>
          <c:showCatName val="0"/>
          <c:showSerName val="0"/>
          <c:showPercent val="0"/>
          <c:showBubbleSize val="0"/>
        </c:dLbls>
        <c:gapWidth val="150"/>
        <c:overlap val="0"/>
        <c:axId val="100326275"/>
        <c:axId val="858224874"/>
      </c:barChart>
      <c:catAx>
        <c:axId val="1003262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8224874"/>
        <c:crosses val="autoZero"/>
        <c:auto val="1"/>
        <c:lblAlgn val="ctr"/>
        <c:lblOffset val="100"/>
        <c:noMultiLvlLbl val="0"/>
      </c:catAx>
      <c:valAx>
        <c:axId val="8582248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326275"/>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[图片.xlsx]Sheet1!$A$38:$A$40</c:f>
              <c:strCache>
                <c:ptCount val="3"/>
                <c:pt idx="0">
                  <c:v>社会保障和就业支出112.19万元，占17.42%</c:v>
                </c:pt>
                <c:pt idx="1">
                  <c:v>卫生健康支出495.39万元，占76.9%</c:v>
                </c:pt>
                <c:pt idx="2">
                  <c:v>住房保障支出36.59万元，占5.68</c:v>
                </c:pt>
              </c:strCache>
            </c:strRef>
          </c:cat>
          <c:val>
            <c:numRef>
              <c:f>[图片.xlsx]Sheet1!$B$38:$B$40</c:f>
              <c:numCache>
                <c:formatCode>General</c:formatCode>
                <c:ptCount val="3"/>
                <c:pt idx="0">
                  <c:v>112.19</c:v>
                </c:pt>
                <c:pt idx="1">
                  <c:v>495.39</c:v>
                </c:pt>
                <c:pt idx="2">
                  <c:v>36.59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[图片.xlsx]Sheet1!$A$46:$A$47</c:f>
              <c:strCache>
                <c:ptCount val="2"/>
                <c:pt idx="0">
                  <c:v>公务用车购置及运行维护费支出决算6.02万元，占86%</c:v>
                </c:pt>
                <c:pt idx="1">
                  <c:v>公务接待费支出决算0.98万元，占14%</c:v>
                </c:pt>
              </c:strCache>
            </c:strRef>
          </c:cat>
          <c:val>
            <c:numRef>
              <c:f>[图片.xlsx]Sheet1!$B$46:$B$47</c:f>
              <c:numCache>
                <c:formatCode>General</c:formatCode>
                <c:ptCount val="2"/>
                <c:pt idx="0">
                  <c:v>6.02</c:v>
                </c:pt>
                <c:pt idx="1">
                  <c:v>0.98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0</TotalTime>
  <ScaleCrop>false</ScaleCrop>
  <LinksUpToDate>false</LinksUpToDate>
  <CharactersWithSpaces>7641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WPS_1602232964</cp:lastModifiedBy>
  <cp:lastPrinted>2023-08-03T02:35:00Z</cp:lastPrinted>
  <dcterms:modified xsi:type="dcterms:W3CDTF">2025-09-25T08:16:13Z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