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18"/>
        <w:spacing w:beforeLines="0"/>
        <w:ind w:firstLine="42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金口河区城区土地级别范围分布表</w:t>
      </w:r>
    </w:p>
    <w:tbl>
      <w:tblPr>
        <w:tblStyle w:val="20"/>
        <w:tblW w:w="8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4943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8"/>
                <w:sz w:val="32"/>
                <w:szCs w:val="32"/>
              </w:rPr>
              <w:t>土地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8"/>
                <w:sz w:val="32"/>
                <w:szCs w:val="32"/>
              </w:rPr>
              <w:t>级别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2"/>
                <w:sz w:val="32"/>
                <w:szCs w:val="32"/>
              </w:rPr>
              <w:t>土地级别范围四至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2"/>
                <w:sz w:val="32"/>
                <w:szCs w:val="32"/>
              </w:rPr>
              <w:t>级别内的主要街道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4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spacing w:line="258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9"/>
              <w:spacing w:before="68"/>
              <w:ind w:left="34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Ⅰ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大渡河东南：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东至：新市街、区人民政府；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南至：观音寺；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西至：大渡河（滨河路一段、滨河路二段、滨河路三</w:t>
            </w: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段</w:t>
            </w:r>
            <w:r>
              <w:rPr>
                <w:rFonts w:hint="eastAsia" w:ascii="仿宋" w:hAnsi="仿宋" w:eastAsia="仿宋" w:cs="仿宋"/>
                <w:spacing w:val="-38"/>
                <w:sz w:val="32"/>
                <w:szCs w:val="32"/>
              </w:rPr>
              <w:t>）；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北至：G245国道。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大渡河西北：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东至：大渡河；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南至：大渡河大桥；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西至：双金公路；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北至：区妇幼保健院。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滨河路一段、滨河路二段、滨河路三段、春和路、祥和路、梧桐街、和平路、新市街、朝阳路、静雅路、团结街、环山路、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育贤路、双金公路（大渡河大桥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区妇幼保健院等。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spacing w:line="28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9"/>
              <w:spacing w:before="68" w:line="241" w:lineRule="auto"/>
              <w:ind w:left="3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Ⅱ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大渡河东南：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6" w:right="0"/>
              <w:textAlignment w:val="auto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G245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沿线（中石油加油站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大渡河二桥）；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6" w:right="0"/>
              <w:textAlignment w:val="auto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永乐电业大楼以南、罗回街以东片区；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6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观音寺以南滨河路四段沿线片区。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大渡河西北：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7" w:right="0" w:firstLine="14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区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highlight w:val="none"/>
              </w:rPr>
              <w:t>妇幼保健院以北、双金公路以东、永乐电力公司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highlight w:val="none"/>
              </w:rPr>
              <w:t>原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highlight w:val="none"/>
              </w:rPr>
              <w:t>永乐电站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highlight w:val="none"/>
              </w:rPr>
              <w:t>以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南片区；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1" w:right="0" w:hanging="15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大渡河大桥以南G245沿线至高速路连接桥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以东片</w:t>
            </w: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区。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罗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回街、滨河路四段、双金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公路（原永乐电站-区妇幼保健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院）、</w:t>
            </w: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G245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（大渡河大桥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大渡河二桥）等。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pStyle w:val="19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Ⅲ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Ⅰ-Ⅱ级范围以外，定级范围以内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区域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firstLine="306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G245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（高速路连接桥至枕头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坝下游桥以南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</w:tbl>
    <w:p/>
    <w:p>
      <w:pPr>
        <w:pStyle w:val="18"/>
        <w:spacing w:beforeLines="0"/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18"/>
        <w:spacing w:beforeLines="0"/>
        <w:ind w:firstLine="42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金口河区城区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各类用地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基准地价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20"/>
        <w:tblW w:w="9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1446"/>
        <w:gridCol w:w="1892"/>
        <w:gridCol w:w="1892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31" w:type="dxa"/>
            <w:gridSpan w:val="2"/>
            <w:tcBorders>
              <w:top w:val="single" w:color="auto" w:sz="4" w:space="0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pStyle w:val="19"/>
              <w:tabs>
                <w:tab w:val="left" w:pos="820"/>
              </w:tabs>
              <w:snapToGrid w:val="0"/>
              <w:spacing w:before="59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19"/>
              <w:tabs>
                <w:tab w:val="left" w:pos="820"/>
              </w:tabs>
              <w:snapToGrid w:val="0"/>
              <w:spacing w:before="59" w:line="240" w:lineRule="auto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用途</w:t>
            </w:r>
          </w:p>
          <w:p>
            <w:pPr>
              <w:pStyle w:val="19"/>
              <w:tabs>
                <w:tab w:val="left" w:pos="820"/>
              </w:tabs>
              <w:snapToGrid w:val="0"/>
              <w:spacing w:before="59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19"/>
              <w:tabs>
                <w:tab w:val="left" w:pos="820"/>
              </w:tabs>
              <w:snapToGrid w:val="0"/>
              <w:spacing w:before="59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19"/>
              <w:snapToGrid w:val="0"/>
              <w:spacing w:before="59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用途</w:t>
            </w:r>
          </w:p>
          <w:p>
            <w:pPr>
              <w:pStyle w:val="19"/>
              <w:snapToGrid w:val="0"/>
              <w:spacing w:before="59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9"/>
              <w:snapToGrid w:val="0"/>
              <w:spacing w:before="59"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9"/>
              <w:spacing w:before="59" w:line="223" w:lineRule="auto"/>
              <w:ind w:firstLine="1120" w:firstLineChars="4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pStyle w:val="19"/>
              <w:spacing w:before="59" w:line="223" w:lineRule="auto"/>
              <w:ind w:firstLine="960" w:firstLineChars="3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pStyle w:val="19"/>
              <w:spacing w:before="59" w:line="223" w:lineRule="auto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0" w:line="226" w:lineRule="auto"/>
              <w:ind w:left="7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Ⅰ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0" w:line="226" w:lineRule="auto"/>
              <w:ind w:left="7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Ⅱ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0" w:line="22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9"/>
              <w:spacing w:before="209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商服用地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38" w:line="238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元/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eastAsia="zh-CN"/>
              </w:rPr>
              <w:t>平方米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5" w:line="225" w:lineRule="auto"/>
              <w:ind w:left="60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1495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5" w:line="225" w:lineRule="auto"/>
              <w:ind w:left="57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1012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5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640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56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/亩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6" w:line="225" w:lineRule="auto"/>
              <w:ind w:left="53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99.67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6" w:line="225" w:lineRule="auto"/>
              <w:ind w:left="49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67.47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6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42.67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9"/>
              <w:spacing w:before="213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住宅用地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41" w:line="2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元/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eastAsia="zh-CN"/>
              </w:rPr>
              <w:t>平方米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8" w:line="223" w:lineRule="auto"/>
              <w:ind w:left="60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1375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8" w:line="223" w:lineRule="auto"/>
              <w:ind w:left="61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980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58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61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/亩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1" w:line="223" w:lineRule="auto"/>
              <w:ind w:left="53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91.67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1" w:line="223" w:lineRule="auto"/>
              <w:ind w:left="49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65.33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1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40.33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9"/>
              <w:spacing w:before="213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工业用地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43" w:line="23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元/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eastAsia="zh-CN"/>
              </w:rPr>
              <w:t>平方米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177" w:line="159" w:lineRule="exact"/>
              <w:ind w:left="76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-4"/>
                <w:sz w:val="32"/>
                <w:szCs w:val="32"/>
              </w:rPr>
              <w:t>-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0" w:line="221" w:lineRule="auto"/>
              <w:ind w:left="61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415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0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6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/亩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178" w:line="159" w:lineRule="exact"/>
              <w:ind w:left="76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-4"/>
                <w:sz w:val="32"/>
                <w:szCs w:val="32"/>
              </w:rPr>
              <w:t>-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1" w:line="221" w:lineRule="auto"/>
              <w:ind w:left="5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27.67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20.00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9"/>
              <w:spacing w:before="38" w:line="271" w:lineRule="auto"/>
              <w:ind w:left="41" w:right="25" w:firstLine="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7"/>
                <w:sz w:val="32"/>
                <w:szCs w:val="32"/>
              </w:rPr>
              <w:t>公共管理与公共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服务用地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46" w:line="23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元/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eastAsia="zh-CN"/>
              </w:rPr>
              <w:t>平方米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3" w:line="220" w:lineRule="auto"/>
              <w:ind w:left="65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650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3" w:line="220" w:lineRule="auto"/>
              <w:ind w:left="62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568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63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19"/>
              <w:spacing w:before="72" w:line="22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/亩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72" w:line="232" w:lineRule="auto"/>
              <w:ind w:left="53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43.33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72" w:line="232" w:lineRule="auto"/>
              <w:ind w:left="50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37.87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19"/>
              <w:spacing w:before="72" w:line="23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28.67</w:t>
            </w:r>
          </w:p>
        </w:tc>
      </w:tr>
    </w:tbl>
    <w:p>
      <w:pPr>
        <w:spacing w:line="288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基准地价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估价期日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月1日；</w:t>
      </w:r>
    </w:p>
    <w:p>
      <w:pPr>
        <w:spacing w:line="288" w:lineRule="auto"/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开发程度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宗地外“六通”（通上水、通下水、通电、通讯、通路及通气），宗地内“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场地平整</w:t>
      </w:r>
      <w:r>
        <w:rPr>
          <w:rFonts w:hint="eastAsia" w:ascii="仿宋" w:hAnsi="仿宋" w:eastAsia="仿宋" w:cs="仿宋"/>
          <w:sz w:val="32"/>
          <w:szCs w:val="32"/>
        </w:rPr>
        <w:t>”；</w:t>
      </w:r>
    </w:p>
    <w:p>
      <w:pPr>
        <w:spacing w:line="288" w:lineRule="auto"/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容积率：商服用地2.0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住宅用地2.5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工业用地1.0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公共管理与公共服务用地1.0；</w:t>
      </w:r>
    </w:p>
    <w:p>
      <w:pPr>
        <w:spacing w:line="288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土地使用</w:t>
      </w:r>
      <w:r>
        <w:rPr>
          <w:rFonts w:hint="eastAsia" w:ascii="仿宋" w:hAnsi="仿宋" w:eastAsia="仿宋" w:cs="仿宋"/>
          <w:sz w:val="32"/>
          <w:szCs w:val="32"/>
        </w:rPr>
        <w:t>年期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商服用地40年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住宅用地70年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工业用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</w:p>
    <w:p>
      <w:pPr>
        <w:spacing w:line="288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公共管理与公共服务用地50年；</w:t>
      </w:r>
    </w:p>
    <w:p>
      <w:pPr>
        <w:spacing w:line="288" w:lineRule="auto"/>
        <w:ind w:left="320" w:hanging="320" w:hanging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.权利状况：</w:t>
      </w:r>
      <w:r>
        <w:rPr>
          <w:rFonts w:hint="eastAsia" w:ascii="仿宋" w:hAnsi="仿宋" w:eastAsia="仿宋" w:cs="仿宋"/>
          <w:sz w:val="32"/>
          <w:szCs w:val="32"/>
        </w:rPr>
        <w:t>出让土地，无他项权利限制的土地使用权（需符合相关法律法规，根据《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</w:rPr>
        <w:t>民法典》规定，“学校、幼儿园、医疗机构等为公益目的成立的非营利法人的教育设施、医疗卫生设施和其他公益设施不得抵押”）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18"/>
        <w:spacing w:beforeLines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18"/>
        <w:spacing w:beforeLines="0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乐山市金口河区城区土地级别与基准地价图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drawing>
          <wp:inline distT="0" distB="0" distL="114300" distR="114300">
            <wp:extent cx="4993640" cy="6766560"/>
            <wp:effectExtent l="0" t="0" r="16510" b="15240"/>
            <wp:docPr id="6" name="图片 6" descr="17569536193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6953619359"/>
                    <pic:cNvPicPr>
                      <a:picLocks noChangeAspect="true"/>
                    </pic:cNvPicPr>
                  </pic:nvPicPr>
                  <pic:blipFill>
                    <a:blip r:embed="rId5"/>
                    <a:srcRect t="4975" r="2137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676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信息公开选项：</w:t>
      </w:r>
      <w:r>
        <w:rPr>
          <w:rFonts w:hint="eastAsia" w:ascii="方正小标宋简体" w:hAnsi="宋体" w:eastAsia="方正小标宋简体" w:cs="仿宋"/>
          <w:bCs/>
          <w:sz w:val="32"/>
          <w:szCs w:val="32"/>
          <w:lang w:val="en-US" w:eastAsia="zh-CN"/>
        </w:rPr>
        <w:t>主动</w:t>
      </w:r>
      <w:r>
        <w:rPr>
          <w:rFonts w:hint="eastAsia" w:ascii="方正小标宋简体" w:hAnsi="宋体" w:eastAsia="方正小标宋简体" w:cs="仿宋"/>
          <w:bCs/>
          <w:sz w:val="32"/>
          <w:szCs w:val="32"/>
        </w:rPr>
        <w:t>公开</w:t>
      </w:r>
    </w:p>
    <w:sectPr>
      <w:footerReference r:id="rId3" w:type="default"/>
      <w:pgSz w:w="11906" w:h="16838"/>
      <w:pgMar w:top="2154" w:right="1468" w:bottom="1587" w:left="1468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97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8C1DD"/>
    <w:multiLevelType w:val="singleLevel"/>
    <w:tmpl w:val="2458C1DD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36743"/>
    <w:rsid w:val="021D7E1A"/>
    <w:rsid w:val="04430CE1"/>
    <w:rsid w:val="05240FF1"/>
    <w:rsid w:val="05B43075"/>
    <w:rsid w:val="06DD5D8D"/>
    <w:rsid w:val="098166DD"/>
    <w:rsid w:val="0BEC1EAA"/>
    <w:rsid w:val="0C000BDD"/>
    <w:rsid w:val="0D7F205C"/>
    <w:rsid w:val="0F0C65FE"/>
    <w:rsid w:val="0FB83AA5"/>
    <w:rsid w:val="118F09B8"/>
    <w:rsid w:val="12AB051A"/>
    <w:rsid w:val="12F12A7F"/>
    <w:rsid w:val="13226BC8"/>
    <w:rsid w:val="13D03611"/>
    <w:rsid w:val="15B55E2D"/>
    <w:rsid w:val="16622B33"/>
    <w:rsid w:val="182F6A56"/>
    <w:rsid w:val="18EB1ABF"/>
    <w:rsid w:val="1900669D"/>
    <w:rsid w:val="1A7171D0"/>
    <w:rsid w:val="1CF35BFB"/>
    <w:rsid w:val="20202572"/>
    <w:rsid w:val="241237D2"/>
    <w:rsid w:val="258204E4"/>
    <w:rsid w:val="28375FC3"/>
    <w:rsid w:val="28567983"/>
    <w:rsid w:val="28B712D4"/>
    <w:rsid w:val="28BB69F0"/>
    <w:rsid w:val="297C0F7E"/>
    <w:rsid w:val="2AAF1F37"/>
    <w:rsid w:val="2FE30A08"/>
    <w:rsid w:val="3187673B"/>
    <w:rsid w:val="34F66A6D"/>
    <w:rsid w:val="361B0693"/>
    <w:rsid w:val="37332049"/>
    <w:rsid w:val="37447F3F"/>
    <w:rsid w:val="3B6019B1"/>
    <w:rsid w:val="3D8B5537"/>
    <w:rsid w:val="3F297F37"/>
    <w:rsid w:val="46FE30DF"/>
    <w:rsid w:val="4ABB5198"/>
    <w:rsid w:val="4DC77E76"/>
    <w:rsid w:val="4F412C02"/>
    <w:rsid w:val="4FB76915"/>
    <w:rsid w:val="514762B2"/>
    <w:rsid w:val="521664EF"/>
    <w:rsid w:val="52752F28"/>
    <w:rsid w:val="52837982"/>
    <w:rsid w:val="53312599"/>
    <w:rsid w:val="534D6B6B"/>
    <w:rsid w:val="543A52A5"/>
    <w:rsid w:val="549507CB"/>
    <w:rsid w:val="5536383D"/>
    <w:rsid w:val="55A670A4"/>
    <w:rsid w:val="55B053D7"/>
    <w:rsid w:val="57406BAC"/>
    <w:rsid w:val="575D73B3"/>
    <w:rsid w:val="5EE44E48"/>
    <w:rsid w:val="5F9E2252"/>
    <w:rsid w:val="603929A9"/>
    <w:rsid w:val="60787DA1"/>
    <w:rsid w:val="60E34142"/>
    <w:rsid w:val="60ED12EA"/>
    <w:rsid w:val="617B4DA2"/>
    <w:rsid w:val="631924FC"/>
    <w:rsid w:val="64165076"/>
    <w:rsid w:val="660944A3"/>
    <w:rsid w:val="67704C60"/>
    <w:rsid w:val="67B241EE"/>
    <w:rsid w:val="67EB44AD"/>
    <w:rsid w:val="68171A0C"/>
    <w:rsid w:val="69C63833"/>
    <w:rsid w:val="6B6701AC"/>
    <w:rsid w:val="6B8A7DF5"/>
    <w:rsid w:val="6C223454"/>
    <w:rsid w:val="6CCD2821"/>
    <w:rsid w:val="6E834792"/>
    <w:rsid w:val="6E964C6D"/>
    <w:rsid w:val="6FB91A91"/>
    <w:rsid w:val="71090DF3"/>
    <w:rsid w:val="729A1F96"/>
    <w:rsid w:val="77067D67"/>
    <w:rsid w:val="77702231"/>
    <w:rsid w:val="78686692"/>
    <w:rsid w:val="7A0F7A81"/>
    <w:rsid w:val="7B9121C1"/>
    <w:rsid w:val="7E284CBF"/>
    <w:rsid w:val="7E5D305C"/>
    <w:rsid w:val="E7E8B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11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8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宋体" w:hAnsi="宋体" w:cs="宋体"/>
      <w:b/>
      <w:bCs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14">
    <w:name w:val="Heading3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b/>
      <w:bCs/>
      <w:sz w:val="27"/>
      <w:szCs w:val="27"/>
    </w:rPr>
  </w:style>
  <w:style w:type="paragraph" w:customStyle="1" w:styleId="15">
    <w:name w:val="chy正文文本"/>
    <w:basedOn w:val="1"/>
    <w:qFormat/>
    <w:uiPriority w:val="0"/>
    <w:pPr>
      <w:spacing w:line="360" w:lineRule="auto"/>
      <w:ind w:firstLine="200" w:firstLineChars="200"/>
    </w:pPr>
    <w:rPr>
      <w:rFonts w:eastAsia="华文仿宋"/>
      <w:sz w:val="28"/>
      <w:szCs w:val="28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  <w:szCs w:val="24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7-表名"/>
    <w:basedOn w:val="1"/>
    <w:qFormat/>
    <w:uiPriority w:val="0"/>
    <w:pPr>
      <w:overflowPunct w:val="0"/>
      <w:spacing w:beforeLines="50"/>
      <w:jc w:val="center"/>
    </w:pPr>
    <w:rPr>
      <w:rFonts w:ascii="宋体" w:hAnsi="宋体"/>
      <w:b/>
      <w:bCs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1069</Words>
  <Characters>1190</Characters>
  <Lines>0</Lines>
  <Paragraphs>0</Paragraphs>
  <TotalTime>1</TotalTime>
  <ScaleCrop>false</ScaleCrop>
  <LinksUpToDate>false</LinksUpToDate>
  <CharactersWithSpaces>1226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2024-09-03T10:26:00Z</dcterms:created>
  <dc:creator>墨尔本的晴空</dc:creator>
  <cp:lastModifiedBy>user</cp:lastModifiedBy>
  <cp:lastPrinted>2025-09-09T14:23:00Z</cp:lastPrinted>
  <dcterms:modified xsi:type="dcterms:W3CDTF">2025-09-12T09:49:53Z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7B800B8DA81E48D7B9AA1DD07DE56B96_13</vt:lpwstr>
  </property>
  <property fmtid="{D5CDD505-2E9C-101B-9397-08002B2CF9AE}" pid="4" name="KSOTemplateDocerSaveRecord">
    <vt:lpwstr>eyJoZGlkIjoiN2FhOTMwMDgzMWEwMDIwMWJhNjI3N2M1YjhkNjliN2IiLCJ1c2VySWQiOiI3ODgzNjY0MDEifQ==</vt:lpwstr>
  </property>
</Properties>
</file>