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</w:t>
      </w:r>
      <w:bookmarkStart w:id="4" w:name="_GoBack"/>
      <w:bookmarkEnd w:id="4"/>
    </w:p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highlight w:val="cya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</w:rPr>
        <w:t>金口河区园地级别汇总表</w:t>
      </w:r>
    </w:p>
    <w:tbl>
      <w:tblPr>
        <w:tblStyle w:val="12"/>
        <w:tblW w:w="4996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96"/>
        <w:gridCol w:w="916"/>
        <w:gridCol w:w="2149"/>
        <w:gridCol w:w="2442"/>
        <w:gridCol w:w="3"/>
        <w:gridCol w:w="2168"/>
        <w:gridCol w:w="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04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类别</w:t>
            </w:r>
          </w:p>
        </w:tc>
        <w:tc>
          <w:tcPr>
            <w:tcW w:w="501" w:type="pct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级别</w:t>
            </w:r>
          </w:p>
        </w:tc>
        <w:tc>
          <w:tcPr>
            <w:tcW w:w="1172" w:type="pct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图斑数（个）</w:t>
            </w:r>
          </w:p>
        </w:tc>
        <w:tc>
          <w:tcPr>
            <w:tcW w:w="1334" w:type="pct"/>
            <w:gridSpan w:val="2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面积（公顷）</w:t>
            </w:r>
          </w:p>
        </w:tc>
        <w:tc>
          <w:tcPr>
            <w:tcW w:w="1186" w:type="pct"/>
            <w:gridSpan w:val="2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面积占比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04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果园</w:t>
            </w: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130</w:t>
            </w:r>
          </w:p>
        </w:tc>
        <w:tc>
          <w:tcPr>
            <w:tcW w:w="133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110.21 </w:t>
            </w:r>
          </w:p>
        </w:tc>
        <w:tc>
          <w:tcPr>
            <w:tcW w:w="1186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34.03%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04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333</w:t>
            </w:r>
          </w:p>
        </w:tc>
        <w:tc>
          <w:tcPr>
            <w:tcW w:w="133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132.26 </w:t>
            </w:r>
          </w:p>
        </w:tc>
        <w:tc>
          <w:tcPr>
            <w:tcW w:w="1186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40.84%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04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316</w:t>
            </w:r>
          </w:p>
        </w:tc>
        <w:tc>
          <w:tcPr>
            <w:tcW w:w="133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81.38 </w:t>
            </w:r>
          </w:p>
        </w:tc>
        <w:tc>
          <w:tcPr>
            <w:tcW w:w="1186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25.13%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130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合计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779</w:t>
            </w:r>
          </w:p>
        </w:tc>
        <w:tc>
          <w:tcPr>
            <w:tcW w:w="133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323.85 </w:t>
            </w:r>
          </w:p>
        </w:tc>
        <w:tc>
          <w:tcPr>
            <w:tcW w:w="1186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100.00%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pct"/>
          <w:trHeight w:val="344" w:hRule="atLeast"/>
        </w:trPr>
        <w:tc>
          <w:tcPr>
            <w:tcW w:w="804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bookmarkStart w:id="0" w:name="_Toc10942"/>
            <w:bookmarkStart w:id="1" w:name="_Toc8993"/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茶园</w:t>
            </w: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29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38.72</w:t>
            </w:r>
          </w:p>
        </w:tc>
        <w:tc>
          <w:tcPr>
            <w:tcW w:w="118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18.88%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pct"/>
          <w:trHeight w:val="344" w:hRule="atLeast"/>
        </w:trPr>
        <w:tc>
          <w:tcPr>
            <w:tcW w:w="804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128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166.39</w:t>
            </w:r>
          </w:p>
        </w:tc>
        <w:tc>
          <w:tcPr>
            <w:tcW w:w="118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81.12%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" w:type="pct"/>
          <w:trHeight w:val="354" w:hRule="atLeast"/>
        </w:trPr>
        <w:tc>
          <w:tcPr>
            <w:tcW w:w="130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合计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157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205.11</w:t>
            </w:r>
          </w:p>
        </w:tc>
        <w:tc>
          <w:tcPr>
            <w:tcW w:w="118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100.00%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04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其他园地</w:t>
            </w: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86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70.16 </w:t>
            </w:r>
          </w:p>
        </w:tc>
        <w:tc>
          <w:tcPr>
            <w:tcW w:w="1189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45.70%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04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</w:p>
        </w:tc>
        <w:tc>
          <w:tcPr>
            <w:tcW w:w="50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2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343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 xml:space="preserve">83.36 </w:t>
            </w:r>
          </w:p>
        </w:tc>
        <w:tc>
          <w:tcPr>
            <w:tcW w:w="1189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54.30%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305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合计</w:t>
            </w:r>
          </w:p>
        </w:tc>
        <w:tc>
          <w:tcPr>
            <w:tcW w:w="11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429</w:t>
            </w:r>
          </w:p>
        </w:tc>
        <w:tc>
          <w:tcPr>
            <w:tcW w:w="133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153.52</w:t>
            </w:r>
          </w:p>
        </w:tc>
        <w:tc>
          <w:tcPr>
            <w:tcW w:w="1189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100.00%</w:t>
            </w:r>
          </w:p>
        </w:tc>
      </w:tr>
      <w:bookmarkEnd w:id="0"/>
      <w:bookmarkEnd w:id="1"/>
    </w:tbl>
    <w:p>
      <w:pPr>
        <w:pStyle w:val="18"/>
        <w:spacing w:beforeLines="0"/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备注：土地级别范围详见“金口河区园地（果园）级别分布图”</w:t>
      </w:r>
      <w:bookmarkStart w:id="2" w:name="第二节__基准地价成果"/>
      <w:bookmarkEnd w:id="2"/>
      <w:bookmarkStart w:id="3" w:name="_bookmark14"/>
      <w:bookmarkEnd w:id="3"/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、“金口河区园地（茶园）级别分布图”、“金口河区园地（其他园地）级别分布图”。</w:t>
      </w:r>
    </w:p>
    <w:p>
      <w:pPr>
        <w:pStyle w:val="18"/>
        <w:spacing w:beforeLines="0"/>
        <w:ind w:firstLine="420"/>
        <w:rPr>
          <w:rFonts w:hint="eastAsia" w:ascii="仿宋" w:hAnsi="仿宋" w:eastAsia="仿宋" w:cs="仿宋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tabs>
          <w:tab w:val="left" w:pos="1550"/>
          <w:tab w:val="left" w:pos="4875"/>
        </w:tabs>
        <w:spacing w:line="540" w:lineRule="exac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ascii="黑体" w:hAnsi="黑体" w:eastAsia="黑体"/>
          <w:sz w:val="32"/>
          <w:szCs w:val="32"/>
        </w:rPr>
        <w:br w:type="page"/>
      </w: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</w:t>
      </w:r>
    </w:p>
    <w:p>
      <w:pPr>
        <w:pStyle w:val="2"/>
        <w:ind w:left="0" w:leftChars="0" w:firstLine="0" w:firstLineChars="0"/>
        <w:jc w:val="center"/>
        <w:rPr>
          <w:rFonts w:hint="eastAsia" w:eastAsia="宋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金口河区园地（果园）级别分布图</w:t>
      </w:r>
    </w:p>
    <w:p>
      <w:pPr>
        <w:pStyle w:val="2"/>
        <w:ind w:left="0" w:leftChars="0" w:firstLine="0" w:firstLineChars="0"/>
        <w:jc w:val="both"/>
        <w:rPr>
          <w:rFonts w:hint="eastAsia" w:eastAsia="宋体"/>
          <w:lang w:eastAsia="zh-CN"/>
        </w:rPr>
      </w:pPr>
      <w:r>
        <w:rPr>
          <w:rFonts w:hint="eastAsia" w:eastAsia="宋体"/>
          <w:lang w:val="en-US" w:eastAsia="zh-CN"/>
        </w:rPr>
        <w:t xml:space="preserve"> 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4977130" cy="6814820"/>
            <wp:effectExtent l="0" t="0" r="13970" b="5080"/>
            <wp:docPr id="9" name="图片 2" descr="金口河区园地（果园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金口河区园地（果园）级别分布图"/>
                    <pic:cNvPicPr>
                      <a:picLocks noChangeAspect="true"/>
                    </pic:cNvPicPr>
                  </pic:nvPicPr>
                  <pic:blipFill>
                    <a:blip r:embed="rId5"/>
                    <a:srcRect t="5206" r="2041"/>
                    <a:stretch>
                      <a:fillRect/>
                    </a:stretch>
                  </pic:blipFill>
                  <pic:spPr>
                    <a:xfrm>
                      <a:off x="0" y="0"/>
                      <a:ext cx="4977130" cy="68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pStyle w:val="2"/>
        <w:rPr>
          <w:rFonts w:hint="eastAsia"/>
          <w:lang w:eastAsia="zh-CN"/>
        </w:rPr>
      </w:pPr>
    </w:p>
    <w:p>
      <w:pPr>
        <w:pStyle w:val="2"/>
        <w:ind w:left="0" w:leftChars="0" w:firstLine="0" w:firstLineChars="0"/>
        <w:jc w:val="center"/>
        <w:rPr>
          <w:rFonts w:hint="eastAsia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金口河区园地（茶园）级别分布图</w:t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94630" cy="7252970"/>
            <wp:effectExtent l="0" t="0" r="1270" b="5080"/>
            <wp:docPr id="3" name="图片 3" descr="金口河区园地（茶园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金口河区园地（茶园）级别分布图"/>
                    <pic:cNvPicPr>
                      <a:picLocks noChangeAspect="true"/>
                    </pic:cNvPicPr>
                  </pic:nvPicPr>
                  <pic:blipFill>
                    <a:blip r:embed="rId6"/>
                    <a:srcRect t="4803" r="1674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725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2"/>
        <w:ind w:left="0" w:leftChars="0" w:firstLine="0" w:firstLineChars="0"/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金口河区园地（其他园地）级别分布图</w:t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  <w:drawing>
          <wp:inline distT="0" distB="0" distL="114300" distR="114300">
            <wp:extent cx="5487670" cy="7575550"/>
            <wp:effectExtent l="0" t="0" r="17780" b="6350"/>
            <wp:docPr id="10" name="图片 4" descr="金口河区园地（其他园地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金口河区园地（其他园地）级别分布图"/>
                    <pic:cNvPicPr>
                      <a:picLocks noChangeAspect="true"/>
                    </pic:cNvPicPr>
                  </pic:nvPicPr>
                  <pic:blipFill>
                    <a:blip r:embed="rId7"/>
                    <a:srcRect t="5279" r="2914"/>
                    <a:stretch>
                      <a:fillRect/>
                    </a:stretch>
                  </pic:blipFill>
                  <pic:spPr>
                    <a:xfrm>
                      <a:off x="0" y="0"/>
                      <a:ext cx="5487670" cy="757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附件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3</w:t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</w:p>
    <w:p>
      <w:pPr>
        <w:pStyle w:val="18"/>
        <w:spacing w:beforeLines="0"/>
        <w:ind w:firstLine="1600" w:firstLineChars="500"/>
        <w:jc w:val="left"/>
        <w:rPr>
          <w:rFonts w:hint="eastAsia" w:ascii="黑体" w:hAnsi="黑体" w:eastAsia="黑体" w:cs="黑体"/>
          <w:b w:val="0"/>
          <w:bCs w:val="0"/>
          <w:kern w:val="2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kern w:val="2"/>
          <w:sz w:val="32"/>
          <w:szCs w:val="32"/>
        </w:rPr>
        <w:t>表3-1  金口河区园地基准地价内涵表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1"/>
        <w:gridCol w:w="4344"/>
        <w:gridCol w:w="28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  <w:t>内涵</w:t>
            </w:r>
          </w:p>
        </w:tc>
        <w:tc>
          <w:tcPr>
            <w:tcW w:w="3942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  <w:t>设定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价格类别</w:t>
            </w:r>
          </w:p>
        </w:tc>
        <w:tc>
          <w:tcPr>
            <w:tcW w:w="3942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经济价值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利用类型</w:t>
            </w:r>
          </w:p>
        </w:tc>
        <w:tc>
          <w:tcPr>
            <w:tcW w:w="3942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果园、茶园、其他园地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权利类型</w:t>
            </w:r>
          </w:p>
        </w:tc>
        <w:tc>
          <w:tcPr>
            <w:tcW w:w="2365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承包经营权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经营权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权利年期</w:t>
            </w:r>
          </w:p>
        </w:tc>
        <w:tc>
          <w:tcPr>
            <w:tcW w:w="2365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30年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1年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估价期日</w:t>
            </w:r>
          </w:p>
        </w:tc>
        <w:tc>
          <w:tcPr>
            <w:tcW w:w="3942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2023年1月1日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05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基本设施状况</w:t>
            </w:r>
          </w:p>
        </w:tc>
        <w:tc>
          <w:tcPr>
            <w:tcW w:w="3942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 w:val="0"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/>
                <w:kern w:val="0"/>
                <w:sz w:val="32"/>
                <w:szCs w:val="32"/>
              </w:rPr>
              <w:t>图斑外通路、有灌溉用水等基本设施，图斑内有排水设施</w:t>
            </w:r>
          </w:p>
        </w:tc>
      </w:tr>
    </w:tbl>
    <w:p>
      <w:pPr>
        <w:pStyle w:val="6"/>
        <w:spacing w:after="0"/>
        <w:jc w:val="center"/>
        <w:rPr>
          <w:rFonts w:hint="eastAsia" w:ascii="黑体" w:hAnsi="黑体" w:eastAsia="黑体" w:cs="黑体"/>
          <w:kern w:val="2"/>
          <w:sz w:val="32"/>
          <w:szCs w:val="32"/>
          <w:lang w:val="zh-CN"/>
        </w:rPr>
      </w:pPr>
      <w:r>
        <w:rPr>
          <w:rFonts w:hint="eastAsia" w:ascii="黑体" w:hAnsi="黑体" w:eastAsia="黑体" w:cs="黑体"/>
          <w:kern w:val="2"/>
          <w:sz w:val="32"/>
          <w:szCs w:val="32"/>
        </w:rPr>
        <w:t>表3-2  金口河区园地基准地价</w:t>
      </w:r>
      <w:r>
        <w:rPr>
          <w:rFonts w:hint="eastAsia" w:ascii="黑体" w:hAnsi="黑体" w:eastAsia="黑体" w:cs="黑体"/>
          <w:kern w:val="2"/>
          <w:sz w:val="32"/>
          <w:szCs w:val="32"/>
          <w:lang w:val="zh-CN"/>
        </w:rPr>
        <w:t>结果表</w:t>
      </w:r>
    </w:p>
    <w:tbl>
      <w:tblPr>
        <w:tblStyle w:val="12"/>
        <w:tblW w:w="4997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52"/>
        <w:gridCol w:w="1282"/>
        <w:gridCol w:w="3256"/>
        <w:gridCol w:w="27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用途</w:t>
            </w:r>
          </w:p>
        </w:tc>
        <w:tc>
          <w:tcPr>
            <w:tcW w:w="755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级别</w:t>
            </w:r>
          </w:p>
        </w:tc>
        <w:tc>
          <w:tcPr>
            <w:tcW w:w="1600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zh-CN" w:bidi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承包经营权（元/亩）</w:t>
            </w:r>
          </w:p>
        </w:tc>
        <w:tc>
          <w:tcPr>
            <w:tcW w:w="1576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经营权（元/亩）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restar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果园</w:t>
            </w: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1级</w:t>
            </w:r>
          </w:p>
        </w:tc>
        <w:tc>
          <w:tcPr>
            <w:tcW w:w="160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12000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530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continue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2级</w:t>
            </w:r>
          </w:p>
        </w:tc>
        <w:tc>
          <w:tcPr>
            <w:tcW w:w="160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10000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450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continue"/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3级</w:t>
            </w:r>
          </w:p>
        </w:tc>
        <w:tc>
          <w:tcPr>
            <w:tcW w:w="1600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8800</w:t>
            </w:r>
          </w:p>
        </w:tc>
        <w:tc>
          <w:tcPr>
            <w:tcW w:w="1576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390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restar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茶园</w:t>
            </w: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1级</w:t>
            </w:r>
          </w:p>
        </w:tc>
        <w:tc>
          <w:tcPr>
            <w:tcW w:w="160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9500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430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continue"/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2级</w:t>
            </w:r>
          </w:p>
        </w:tc>
        <w:tc>
          <w:tcPr>
            <w:tcW w:w="1600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7500</w:t>
            </w:r>
          </w:p>
        </w:tc>
        <w:tc>
          <w:tcPr>
            <w:tcW w:w="1576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330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restar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其他园地</w:t>
            </w: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1级</w:t>
            </w:r>
          </w:p>
        </w:tc>
        <w:tc>
          <w:tcPr>
            <w:tcW w:w="160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10800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480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066" w:type="pct"/>
            <w:vMerge w:val="continue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</w:p>
        </w:tc>
        <w:tc>
          <w:tcPr>
            <w:tcW w:w="755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2级</w:t>
            </w:r>
          </w:p>
        </w:tc>
        <w:tc>
          <w:tcPr>
            <w:tcW w:w="160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8500</w:t>
            </w:r>
          </w:p>
        </w:tc>
        <w:tc>
          <w:tcPr>
            <w:tcW w:w="157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380</w:t>
            </w:r>
          </w:p>
        </w:tc>
      </w:tr>
    </w:tbl>
    <w:p>
      <w:pPr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4</w:t>
      </w:r>
    </w:p>
    <w:p>
      <w:pPr>
        <w:pStyle w:val="2"/>
      </w:pPr>
    </w:p>
    <w:p>
      <w:pPr>
        <w:pStyle w:val="6"/>
        <w:spacing w:after="0"/>
        <w:jc w:val="center"/>
        <w:rPr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  <w:t>金口河区林地级别汇总表</w:t>
      </w:r>
    </w:p>
    <w:tbl>
      <w:tblPr>
        <w:tblStyle w:val="12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9"/>
        <w:gridCol w:w="1102"/>
        <w:gridCol w:w="2552"/>
        <w:gridCol w:w="2552"/>
        <w:gridCol w:w="18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37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地类</w:t>
            </w:r>
          </w:p>
        </w:tc>
        <w:tc>
          <w:tcPr>
            <w:tcW w:w="60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级别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图斑数（个）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图斑面积</w:t>
            </w:r>
          </w:p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（公顷）</w:t>
            </w:r>
          </w:p>
        </w:tc>
        <w:tc>
          <w:tcPr>
            <w:tcW w:w="983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面积占比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37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林地</w:t>
            </w:r>
          </w:p>
        </w:tc>
        <w:tc>
          <w:tcPr>
            <w:tcW w:w="60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1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4008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8913.731</w:t>
            </w:r>
          </w:p>
        </w:tc>
        <w:tc>
          <w:tcPr>
            <w:tcW w:w="983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16.77%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37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</w:p>
        </w:tc>
        <w:tc>
          <w:tcPr>
            <w:tcW w:w="60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2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3329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44229.09</w:t>
            </w:r>
          </w:p>
        </w:tc>
        <w:tc>
          <w:tcPr>
            <w:tcW w:w="983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83.23%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237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b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/>
                <w:bCs/>
                <w:sz w:val="32"/>
                <w:szCs w:val="32"/>
              </w:rPr>
              <w:t>合计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7337</w:t>
            </w:r>
          </w:p>
        </w:tc>
        <w:tc>
          <w:tcPr>
            <w:tcW w:w="1390" w:type="pct"/>
            <w:noWrap w:val="0"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53142.82</w:t>
            </w:r>
          </w:p>
        </w:tc>
        <w:tc>
          <w:tcPr>
            <w:tcW w:w="983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100.00%</w:t>
            </w:r>
          </w:p>
        </w:tc>
      </w:tr>
    </w:tbl>
    <w:p>
      <w:pPr>
        <w:pStyle w:val="18"/>
        <w:spacing w:beforeLines="0"/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备注：土地级别范围详见“金口河区林地级别分布图”。</w:t>
      </w:r>
    </w:p>
    <w:p>
      <w:pPr>
        <w:pStyle w:val="18"/>
        <w:spacing w:beforeLines="0"/>
        <w:ind w:firstLine="420"/>
        <w:rPr>
          <w:rFonts w:ascii="Times New Roman" w:hAnsi="Times New Roman" w:eastAsia="仿宋_GB231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tabs>
          <w:tab w:val="left" w:pos="1550"/>
          <w:tab w:val="left" w:pos="4875"/>
        </w:tabs>
        <w:spacing w:line="540" w:lineRule="exact"/>
        <w:rPr>
          <w:rFonts w:hint="eastAsia" w:ascii="黑体" w:hAnsi="黑体" w:eastAsia="黑体" w:cs="黑体"/>
          <w:sz w:val="32"/>
          <w:szCs w:val="32"/>
        </w:rPr>
      </w:pPr>
    </w:p>
    <w:p>
      <w:pPr>
        <w:tabs>
          <w:tab w:val="left" w:pos="1550"/>
          <w:tab w:val="left" w:pos="4875"/>
        </w:tabs>
        <w:spacing w:line="540" w:lineRule="exac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5</w:t>
      </w:r>
    </w:p>
    <w:p>
      <w:pPr>
        <w:pStyle w:val="2"/>
        <w:ind w:left="840" w:hanging="42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金口河区林地级别分布图</w:t>
      </w:r>
    </w:p>
    <w:p>
      <w:pPr>
        <w:rPr>
          <w:rFonts w:hint="eastAsia" w:ascii="黑体" w:hAnsi="黑体" w:eastAsia="黑体"/>
          <w:sz w:val="32"/>
          <w:szCs w:val="32"/>
          <w:lang w:eastAsia="zh-CN"/>
        </w:rPr>
      </w:pPr>
      <w:r>
        <w:rPr>
          <w:rFonts w:hint="eastAsia" w:ascii="黑体" w:hAnsi="黑体" w:eastAsia="黑体"/>
          <w:sz w:val="32"/>
          <w:szCs w:val="32"/>
          <w:lang w:eastAsia="zh-CN"/>
        </w:rPr>
        <w:drawing>
          <wp:inline distT="0" distB="0" distL="114300" distR="114300">
            <wp:extent cx="5247005" cy="7063740"/>
            <wp:effectExtent l="0" t="0" r="10795" b="3810"/>
            <wp:docPr id="7" name="图片 5" descr="金口河区林地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金口河区林地级别分布图"/>
                    <pic:cNvPicPr>
                      <a:picLocks noChangeAspect="true"/>
                    </pic:cNvPicPr>
                  </pic:nvPicPr>
                  <pic:blipFill>
                    <a:blip r:embed="rId8"/>
                    <a:srcRect t="5006" r="134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706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附件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6</w:t>
      </w:r>
    </w:p>
    <w:p>
      <w:pPr>
        <w:tabs>
          <w:tab w:val="left" w:pos="1550"/>
          <w:tab w:val="left" w:pos="4875"/>
        </w:tabs>
        <w:spacing w:line="300" w:lineRule="exact"/>
        <w:rPr>
          <w:color w:val="000000"/>
          <w:sz w:val="18"/>
          <w:szCs w:val="18"/>
        </w:rPr>
      </w:pPr>
    </w:p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  <w:t>表6-1  金口河区林地基准地价内涵表</w:t>
      </w:r>
    </w:p>
    <w:tbl>
      <w:tblPr>
        <w:tblStyle w:val="1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1"/>
        <w:gridCol w:w="1881"/>
        <w:gridCol w:w="3564"/>
        <w:gridCol w:w="24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705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color w:val="000000"/>
                <w:kern w:val="0"/>
                <w:sz w:val="32"/>
                <w:szCs w:val="32"/>
              </w:rPr>
              <w:t>内涵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color w:val="000000"/>
                <w:kern w:val="0"/>
                <w:sz w:val="32"/>
                <w:szCs w:val="32"/>
              </w:rPr>
              <w:t>设定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林地</w:t>
            </w: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价格类别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经济价值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权利类型</w:t>
            </w:r>
          </w:p>
        </w:tc>
        <w:tc>
          <w:tcPr>
            <w:tcW w:w="19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承包经营权</w:t>
            </w:r>
          </w:p>
        </w:tc>
        <w:tc>
          <w:tcPr>
            <w:tcW w:w="135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经营权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权利年期</w:t>
            </w:r>
          </w:p>
        </w:tc>
        <w:tc>
          <w:tcPr>
            <w:tcW w:w="19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70年</w:t>
            </w:r>
          </w:p>
        </w:tc>
        <w:tc>
          <w:tcPr>
            <w:tcW w:w="135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1年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估价期日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2023年1月1日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基本设施状况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图斑外道路通达，图斑内有集材道路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林木</w:t>
            </w: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优势树种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柳杉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龄组（竹度）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中龄林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81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024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每公顷株数</w:t>
            </w:r>
          </w:p>
        </w:tc>
        <w:tc>
          <w:tcPr>
            <w:tcW w:w="3294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</w:rPr>
              <w:t>1650株</w:t>
            </w:r>
          </w:p>
        </w:tc>
      </w:tr>
    </w:tbl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spacing w:val="-6"/>
          <w:kern w:val="2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pacing w:val="-6"/>
          <w:kern w:val="2"/>
          <w:sz w:val="44"/>
          <w:szCs w:val="44"/>
        </w:rPr>
        <w:t>表6-2  金口河区林地二级地类价格调整系数表</w:t>
      </w:r>
    </w:p>
    <w:tbl>
      <w:tblPr>
        <w:tblStyle w:val="12"/>
        <w:tblW w:w="4999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71"/>
        <w:gridCol w:w="511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2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地类</w:t>
            </w:r>
          </w:p>
        </w:tc>
        <w:tc>
          <w:tcPr>
            <w:tcW w:w="278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修正系数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2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乔木林地</w:t>
            </w:r>
          </w:p>
        </w:tc>
        <w:tc>
          <w:tcPr>
            <w:tcW w:w="278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1.00</w:t>
            </w:r>
          </w:p>
        </w:tc>
      </w:tr>
      <w:tr>
        <w:trPr>
          <w:trHeight w:val="397" w:hRule="atLeast"/>
        </w:trPr>
        <w:tc>
          <w:tcPr>
            <w:tcW w:w="22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竹林地</w:t>
            </w:r>
          </w:p>
        </w:tc>
        <w:tc>
          <w:tcPr>
            <w:tcW w:w="278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0.85</w:t>
            </w:r>
          </w:p>
        </w:tc>
      </w:tr>
      <w:tr>
        <w:trPr>
          <w:trHeight w:val="397" w:hRule="atLeast"/>
        </w:trPr>
        <w:tc>
          <w:tcPr>
            <w:tcW w:w="22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灌木林地</w:t>
            </w:r>
          </w:p>
        </w:tc>
        <w:tc>
          <w:tcPr>
            <w:tcW w:w="278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0.60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2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其他林地</w:t>
            </w:r>
          </w:p>
        </w:tc>
        <w:tc>
          <w:tcPr>
            <w:tcW w:w="278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8"/>
                <w:szCs w:val="28"/>
                <w:lang w:bidi="ar"/>
              </w:rPr>
              <w:t>0.50</w:t>
            </w:r>
          </w:p>
        </w:tc>
      </w:tr>
    </w:tbl>
    <w:p>
      <w:pPr>
        <w:pStyle w:val="2"/>
        <w:ind w:left="0" w:leftChars="0" w:firstLine="0" w:firstLineChars="0"/>
        <w:rPr>
          <w:rFonts w:hint="eastAsia"/>
        </w:rPr>
      </w:pPr>
    </w:p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  <w:lang w:val="zh-CN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  <w:t>表6-3  金口河区林地基准地价</w:t>
      </w: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  <w:lang w:val="zh-CN"/>
        </w:rPr>
        <w:t>结果表</w:t>
      </w:r>
    </w:p>
    <w:tbl>
      <w:tblPr>
        <w:tblStyle w:val="12"/>
        <w:tblW w:w="5000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1"/>
        <w:gridCol w:w="1402"/>
        <w:gridCol w:w="1854"/>
        <w:gridCol w:w="1612"/>
        <w:gridCol w:w="2377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12" w:type="pct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用途</w:t>
            </w:r>
          </w:p>
        </w:tc>
        <w:tc>
          <w:tcPr>
            <w:tcW w:w="819" w:type="pct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级别</w:t>
            </w:r>
          </w:p>
        </w:tc>
        <w:tc>
          <w:tcPr>
            <w:tcW w:w="1998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承包经营权（70年）</w:t>
            </w:r>
          </w:p>
        </w:tc>
        <w:tc>
          <w:tcPr>
            <w:tcW w:w="10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经营权（1年）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12" w:type="pct"/>
            <w:vMerge w:val="continue"/>
            <w:tcBorders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</w:p>
        </w:tc>
        <w:tc>
          <w:tcPr>
            <w:tcW w:w="819" w:type="pct"/>
            <w:vMerge w:val="continue"/>
            <w:tcBorders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</w:pPr>
          </w:p>
        </w:tc>
        <w:tc>
          <w:tcPr>
            <w:tcW w:w="10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万元/公顷</w:t>
            </w:r>
          </w:p>
        </w:tc>
        <w:tc>
          <w:tcPr>
            <w:tcW w:w="93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元/亩</w:t>
            </w:r>
          </w:p>
        </w:tc>
        <w:tc>
          <w:tcPr>
            <w:tcW w:w="10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元/亩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1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林地</w:t>
            </w:r>
          </w:p>
        </w:tc>
        <w:tc>
          <w:tcPr>
            <w:tcW w:w="8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1级</w:t>
            </w:r>
          </w:p>
        </w:tc>
        <w:tc>
          <w:tcPr>
            <w:tcW w:w="106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11.15</w:t>
            </w:r>
          </w:p>
        </w:tc>
        <w:tc>
          <w:tcPr>
            <w:tcW w:w="93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7400</w:t>
            </w:r>
          </w:p>
        </w:tc>
        <w:tc>
          <w:tcPr>
            <w:tcW w:w="10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260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1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</w:p>
        </w:tc>
        <w:tc>
          <w:tcPr>
            <w:tcW w:w="8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000000"/>
                <w:kern w:val="0"/>
                <w:sz w:val="32"/>
                <w:szCs w:val="32"/>
                <w:lang w:bidi="ar"/>
              </w:rPr>
              <w:t>2级</w:t>
            </w:r>
          </w:p>
        </w:tc>
        <w:tc>
          <w:tcPr>
            <w:tcW w:w="106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9.63</w:t>
            </w:r>
          </w:p>
        </w:tc>
        <w:tc>
          <w:tcPr>
            <w:tcW w:w="93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6400</w:t>
            </w:r>
          </w:p>
        </w:tc>
        <w:tc>
          <w:tcPr>
            <w:tcW w:w="10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200</w:t>
            </w:r>
          </w:p>
        </w:tc>
      </w:tr>
    </w:tbl>
    <w:p>
      <w:pPr>
        <w:spacing w:line="420" w:lineRule="exact"/>
        <w:rPr>
          <w:rFonts w:hint="eastAsia" w:ascii="黑体" w:hAnsi="黑体" w:eastAsia="黑体"/>
          <w:sz w:val="32"/>
          <w:szCs w:val="32"/>
        </w:rPr>
      </w:pPr>
    </w:p>
    <w:p>
      <w:pPr>
        <w:pStyle w:val="2"/>
        <w:rPr>
          <w:rFonts w:hint="eastAsia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rPr>
          <w:rFonts w:hint="eastAsia" w:ascii="黑体" w:hAnsi="黑体" w:eastAsia="黑体" w:cs="黑体"/>
          <w:sz w:val="32"/>
          <w:szCs w:val="32"/>
        </w:rPr>
      </w:pPr>
    </w:p>
    <w:p>
      <w:pPr>
        <w:rPr>
          <w:rFonts w:hint="eastAsia"/>
        </w:rPr>
      </w:pPr>
    </w:p>
    <w:p>
      <w:pPr>
        <w:rPr>
          <w:rFonts w:eastAsia="黑体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7</w:t>
      </w:r>
    </w:p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  <w:lang w:val="zh-CN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  <w:lang w:val="zh-CN"/>
        </w:rPr>
        <w:t>金口河区草地级别汇总表</w:t>
      </w:r>
    </w:p>
    <w:tbl>
      <w:tblPr>
        <w:tblStyle w:val="12"/>
        <w:tblW w:w="4998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49"/>
        <w:gridCol w:w="1137"/>
        <w:gridCol w:w="1958"/>
        <w:gridCol w:w="1782"/>
        <w:gridCol w:w="175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tblHeader/>
        </w:trPr>
        <w:tc>
          <w:tcPr>
            <w:tcW w:w="1388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  <w:t>地类</w:t>
            </w:r>
          </w:p>
        </w:tc>
        <w:tc>
          <w:tcPr>
            <w:tcW w:w="619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Style w:val="21"/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bidi="ar"/>
              </w:rPr>
              <w:t>级别</w:t>
            </w:r>
          </w:p>
        </w:tc>
        <w:tc>
          <w:tcPr>
            <w:tcW w:w="1066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Style w:val="21"/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bidi="ar"/>
              </w:rPr>
              <w:t>图斑数（个）</w:t>
            </w:r>
          </w:p>
        </w:tc>
        <w:tc>
          <w:tcPr>
            <w:tcW w:w="970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Style w:val="21"/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bidi="ar"/>
              </w:rPr>
              <w:t>面积（公顷）</w:t>
            </w:r>
          </w:p>
        </w:tc>
        <w:tc>
          <w:tcPr>
            <w:tcW w:w="956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color w:val="000000"/>
                <w:sz w:val="32"/>
                <w:szCs w:val="32"/>
              </w:rPr>
            </w:pPr>
            <w:r>
              <w:rPr>
                <w:rStyle w:val="21"/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bidi="ar"/>
              </w:rPr>
              <w:t>面积占比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138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人工牧草地</w:t>
            </w:r>
          </w:p>
        </w:tc>
        <w:tc>
          <w:tcPr>
            <w:tcW w:w="6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0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  <w:lang w:val="en-US" w:eastAsia="zh-CN"/>
              </w:rPr>
              <w:t>1</w:t>
            </w:r>
          </w:p>
        </w:tc>
        <w:tc>
          <w:tcPr>
            <w:tcW w:w="9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 xml:space="preserve">2.03 </w:t>
            </w:r>
          </w:p>
        </w:tc>
        <w:tc>
          <w:tcPr>
            <w:tcW w:w="9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1.01%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138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天然牧草地</w:t>
            </w:r>
          </w:p>
        </w:tc>
        <w:tc>
          <w:tcPr>
            <w:tcW w:w="6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0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  <w:lang w:val="en-US" w:eastAsia="zh-CN"/>
              </w:rPr>
              <w:t>8</w:t>
            </w:r>
          </w:p>
        </w:tc>
        <w:tc>
          <w:tcPr>
            <w:tcW w:w="9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 xml:space="preserve">12.49 </w:t>
            </w:r>
          </w:p>
        </w:tc>
        <w:tc>
          <w:tcPr>
            <w:tcW w:w="9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6.19%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" w:hRule="atLeast"/>
        </w:trPr>
        <w:tc>
          <w:tcPr>
            <w:tcW w:w="138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color w:val="000000"/>
                <w:sz w:val="32"/>
                <w:szCs w:val="32"/>
              </w:rPr>
              <w:t>其他草地</w:t>
            </w:r>
          </w:p>
        </w:tc>
        <w:tc>
          <w:tcPr>
            <w:tcW w:w="6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1</w:t>
            </w:r>
          </w:p>
        </w:tc>
        <w:tc>
          <w:tcPr>
            <w:tcW w:w="10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256</w:t>
            </w:r>
          </w:p>
        </w:tc>
        <w:tc>
          <w:tcPr>
            <w:tcW w:w="9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bottom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 xml:space="preserve">187.28 </w:t>
            </w:r>
          </w:p>
        </w:tc>
        <w:tc>
          <w:tcPr>
            <w:tcW w:w="9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92.80%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138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合计</w:t>
            </w:r>
          </w:p>
        </w:tc>
        <w:tc>
          <w:tcPr>
            <w:tcW w:w="61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32"/>
                <w:szCs w:val="32"/>
                <w:lang w:bidi="ar"/>
              </w:rPr>
              <w:t>/</w:t>
            </w:r>
          </w:p>
        </w:tc>
        <w:tc>
          <w:tcPr>
            <w:tcW w:w="10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265</w:t>
            </w:r>
          </w:p>
        </w:tc>
        <w:tc>
          <w:tcPr>
            <w:tcW w:w="9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 xml:space="preserve">201.80 </w:t>
            </w:r>
          </w:p>
        </w:tc>
        <w:tc>
          <w:tcPr>
            <w:tcW w:w="9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before="24" w:beforeLines="10" w:after="24" w:afterLines="10"/>
              <w:jc w:val="center"/>
              <w:textAlignment w:val="center"/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</w:pPr>
            <w:r>
              <w:rPr>
                <w:rFonts w:hint="eastAsia" w:ascii="仿宋" w:hAnsi="仿宋" w:eastAsia="仿宋" w:cs="仿宋"/>
                <w:color w:val="auto"/>
                <w:sz w:val="32"/>
                <w:szCs w:val="32"/>
                <w:highlight w:val="none"/>
              </w:rPr>
              <w:t>100%</w:t>
            </w:r>
          </w:p>
        </w:tc>
      </w:tr>
    </w:tbl>
    <w:p>
      <w:pPr>
        <w:pStyle w:val="18"/>
        <w:spacing w:beforeLines="0"/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备注：土地级别范围详见“金口河区草地（天然牧草地）级别分布图”、“金口河区草地（</w:t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  <w:t>人工牧</w:t>
      </w: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草地）级别分布图”“金口河区草地（其他草地）级别分布图”。</w:t>
      </w:r>
    </w:p>
    <w:p>
      <w:pPr>
        <w:pStyle w:val="18"/>
        <w:spacing w:beforeLines="0"/>
        <w:ind w:firstLine="420"/>
        <w:rPr>
          <w:rFonts w:hint="eastAsia" w:ascii="仿宋" w:hAnsi="仿宋" w:eastAsia="仿宋" w:cs="仿宋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pStyle w:val="18"/>
        <w:spacing w:beforeLine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</w:p>
    <w:p>
      <w:pPr>
        <w:tabs>
          <w:tab w:val="left" w:pos="1550"/>
          <w:tab w:val="left" w:pos="4875"/>
        </w:tabs>
        <w:spacing w:line="540" w:lineRule="exac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8</w:t>
      </w:r>
    </w:p>
    <w:p>
      <w:pPr>
        <w:pStyle w:val="2"/>
        <w:ind w:left="0" w:leftChars="0" w:firstLine="0" w:firstLineChars="0"/>
        <w:jc w:val="center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金口河区草地（天然牧草地）级别分布图</w:t>
      </w:r>
    </w:p>
    <w:p>
      <w:pPr>
        <w:tabs>
          <w:tab w:val="left" w:pos="1550"/>
          <w:tab w:val="left" w:pos="4875"/>
        </w:tabs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drawing>
          <wp:inline distT="0" distB="0" distL="114300" distR="114300">
            <wp:extent cx="5194300" cy="7096125"/>
            <wp:effectExtent l="0" t="0" r="6350" b="9525"/>
            <wp:docPr id="5" name="图片 6" descr="金口河区草地（天然牧草地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金口河区草地（天然牧草地）级别分布图"/>
                    <pic:cNvPicPr>
                      <a:picLocks noChangeAspect="true"/>
                    </pic:cNvPicPr>
                  </pic:nvPicPr>
                  <pic:blipFill>
                    <a:blip r:embed="rId9"/>
                    <a:srcRect t="5169" r="1755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jc w:val="center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金口河区草地（人工牧草地）级别分布图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drawing>
          <wp:inline distT="0" distB="0" distL="114300" distR="114300">
            <wp:extent cx="5240020" cy="6957060"/>
            <wp:effectExtent l="0" t="0" r="17780" b="15240"/>
            <wp:docPr id="4" name="图片 7" descr="金口河区草地（人工牧草地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金口河区草地（人工牧草地）级别分布图"/>
                    <pic:cNvPicPr>
                      <a:picLocks noChangeAspect="true"/>
                    </pic:cNvPicPr>
                  </pic:nvPicPr>
                  <pic:blipFill>
                    <a:blip r:embed="rId10"/>
                    <a:srcRect l="-3366" t="4673" r="178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69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sz w:val="32"/>
          <w:szCs w:val="32"/>
        </w:rPr>
      </w:pPr>
    </w:p>
    <w:p>
      <w:pPr>
        <w:pStyle w:val="2"/>
        <w:ind w:left="0" w:leftChars="0" w:firstLine="0" w:firstLineChars="0"/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金口河区草地（其他草地）级别分布图</w:t>
      </w:r>
    </w:p>
    <w:p>
      <w:pPr>
        <w:pStyle w:val="18"/>
        <w:spacing w:beforeLines="0"/>
        <w:jc w:val="left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drawing>
          <wp:inline distT="0" distB="0" distL="114300" distR="114300">
            <wp:extent cx="5266055" cy="7292975"/>
            <wp:effectExtent l="0" t="0" r="10795" b="3175"/>
            <wp:docPr id="6" name="图片 10" descr="金口河区草地（其他草地）级别分布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金口河区草地（其他草地）级别分布图"/>
                    <pic:cNvPicPr>
                      <a:picLocks noChangeAspect="true"/>
                    </pic:cNvPicPr>
                  </pic:nvPicPr>
                  <pic:blipFill>
                    <a:blip r:embed="rId11"/>
                    <a:srcRect l="127" t="5228" r="30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29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8"/>
        <w:spacing w:beforeLines="0"/>
        <w:jc w:val="left"/>
        <w:rPr>
          <w:color w:val="000000"/>
          <w:sz w:val="18"/>
          <w:szCs w:val="18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附件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9</w:t>
      </w:r>
    </w:p>
    <w:p>
      <w:pPr>
        <w:pStyle w:val="6"/>
        <w:spacing w:after="0"/>
        <w:jc w:val="center"/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  <w:t>表9-1  金口河区草地基准地价内涵表</w:t>
      </w:r>
    </w:p>
    <w:tbl>
      <w:tblPr>
        <w:tblStyle w:val="1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29"/>
        <w:gridCol w:w="3103"/>
        <w:gridCol w:w="325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  <w:t>内涵</w:t>
            </w:r>
          </w:p>
        </w:tc>
        <w:tc>
          <w:tcPr>
            <w:tcW w:w="3459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/>
                <w:kern w:val="0"/>
                <w:sz w:val="32"/>
                <w:szCs w:val="32"/>
              </w:rPr>
              <w:t>设定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价格类别</w:t>
            </w:r>
          </w:p>
        </w:tc>
        <w:tc>
          <w:tcPr>
            <w:tcW w:w="3459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经济价值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利用类型</w:t>
            </w:r>
          </w:p>
        </w:tc>
        <w:tc>
          <w:tcPr>
            <w:tcW w:w="3459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天然牧草地、其他草地、人工牧草地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权利类型</w:t>
            </w:r>
          </w:p>
        </w:tc>
        <w:tc>
          <w:tcPr>
            <w:tcW w:w="1689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承包经营权</w:t>
            </w:r>
          </w:p>
        </w:tc>
        <w:tc>
          <w:tcPr>
            <w:tcW w:w="177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经营权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权利年期</w:t>
            </w:r>
          </w:p>
        </w:tc>
        <w:tc>
          <w:tcPr>
            <w:tcW w:w="1689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30年</w:t>
            </w:r>
          </w:p>
        </w:tc>
        <w:tc>
          <w:tcPr>
            <w:tcW w:w="177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1年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估价期日</w:t>
            </w:r>
          </w:p>
        </w:tc>
        <w:tc>
          <w:tcPr>
            <w:tcW w:w="3459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2023年1月1日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540" w:type="pct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基本设施状况</w:t>
            </w:r>
          </w:p>
        </w:tc>
        <w:tc>
          <w:tcPr>
            <w:tcW w:w="3459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</w:rPr>
              <w:t>图斑外通路、有灌溉用水等基本设施</w:t>
            </w:r>
          </w:p>
        </w:tc>
      </w:tr>
    </w:tbl>
    <w:p>
      <w:pPr>
        <w:pStyle w:val="6"/>
        <w:spacing w:after="0"/>
        <w:jc w:val="center"/>
        <w:rPr>
          <w:rFonts w:ascii="方正小标宋简体" w:hAnsi="方正小标宋简体" w:eastAsia="方正小标宋简体" w:cs="方正小标宋简体"/>
          <w:kern w:val="2"/>
          <w:sz w:val="44"/>
          <w:szCs w:val="44"/>
          <w:lang w:val="zh-CN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44"/>
          <w:szCs w:val="44"/>
        </w:rPr>
        <w:t>表9-2  金口河区草地基准地价</w:t>
      </w:r>
      <w:r>
        <w:rPr>
          <w:rFonts w:ascii="方正小标宋简体" w:hAnsi="方正小标宋简体" w:eastAsia="方正小标宋简体" w:cs="方正小标宋简体"/>
          <w:kern w:val="2"/>
          <w:sz w:val="44"/>
          <w:szCs w:val="44"/>
          <w:lang w:val="zh-CN"/>
        </w:rPr>
        <w:t>结果表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6"/>
        <w:gridCol w:w="1568"/>
        <w:gridCol w:w="3256"/>
        <w:gridCol w:w="276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86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  <w:t>用途</w:t>
            </w:r>
          </w:p>
        </w:tc>
        <w:tc>
          <w:tcPr>
            <w:tcW w:w="871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级别</w:t>
            </w:r>
          </w:p>
        </w:tc>
        <w:tc>
          <w:tcPr>
            <w:tcW w:w="1720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zh-CN" w:bidi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承包经营权（元/亩）</w:t>
            </w:r>
          </w:p>
        </w:tc>
        <w:tc>
          <w:tcPr>
            <w:tcW w:w="1521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0"/>
                <w:sz w:val="32"/>
                <w:szCs w:val="32"/>
                <w:lang w:bidi="ar"/>
              </w:rPr>
              <w:t>经营权（元/亩）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86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sz w:val="32"/>
                <w:szCs w:val="32"/>
              </w:rPr>
              <w:t>其他草地</w:t>
            </w:r>
          </w:p>
        </w:tc>
        <w:tc>
          <w:tcPr>
            <w:tcW w:w="871" w:type="pct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1级</w:t>
            </w:r>
          </w:p>
        </w:tc>
        <w:tc>
          <w:tcPr>
            <w:tcW w:w="1720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2000</w:t>
            </w:r>
          </w:p>
        </w:tc>
        <w:tc>
          <w:tcPr>
            <w:tcW w:w="1521" w:type="pct"/>
            <w:noWrap w:val="0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kern w:val="0"/>
                <w:sz w:val="32"/>
                <w:szCs w:val="32"/>
                <w:lang w:bidi="ar"/>
              </w:rPr>
              <w:t>110</w:t>
            </w:r>
          </w:p>
        </w:tc>
      </w:tr>
    </w:tbl>
    <w:p>
      <w:pPr>
        <w:tabs>
          <w:tab w:val="left" w:pos="1550"/>
          <w:tab w:val="left" w:pos="4875"/>
        </w:tabs>
        <w:spacing w:line="540" w:lineRule="exact"/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注：草地包含天然牧草地、其他草地、人工牧草地，由于天然牧草地和人工牧草地仅有8个图斑和1个图斑，图斑数量少，天然牧草地和人工牧草地参照其他草地统一定级，价格参照其他草地价格。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仿宋"/>
          <w:bCs/>
          <w:sz w:val="32"/>
          <w:szCs w:val="32"/>
        </w:rPr>
      </w:pPr>
    </w:p>
    <w:p>
      <w:pPr>
        <w:pStyle w:val="2"/>
        <w:rPr>
          <w:rFonts w:hint="eastAsia" w:ascii="黑体" w:hAnsi="黑体" w:eastAsia="黑体" w:cs="仿宋"/>
          <w:bCs/>
          <w:sz w:val="32"/>
          <w:szCs w:val="32"/>
        </w:rPr>
      </w:pPr>
    </w:p>
    <w:p>
      <w:pPr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eastAsiaTheme="minorEastAsia"/>
          <w:lang w:eastAsia="zh-CN"/>
        </w:rPr>
      </w:pPr>
      <w:r>
        <w:rPr>
          <w:rFonts w:hint="eastAsia" w:ascii="黑体" w:hAnsi="黑体" w:eastAsia="黑体" w:cs="仿宋"/>
          <w:bCs/>
          <w:sz w:val="32"/>
          <w:szCs w:val="32"/>
        </w:rPr>
        <w:t>信息公开选项：</w:t>
      </w:r>
      <w:r>
        <w:rPr>
          <w:rFonts w:hint="eastAsia" w:ascii="方正小标宋简体" w:hAnsi="宋体" w:eastAsia="方正小标宋简体" w:cs="仿宋"/>
          <w:bCs/>
          <w:sz w:val="32"/>
          <w:szCs w:val="32"/>
          <w:lang w:val="en-US" w:eastAsia="zh-CN"/>
        </w:rPr>
        <w:t>主动</w:t>
      </w:r>
      <w:r>
        <w:rPr>
          <w:rFonts w:hint="eastAsia" w:ascii="方正小标宋简体" w:hAnsi="宋体" w:eastAsia="方正小标宋简体" w:cs="仿宋"/>
          <w:bCs/>
          <w:sz w:val="32"/>
          <w:szCs w:val="32"/>
        </w:rPr>
        <w:t>公开</w:t>
      </w:r>
    </w:p>
    <w:sectPr>
      <w:footerReference r:id="rId3" w:type="default"/>
      <w:pgSz w:w="11906" w:h="16838"/>
      <w:pgMar w:top="2154" w:right="1468" w:bottom="1587" w:left="1468" w:header="851" w:footer="992" w:gutter="0"/>
      <w:pgNumType w:fmt="decimal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Nimbus Roman No9 L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tabs>
        <w:tab w:val="right" w:pos="8970"/>
        <w:tab w:val="clear" w:pos="4153"/>
      </w:tabs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9"/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BYAAABkcnMvUEsBAhQAFAAAAAgA&#10;h07iQLNJWO7QAAAABQEAAA8AAAAAAAAAAQAgAAAAOAAAAGRycy9kb3ducmV2LnhtbFBLAQIUABQA&#10;AAAIAIdO4kDiMuAOGwIAACkEAAAOAAAAAAAAAAEAIAAAADU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</w:pP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t>3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  <w:r>
      <w:rPr>
        <w:rFonts w:hint="eastAsia"/>
        <w:lang w:eastAsia="zh-CN"/>
      </w:rPr>
      <w:tab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458C1DD"/>
    <w:multiLevelType w:val="singleLevel"/>
    <w:tmpl w:val="2458C1DD"/>
    <w:lvl w:ilvl="0" w:tentative="0">
      <w:start w:val="1"/>
      <w:numFmt w:val="decimal"/>
      <w:pStyle w:val="4"/>
      <w:lvlText w:val="%1."/>
      <w:lvlJc w:val="left"/>
      <w:pPr>
        <w:tabs>
          <w:tab w:val="left" w:pos="360"/>
        </w:tabs>
        <w:ind w:left="36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true"/>
  <w:bordersDoNotSurroundFooter w:val="true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836743"/>
    <w:rsid w:val="021D7E1A"/>
    <w:rsid w:val="04430CE1"/>
    <w:rsid w:val="05240FF1"/>
    <w:rsid w:val="05B43075"/>
    <w:rsid w:val="06B00A27"/>
    <w:rsid w:val="06DD5D8D"/>
    <w:rsid w:val="098166DD"/>
    <w:rsid w:val="0BEC1EAA"/>
    <w:rsid w:val="0C000BDD"/>
    <w:rsid w:val="0D7F205C"/>
    <w:rsid w:val="0F0C65FE"/>
    <w:rsid w:val="0FB83AA5"/>
    <w:rsid w:val="118F09B8"/>
    <w:rsid w:val="12AB051A"/>
    <w:rsid w:val="12F12A7F"/>
    <w:rsid w:val="13226BC8"/>
    <w:rsid w:val="13D03611"/>
    <w:rsid w:val="15B55E2D"/>
    <w:rsid w:val="16622B33"/>
    <w:rsid w:val="182F6A56"/>
    <w:rsid w:val="18EB1ABF"/>
    <w:rsid w:val="1900669D"/>
    <w:rsid w:val="1A7171D0"/>
    <w:rsid w:val="1CF35BFB"/>
    <w:rsid w:val="20202572"/>
    <w:rsid w:val="241237D2"/>
    <w:rsid w:val="258204E4"/>
    <w:rsid w:val="28375FC3"/>
    <w:rsid w:val="28567983"/>
    <w:rsid w:val="28B712D4"/>
    <w:rsid w:val="28BB69F0"/>
    <w:rsid w:val="297C0F7E"/>
    <w:rsid w:val="2AAF1F37"/>
    <w:rsid w:val="3187673B"/>
    <w:rsid w:val="335A2AA0"/>
    <w:rsid w:val="34F66A6D"/>
    <w:rsid w:val="361B0693"/>
    <w:rsid w:val="37332049"/>
    <w:rsid w:val="37447F3F"/>
    <w:rsid w:val="3B6019B1"/>
    <w:rsid w:val="3D8B5537"/>
    <w:rsid w:val="3F297F37"/>
    <w:rsid w:val="46FE30DF"/>
    <w:rsid w:val="4ABB5198"/>
    <w:rsid w:val="4DC77E76"/>
    <w:rsid w:val="4F412C02"/>
    <w:rsid w:val="4FB76915"/>
    <w:rsid w:val="514762B2"/>
    <w:rsid w:val="521664EF"/>
    <w:rsid w:val="52752F28"/>
    <w:rsid w:val="52837982"/>
    <w:rsid w:val="53312599"/>
    <w:rsid w:val="534D6B6B"/>
    <w:rsid w:val="549507CB"/>
    <w:rsid w:val="5536383D"/>
    <w:rsid w:val="55A670A4"/>
    <w:rsid w:val="55B053D7"/>
    <w:rsid w:val="57406BAC"/>
    <w:rsid w:val="575D73B3"/>
    <w:rsid w:val="5EE44E48"/>
    <w:rsid w:val="5F9E2252"/>
    <w:rsid w:val="603929A9"/>
    <w:rsid w:val="60787DA1"/>
    <w:rsid w:val="60E34142"/>
    <w:rsid w:val="60ED12EA"/>
    <w:rsid w:val="631924FC"/>
    <w:rsid w:val="64165076"/>
    <w:rsid w:val="660944A3"/>
    <w:rsid w:val="67704C60"/>
    <w:rsid w:val="67EB44AD"/>
    <w:rsid w:val="68171A0C"/>
    <w:rsid w:val="69C63833"/>
    <w:rsid w:val="6B6701AC"/>
    <w:rsid w:val="6B8A7DF5"/>
    <w:rsid w:val="6C223454"/>
    <w:rsid w:val="6CCD2821"/>
    <w:rsid w:val="6E834792"/>
    <w:rsid w:val="6E964C6D"/>
    <w:rsid w:val="6FB91A91"/>
    <w:rsid w:val="70390D6C"/>
    <w:rsid w:val="71090DF3"/>
    <w:rsid w:val="73BA1F09"/>
    <w:rsid w:val="77067D67"/>
    <w:rsid w:val="77702231"/>
    <w:rsid w:val="778B35F2"/>
    <w:rsid w:val="78686692"/>
    <w:rsid w:val="7B671D30"/>
    <w:rsid w:val="7B9121C1"/>
    <w:rsid w:val="7DE77F9E"/>
    <w:rsid w:val="7E284CBF"/>
    <w:rsid w:val="7E5D305C"/>
    <w:rsid w:val="FA7DD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qFormat="1"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1"/>
    <w:pPr>
      <w:ind w:left="311"/>
      <w:outlineLvl w:val="1"/>
    </w:pPr>
    <w:rPr>
      <w:rFonts w:ascii="方正小标宋简体" w:hAnsi="方正小标宋简体" w:eastAsia="方正小标宋简体" w:cs="方正小标宋简体"/>
      <w:sz w:val="44"/>
      <w:szCs w:val="44"/>
    </w:rPr>
  </w:style>
  <w:style w:type="character" w:default="1" w:styleId="13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able of figures"/>
    <w:basedOn w:val="1"/>
    <w:next w:val="1"/>
    <w:qFormat/>
    <w:uiPriority w:val="0"/>
    <w:pPr>
      <w:ind w:left="200" w:leftChars="200" w:hanging="200" w:hangingChars="200"/>
    </w:pPr>
  </w:style>
  <w:style w:type="paragraph" w:styleId="4">
    <w:name w:val="List Number"/>
    <w:basedOn w:val="1"/>
    <w:qFormat/>
    <w:uiPriority w:val="0"/>
    <w:pPr>
      <w:numPr>
        <w:ilvl w:val="0"/>
        <w:numId w:val="1"/>
      </w:numPr>
    </w:pPr>
  </w:style>
  <w:style w:type="paragraph" w:styleId="5">
    <w:name w:val="Normal Indent"/>
    <w:basedOn w:val="1"/>
    <w:qFormat/>
    <w:uiPriority w:val="0"/>
    <w:pPr>
      <w:ind w:firstLine="420" w:firstLineChars="200"/>
    </w:pPr>
    <w:rPr>
      <w:rFonts w:ascii="Calibri" w:hAnsi="Calibri" w:eastAsia="仿宋" w:cs="宋体"/>
      <w:sz w:val="32"/>
    </w:rPr>
  </w:style>
  <w:style w:type="paragraph" w:styleId="6">
    <w:name w:val="Body Text"/>
    <w:basedOn w:val="1"/>
    <w:next w:val="1"/>
    <w:qFormat/>
    <w:uiPriority w:val="1"/>
    <w:rPr>
      <w:rFonts w:ascii="仿宋_GB2312" w:hAnsi="仿宋_GB2312" w:eastAsia="仿宋_GB2312" w:cs="仿宋_GB2312"/>
      <w:sz w:val="32"/>
      <w:szCs w:val="32"/>
    </w:rPr>
  </w:style>
  <w:style w:type="paragraph" w:styleId="7">
    <w:name w:val="Body Text Indent"/>
    <w:basedOn w:val="1"/>
    <w:next w:val="8"/>
    <w:qFormat/>
    <w:uiPriority w:val="0"/>
    <w:pPr>
      <w:spacing w:after="120"/>
      <w:ind w:left="420" w:leftChars="200"/>
    </w:pPr>
  </w:style>
  <w:style w:type="paragraph" w:styleId="8">
    <w:name w:val="Body Text First Indent 2"/>
    <w:basedOn w:val="7"/>
    <w:next w:val="1"/>
    <w:qFormat/>
    <w:uiPriority w:val="0"/>
    <w:pPr>
      <w:ind w:firstLine="420" w:firstLineChars="200"/>
    </w:pPr>
    <w:rPr>
      <w:rFonts w:ascii="Times New Roman" w:hAnsi="Times New Roman"/>
      <w:kern w:val="0"/>
      <w:sz w:val="20"/>
    </w:rPr>
  </w:style>
  <w:style w:type="paragraph" w:styleId="9">
    <w:name w:val="footer"/>
    <w:basedOn w:val="1"/>
    <w:next w:val="1"/>
    <w:unhideWhenUsed/>
    <w:qFormat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10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1">
    <w:name w:val="Subtitle"/>
    <w:basedOn w:val="1"/>
    <w:next w:val="1"/>
    <w:qFormat/>
    <w:uiPriority w:val="0"/>
    <w:pPr>
      <w:spacing w:before="240" w:after="60" w:line="312" w:lineRule="auto"/>
      <w:jc w:val="center"/>
      <w:outlineLvl w:val="1"/>
    </w:pPr>
    <w:rPr>
      <w:rFonts w:ascii="宋体" w:hAnsi="宋体" w:cs="宋体"/>
      <w:b/>
      <w:bCs/>
    </w:rPr>
  </w:style>
  <w:style w:type="paragraph" w:customStyle="1" w:styleId="14">
    <w:name w:val="Heading3"/>
    <w:basedOn w:val="1"/>
    <w:next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27"/>
      <w:szCs w:val="27"/>
    </w:rPr>
  </w:style>
  <w:style w:type="paragraph" w:customStyle="1" w:styleId="15">
    <w:name w:val="chy正文文本"/>
    <w:basedOn w:val="1"/>
    <w:qFormat/>
    <w:uiPriority w:val="0"/>
    <w:pPr>
      <w:spacing w:line="360" w:lineRule="auto"/>
      <w:ind w:firstLine="200" w:firstLineChars="200"/>
    </w:pPr>
    <w:rPr>
      <w:rFonts w:eastAsia="华文仿宋"/>
      <w:sz w:val="28"/>
      <w:szCs w:val="28"/>
    </w:rPr>
  </w:style>
  <w:style w:type="paragraph" w:customStyle="1" w:styleId="16">
    <w:name w:val="Default"/>
    <w:unhideWhenUsed/>
    <w:qFormat/>
    <w:uiPriority w:val="99"/>
    <w:pPr>
      <w:widowControl w:val="0"/>
      <w:autoSpaceDE w:val="0"/>
      <w:autoSpaceDN w:val="0"/>
      <w:adjustRightInd w:val="0"/>
      <w:spacing w:beforeLines="0" w:afterLines="0"/>
    </w:pPr>
    <w:rPr>
      <w:rFonts w:hint="eastAsia" w:ascii="宋体" w:hAnsi="宋体" w:eastAsia="宋体" w:cstheme="minorBidi"/>
      <w:color w:val="000000"/>
      <w:sz w:val="24"/>
      <w:szCs w:val="24"/>
    </w:rPr>
  </w:style>
  <w:style w:type="character" w:customStyle="1" w:styleId="17">
    <w:name w:val="font01"/>
    <w:basedOn w:val="13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paragraph" w:customStyle="1" w:styleId="18">
    <w:name w:val="7-表名"/>
    <w:basedOn w:val="1"/>
    <w:qFormat/>
    <w:uiPriority w:val="0"/>
    <w:pPr>
      <w:overflowPunct w:val="0"/>
      <w:spacing w:beforeLines="50"/>
      <w:jc w:val="center"/>
    </w:pPr>
    <w:rPr>
      <w:rFonts w:ascii="宋体" w:hAnsi="宋体"/>
      <w:b/>
      <w:bCs/>
      <w:sz w:val="24"/>
    </w:rPr>
  </w:style>
  <w:style w:type="paragraph" w:customStyle="1" w:styleId="19">
    <w:name w:val="Table Text"/>
    <w:basedOn w:val="1"/>
    <w:semiHidden/>
    <w:qFormat/>
    <w:uiPriority w:val="0"/>
    <w:rPr>
      <w:rFonts w:ascii="仿宋" w:hAnsi="仿宋" w:eastAsia="仿宋" w:cs="仿宋"/>
      <w:sz w:val="28"/>
      <w:szCs w:val="28"/>
      <w:lang w:val="en-US" w:eastAsia="en-US" w:bidi="ar-SA"/>
    </w:rPr>
  </w:style>
  <w:style w:type="table" w:customStyle="1" w:styleId="20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1">
    <w:name w:val="font21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1472</Words>
  <Characters>1795</Characters>
  <Lines>0</Lines>
  <Paragraphs>0</Paragraphs>
  <TotalTime>0</TotalTime>
  <ScaleCrop>false</ScaleCrop>
  <LinksUpToDate>false</LinksUpToDate>
  <CharactersWithSpaces>1858</CharactersWithSpaces>
  <Application>WPS Office_11.8.2.10125_F1E327BC-269C-435d-A152-05C5408002CA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2024-09-03T10:26:00Z</dcterms:created>
  <dc:creator>墨尔本的晴空</dc:creator>
  <cp:lastModifiedBy>user</cp:lastModifiedBy>
  <cp:lastPrinted>2025-09-09T11:51:00Z</cp:lastPrinted>
  <dcterms:modified xsi:type="dcterms:W3CDTF">2025-09-11T11:09:12Z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2052-11.8.2.10125</vt:lpwstr>
  </property>
  <property fmtid="{D5CDD505-2E9C-101B-9397-08002B2CF9AE}" pid="3" name="ICV">
    <vt:lpwstr>7B800B8DA81E48D7B9AA1DD07DE56B96_13</vt:lpwstr>
  </property>
  <property fmtid="{D5CDD505-2E9C-101B-9397-08002B2CF9AE}" pid="4" name="KSOTemplateDocerSaveRecord">
    <vt:lpwstr>eyJoZGlkIjoiN2FhOTMwMDgzMWEwMDIwMWJhNjI3N2M1YjhkNjliN2IiLCJ1c2VySWQiOiI3ODgzNjY0MDEifQ==</vt:lpwstr>
  </property>
</Properties>
</file>