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top"/>
          </w:tcPr>
          <w:p>
            <w:pPr>
              <w:spacing w:before="431" w:line="207" w:lineRule="auto"/>
              <w:ind w:left="4710"/>
              <w:jc w:val="both"/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</w:pP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pict>
                <v:shape id="_x0000_s1026" o:spid="_x0000_s1026" style="position:absolute;left:0pt;margin-left:1518.55pt;margin-top:90.15pt;height:925.7pt;width:5.55pt;mso-position-horizontal-relative:page;mso-position-vertical-relative:page;z-index:251659264;mso-width-relative:page;mso-height-relative:page;" filled="f" stroked="t" coordsize="111,18514" o:allowincell="f" path="m55,0l55,18513e">
                  <v:fill on="f" focussize="0,0"/>
                  <v:stroke weight="5.53pt" color="#000000" miterlimit="2" joinstyle="bevel"/>
                  <v:imagedata o:title=""/>
                  <o:lock v:ext="edit"/>
                </v:shape>
              </w:pic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“</w:t>
            </w:r>
            <w:r>
              <w:rPr>
                <w:rFonts w:hint="default" w:ascii="方正小标宋简体" w:hAnsi="方正小标宋简体" w:eastAsia="方正小标宋简体" w:cs="方正小标宋简体"/>
                <w:sz w:val="67"/>
                <w:szCs w:val="67"/>
                <w:lang w:val="en-US" w:eastAsia="zh-CN"/>
              </w:rPr>
              <w:t>枕头坝二级水电站上坪居民点场平及基础设施建设项目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”</w: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批后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r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  <w:drawing>
                <wp:inline distT="0" distB="0" distL="114300" distR="114300">
                  <wp:extent cx="13199110" cy="9335770"/>
                  <wp:effectExtent l="0" t="0" r="2540" b="17780"/>
                  <wp:docPr id="1" name="图片 1" descr="上坪建设用地规划许可证 (1)-副本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上坪建设用地规划许可证 (1)-副本_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110" cy="933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r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  <w:drawing>
                <wp:inline distT="0" distB="0" distL="114300" distR="114300">
                  <wp:extent cx="13909675" cy="9834245"/>
                  <wp:effectExtent l="0" t="0" r="15875" b="14605"/>
                  <wp:docPr id="2" name="图片 2" descr="地形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地形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675" cy="983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>地 形 图</w:t>
            </w: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68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2" w:line="217" w:lineRule="auto"/>
              <w:ind w:left="7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  <w:t>枕头坝二级水电站上坪居民点场平及基础设施建设项目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  <w:t>金口河区水务局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FangSong_GB2312" w:hAnsi="FangSong_GB2312" w:eastAsia="FangSong_GB2312" w:cs="FangSong_GB2312"/>
                <w:spacing w:val="-32"/>
                <w:sz w:val="37"/>
                <w:szCs w:val="37"/>
                <w:lang w:eastAsia="zh-CN"/>
              </w:rPr>
              <w:t>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2"/>
                <w:szCs w:val="32"/>
              </w:rPr>
              <w:t>乐山市金口河区永和镇胜利村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8" w:hRule="atLeast"/>
        </w:trPr>
        <w:tc>
          <w:tcPr>
            <w:tcW w:w="5756" w:type="dxa"/>
            <w:vAlign w:val="top"/>
          </w:tcPr>
          <w:p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该项目方案已经批准，根据</w:t>
            </w:r>
            <w:r>
              <w:rPr>
                <w:rFonts w:ascii="FangSong_GB2312" w:hAnsi="FangSong_GB2312" w:eastAsia="FangSong_GB2312" w:cs="FangSong_GB2312"/>
                <w:spacing w:val="1"/>
                <w:sz w:val="37"/>
                <w:szCs w:val="37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8" w:lineRule="auto"/>
            </w:pPr>
          </w:p>
          <w:p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>
            <w:pPr>
              <w:spacing w:before="120" w:line="277" w:lineRule="auto"/>
              <w:ind w:right="89" w:firstLine="148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60"/>
                <w:sz w:val="37"/>
                <w:szCs w:val="37"/>
              </w:rPr>
              <w:t xml:space="preserve"> 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57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月</w:t>
            </w:r>
            <w:r>
              <w:rPr>
                <w:rFonts w:hint="eastAsia" w:ascii="FangSong_GB2312" w:hAnsi="FangSong_GB2312" w:eastAsia="FangSong_GB2312" w:cs="FangSong_GB2312"/>
                <w:spacing w:val="-61"/>
                <w:sz w:val="37"/>
                <w:szCs w:val="37"/>
                <w:lang w:val="en-US" w:eastAsia="zh-CN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 xml:space="preserve"> 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BD232DF"/>
    <w:rsid w:val="24E42293"/>
    <w:rsid w:val="4A5348A3"/>
    <w:rsid w:val="571950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13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2025-03-31T07:06:30Z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