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乐山市金口河区人民医院传染病区电梯采购项目</w:t>
      </w:r>
    </w:p>
    <w:p>
      <w:pPr>
        <w:pStyle w:val="null3"/>
        <w:jc w:val="center"/>
        <w:outlineLvl w:val="2"/>
      </w:pPr>
      <w:r>
        <w:rPr>
          <w:b/>
          <w:sz w:val="28"/>
        </w:rPr>
        <w:t>采购项目编号：</w:t>
      </w:r>
      <w:r>
        <w:rPr>
          <w:b/>
          <w:sz w:val="28"/>
        </w:rPr>
        <w:t>N5111132023000043</w:t>
      </w:r>
      <w:r>
        <w:br/>
      </w:r>
      <w:r>
        <w:br/>
      </w:r>
      <w:r>
        <w:br/>
      </w:r>
    </w:p>
    <w:p>
      <w:pPr>
        <w:pStyle w:val="null3"/>
        <w:jc w:val="center"/>
        <w:outlineLvl w:val="2"/>
      </w:pPr>
      <w:r>
        <w:rPr>
          <w:b/>
          <w:sz w:val="28"/>
        </w:rPr>
        <w:t>乐山市金口河区卫生健康局</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2023年06月13日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乐山市金口河区卫生健康局</w:t>
      </w:r>
      <w:r>
        <w:rPr/>
        <w:t>委托，拟对</w:t>
      </w:r>
      <w:r>
        <w:rPr/>
        <w:t>乐山市金口河区人民医院传染病区电梯采购项目</w:t>
      </w:r>
      <w:r>
        <w:rPr/>
        <w:t>采用竞争性谈判采购方式进行采购，兹邀请供应商参加本项目的竞争性谈判。</w:t>
      </w:r>
    </w:p>
    <w:p>
      <w:pPr>
        <w:pStyle w:val="null3"/>
        <w:outlineLvl w:val="2"/>
      </w:pPr>
      <w:r>
        <w:rPr>
          <w:b/>
          <w:sz w:val="28"/>
        </w:rPr>
        <w:t>一、项目编号：</w:t>
      </w:r>
      <w:r>
        <w:rPr>
          <w:b/>
          <w:sz w:val="28"/>
        </w:rPr>
        <w:t>N5111132023000043</w:t>
      </w:r>
    </w:p>
    <w:p>
      <w:pPr>
        <w:pStyle w:val="null3"/>
        <w:outlineLvl w:val="2"/>
      </w:pPr>
      <w:r>
        <w:rPr>
          <w:b/>
          <w:sz w:val="28"/>
        </w:rPr>
        <w:t>二、项目名称：</w:t>
      </w:r>
      <w:r>
        <w:rPr>
          <w:b/>
          <w:sz w:val="28"/>
        </w:rPr>
        <w:t>乐山市金口河区人民医院传染病区电梯采购项目</w:t>
      </w:r>
    </w:p>
    <w:p>
      <w:pPr>
        <w:pStyle w:val="null3"/>
        <w:outlineLvl w:val="2"/>
      </w:pPr>
      <w:r>
        <w:rPr>
          <w:b/>
          <w:sz w:val="28"/>
        </w:rPr>
        <w:t>三、谈判项目简介：</w:t>
      </w:r>
    </w:p>
    <w:p>
      <w:pPr>
        <w:pStyle w:val="null3"/>
        <w:ind w:firstLine="480"/>
      </w:pPr>
      <w:r>
        <w:rPr/>
        <w:t>传染病区电梯采购4台</w:t>
      </w:r>
    </w:p>
    <w:p>
      <w:pPr>
        <w:pStyle w:val="null3"/>
        <w:outlineLvl w:val="2"/>
      </w:pPr>
      <w:r>
        <w:rPr>
          <w:b/>
          <w:sz w:val="28"/>
        </w:rPr>
        <w:t>四、邀请供应商：</w:t>
      </w:r>
    </w:p>
    <w:p>
      <w:pPr>
        <w:pStyle w:val="null3"/>
      </w:pPr>
    </w:p>
    <w:p>
      <w:pPr>
        <w:pStyle w:val="null3"/>
      </w:pPr>
    </w:p>
    <w:p>
      <w:pPr>
        <w:pStyle w:val="null3"/>
      </w:pPr>
      <w:r>
        <w:rPr/>
        <w:t>本次采购采取公告征集邀请谈判的供应商。</w:t>
      </w:r>
    </w:p>
    <w:p>
      <w:pPr>
        <w:pStyle w:val="null3"/>
      </w:pPr>
      <w:r>
        <w:rPr/>
        <w:t>公告征集：本次竞争性谈判邀请在四川政府采购网（www.ccgp-sichuan.gov.cn）上以公告形式发布，公告期限自公告发布之日起3个工作日。</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1、1.供应商为电梯制造商时，须具有有效的中华人民共和国特种设备(电梯)制造许可证(曳引式客梯 B 级资质及以上)、并具有中华人民共和国特种设备安装改造维修许可证(电梯B级及以上资质: 2.若制造商在2019 年5月23日后取得《中华人民共和国特种设备生产许可证》的只提供新证即可。供应商为电梯代理商时，须具有有效的中华人民共和国特种设备安装维修许可证(电梯安装维修)B级及以上资质、并提供制造商的中华人民共和国特种设备(电梯)制造许可证(引式客梯 B 级资质及以上) (若制造商在 2019 年5月23日后取得《中华人民共和国特种设备生产许可证》的只提供新证即可)。  （描述：供应商投标时提供有效期内的证书复印件。）</w:t>
      </w:r>
    </w:p>
    <w:p>
      <w:pPr>
        <w:pStyle w:val="null3"/>
        <w:outlineLvl w:val="2"/>
      </w:pPr>
      <w:r>
        <w:rPr>
          <w:b/>
          <w:sz w:val="28"/>
        </w:rPr>
        <w:t>六、电子化采购相关事项</w:t>
      </w:r>
    </w:p>
    <w:p>
      <w:pPr>
        <w:pStyle w:val="null3"/>
        <w:ind w:firstLine="480"/>
      </w:pPr>
      <w:r>
        <w:rPr/>
        <w:t>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采购人：</w:t>
      </w:r>
      <w:r>
        <w:rPr>
          <w:b/>
          <w:sz w:val="24"/>
        </w:rPr>
        <w:t>乐山市金口河区卫生健康局</w:t>
      </w:r>
    </w:p>
    <w:p>
      <w:pPr>
        <w:pStyle w:val="null3"/>
      </w:pPr>
    </w:p>
    <w:p>
      <w:pPr>
        <w:pStyle w:val="null3"/>
      </w:pPr>
    </w:p>
    <w:p>
      <w:pPr>
        <w:pStyle w:val="null3"/>
      </w:pPr>
      <w:r>
        <w:rPr/>
        <w:t>地址：</w:t>
      </w:r>
      <w:r>
        <w:rPr/>
        <w:t>乐山市金口河区永和镇新民村3组</w:t>
      </w:r>
    </w:p>
    <w:p>
      <w:pPr>
        <w:pStyle w:val="null3"/>
      </w:pPr>
      <w:r>
        <w:rPr/>
        <w:t>邮编：</w:t>
      </w:r>
      <w:r>
        <w:rPr/>
        <w:t>614700</w:t>
      </w:r>
    </w:p>
    <w:p>
      <w:pPr>
        <w:pStyle w:val="null3"/>
      </w:pPr>
      <w:r>
        <w:rPr/>
        <w:t>联系人：</w:t>
      </w:r>
      <w:r>
        <w:rPr/>
        <w:t>郑超</w:t>
      </w:r>
    </w:p>
    <w:p>
      <w:pPr>
        <w:pStyle w:val="null3"/>
      </w:pPr>
      <w:r>
        <w:rPr/>
        <w:t>联系电话：</w:t>
      </w:r>
      <w:r>
        <w:rPr/>
        <w:t>18608069870</w:t>
      </w:r>
    </w:p>
    <w:p>
      <w:pPr>
        <w:pStyle w:val="null3"/>
        <w:outlineLvl w:val="3"/>
      </w:pPr>
      <w:r>
        <w:rPr>
          <w:b/>
          <w:sz w:val="24"/>
        </w:rPr>
        <w:t>代理机构：</w:t>
      </w:r>
      <w:r>
        <w:rPr>
          <w:b/>
          <w:sz w:val="24"/>
        </w:rPr>
        <w:t>乐山市金口河区公共资源交易服务中心（乐山市金口河区政府采购中心）</w:t>
      </w:r>
    </w:p>
    <w:p>
      <w:pPr>
        <w:pStyle w:val="null3"/>
      </w:pPr>
    </w:p>
    <w:p>
      <w:pPr>
        <w:pStyle w:val="null3"/>
      </w:pPr>
    </w:p>
    <w:p>
      <w:pPr>
        <w:pStyle w:val="null3"/>
      </w:pPr>
      <w:r>
        <w:rPr/>
        <w:t>地址：</w:t>
      </w:r>
      <w:r>
        <w:rPr/>
        <w:t>四川省乐山市金口河区乐山市金口河区滨河路三段153号</w:t>
      </w:r>
    </w:p>
    <w:p>
      <w:pPr>
        <w:pStyle w:val="null3"/>
      </w:pPr>
      <w:r>
        <w:rPr/>
        <w:t>邮编：</w:t>
      </w:r>
      <w:r>
        <w:rPr/>
        <w:t>614700</w:t>
      </w:r>
    </w:p>
    <w:p>
      <w:pPr>
        <w:pStyle w:val="null3"/>
      </w:pPr>
      <w:r>
        <w:rPr/>
        <w:t>联系人：</w:t>
      </w:r>
      <w:r>
        <w:rPr/>
        <w:t>李国琴</w:t>
      </w:r>
    </w:p>
    <w:p>
      <w:pPr>
        <w:pStyle w:val="null3"/>
      </w:pPr>
      <w:r>
        <w:rPr/>
        <w:t>联系电话：</w:t>
      </w:r>
      <w:r>
        <w:rPr/>
        <w:t>0833-2713780</w:t>
      </w:r>
    </w:p>
    <w:p>
      <w:pPr>
        <w:pStyle w:val="null3"/>
        <w:outlineLvl w:val="3"/>
      </w:pPr>
      <w:r>
        <w:rPr>
          <w:b/>
          <w:sz w:val="24"/>
        </w:rPr>
        <w:t>采购监督机构：</w:t>
      </w:r>
      <w:r>
        <w:rPr>
          <w:b/>
          <w:sz w:val="24"/>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r>
              <w:rPr/>
              <w:t>采购包1：720,000.00元</w:t>
            </w: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w:t>
            </w:r>
          </w:p>
        </w:tc>
      </w:tr>
      <w:tr>
        <w:tc>
          <w:tcPr>
            <w:tcW w:type="dxa" w:w="1051"/>
          </w:tcPr>
          <w:p>
            <w:pPr>
              <w:pStyle w:val="null3"/>
            </w:pPr>
            <w:r>
              <w:rPr/>
              <w:t>5</w:t>
            </w:r>
          </w:p>
        </w:tc>
        <w:tc>
          <w:tcPr>
            <w:tcW w:type="dxa" w:w="2252"/>
          </w:tcPr>
          <w:p>
            <w:pPr>
              <w:pStyle w:val="null3"/>
            </w:pPr>
            <w:r>
              <w:rPr/>
              <w:t>落实节能、环保、无线局域网、信息安全产品政策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产品属于环境标志产品政府采购品目清单中应优先采购的产品范围，响应报价相同的，按供应商提供的优先采购产品认证证书数量由多到少顺序排列。</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无</w:t>
            </w:r>
            <w:r>
              <w:rPr/>
              <w:t>产品属于信息安全产品，根据《关于信息安全产品实施政府采购的通知》（财库〔2010〕48号）的要求，供应商应当提供由中国网络安全审查技术与认证中心按国家标准认证颁发的有效认证证书和销售许可证，否则其响应文件将被视为无效响应处理。具体详见《信息安全产品强制性认证目录》。（实质性要求）</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50%或者低于其他有效供应商报价算术平均价40%的，谈判小组可以认为该供应商“报价明显低于其他实质性响应的供应商报价”。）</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12</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ind w:firstLine="480"/>
      </w:pPr>
      <w:r>
        <w:rPr/>
        <w:t>（一）适用范围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乐山市金口河区卫生健康局</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乐山市金口河区卫生健康局</w:t>
      </w:r>
      <w:r>
        <w:rPr/>
        <w:t>负责解释。除上述竞争性谈判文件内容，其他内容由</w:t>
      </w:r>
      <w:r>
        <w:rPr/>
        <w:t>乐山市金口河区公共资源交易服务中心（乐山市金口河区政府采购中心）</w:t>
      </w:r>
      <w:r>
        <w:rPr/>
        <w:t>负责解释。</w:t>
      </w:r>
    </w:p>
    <w:p>
      <w:pPr>
        <w:pStyle w:val="null3"/>
        <w:ind w:firstLine="480"/>
      </w:pPr>
      <w:r>
        <w:rPr/>
        <w:t>（二）有关定义</w:t>
      </w:r>
    </w:p>
    <w:p>
      <w:pPr>
        <w:pStyle w:val="null3"/>
        <w:ind w:firstLine="480"/>
      </w:pPr>
      <w:r>
        <w:rPr/>
        <w:t>1.“采购人”是指依法进行政府采购的各级国家机关、事业单位、团体组织。本次谈判的采购人是</w:t>
      </w:r>
      <w:r>
        <w:rPr/>
        <w:t>乐山市金口河区卫生健康局</w:t>
      </w:r>
      <w:r>
        <w:rPr/>
        <w:t>。</w:t>
      </w:r>
    </w:p>
    <w:p>
      <w:pPr>
        <w:pStyle w:val="null3"/>
        <w:ind w:firstLine="480"/>
      </w:pPr>
      <w:r>
        <w:rPr/>
        <w:t>2.“供应商”是指在按照采购公告规定获取谈判文件，拟参加响应和向采购人提供货物的法人、其他组织或自然人。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5.“电子评审”是指通过项目电子化交易系统在线完成谈判小组组建，开展资格和符合性审查、出具谈判报告、推荐成交候选供应商等活动。</w:t>
      </w:r>
    </w:p>
    <w:p>
      <w:pPr>
        <w:pStyle w:val="null3"/>
        <w:outlineLvl w:val="2"/>
      </w:pPr>
      <w:r>
        <w:rPr>
          <w:b/>
          <w:sz w:val="28"/>
        </w:rPr>
        <w:t>2.3、竞争性谈判文件</w:t>
      </w:r>
    </w:p>
    <w:p>
      <w:pPr>
        <w:pStyle w:val="null3"/>
        <w:outlineLvl w:val="3"/>
      </w:pPr>
      <w:r>
        <w:rPr>
          <w:b/>
          <w:sz w:val="24"/>
        </w:rPr>
        <w:t>2.3.1竞争性谈判文件的构成</w:t>
      </w:r>
    </w:p>
    <w:p>
      <w:pPr>
        <w:pStyle w:val="null3"/>
        <w:ind w:firstLine="480"/>
      </w:pPr>
      <w:r>
        <w:rPr/>
        <w:t>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outlineLvl w:va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一、供应商的报价是供应商响应谈判项目要求的全部工作内容的价格体现，包括供应商完成本项目所需的一切费用。</w:t>
      </w:r>
    </w:p>
    <w:p>
      <w:pPr>
        <w:pStyle w:val="null3"/>
        <w:ind w:firstLine="480"/>
      </w:pPr>
      <w:r>
        <w:rPr/>
        <w:t>二、响应文件报价出现前后不一致的，按照谈判文件第五章谈判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2.4.9响应文件的制作、签章和加密（实质性要求）</w:t>
      </w:r>
    </w:p>
    <w:p>
      <w:pPr>
        <w:pStyle w:val="null3"/>
        <w:ind w:firstLine="480"/>
      </w:pPr>
      <w:r>
        <w:rPr/>
        <w:t>一、响应文件应当根据谈判通知书进行编制。供应商应通过四川政府采购网-办事指南下载响应客户端，使用客户端编制响应文件。</w:t>
      </w:r>
    </w:p>
    <w:p>
      <w:pPr>
        <w:pStyle w:val="null3"/>
        <w:ind w:firstLine="480"/>
      </w:pPr>
      <w:r>
        <w:rPr/>
        <w:t>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三、供应商完成响应文件编制后，应按照响应文件第1章明确的签章要求，使用互认的证书及签章对响应文件进行电子签章和加密。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2.4.11响应文件的补充、修改和撤回（实质性要求）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2.5、开启、资格审查、谈判和确定成交供应商</w:t>
      </w:r>
    </w:p>
    <w:p>
      <w:pPr>
        <w:pStyle w:val="null3"/>
        <w:outlineLvl w:val="3"/>
      </w:pPr>
      <w:r>
        <w:rPr>
          <w:b/>
          <w:sz w:val="24"/>
        </w:rPr>
        <w:t>2.5.1谈判开启程序</w:t>
      </w:r>
    </w:p>
    <w:p>
      <w:pPr>
        <w:pStyle w:val="null3"/>
        <w:ind w:firstLine="480"/>
      </w:pPr>
      <w:r>
        <w:rPr/>
        <w:t>一、本项目为竞争性谈判项目。网上开启的开始时间为响应文件提交截止时间。成功提交或成功提交和解密电子响应文件的供应商不足3家的，不予开启，采购人或代理机构将终止采购活动。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详见谈判文件第五章。</w:t>
      </w:r>
    </w:p>
    <w:p>
      <w:pPr>
        <w:pStyle w:val="null3"/>
        <w:outlineLvl w:val="3"/>
      </w:pPr>
      <w:r>
        <w:rPr>
          <w:b/>
          <w:sz w:val="24"/>
        </w:rPr>
        <w:t>2.5.4谈判</w:t>
      </w:r>
    </w:p>
    <w:p>
      <w:pPr>
        <w:pStyle w:val="null3"/>
        <w:ind w:firstLine="480"/>
      </w:pPr>
      <w:r>
        <w:rPr/>
        <w:t>详见谈判文件第五章。</w:t>
      </w:r>
    </w:p>
    <w:p>
      <w:pPr>
        <w:pStyle w:val="null3"/>
        <w:outlineLvl w:val="3"/>
      </w:pPr>
      <w:r>
        <w:rPr>
          <w:b/>
          <w:sz w:val="24"/>
        </w:rPr>
        <w:t>2.5.5、成交通知书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b/>
          <w:sz w:val="28"/>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2"/>
      </w:pPr>
      <w:r>
        <w:rPr>
          <w:b/>
          <w:sz w:val="28"/>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是</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10</w:t>
      </w:r>
      <w:r>
        <w:rPr/>
        <w:t>日内组织验收</w:t>
      </w:r>
    </w:p>
    <w:p>
      <w:pPr>
        <w:pStyle w:val="null3"/>
        <w:ind w:firstLine="840"/>
      </w:pPr>
      <w:r>
        <w:rPr/>
        <w:t>8）验收组织的其他事项：</w:t>
      </w:r>
      <w:r>
        <w:rPr/>
        <w:t>以合同约定为准</w:t>
      </w:r>
    </w:p>
    <w:p>
      <w:pPr>
        <w:pStyle w:val="null3"/>
        <w:ind w:firstLine="840"/>
      </w:pPr>
      <w:r>
        <w:rPr/>
        <w:t>9）技术履约验收内容：</w:t>
      </w:r>
      <w:r>
        <w:rPr/>
        <w:t>根据采购文件要求及成交供应商响应文件响应情况进行技术履约验收</w:t>
      </w:r>
    </w:p>
    <w:p>
      <w:pPr>
        <w:pStyle w:val="null3"/>
        <w:ind w:firstLine="840"/>
      </w:pPr>
      <w:r>
        <w:rPr/>
        <w:t>10）商务履约验收内容：</w:t>
      </w:r>
      <w:r>
        <w:rPr/>
        <w:t>根据采购文件要求及成交供应商响应文件响应情况进行技术履约验收</w:t>
      </w:r>
    </w:p>
    <w:p>
      <w:pPr>
        <w:pStyle w:val="null3"/>
        <w:ind w:firstLine="840"/>
      </w:pPr>
      <w:r>
        <w:rPr/>
        <w:t>11）履约验收标准：</w:t>
      </w:r>
    </w:p>
    <w:p>
      <w:pPr>
        <w:pStyle w:val="null3"/>
      </w:pPr>
    </w:p>
    <w:p>
      <w:pPr>
        <w:pStyle w:val="null3"/>
        <w:ind w:firstLine="1200"/>
      </w:pPr>
      <w:r>
        <w:rPr/>
        <w:t>根据采购文件要求及成交供应商响应文件响应情况进行技术履约验收</w:t>
      </w:r>
    </w:p>
    <w:p>
      <w:pPr>
        <w:pStyle w:val="null3"/>
        <w:ind w:firstLine="840"/>
      </w:pPr>
      <w:r>
        <w:rPr/>
        <w:t>12）履约验收其他事项：</w:t>
      </w:r>
      <w:r>
        <w:rPr/>
        <w:t>以合同约定为准</w:t>
      </w:r>
    </w:p>
    <w:p>
      <w:pPr>
        <w:pStyle w:val="null3"/>
        <w:outlineLvl w:val="2"/>
      </w:pPr>
      <w:r>
        <w:rPr>
          <w:b/>
          <w:sz w:val="28"/>
        </w:rPr>
        <w:t>2.6.6资金支付</w:t>
      </w:r>
    </w:p>
    <w:p>
      <w:pPr>
        <w:pStyle w:val="null3"/>
        <w:ind w:firstLine="480"/>
      </w:pPr>
      <w:r>
        <w:rPr/>
        <w:t>采购人按财政部门的相关规定及采购合同的约定进行支付。</w:t>
      </w:r>
    </w:p>
    <w:p>
      <w:pPr>
        <w:pStyle w:val="null3"/>
        <w:outlineLvl w:val="2"/>
      </w:pPr>
      <w:r>
        <w:rPr>
          <w:b/>
          <w:sz w:val="28"/>
        </w:rPr>
        <w:t>2.7、竞争性谈判工作纪律及要求</w:t>
      </w:r>
    </w:p>
    <w:p>
      <w:pPr>
        <w:pStyle w:val="null3"/>
        <w:outlineLvl w:va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供应商有上述情形的，按照规定追究法律责任，具有前述一至十三条情形之一的，其响应文件无效，或取消被确认为成交供应商的资格或认定成交无效。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联系人：李国琴</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注：根据《中华人民共和国政府采购法》的规定，供应商质疑不得超出谈判文件、采购过程、采购结果的范围。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谈判项目技术、服务、商务及其他要求</w:t>
      </w:r>
    </w:p>
    <w:p>
      <w:pPr>
        <w:pStyle w:val="null3"/>
        <w:ind w:firstLine="480"/>
      </w:pPr>
      <w:r>
        <w:rPr/>
        <w:t>（带“★”的参数需求为实质性要求，供应商必须响应并满足的参数需求，采购人、采购代理机构应当根据项目实际需求合理设定，并明确具体要求。）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pPr>
    </w:p>
    <w:p>
      <w:pPr>
        <w:pStyle w:val="null3"/>
      </w:pPr>
      <w:r>
        <w:rPr/>
        <w:t>传染病区电梯采购4台</w:t>
      </w:r>
    </w:p>
    <w:p>
      <w:pPr>
        <w:pStyle w:val="null3"/>
        <w:ind w:firstLine="480"/>
        <w:outlineLvl w:val="2"/>
      </w:pPr>
      <w:r>
        <w:rPr>
          <w:b/>
          <w:sz w:val="28"/>
        </w:rPr>
        <w:t>3.2、采购内容</w:t>
      </w:r>
    </w:p>
    <w:p>
      <w:pPr>
        <w:pStyle w:val="null3"/>
      </w:pPr>
    </w:p>
    <w:p>
      <w:pPr>
        <w:pStyle w:val="null3"/>
      </w:pPr>
    </w:p>
    <w:p>
      <w:pPr>
        <w:pStyle w:val="null3"/>
      </w:pPr>
    </w:p>
    <w:p>
      <w:pPr>
        <w:pStyle w:val="null3"/>
      </w:pPr>
      <w:r>
        <w:rPr/>
        <w:t>采购包1：</w:t>
      </w:r>
    </w:p>
    <w:p>
      <w:pPr>
        <w:pStyle w:val="null3"/>
      </w:pPr>
      <w:r>
        <w:rPr/>
        <w:t>采购包预算金额（元）: 720,000.00</w:t>
      </w:r>
    </w:p>
    <w:p>
      <w:pPr>
        <w:pStyle w:val="null3"/>
      </w:pPr>
      <w:r>
        <w:rPr/>
        <w:t>采购包最高限价（元）: 720,000.00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金口河区人民医院传染病区电梯采购</w:t>
            </w:r>
          </w:p>
        </w:tc>
        <w:tc>
          <w:tcPr>
            <w:tcW w:type="dxa" w:w="831"/>
          </w:tcPr>
          <w:p>
            <w:pPr>
              <w:pStyle w:val="null3"/>
              <w:jc w:val="right"/>
            </w:pPr>
            <w:r>
              <w:rPr/>
              <w:t>4.00</w:t>
            </w:r>
          </w:p>
        </w:tc>
        <w:tc>
          <w:tcPr>
            <w:tcW w:type="dxa" w:w="831"/>
          </w:tcPr>
          <w:p>
            <w:pPr>
              <w:pStyle w:val="null3"/>
              <w:jc w:val="right"/>
            </w:pPr>
            <w:r>
              <w:rPr/>
              <w:t>720,000.00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ind w:firstLine="480"/>
        <w:outlineLvl w:val="2"/>
      </w:pPr>
      <w:r>
        <w:rPr>
          <w:b/>
          <w:sz w:val="28"/>
        </w:rPr>
        <w:t>3.3、技术参数及要求</w:t>
      </w:r>
    </w:p>
    <w:p>
      <w:pPr>
        <w:pStyle w:val="null3"/>
      </w:pPr>
    </w:p>
    <w:p>
      <w:pPr>
        <w:pStyle w:val="null3"/>
      </w:pPr>
    </w:p>
    <w:p>
      <w:pPr>
        <w:pStyle w:val="null3"/>
      </w:pPr>
    </w:p>
    <w:p>
      <w:pPr>
        <w:pStyle w:val="null3"/>
      </w:pPr>
      <w:r>
        <w:rPr/>
        <w:t>采购包1：</w:t>
      </w:r>
    </w:p>
    <w:p>
      <w:pPr>
        <w:pStyle w:val="null3"/>
      </w:pPr>
    </w:p>
    <w:p>
      <w:pPr>
        <w:pStyle w:val="null3"/>
      </w:pPr>
      <w:r>
        <w:rPr/>
        <w:t>标的名称：金口河区人民医院传染病区电梯采购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参数性质</w:t>
            </w:r>
          </w:p>
        </w:tc>
        <w:tc>
          <w:tcPr>
            <w:tcW w:type="dxa" w:w="2769"/>
          </w:tcPr>
          <w:p>
            <w:pPr>
              <w:pStyle w:val="null3"/>
            </w:pPr>
            <w:r>
              <w:rPr/>
              <w:t>序号</w:t>
            </w:r>
          </w:p>
        </w:tc>
        <w:tc>
          <w:tcPr>
            <w:tcW w:type="dxa" w:w="2769"/>
          </w:tcPr>
          <w:p>
            <w:pPr>
              <w:pStyle w:val="null3"/>
            </w:pPr>
            <w:r>
              <w:rPr/>
              <w:t>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1、 清单及参数</w:t>
            </w:r>
          </w:p>
          <w:tbl>
            <w:tblPr>
              <w:tblBorders>
                <w:top w:val="none" w:color="000000" w:sz="4"/>
                <w:left w:val="none" w:color="000000" w:sz="4"/>
                <w:bottom w:val="none" w:color="000000" w:sz="4"/>
                <w:right w:val="none" w:color="000000" w:sz="4"/>
                <w:insideH w:val="none"/>
                <w:insideV w:val="none"/>
              </w:tblBorders>
            </w:tblPr>
            <w:tblGrid>
              <w:gridCol w:w="547"/>
              <w:gridCol w:w="2001"/>
            </w:tblGrid>
            <w:tr>
              <w:tc>
                <w:tcPr>
                  <w:tcW w:type="dxa" w:w="5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基本规格</w:t>
                  </w:r>
                </w:p>
              </w:tc>
              <w:tc>
                <w:tcPr>
                  <w:tcW w:type="dxa" w:w="2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系统梯号：</w:t>
                  </w:r>
                  <w:r>
                    <w:rPr>
                      <w:rFonts w:ascii="宋体" w:hAnsi="宋体" w:cs="宋体" w:eastAsia="宋体"/>
                      <w:color w:val="000000"/>
                      <w:sz w:val="24"/>
                      <w:shd w:fill="FFFFFF" w:val="clear"/>
                    </w:rPr>
                    <w:t>DT1</w:t>
                  </w:r>
                  <w:r>
                    <w:rPr>
                      <w:rFonts w:ascii="宋体" w:hAnsi="宋体" w:cs="宋体" w:eastAsia="宋体"/>
                      <w:color w:val="000000"/>
                      <w:sz w:val="24"/>
                      <w:shd w:fill="FFFFFF" w:val="clear"/>
                    </w:rPr>
                    <w:t>（病人电梯及无障碍）</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货物名称</w:t>
                  </w:r>
                  <w:r>
                    <w:rPr>
                      <w:rFonts w:ascii="宋体" w:hAnsi="宋体" w:cs="宋体" w:eastAsia="宋体"/>
                      <w:color w:val="000000"/>
                      <w:sz w:val="24"/>
                      <w:shd w:fill="FFFFFF" w:val="clear"/>
                    </w:rPr>
                    <w:t>：</w:t>
                  </w:r>
                  <w:r>
                    <w:rPr>
                      <w:rFonts w:ascii="宋体" w:hAnsi="宋体" w:cs="宋体" w:eastAsia="宋体"/>
                      <w:color w:val="000000"/>
                      <w:sz w:val="24"/>
                      <w:shd w:fill="FFFFFF" w:val="clear"/>
                    </w:rPr>
                    <w:t>有机房无齿轮医用电梯</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载重：</w:t>
                  </w:r>
                  <w:r>
                    <w:rPr>
                      <w:rFonts w:ascii="宋体" w:hAnsi="宋体" w:cs="宋体" w:eastAsia="宋体"/>
                      <w:color w:val="000000"/>
                      <w:sz w:val="24"/>
                      <w:shd w:fill="FFFFFF" w:val="clear"/>
                    </w:rPr>
                    <w:t>≧</w:t>
                  </w:r>
                  <w:r>
                    <w:rPr>
                      <w:rFonts w:ascii="宋体" w:hAnsi="宋体" w:cs="宋体" w:eastAsia="宋体"/>
                      <w:color w:val="000000"/>
                      <w:sz w:val="24"/>
                      <w:shd w:fill="FFFFFF" w:val="clear"/>
                    </w:rPr>
                    <w:t>2000kg</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速度：</w:t>
                  </w:r>
                  <w:r>
                    <w:rPr>
                      <w:rFonts w:ascii="宋体" w:hAnsi="宋体" w:cs="宋体" w:eastAsia="宋体"/>
                      <w:color w:val="000000"/>
                      <w:sz w:val="24"/>
                      <w:shd w:fill="FFFFFF" w:val="clear"/>
                    </w:rPr>
                    <w:t>≧</w:t>
                  </w:r>
                  <w:r>
                    <w:rPr>
                      <w:rFonts w:ascii="宋体" w:hAnsi="宋体" w:cs="宋体" w:eastAsia="宋体"/>
                      <w:color w:val="000000"/>
                      <w:sz w:val="24"/>
                      <w:shd w:fill="FFFFFF" w:val="clear"/>
                    </w:rPr>
                    <w:t>1.75m/s</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服务层站：</w:t>
                  </w:r>
                  <w:r>
                    <w:rPr>
                      <w:rFonts w:ascii="宋体" w:hAnsi="宋体" w:cs="宋体" w:eastAsia="宋体"/>
                      <w:color w:val="000000"/>
                      <w:sz w:val="24"/>
                      <w:shd w:fill="FFFFFF" w:val="clear"/>
                    </w:rPr>
                    <w:t>4/4/4</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提升高度：</w:t>
                  </w:r>
                  <w:r>
                    <w:rPr>
                      <w:rFonts w:ascii="宋体" w:hAnsi="宋体" w:cs="宋体" w:eastAsia="宋体"/>
                      <w:color w:val="000000"/>
                      <w:sz w:val="24"/>
                      <w:shd w:fill="FFFFFF" w:val="clear"/>
                    </w:rPr>
                    <w:t>H=13.800m</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单双通：单通</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曳引机：交流永磁同步无齿轮曳引机</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控制方式：单台</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操作系统：全电脑全集选方式</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控制系统：先进的模块化电脑软件控制系统，串行传输通讯网络系统</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拖动系统：交流变频变压无级调速无齿拖动系统</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门机：</w:t>
                  </w:r>
                  <w:r>
                    <w:rPr>
                      <w:rFonts w:ascii="宋体" w:hAnsi="宋体" w:cs="宋体" w:eastAsia="宋体"/>
                      <w:color w:val="000000"/>
                      <w:sz w:val="24"/>
                      <w:shd w:fill="FFFFFF" w:val="clear"/>
                    </w:rPr>
                    <w:t>E-CONII旁开双折变频门机</w:t>
                  </w:r>
                </w:p>
              </w:tc>
            </w:tr>
            <w:tr>
              <w:tc>
                <w:tcPr>
                  <w:tcW w:type="dxa" w:w="547"/>
                  <w:vMerge/>
                  <w:tcBorders>
                    <w:top w:val="singl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曳引机位置：井道顶部机房内</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井道及轿厢尺寸</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井道尺寸</w:t>
                  </w:r>
                  <w:r>
                    <w:rPr>
                      <w:rFonts w:ascii="宋体" w:hAnsi="宋体" w:cs="宋体" w:eastAsia="宋体"/>
                      <w:color w:val="000000"/>
                      <w:sz w:val="24"/>
                      <w:shd w:fill="FFFFFF" w:val="clear"/>
                    </w:rPr>
                    <w:t>(宽×深)：2800mm*3350mm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轿厢尺寸类型：净尺寸</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w:t>
                  </w:r>
                  <w:r>
                    <w:rPr>
                      <w:rFonts w:ascii="宋体" w:hAnsi="宋体" w:cs="宋体" w:eastAsia="宋体"/>
                      <w:color w:val="000000"/>
                      <w:sz w:val="24"/>
                      <w:shd w:fill="FFFFFF" w:val="clear"/>
                    </w:rPr>
                    <w:t>(宽×深)：1550mm*2600mm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轿厢净高：</w:t>
                  </w:r>
                  <w:r>
                    <w:rPr>
                      <w:rFonts w:ascii="宋体" w:hAnsi="宋体" w:cs="宋体" w:eastAsia="宋体"/>
                      <w:color w:val="000000"/>
                      <w:sz w:val="24"/>
                      <w:shd w:fill="FFFFFF" w:val="clear"/>
                    </w:rPr>
                    <w:t>2200mm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开门净尺寸</w:t>
                  </w:r>
                  <w:r>
                    <w:rPr>
                      <w:rFonts w:ascii="宋体" w:hAnsi="宋体" w:cs="宋体" w:eastAsia="宋体"/>
                      <w:color w:val="000000"/>
                      <w:sz w:val="24"/>
                      <w:shd w:fill="FFFFFF" w:val="clear"/>
                    </w:rPr>
                    <w:t>(宽×高)：1300mm*2100mm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顶层净高：</w:t>
                  </w:r>
                  <w:r>
                    <w:rPr>
                      <w:rFonts w:ascii="宋体" w:hAnsi="宋体" w:cs="宋体" w:eastAsia="宋体"/>
                      <w:color w:val="000000"/>
                      <w:sz w:val="24"/>
                      <w:shd w:fill="FFFFFF" w:val="clear"/>
                    </w:rPr>
                    <w:t>4600mm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底坑深度：</w:t>
                  </w:r>
                  <w:r>
                    <w:rPr>
                      <w:rFonts w:ascii="宋体" w:hAnsi="宋体" w:cs="宋体" w:eastAsia="宋体"/>
                      <w:color w:val="000000"/>
                      <w:sz w:val="24"/>
                      <w:shd w:fill="FFFFFF" w:val="clear"/>
                    </w:rPr>
                    <w:t>1850mm</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轿厢装潢</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轿厢两侧壁：</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轿厢后壁：两边</w:t>
                  </w:r>
                  <w:r>
                    <w:rPr>
                      <w:rFonts w:ascii="宋体" w:hAnsi="宋体" w:cs="宋体" w:eastAsia="宋体"/>
                      <w:color w:val="000000"/>
                      <w:sz w:val="24"/>
                      <w:shd w:fill="FFFFFF" w:val="clear"/>
                    </w:rPr>
                    <w:t>304发纹加中间白镜面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轿门材质：</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光幕保护：光幕</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地板型号：</w:t>
                  </w:r>
                  <w:r>
                    <w:rPr>
                      <w:rFonts w:ascii="宋体" w:hAnsi="宋体" w:cs="宋体" w:eastAsia="宋体"/>
                      <w:color w:val="000000"/>
                      <w:sz w:val="24"/>
                      <w:shd w:fill="FFFFFF" w:val="clear"/>
                    </w:rPr>
                    <w:t>PVC拼花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照明设施：高效节能专用灯具，</w:t>
                  </w:r>
                  <w:r>
                    <w:rPr>
                      <w:rFonts w:ascii="宋体" w:hAnsi="宋体" w:cs="宋体" w:eastAsia="宋体"/>
                      <w:color w:val="000000"/>
                      <w:sz w:val="24"/>
                      <w:shd w:fill="FFFFFF" w:val="clear"/>
                    </w:rPr>
                    <w:t>LED灯照明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通风设施：低噪音风机通风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通讯设施：隐藏式对讲装置</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检修设施：位于轿厢操纵箱下方</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操纵盘</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型</w:t>
                  </w:r>
                  <w:r>
                    <w:rPr>
                      <w:rFonts w:ascii="宋体" w:hAnsi="宋体" w:cs="宋体" w:eastAsia="宋体"/>
                      <w:color w:val="000000"/>
                      <w:sz w:val="24"/>
                      <w:shd w:fill="FFFFFF" w:val="clear"/>
                    </w:rPr>
                    <w:t xml:space="preserve">    </w:t>
                  </w:r>
                  <w:r>
                    <w:rPr>
                      <w:rFonts w:ascii="宋体" w:hAnsi="宋体" w:cs="宋体" w:eastAsia="宋体"/>
                      <w:color w:val="000000"/>
                      <w:sz w:val="24"/>
                      <w:shd w:fill="FFFFFF" w:val="clear"/>
                    </w:rPr>
                    <w:t>号：整体式操纵箱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显示类型：采用</w:t>
                  </w:r>
                  <w:r>
                    <w:rPr>
                      <w:rFonts w:ascii="宋体" w:hAnsi="宋体" w:cs="宋体" w:eastAsia="宋体"/>
                      <w:color w:val="000000"/>
                      <w:sz w:val="24"/>
                      <w:shd w:fill="FFFFFF" w:val="clear"/>
                    </w:rPr>
                    <w:t>XO先进技术，6.4英寸BND-LEDW黑底白字液晶显示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面板材料（副）：</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显示类型（副）：无</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按钮类型（副）：采用</w:t>
                  </w:r>
                  <w:r>
                    <w:rPr>
                      <w:rFonts w:ascii="宋体" w:hAnsi="宋体" w:cs="宋体" w:eastAsia="宋体"/>
                      <w:color w:val="000000"/>
                      <w:sz w:val="24"/>
                      <w:shd w:fill="FFFFFF" w:val="clear"/>
                    </w:rPr>
                    <w:t>XO先进技术，BR36D不锈钢盲文按钮，登记带辉光高亮显示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外呼</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面板材质：所有层为发纹不锈钢面板材质</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按钮类型：所有层为采用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显示类型：所有层为采用</w:t>
                  </w:r>
                  <w:r>
                    <w:rPr>
                      <w:rFonts w:ascii="宋体" w:hAnsi="宋体" w:cs="宋体" w:eastAsia="宋体"/>
                      <w:color w:val="000000"/>
                      <w:sz w:val="24"/>
                      <w:shd w:fill="FFFFFF" w:val="clear"/>
                    </w:rPr>
                    <w:t>XO先进技术，4.3英寸EOD-LEDY黑底黄字点阵显示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厅门及门套</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厅门材质：所有层为</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厅门类型：所有层为左开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小门套材质：所有层为</w:t>
                  </w:r>
                  <w:r>
                    <w:rPr>
                      <w:rFonts w:ascii="宋体" w:hAnsi="宋体" w:cs="宋体" w:eastAsia="宋体"/>
                      <w:color w:val="000000"/>
                      <w:sz w:val="24"/>
                      <w:shd w:fill="FFFFFF" w:val="clear"/>
                    </w:rPr>
                    <w:t>304发纹不锈钢</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电力提供</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动力电源：电压：</w:t>
                  </w:r>
                  <w:r>
                    <w:rPr>
                      <w:rFonts w:ascii="宋体" w:hAnsi="宋体" w:cs="宋体" w:eastAsia="宋体"/>
                      <w:color w:val="000000"/>
                      <w:sz w:val="24"/>
                      <w:shd w:fill="FFFFFF" w:val="clear"/>
                    </w:rPr>
                    <w:t>380V±7% 频率：50Hz 相数：3相5线制，零线和地线始终分开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照明电源：电压：</w:t>
                  </w:r>
                  <w:r>
                    <w:rPr>
                      <w:rFonts w:ascii="宋体" w:hAnsi="宋体" w:cs="宋体" w:eastAsia="宋体"/>
                      <w:color w:val="000000"/>
                      <w:sz w:val="24"/>
                      <w:shd w:fill="FFFFFF" w:val="clear"/>
                    </w:rPr>
                    <w:t>220V 频率：50Hz 相数：单相</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基本规格</w:t>
                  </w:r>
                </w:p>
              </w:tc>
              <w:tc>
                <w:tcPr>
                  <w:tcW w:type="dxa" w:w="2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系统梯号：</w:t>
                  </w:r>
                  <w:r>
                    <w:rPr>
                      <w:rFonts w:ascii="宋体" w:hAnsi="宋体" w:cs="宋体" w:eastAsia="宋体"/>
                      <w:color w:val="000000"/>
                      <w:sz w:val="24"/>
                      <w:shd w:fill="FFFFFF" w:val="clear"/>
                    </w:rPr>
                    <w:t>DT2</w:t>
                  </w:r>
                  <w:r>
                    <w:rPr>
                      <w:rFonts w:ascii="宋体" w:hAnsi="宋体" w:cs="宋体" w:eastAsia="宋体"/>
                      <w:color w:val="000000"/>
                      <w:sz w:val="24"/>
                      <w:shd w:fill="FFFFFF" w:val="clear"/>
                    </w:rPr>
                    <w:t>（污梯）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货物名称：</w:t>
                  </w:r>
                  <w:r>
                    <w:rPr>
                      <w:rFonts w:ascii="宋体" w:hAnsi="宋体" w:cs="宋体" w:eastAsia="宋体"/>
                      <w:color w:val="000000"/>
                      <w:sz w:val="24"/>
                      <w:shd w:fill="FFFFFF" w:val="clear"/>
                    </w:rPr>
                    <w:t>有机房无齿轮医用电梯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载重：</w:t>
                  </w:r>
                  <w:r>
                    <w:rPr>
                      <w:rFonts w:ascii="宋体" w:hAnsi="宋体" w:cs="宋体" w:eastAsia="宋体"/>
                      <w:color w:val="000000"/>
                      <w:sz w:val="24"/>
                      <w:shd w:fill="FFFFFF" w:val="clear"/>
                    </w:rPr>
                    <w:t>≧</w:t>
                  </w:r>
                  <w:r>
                    <w:rPr>
                      <w:rFonts w:ascii="宋体" w:hAnsi="宋体" w:cs="宋体" w:eastAsia="宋体"/>
                      <w:color w:val="000000"/>
                      <w:sz w:val="24"/>
                      <w:shd w:fill="FFFFFF" w:val="clear"/>
                    </w:rPr>
                    <w:t>2000kg</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速度：</w:t>
                  </w:r>
                  <w:r>
                    <w:rPr>
                      <w:rFonts w:ascii="宋体" w:hAnsi="宋体" w:cs="宋体" w:eastAsia="宋体"/>
                      <w:color w:val="000000"/>
                      <w:sz w:val="24"/>
                      <w:shd w:fill="FFFFFF" w:val="clear"/>
                    </w:rPr>
                    <w:t>≧</w:t>
                  </w:r>
                  <w:r>
                    <w:rPr>
                      <w:rFonts w:ascii="宋体" w:hAnsi="宋体" w:cs="宋体" w:eastAsia="宋体"/>
                      <w:color w:val="000000"/>
                      <w:sz w:val="24"/>
                      <w:shd w:fill="FFFFFF" w:val="clear"/>
                    </w:rPr>
                    <w:t>1.75m/s</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服务层站：</w:t>
                  </w:r>
                  <w:r>
                    <w:rPr>
                      <w:rFonts w:ascii="宋体" w:hAnsi="宋体" w:cs="宋体" w:eastAsia="宋体"/>
                      <w:color w:val="000000"/>
                      <w:sz w:val="24"/>
                      <w:shd w:fill="FFFFFF" w:val="clear"/>
                    </w:rPr>
                    <w:t>4/4/4</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提升高度：</w:t>
                  </w:r>
                  <w:r>
                    <w:rPr>
                      <w:rFonts w:ascii="宋体" w:hAnsi="宋体" w:cs="宋体" w:eastAsia="宋体"/>
                      <w:color w:val="000000"/>
                      <w:sz w:val="24"/>
                      <w:shd w:fill="FFFFFF" w:val="clear"/>
                    </w:rPr>
                    <w:t>H=13.800m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单双通：单通</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曳引机：交流永磁同步无齿轮曳引机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控制方式：单台</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操作系统：全电脑全集选方式</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控制系统：先进的模块化电脑软件控制系统，串行传输通讯网络系统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拖动系统：交流变频变压无级调速无齿拖动系统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门机：</w:t>
                  </w:r>
                  <w:r>
                    <w:rPr>
                      <w:rFonts w:ascii="宋体" w:hAnsi="宋体" w:cs="宋体" w:eastAsia="宋体"/>
                      <w:color w:val="000000"/>
                      <w:sz w:val="24"/>
                      <w:shd w:fill="FFFFFF" w:val="clear"/>
                    </w:rPr>
                    <w:t>E-CONII旁开双折变频门机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曳引机位置：井道顶部机房内</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井道及轿厢尺寸</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井道尺寸</w:t>
                  </w:r>
                  <w:r>
                    <w:rPr>
                      <w:rFonts w:ascii="宋体" w:hAnsi="宋体" w:cs="宋体" w:eastAsia="宋体"/>
                      <w:color w:val="000000"/>
                      <w:sz w:val="24"/>
                      <w:shd w:fill="FFFFFF" w:val="clear"/>
                    </w:rPr>
                    <w:t>(宽×深)：2500mm*3350mm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轿厢尺寸类型：净尺寸</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w:t>
                  </w:r>
                  <w:r>
                    <w:rPr>
                      <w:rFonts w:ascii="宋体" w:hAnsi="宋体" w:cs="宋体" w:eastAsia="宋体"/>
                      <w:color w:val="000000"/>
                      <w:sz w:val="24"/>
                      <w:shd w:fill="FFFFFF" w:val="clear"/>
                    </w:rPr>
                    <w:t>(宽×深)：1550mm*2600mm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轿厢净高：</w:t>
                  </w:r>
                  <w:r>
                    <w:rPr>
                      <w:rFonts w:ascii="宋体" w:hAnsi="宋体" w:cs="宋体" w:eastAsia="宋体"/>
                      <w:color w:val="000000"/>
                      <w:sz w:val="24"/>
                      <w:shd w:fill="FFFFFF" w:val="clear"/>
                    </w:rPr>
                    <w:t>2200mm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开门净尺寸</w:t>
                  </w:r>
                  <w:r>
                    <w:rPr>
                      <w:rFonts w:ascii="宋体" w:hAnsi="宋体" w:cs="宋体" w:eastAsia="宋体"/>
                      <w:color w:val="000000"/>
                      <w:sz w:val="24"/>
                      <w:shd w:fill="FFFFFF" w:val="clear"/>
                    </w:rPr>
                    <w:t>(宽×高)：1300mm*2100mm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顶层净高：</w:t>
                  </w:r>
                  <w:r>
                    <w:rPr>
                      <w:rFonts w:ascii="宋体" w:hAnsi="宋体" w:cs="宋体" w:eastAsia="宋体"/>
                      <w:color w:val="000000"/>
                      <w:sz w:val="24"/>
                      <w:shd w:fill="FFFFFF" w:val="clear"/>
                    </w:rPr>
                    <w:t>4600mm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底坑深度：</w:t>
                  </w:r>
                  <w:r>
                    <w:rPr>
                      <w:rFonts w:ascii="宋体" w:hAnsi="宋体" w:cs="宋体" w:eastAsia="宋体"/>
                      <w:color w:val="000000"/>
                      <w:sz w:val="24"/>
                      <w:shd w:fill="FFFFFF" w:val="clear"/>
                    </w:rPr>
                    <w:t>1850mm</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轿厢装潢</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轿厢两侧壁：</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轿厢后壁：</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轿门材质：</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光幕保护：光幕</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地板型号：</w:t>
                  </w:r>
                  <w:r>
                    <w:rPr>
                      <w:rFonts w:ascii="宋体" w:hAnsi="宋体" w:cs="宋体" w:eastAsia="宋体"/>
                      <w:color w:val="000000"/>
                      <w:sz w:val="24"/>
                      <w:shd w:fill="FFFFFF" w:val="clear"/>
                    </w:rPr>
                    <w:t>PVC拼花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照明设施：高效节能专用灯具，</w:t>
                  </w:r>
                  <w:r>
                    <w:rPr>
                      <w:rFonts w:ascii="宋体" w:hAnsi="宋体" w:cs="宋体" w:eastAsia="宋体"/>
                      <w:color w:val="000000"/>
                      <w:sz w:val="24"/>
                      <w:shd w:fill="FFFFFF" w:val="clear"/>
                    </w:rPr>
                    <w:t>LED灯照明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通风设施：低噪音风机通风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通讯设施：隐藏式对讲装置</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检修设施：位于轿厢操纵箱下方</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操纵盘</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型</w:t>
                  </w:r>
                  <w:r>
                    <w:rPr>
                      <w:rFonts w:ascii="宋体" w:hAnsi="宋体" w:cs="宋体" w:eastAsia="宋体"/>
                      <w:color w:val="000000"/>
                      <w:sz w:val="24"/>
                      <w:shd w:fill="FFFFFF" w:val="clear"/>
                    </w:rPr>
                    <w:t xml:space="preserve">    </w:t>
                  </w:r>
                  <w:r>
                    <w:rPr>
                      <w:rFonts w:ascii="宋体" w:hAnsi="宋体" w:cs="宋体" w:eastAsia="宋体"/>
                      <w:color w:val="000000"/>
                      <w:sz w:val="24"/>
                      <w:shd w:fill="FFFFFF" w:val="clear"/>
                    </w:rPr>
                    <w:t>号：整体式操纵箱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显示类型：采用</w:t>
                  </w:r>
                  <w:r>
                    <w:rPr>
                      <w:rFonts w:ascii="宋体" w:hAnsi="宋体" w:cs="宋体" w:eastAsia="宋体"/>
                      <w:color w:val="000000"/>
                      <w:sz w:val="24"/>
                      <w:shd w:fill="FFFFFF" w:val="clear"/>
                    </w:rPr>
                    <w:t>XO先进技术，6.4英寸BND-LEDW黑底白字液晶显示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按钮类型：采用</w:t>
                  </w:r>
                  <w:r>
                    <w:rPr>
                      <w:rFonts w:ascii="宋体" w:hAnsi="宋体" w:cs="宋体" w:eastAsia="宋体"/>
                      <w:color w:val="000000"/>
                      <w:sz w:val="24"/>
                      <w:shd w:fill="FFFFFF" w:val="clear"/>
                    </w:rPr>
                    <w:t>XO先进技术，BR36D不锈钢盲文按钮，登记带辉光高亮显示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外呼</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面板材质：所有层为发纹不锈钢面板材质</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按钮类型：所有层为采用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显示类型：所有层为采用</w:t>
                  </w:r>
                  <w:r>
                    <w:rPr>
                      <w:rFonts w:ascii="宋体" w:hAnsi="宋体" w:cs="宋体" w:eastAsia="宋体"/>
                      <w:color w:val="000000"/>
                      <w:sz w:val="24"/>
                      <w:shd w:fill="FFFFFF" w:val="clear"/>
                    </w:rPr>
                    <w:t>XO先进技术，4.3英寸EOD-LEDY黑底黄字点阵显示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厅门及门套</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厅门材质：所有层为</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厅门类型：所有层为左开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小门套材质：所有层为</w:t>
                  </w:r>
                  <w:r>
                    <w:rPr>
                      <w:rFonts w:ascii="宋体" w:hAnsi="宋体" w:cs="宋体" w:eastAsia="宋体"/>
                      <w:color w:val="000000"/>
                      <w:sz w:val="24"/>
                      <w:shd w:fill="FFFFFF" w:val="clear"/>
                    </w:rPr>
                    <w:t>304发纹不锈钢</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电力提供</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动力电源：电压：</w:t>
                  </w:r>
                  <w:r>
                    <w:rPr>
                      <w:rFonts w:ascii="宋体" w:hAnsi="宋体" w:cs="宋体" w:eastAsia="宋体"/>
                      <w:color w:val="000000"/>
                      <w:sz w:val="24"/>
                      <w:shd w:fill="FFFFFF" w:val="clear"/>
                    </w:rPr>
                    <w:t>380V±7% 频率：50Hz 相数：3相5线制，零线和地线始终分开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照明电源：电压：</w:t>
                  </w:r>
                  <w:r>
                    <w:rPr>
                      <w:rFonts w:ascii="宋体" w:hAnsi="宋体" w:cs="宋体" w:eastAsia="宋体"/>
                      <w:color w:val="000000"/>
                      <w:sz w:val="24"/>
                      <w:shd w:fill="FFFFFF" w:val="clear"/>
                    </w:rPr>
                    <w:t>220V 频率：50Hz 相数：单相</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基本规格</w:t>
                  </w:r>
                </w:p>
              </w:tc>
              <w:tc>
                <w:tcPr>
                  <w:tcW w:type="dxa" w:w="2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系统梯号：</w:t>
                  </w:r>
                  <w:r>
                    <w:rPr>
                      <w:rFonts w:ascii="宋体" w:hAnsi="宋体" w:cs="宋体" w:eastAsia="宋体"/>
                      <w:color w:val="000000"/>
                      <w:sz w:val="24"/>
                      <w:shd w:fill="FFFFFF" w:val="clear"/>
                    </w:rPr>
                    <w:t>DT3</w:t>
                  </w:r>
                  <w:r>
                    <w:rPr>
                      <w:rFonts w:ascii="宋体" w:hAnsi="宋体" w:cs="宋体" w:eastAsia="宋体"/>
                      <w:color w:val="000000"/>
                      <w:sz w:val="24"/>
                      <w:shd w:fill="FFFFFF" w:val="clear"/>
                    </w:rPr>
                    <w:t>（医梯兼无障碍电梯）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货物名称：</w:t>
                  </w:r>
                  <w:r>
                    <w:rPr>
                      <w:rFonts w:ascii="宋体" w:hAnsi="宋体" w:cs="宋体" w:eastAsia="宋体"/>
                      <w:color w:val="000000"/>
                      <w:sz w:val="24"/>
                      <w:shd w:fill="FFFFFF" w:val="clear"/>
                    </w:rPr>
                    <w:t>有机房无齿轮医用电梯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载重：</w:t>
                  </w:r>
                  <w:r>
                    <w:rPr>
                      <w:rFonts w:ascii="宋体" w:hAnsi="宋体" w:cs="宋体" w:eastAsia="宋体"/>
                      <w:color w:val="000000"/>
                      <w:sz w:val="24"/>
                      <w:shd w:fill="FFFFFF" w:val="clear"/>
                    </w:rPr>
                    <w:t>≧</w:t>
                  </w:r>
                  <w:r>
                    <w:rPr>
                      <w:rFonts w:ascii="宋体" w:hAnsi="宋体" w:cs="宋体" w:eastAsia="宋体"/>
                      <w:color w:val="000000"/>
                      <w:sz w:val="24"/>
                      <w:shd w:fill="FFFFFF" w:val="clear"/>
                    </w:rPr>
                    <w:t>2000kg</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速度：</w:t>
                  </w:r>
                  <w:r>
                    <w:rPr>
                      <w:rFonts w:ascii="宋体" w:hAnsi="宋体" w:cs="宋体" w:eastAsia="宋体"/>
                      <w:color w:val="000000"/>
                      <w:sz w:val="24"/>
                      <w:shd w:fill="FFFFFF" w:val="clear"/>
                    </w:rPr>
                    <w:t>≧</w:t>
                  </w:r>
                  <w:r>
                    <w:rPr>
                      <w:rFonts w:ascii="宋体" w:hAnsi="宋体" w:cs="宋体" w:eastAsia="宋体"/>
                      <w:color w:val="000000"/>
                      <w:sz w:val="24"/>
                      <w:shd w:fill="FFFFFF" w:val="clear"/>
                    </w:rPr>
                    <w:t>1.75m/s</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服务层站：</w:t>
                  </w:r>
                  <w:r>
                    <w:rPr>
                      <w:rFonts w:ascii="宋体" w:hAnsi="宋体" w:cs="宋体" w:eastAsia="宋体"/>
                      <w:color w:val="000000"/>
                      <w:sz w:val="24"/>
                      <w:shd w:fill="FFFFFF" w:val="clear"/>
                    </w:rPr>
                    <w:t>4/4/4</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提升高度：</w:t>
                  </w:r>
                  <w:r>
                    <w:rPr>
                      <w:rFonts w:ascii="宋体" w:hAnsi="宋体" w:cs="宋体" w:eastAsia="宋体"/>
                      <w:color w:val="000000"/>
                      <w:sz w:val="24"/>
                      <w:shd w:fill="FFFFFF" w:val="clear"/>
                    </w:rPr>
                    <w:t>H=13.800m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单双通：单通</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曳引机：交流永磁同步无齿轮曳引机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控制方式：单台</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操作系统：全电脑全集选方式</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控制系统：先进的模块化电脑软件控制系统，串行传输通讯网络系统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拖动系统：交流变频变压无级调速无齿拖动系统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门机：</w:t>
                  </w:r>
                  <w:r>
                    <w:rPr>
                      <w:rFonts w:ascii="宋体" w:hAnsi="宋体" w:cs="宋体" w:eastAsia="宋体"/>
                      <w:color w:val="000000"/>
                      <w:sz w:val="24"/>
                      <w:shd w:fill="FFFFFF" w:val="clear"/>
                    </w:rPr>
                    <w:t>E-CONII旁开双折变频门机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曳引机位置：井道顶部机房内</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井道及轿厢尺寸</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井道尺寸</w:t>
                  </w:r>
                  <w:r>
                    <w:rPr>
                      <w:rFonts w:ascii="宋体" w:hAnsi="宋体" w:cs="宋体" w:eastAsia="宋体"/>
                      <w:color w:val="000000"/>
                      <w:sz w:val="24"/>
                      <w:shd w:fill="FFFFFF" w:val="clear"/>
                    </w:rPr>
                    <w:t>(宽×深)：2500mm*3000mm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轿厢尺寸类型：净尺寸</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w:t>
                  </w:r>
                  <w:r>
                    <w:rPr>
                      <w:rFonts w:ascii="宋体" w:hAnsi="宋体" w:cs="宋体" w:eastAsia="宋体"/>
                      <w:color w:val="000000"/>
                      <w:sz w:val="24"/>
                      <w:shd w:fill="FFFFFF" w:val="clear"/>
                    </w:rPr>
                    <w:t>(宽×深)：1</w:t>
                  </w:r>
                  <w:r>
                    <w:rPr>
                      <w:rFonts w:ascii="宋体" w:hAnsi="宋体" w:cs="宋体" w:eastAsia="宋体"/>
                      <w:color w:val="000000"/>
                      <w:sz w:val="24"/>
                      <w:shd w:fill="FFFFFF" w:val="clear"/>
                    </w:rPr>
                    <w:t>55</w:t>
                  </w:r>
                  <w:r>
                    <w:rPr>
                      <w:rFonts w:ascii="宋体" w:hAnsi="宋体" w:cs="宋体" w:eastAsia="宋体"/>
                      <w:color w:val="000000"/>
                      <w:sz w:val="24"/>
                      <w:shd w:fill="FFFFFF" w:val="clear"/>
                    </w:rPr>
                    <w:t>0mm*2</w:t>
                  </w:r>
                  <w:r>
                    <w:rPr>
                      <w:rFonts w:ascii="宋体" w:hAnsi="宋体" w:cs="宋体" w:eastAsia="宋体"/>
                      <w:color w:val="000000"/>
                      <w:sz w:val="24"/>
                      <w:shd w:fill="FFFFFF" w:val="clear"/>
                    </w:rPr>
                    <w:t>5</w:t>
                  </w:r>
                  <w:r>
                    <w:rPr>
                      <w:rFonts w:ascii="宋体" w:hAnsi="宋体" w:cs="宋体" w:eastAsia="宋体"/>
                      <w:color w:val="000000"/>
                      <w:sz w:val="24"/>
                      <w:shd w:fill="FFFFFF" w:val="clear"/>
                    </w:rPr>
                    <w:t>50mm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轿厢净高：</w:t>
                  </w:r>
                  <w:r>
                    <w:rPr>
                      <w:rFonts w:ascii="宋体" w:hAnsi="宋体" w:cs="宋体" w:eastAsia="宋体"/>
                      <w:color w:val="000000"/>
                      <w:sz w:val="24"/>
                      <w:shd w:fill="FFFFFF" w:val="clear"/>
                    </w:rPr>
                    <w:t>2200mm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开门净尺寸</w:t>
                  </w:r>
                  <w:r>
                    <w:rPr>
                      <w:rFonts w:ascii="宋体" w:hAnsi="宋体" w:cs="宋体" w:eastAsia="宋体"/>
                      <w:color w:val="000000"/>
                      <w:sz w:val="24"/>
                      <w:shd w:fill="FFFFFF" w:val="clear"/>
                    </w:rPr>
                    <w:t>(宽×高)：1300mm*2100mm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顶层净高：</w:t>
                  </w:r>
                  <w:r>
                    <w:rPr>
                      <w:rFonts w:ascii="宋体" w:hAnsi="宋体" w:cs="宋体" w:eastAsia="宋体"/>
                      <w:color w:val="000000"/>
                      <w:sz w:val="24"/>
                      <w:shd w:fill="FFFFFF" w:val="clear"/>
                    </w:rPr>
                    <w:t>4600mm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底坑深度：</w:t>
                  </w:r>
                  <w:r>
                    <w:rPr>
                      <w:rFonts w:ascii="宋体" w:hAnsi="宋体" w:cs="宋体" w:eastAsia="宋体"/>
                      <w:color w:val="000000"/>
                      <w:sz w:val="24"/>
                      <w:shd w:fill="FFFFFF" w:val="clear"/>
                    </w:rPr>
                    <w:t>1850mm</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轿厢装潢</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轿厢两侧壁：</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轿厢后壁：两边</w:t>
                  </w:r>
                  <w:r>
                    <w:rPr>
                      <w:rFonts w:ascii="宋体" w:hAnsi="宋体" w:cs="宋体" w:eastAsia="宋体"/>
                      <w:color w:val="000000"/>
                      <w:sz w:val="24"/>
                      <w:shd w:fill="FFFFFF" w:val="clear"/>
                    </w:rPr>
                    <w:t>304发纹加中间白镜面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轿门材质：</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光幕保护：光幕</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地板型号：</w:t>
                  </w:r>
                  <w:r>
                    <w:rPr>
                      <w:rFonts w:ascii="宋体" w:hAnsi="宋体" w:cs="宋体" w:eastAsia="宋体"/>
                      <w:color w:val="000000"/>
                      <w:sz w:val="24"/>
                      <w:shd w:fill="FFFFFF" w:val="clear"/>
                    </w:rPr>
                    <w:t>PVC拼花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照明设施：高效节能专用灯具，</w:t>
                  </w:r>
                  <w:r>
                    <w:rPr>
                      <w:rFonts w:ascii="宋体" w:hAnsi="宋体" w:cs="宋体" w:eastAsia="宋体"/>
                      <w:color w:val="000000"/>
                      <w:sz w:val="24"/>
                      <w:shd w:fill="FFFFFF" w:val="clear"/>
                    </w:rPr>
                    <w:t>LED灯照明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通风设施：低噪音风机通风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通讯设施：隐藏式对讲装置</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检修设施：位于轿厢操纵箱下方</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操纵盘</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型</w:t>
                  </w:r>
                  <w:r>
                    <w:rPr>
                      <w:rFonts w:ascii="宋体" w:hAnsi="宋体" w:cs="宋体" w:eastAsia="宋体"/>
                      <w:color w:val="000000"/>
                      <w:sz w:val="24"/>
                      <w:shd w:fill="FFFFFF" w:val="clear"/>
                    </w:rPr>
                    <w:t xml:space="preserve">    </w:t>
                  </w:r>
                  <w:r>
                    <w:rPr>
                      <w:rFonts w:ascii="宋体" w:hAnsi="宋体" w:cs="宋体" w:eastAsia="宋体"/>
                      <w:color w:val="000000"/>
                      <w:sz w:val="24"/>
                      <w:shd w:fill="FFFFFF" w:val="clear"/>
                    </w:rPr>
                    <w:t>号：整体式操纵箱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显示类型：采用</w:t>
                  </w:r>
                  <w:r>
                    <w:rPr>
                      <w:rFonts w:ascii="宋体" w:hAnsi="宋体" w:cs="宋体" w:eastAsia="宋体"/>
                      <w:color w:val="000000"/>
                      <w:sz w:val="24"/>
                      <w:shd w:fill="FFFFFF" w:val="clear"/>
                    </w:rPr>
                    <w:t>XO先进技术，6.4英寸BND-LEDW黑底白字液晶显示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面板材料（副）：</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显示类型（副）：无</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按钮类型（副）：采用</w:t>
                  </w:r>
                  <w:r>
                    <w:rPr>
                      <w:rFonts w:ascii="宋体" w:hAnsi="宋体" w:cs="宋体" w:eastAsia="宋体"/>
                      <w:color w:val="000000"/>
                      <w:sz w:val="24"/>
                      <w:shd w:fill="FFFFFF" w:val="clear"/>
                    </w:rPr>
                    <w:t>XO先进技术，BR36D不锈钢盲文按钮，登记带辉光高亮显示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外呼</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面板材质：所有层为发纹不锈钢面板材质</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按钮类型：所有层为采用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显示类型：所有层为采用</w:t>
                  </w:r>
                  <w:r>
                    <w:rPr>
                      <w:rFonts w:ascii="宋体" w:hAnsi="宋体" w:cs="宋体" w:eastAsia="宋体"/>
                      <w:color w:val="000000"/>
                      <w:sz w:val="24"/>
                      <w:shd w:fill="FFFFFF" w:val="clear"/>
                    </w:rPr>
                    <w:t>XO先进技术，4.3英寸EOD-LEDY黑底黄字点阵显示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厅门及门套</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厅门材质：所有层为</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厅门类型：所有层为左开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小门套材质：所有层为</w:t>
                  </w:r>
                  <w:r>
                    <w:rPr>
                      <w:rFonts w:ascii="宋体" w:hAnsi="宋体" w:cs="宋体" w:eastAsia="宋体"/>
                      <w:color w:val="000000"/>
                      <w:sz w:val="24"/>
                      <w:shd w:fill="FFFFFF" w:val="clear"/>
                    </w:rPr>
                    <w:t>304发纹不锈钢</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电力提供</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动力电源：电压：</w:t>
                  </w:r>
                  <w:r>
                    <w:rPr>
                      <w:rFonts w:ascii="宋体" w:hAnsi="宋体" w:cs="宋体" w:eastAsia="宋体"/>
                      <w:color w:val="000000"/>
                      <w:sz w:val="24"/>
                      <w:shd w:fill="FFFFFF" w:val="clear"/>
                    </w:rPr>
                    <w:t>380V±7% 频率：50Hz 相数：3相5线制，零线和地线始终分开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照明电源：电压：</w:t>
                  </w:r>
                  <w:r>
                    <w:rPr>
                      <w:rFonts w:ascii="宋体" w:hAnsi="宋体" w:cs="宋体" w:eastAsia="宋体"/>
                      <w:color w:val="000000"/>
                      <w:sz w:val="24"/>
                      <w:shd w:fill="FFFFFF" w:val="clear"/>
                    </w:rPr>
                    <w:t>220V 频率：50Hz 相数：单相</w:t>
                  </w:r>
                </w:p>
              </w:tc>
            </w:tr>
            <w:tr>
              <w:tc>
                <w:tcPr>
                  <w:tcW w:type="dxa" w:w="25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基本规格</w:t>
                  </w:r>
                </w:p>
              </w:tc>
              <w:tc>
                <w:tcPr>
                  <w:tcW w:type="dxa" w:w="2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系统梯号：</w:t>
                  </w:r>
                  <w:r>
                    <w:rPr>
                      <w:rFonts w:ascii="宋体" w:hAnsi="宋体" w:cs="宋体" w:eastAsia="宋体"/>
                      <w:color w:val="000000"/>
                      <w:sz w:val="24"/>
                      <w:shd w:fill="FFFFFF" w:val="clear"/>
                    </w:rPr>
                    <w:t>DT4</w:t>
                  </w:r>
                  <w:r>
                    <w:rPr>
                      <w:rFonts w:ascii="宋体" w:hAnsi="宋体" w:cs="宋体" w:eastAsia="宋体"/>
                      <w:color w:val="000000"/>
                      <w:sz w:val="24"/>
                      <w:shd w:fill="FFFFFF" w:val="clear"/>
                    </w:rPr>
                    <w:t>（出院梯兼无障碍电梯）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有机房无齿轮医用电梯</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载重：</w:t>
                  </w:r>
                  <w:r>
                    <w:rPr>
                      <w:rFonts w:ascii="宋体" w:hAnsi="宋体" w:cs="宋体" w:eastAsia="宋体"/>
                      <w:color w:val="000000"/>
                      <w:sz w:val="24"/>
                      <w:shd w:fill="FFFFFF" w:val="clear"/>
                    </w:rPr>
                    <w:t>≧</w:t>
                  </w:r>
                  <w:r>
                    <w:rPr>
                      <w:rFonts w:ascii="宋体" w:hAnsi="宋体" w:cs="宋体" w:eastAsia="宋体"/>
                      <w:color w:val="000000"/>
                      <w:sz w:val="24"/>
                      <w:shd w:fill="FFFFFF" w:val="clear"/>
                    </w:rPr>
                    <w:t>2000kg</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速度：</w:t>
                  </w:r>
                  <w:r>
                    <w:rPr>
                      <w:rFonts w:ascii="宋体" w:hAnsi="宋体" w:cs="宋体" w:eastAsia="宋体"/>
                      <w:color w:val="000000"/>
                      <w:sz w:val="24"/>
                      <w:shd w:fill="FFFFFF" w:val="clear"/>
                    </w:rPr>
                    <w:t>≧</w:t>
                  </w:r>
                  <w:r>
                    <w:rPr>
                      <w:rFonts w:ascii="宋体" w:hAnsi="宋体" w:cs="宋体" w:eastAsia="宋体"/>
                      <w:color w:val="000000"/>
                      <w:sz w:val="24"/>
                      <w:shd w:fill="FFFFFF" w:val="clear"/>
                    </w:rPr>
                    <w:t>1.75m/s</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服务层站：</w:t>
                  </w:r>
                  <w:r>
                    <w:rPr>
                      <w:rFonts w:ascii="宋体" w:hAnsi="宋体" w:cs="宋体" w:eastAsia="宋体"/>
                      <w:color w:val="000000"/>
                      <w:sz w:val="24"/>
                      <w:shd w:fill="FFFFFF" w:val="clear"/>
                    </w:rPr>
                    <w:t>4/4/4</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提升高度：</w:t>
                  </w:r>
                  <w:r>
                    <w:rPr>
                      <w:rFonts w:ascii="宋体" w:hAnsi="宋体" w:cs="宋体" w:eastAsia="宋体"/>
                      <w:color w:val="000000"/>
                      <w:sz w:val="24"/>
                      <w:shd w:fill="FFFFFF" w:val="clear"/>
                    </w:rPr>
                    <w:t>H=13.800m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单双通：单通</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曳引机：交流永磁同步无齿轮曳引机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控制方式：单台</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操作系统：全电脑全集选方式</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控制系统：先进的模块化电脑软件控制系统，串行传输通讯网络系统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拖动系统：交流变频变压无级调速无齿拖动系统</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门机：</w:t>
                  </w:r>
                  <w:r>
                    <w:rPr>
                      <w:rFonts w:ascii="宋体" w:hAnsi="宋体" w:cs="宋体" w:eastAsia="宋体"/>
                      <w:color w:val="000000"/>
                      <w:sz w:val="24"/>
                      <w:shd w:fill="FFFFFF" w:val="clear"/>
                    </w:rPr>
                    <w:t>E-CONII旁开双折变频门机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曳引机位置：井道顶部机房内</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井道及轿厢尺寸</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井道尺寸</w:t>
                  </w:r>
                  <w:r>
                    <w:rPr>
                      <w:rFonts w:ascii="宋体" w:hAnsi="宋体" w:cs="宋体" w:eastAsia="宋体"/>
                      <w:color w:val="000000"/>
                      <w:sz w:val="24"/>
                      <w:shd w:fill="FFFFFF" w:val="clear"/>
                    </w:rPr>
                    <w:t>(宽×深)：2500mm*3500mm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轿厢尺寸类型：净尺寸</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轿厢尺寸</w:t>
                  </w:r>
                  <w:r>
                    <w:rPr>
                      <w:rFonts w:ascii="宋体" w:hAnsi="宋体" w:cs="宋体" w:eastAsia="宋体"/>
                      <w:color w:val="000000"/>
                      <w:sz w:val="24"/>
                      <w:shd w:fill="FFFFFF" w:val="clear"/>
                    </w:rPr>
                    <w:t>(宽×深)：1550mm*2600mm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轿厢净高：</w:t>
                  </w:r>
                  <w:r>
                    <w:rPr>
                      <w:rFonts w:ascii="宋体" w:hAnsi="宋体" w:cs="宋体" w:eastAsia="宋体"/>
                      <w:color w:val="000000"/>
                      <w:sz w:val="24"/>
                      <w:shd w:fill="FFFFFF" w:val="clear"/>
                    </w:rPr>
                    <w:t>2200mm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开门净尺寸</w:t>
                  </w:r>
                  <w:r>
                    <w:rPr>
                      <w:rFonts w:ascii="宋体" w:hAnsi="宋体" w:cs="宋体" w:eastAsia="宋体"/>
                      <w:color w:val="000000"/>
                      <w:sz w:val="24"/>
                      <w:shd w:fill="FFFFFF" w:val="clear"/>
                    </w:rPr>
                    <w:t>(宽×高)：1300mm*2100mm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顶层净高：</w:t>
                  </w:r>
                  <w:r>
                    <w:rPr>
                      <w:rFonts w:ascii="宋体" w:hAnsi="宋体" w:cs="宋体" w:eastAsia="宋体"/>
                      <w:color w:val="000000"/>
                      <w:sz w:val="24"/>
                      <w:shd w:fill="FFFFFF" w:val="clear"/>
                    </w:rPr>
                    <w:t>4600mm</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底坑深度：</w:t>
                  </w:r>
                  <w:r>
                    <w:rPr>
                      <w:rFonts w:ascii="宋体" w:hAnsi="宋体" w:cs="宋体" w:eastAsia="宋体"/>
                      <w:color w:val="000000"/>
                      <w:sz w:val="24"/>
                      <w:shd w:fill="FFFFFF" w:val="clear"/>
                    </w:rPr>
                    <w:t>1850mm</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轿厢装潢</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轿厢两侧壁：</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轿厢后壁：两边</w:t>
                  </w:r>
                  <w:r>
                    <w:rPr>
                      <w:rFonts w:ascii="宋体" w:hAnsi="宋体" w:cs="宋体" w:eastAsia="宋体"/>
                      <w:color w:val="000000"/>
                      <w:sz w:val="24"/>
                      <w:shd w:fill="FFFFFF" w:val="clear"/>
                    </w:rPr>
                    <w:t>304发纹加中间白镜面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轿门材质：</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光幕保护：光幕</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地板型号：</w:t>
                  </w:r>
                  <w:r>
                    <w:rPr>
                      <w:rFonts w:ascii="宋体" w:hAnsi="宋体" w:cs="宋体" w:eastAsia="宋体"/>
                      <w:color w:val="000000"/>
                      <w:sz w:val="24"/>
                      <w:shd w:fill="FFFFFF" w:val="clear"/>
                    </w:rPr>
                    <w:t>PVC拼花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照明设施：高效节能专用灯具，</w:t>
                  </w:r>
                  <w:r>
                    <w:rPr>
                      <w:rFonts w:ascii="宋体" w:hAnsi="宋体" w:cs="宋体" w:eastAsia="宋体"/>
                      <w:color w:val="000000"/>
                      <w:sz w:val="24"/>
                      <w:shd w:fill="FFFFFF" w:val="clear"/>
                    </w:rPr>
                    <w:t>LED灯照明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通风设施：低噪音风机通风</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通讯设施：隐藏式对讲装置</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检修设施：位于轿厢操纵箱下方</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操纵盘</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型</w:t>
                  </w:r>
                  <w:r>
                    <w:rPr>
                      <w:rFonts w:ascii="宋体" w:hAnsi="宋体" w:cs="宋体" w:eastAsia="宋体"/>
                      <w:color w:val="000000"/>
                      <w:sz w:val="24"/>
                      <w:shd w:fill="FFFFFF" w:val="clear"/>
                    </w:rPr>
                    <w:t xml:space="preserve">    </w:t>
                  </w:r>
                  <w:r>
                    <w:rPr>
                      <w:rFonts w:ascii="宋体" w:hAnsi="宋体" w:cs="宋体" w:eastAsia="宋体"/>
                      <w:color w:val="000000"/>
                      <w:sz w:val="24"/>
                      <w:shd w:fill="FFFFFF" w:val="clear"/>
                    </w:rPr>
                    <w:t>号</w:t>
                  </w:r>
                  <w:r>
                    <w:rPr>
                      <w:rFonts w:ascii="宋体" w:hAnsi="宋体" w:cs="宋体" w:eastAsia="宋体"/>
                      <w:color w:val="000000"/>
                      <w:sz w:val="24"/>
                      <w:shd w:fill="FFFFFF" w:val="clear"/>
                    </w:rPr>
                    <w:t>：</w:t>
                  </w:r>
                  <w:r>
                    <w:rPr>
                      <w:rFonts w:ascii="宋体" w:hAnsi="宋体" w:cs="宋体" w:eastAsia="宋体"/>
                      <w:color w:val="000000"/>
                      <w:sz w:val="24"/>
                      <w:shd w:fill="FFFFFF" w:val="clear"/>
                    </w:rPr>
                    <w:t>整体式操纵箱</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显示类型：采用</w:t>
                  </w:r>
                  <w:r>
                    <w:rPr>
                      <w:rFonts w:ascii="宋体" w:hAnsi="宋体" w:cs="宋体" w:eastAsia="宋体"/>
                      <w:color w:val="000000"/>
                      <w:sz w:val="24"/>
                      <w:shd w:fill="FFFFFF" w:val="clear"/>
                    </w:rPr>
                    <w:t>XO先进技术，6.4英寸BND-LEDW黑底白字液晶显示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面板材料（副）：</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显示类型（副）：无</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按钮类型（副）：采用</w:t>
                  </w:r>
                  <w:r>
                    <w:rPr>
                      <w:rFonts w:ascii="宋体" w:hAnsi="宋体" w:cs="宋体" w:eastAsia="宋体"/>
                      <w:color w:val="000000"/>
                      <w:sz w:val="24"/>
                      <w:shd w:fill="FFFFFF" w:val="clear"/>
                    </w:rPr>
                    <w:t>XO先进技术，BR36D不锈钢盲文按钮，登记带辉光高亮显示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外呼</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面板材质：所有层为发纹不锈钢面板材质</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按钮类型：所有层为采用</w:t>
                  </w:r>
                  <w:r>
                    <w:rPr>
                      <w:rFonts w:ascii="宋体" w:hAnsi="宋体" w:cs="宋体" w:eastAsia="宋体"/>
                      <w:color w:val="000000"/>
                      <w:sz w:val="24"/>
                      <w:shd w:fill="FFFFFF" w:val="clear"/>
                    </w:rPr>
                    <w:t>XO先进技术，BR36D不锈钢盲文按钮，登记带辉光高亮显示</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显示类型：所有层为采用</w:t>
                  </w:r>
                  <w:r>
                    <w:rPr>
                      <w:rFonts w:ascii="宋体" w:hAnsi="宋体" w:cs="宋体" w:eastAsia="宋体"/>
                      <w:color w:val="000000"/>
                      <w:sz w:val="24"/>
                      <w:shd w:fill="FFFFFF" w:val="clear"/>
                    </w:rPr>
                    <w:t>XO先进技术，4.3英寸EOD-LEDY黑底黄字点阵显示</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厅门及门套</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厅门材质：所有层为</w:t>
                  </w:r>
                  <w:r>
                    <w:rPr>
                      <w:rFonts w:ascii="宋体" w:hAnsi="宋体" w:cs="宋体" w:eastAsia="宋体"/>
                      <w:color w:val="000000"/>
                      <w:sz w:val="24"/>
                      <w:shd w:fill="FFFFFF" w:val="clear"/>
                    </w:rPr>
                    <w:t>304发纹不锈钢</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厅门类型：所有层为左开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小门套材质：所有层为</w:t>
                  </w:r>
                  <w:r>
                    <w:rPr>
                      <w:rFonts w:ascii="宋体" w:hAnsi="宋体" w:cs="宋体" w:eastAsia="宋体"/>
                      <w:color w:val="000000"/>
                      <w:sz w:val="24"/>
                      <w:shd w:fill="FFFFFF" w:val="clear"/>
                    </w:rPr>
                    <w:t>304发纹不锈钢</w:t>
                  </w:r>
                </w:p>
              </w:tc>
            </w:tr>
            <w:tr>
              <w:tc>
                <w:tcPr>
                  <w:tcW w:type="dxa" w:w="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b/>
                      <w:color w:val="000000"/>
                      <w:sz w:val="24"/>
                      <w:shd w:fill="FFFFFF" w:val="clear"/>
                    </w:rPr>
                    <w:t>电力提供</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动力电源：电压：</w:t>
                  </w:r>
                  <w:r>
                    <w:rPr>
                      <w:rFonts w:ascii="宋体" w:hAnsi="宋体" w:cs="宋体" w:eastAsia="宋体"/>
                      <w:color w:val="000000"/>
                      <w:sz w:val="24"/>
                      <w:shd w:fill="FFFFFF" w:val="clear"/>
                    </w:rPr>
                    <w:t>380V±7% 频率：50Hz 相数：3相5线制，零线和地线始终分开</w:t>
                  </w:r>
                </w:p>
              </w:tc>
            </w:tr>
            <w:tr>
              <w:tc>
                <w:tcPr>
                  <w:tcW w:type="dxa" w:w="547"/>
                  <w:vMerge/>
                  <w:tcBorders>
                    <w:top w:val="none" w:color="000000" w:sz="4"/>
                    <w:left w:val="single" w:color="000000" w:sz="4"/>
                    <w:bottom w:val="single" w:color="000000" w:sz="4"/>
                    <w:right w:val="single" w:color="000000" w:sz="4"/>
                  </w:tcBorders>
                </w:tcP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4"/>
                      <w:shd w:fill="FFFFFF" w:val="clear"/>
                    </w:rPr>
                    <w:t>照明电源：电压：</w:t>
                  </w:r>
                  <w:r>
                    <w:rPr>
                      <w:rFonts w:ascii="宋体" w:hAnsi="宋体" w:cs="宋体" w:eastAsia="宋体"/>
                      <w:color w:val="000000"/>
                      <w:sz w:val="24"/>
                      <w:shd w:fill="FFFFFF" w:val="clear"/>
                    </w:rPr>
                    <w:t>220V 频率：50Hz 相数：单相</w:t>
                  </w:r>
                </w:p>
              </w:tc>
            </w:tr>
          </w:tbl>
          <w:p>
            <w:pPr>
              <w:pStyle w:val="null3"/>
            </w:pPr>
            <w:r>
              <w:rPr/>
              <w:t xml:space="preserve">2、功能要求 </w:t>
            </w:r>
          </w:p>
          <w:tbl>
            <w:tblPr>
              <w:tblInd w:type="dxa" w:w="105"/>
              <w:tblBorders>
                <w:top w:val="none" w:color="000000" w:sz="4"/>
                <w:left w:val="none" w:color="000000" w:sz="4"/>
                <w:bottom w:val="none" w:color="000000" w:sz="4"/>
                <w:right w:val="none" w:color="000000" w:sz="4"/>
                <w:insideH w:val="none"/>
                <w:insideV w:val="none"/>
              </w:tblBorders>
            </w:tblPr>
            <w:tblGrid>
              <w:gridCol w:w="1282"/>
              <w:gridCol w:w="1265"/>
            </w:tblGrid>
            <w:tr>
              <w:tc>
                <w:tcPr>
                  <w:tcW w:type="dxa" w:w="2547"/>
                  <w:gridSpan w:val="2"/>
                  <w:tcBorders>
                    <w:top w:val="single" w:color="000000" w:sz="4"/>
                    <w:left w:val="single" w:color="000000" w:sz="4"/>
                    <w:bottom w:val="single" w:color="000000" w:sz="4"/>
                    <w:right w:val="single" w:color="000000" w:sz="4"/>
                  </w:tcBorders>
                  <w:shd w:fill="DDDDDD"/>
                  <w:tcMar>
                    <w:top w:type="dxa" w:w="0"/>
                    <w:left w:type="dxa" w:w="105"/>
                    <w:bottom w:type="dxa" w:w="0"/>
                    <w:right w:type="dxa" w:w="105"/>
                  </w:tcMar>
                  <w:vAlign w:val="top"/>
                </w:tcPr>
                <w:p>
                  <w:pPr>
                    <w:pStyle w:val="null3"/>
                    <w:ind w:firstLine="380"/>
                    <w:jc w:val="both"/>
                  </w:pPr>
                  <w:r>
                    <w:rPr>
                      <w:rFonts w:ascii="宋体" w:hAnsi="宋体" w:cs="宋体" w:eastAsia="宋体"/>
                      <w:b/>
                      <w:color w:val="000000"/>
                      <w:sz w:val="21"/>
                    </w:rPr>
                    <w:t>主要功能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w:t>
                  </w:r>
                  <w:r>
                    <w:rPr>
                      <w:rFonts w:ascii="宋体" w:hAnsi="宋体" w:cs="宋体" w:eastAsia="宋体"/>
                      <w:color w:val="000000"/>
                      <w:sz w:val="20"/>
                    </w:rPr>
                    <w:t>、全集选控制</w:t>
                  </w:r>
                </w:p>
              </w:tc>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w:t>
                  </w:r>
                  <w:r>
                    <w:rPr>
                      <w:rFonts w:ascii="宋体" w:hAnsi="宋体" w:cs="宋体" w:eastAsia="宋体"/>
                      <w:color w:val="000000"/>
                      <w:sz w:val="20"/>
                    </w:rPr>
                    <w:t>、自动返基站</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w:t>
                  </w:r>
                  <w:r>
                    <w:rPr>
                      <w:rFonts w:ascii="宋体" w:hAnsi="宋体" w:cs="宋体" w:eastAsia="宋体"/>
                      <w:color w:val="000000"/>
                      <w:sz w:val="20"/>
                    </w:rPr>
                    <w:t>、满载直驶</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w:t>
                  </w:r>
                  <w:r>
                    <w:rPr>
                      <w:rFonts w:ascii="宋体" w:hAnsi="宋体" w:cs="宋体" w:eastAsia="宋体"/>
                      <w:color w:val="000000"/>
                      <w:sz w:val="20"/>
                    </w:rPr>
                    <w:t>、错误指令取消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w:t>
                  </w:r>
                  <w:r>
                    <w:rPr>
                      <w:rFonts w:ascii="宋体" w:hAnsi="宋体" w:cs="宋体" w:eastAsia="宋体"/>
                      <w:color w:val="000000"/>
                      <w:sz w:val="20"/>
                    </w:rPr>
                    <w:t>、锁梯开关</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6</w:t>
                  </w:r>
                  <w:r>
                    <w:rPr>
                      <w:rFonts w:ascii="宋体" w:hAnsi="宋体" w:cs="宋体" w:eastAsia="宋体"/>
                      <w:color w:val="000000"/>
                      <w:sz w:val="20"/>
                    </w:rPr>
                    <w:t>、开关门按钮</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7</w:t>
                  </w:r>
                  <w:r>
                    <w:rPr>
                      <w:rFonts w:ascii="宋体" w:hAnsi="宋体" w:cs="宋体" w:eastAsia="宋体"/>
                      <w:color w:val="000000"/>
                      <w:sz w:val="20"/>
                    </w:rPr>
                    <w:t>、井道楼层间距自学习</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8</w:t>
                  </w:r>
                  <w:r>
                    <w:rPr>
                      <w:rFonts w:ascii="宋体" w:hAnsi="宋体" w:cs="宋体" w:eastAsia="宋体"/>
                      <w:color w:val="000000"/>
                      <w:sz w:val="20"/>
                    </w:rPr>
                    <w:t>、厅外、轿内开门时间分别控制</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9</w:t>
                  </w:r>
                  <w:r>
                    <w:rPr>
                      <w:rFonts w:ascii="宋体" w:hAnsi="宋体" w:cs="宋体" w:eastAsia="宋体"/>
                      <w:color w:val="000000"/>
                      <w:sz w:val="20"/>
                    </w:rPr>
                    <w:t>、自动校正运行</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10</w:t>
                  </w:r>
                  <w:r>
                    <w:rPr>
                      <w:rFonts w:ascii="宋体" w:hAnsi="宋体" w:cs="宋体" w:eastAsia="宋体"/>
                      <w:color w:val="000000"/>
                      <w:sz w:val="20"/>
                    </w:rPr>
                    <w:t>、关门等待取消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11</w:t>
                  </w:r>
                  <w:r>
                    <w:rPr>
                      <w:rFonts w:ascii="宋体" w:hAnsi="宋体" w:cs="宋体" w:eastAsia="宋体"/>
                      <w:color w:val="000000"/>
                      <w:sz w:val="20"/>
                    </w:rPr>
                    <w:t>、本层厅外重开门</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12</w:t>
                  </w:r>
                  <w:r>
                    <w:rPr>
                      <w:rFonts w:ascii="宋体" w:hAnsi="宋体" w:cs="宋体" w:eastAsia="宋体"/>
                      <w:color w:val="000000"/>
                      <w:sz w:val="20"/>
                    </w:rPr>
                    <w:t>、无称重力矩补偿</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13</w:t>
                  </w:r>
                  <w:r>
                    <w:rPr>
                      <w:rFonts w:ascii="宋体" w:hAnsi="宋体" w:cs="宋体" w:eastAsia="宋体"/>
                      <w:color w:val="000000"/>
                      <w:sz w:val="20"/>
                    </w:rPr>
                    <w:t>、末站换向预指示</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14</w:t>
                  </w:r>
                  <w:r>
                    <w:rPr>
                      <w:rFonts w:ascii="宋体" w:hAnsi="宋体" w:cs="宋体" w:eastAsia="宋体"/>
                      <w:color w:val="000000"/>
                      <w:sz w:val="20"/>
                    </w:rPr>
                    <w:t>、司机服务</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15</w:t>
                  </w:r>
                  <w:r>
                    <w:rPr>
                      <w:rFonts w:ascii="宋体" w:hAnsi="宋体" w:cs="宋体" w:eastAsia="宋体"/>
                      <w:color w:val="000000"/>
                      <w:sz w:val="20"/>
                    </w:rPr>
                    <w:t>、独立服务</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16</w:t>
                  </w:r>
                  <w:r>
                    <w:rPr>
                      <w:rFonts w:ascii="宋体" w:hAnsi="宋体" w:cs="宋体" w:eastAsia="宋体"/>
                      <w:color w:val="000000"/>
                      <w:sz w:val="20"/>
                    </w:rPr>
                    <w:t>、端站保护</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17</w:t>
                  </w:r>
                  <w:r>
                    <w:rPr>
                      <w:rFonts w:ascii="宋体" w:hAnsi="宋体" w:cs="宋体" w:eastAsia="宋体"/>
                      <w:color w:val="000000"/>
                      <w:sz w:val="20"/>
                    </w:rPr>
                    <w:t>、故障自诊断</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18</w:t>
                  </w:r>
                  <w:r>
                    <w:rPr>
                      <w:rFonts w:ascii="宋体" w:hAnsi="宋体" w:cs="宋体" w:eastAsia="宋体"/>
                      <w:color w:val="000000"/>
                      <w:sz w:val="20"/>
                    </w:rPr>
                    <w:t>、驱动设备过热保护</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19</w:t>
                  </w:r>
                  <w:r>
                    <w:rPr>
                      <w:rFonts w:ascii="宋体" w:hAnsi="宋体" w:cs="宋体" w:eastAsia="宋体"/>
                      <w:color w:val="000000"/>
                      <w:sz w:val="20"/>
                    </w:rPr>
                    <w:t>、关门力矩保护</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20</w:t>
                  </w:r>
                  <w:r>
                    <w:rPr>
                      <w:rFonts w:ascii="宋体" w:hAnsi="宋体" w:cs="宋体" w:eastAsia="宋体"/>
                      <w:color w:val="000000"/>
                      <w:sz w:val="20"/>
                    </w:rPr>
                    <w:t>、速度异常检测功能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21</w:t>
                  </w:r>
                  <w:r>
                    <w:rPr>
                      <w:rFonts w:ascii="宋体" w:hAnsi="宋体" w:cs="宋体" w:eastAsia="宋体"/>
                      <w:color w:val="000000"/>
                      <w:sz w:val="20"/>
                    </w:rPr>
                    <w:t>、接触器异常检测功能</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22</w:t>
                  </w:r>
                  <w:r>
                    <w:rPr>
                      <w:rFonts w:ascii="宋体" w:hAnsi="宋体" w:cs="宋体" w:eastAsia="宋体"/>
                      <w:color w:val="000000"/>
                      <w:sz w:val="20"/>
                    </w:rPr>
                    <w:t>、电网异常检测功能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23</w:t>
                  </w:r>
                  <w:r>
                    <w:rPr>
                      <w:rFonts w:ascii="宋体" w:hAnsi="宋体" w:cs="宋体" w:eastAsia="宋体"/>
                      <w:color w:val="000000"/>
                      <w:sz w:val="20"/>
                    </w:rPr>
                    <w:t>、光幕门保护</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24</w:t>
                  </w:r>
                  <w:r>
                    <w:rPr>
                      <w:rFonts w:ascii="宋体" w:hAnsi="宋体" w:cs="宋体" w:eastAsia="宋体"/>
                      <w:color w:val="000000"/>
                      <w:sz w:val="20"/>
                    </w:rPr>
                    <w:t>、超载报警</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25</w:t>
                  </w:r>
                  <w:r>
                    <w:rPr>
                      <w:rFonts w:ascii="宋体" w:hAnsi="宋体" w:cs="宋体" w:eastAsia="宋体"/>
                      <w:color w:val="000000"/>
                      <w:sz w:val="20"/>
                    </w:rPr>
                    <w:t>、轿厢开、关门延时保护</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26</w:t>
                  </w:r>
                  <w:r>
                    <w:rPr>
                      <w:rFonts w:ascii="宋体" w:hAnsi="宋体" w:cs="宋体" w:eastAsia="宋体"/>
                      <w:color w:val="000000"/>
                      <w:sz w:val="20"/>
                    </w:rPr>
                    <w:t>、抱闸异常检测功能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27</w:t>
                  </w:r>
                  <w:r>
                    <w:rPr>
                      <w:rFonts w:ascii="宋体" w:hAnsi="宋体" w:cs="宋体" w:eastAsia="宋体"/>
                      <w:color w:val="000000"/>
                      <w:sz w:val="20"/>
                    </w:rPr>
                    <w:t>、厅门自学习</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28</w:t>
                  </w:r>
                  <w:r>
                    <w:rPr>
                      <w:rFonts w:ascii="宋体" w:hAnsi="宋体" w:cs="宋体" w:eastAsia="宋体"/>
                      <w:color w:val="000000"/>
                      <w:sz w:val="20"/>
                    </w:rPr>
                    <w:t>、安全救助功能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29</w:t>
                  </w:r>
                  <w:r>
                    <w:rPr>
                      <w:rFonts w:ascii="宋体" w:hAnsi="宋体" w:cs="宋体" w:eastAsia="宋体"/>
                      <w:color w:val="000000"/>
                      <w:sz w:val="20"/>
                    </w:rPr>
                    <w:t>、钢丝绳滑动自检功能</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30</w:t>
                  </w:r>
                  <w:r>
                    <w:rPr>
                      <w:rFonts w:ascii="宋体" w:hAnsi="宋体" w:cs="宋体" w:eastAsia="宋体"/>
                      <w:color w:val="000000"/>
                      <w:sz w:val="20"/>
                    </w:rPr>
                    <w:t>、控制系统温度监测</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31</w:t>
                  </w:r>
                  <w:r>
                    <w:rPr>
                      <w:rFonts w:ascii="宋体" w:hAnsi="宋体" w:cs="宋体" w:eastAsia="宋体"/>
                      <w:color w:val="000000"/>
                      <w:sz w:val="20"/>
                    </w:rPr>
                    <w:t>、五方对讲</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32</w:t>
                  </w:r>
                  <w:r>
                    <w:rPr>
                      <w:rFonts w:ascii="宋体" w:hAnsi="宋体" w:cs="宋体" w:eastAsia="宋体"/>
                      <w:color w:val="000000"/>
                      <w:sz w:val="20"/>
                    </w:rPr>
                    <w:t>、轿厢警铃</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33</w:t>
                  </w:r>
                  <w:r>
                    <w:rPr>
                      <w:rFonts w:ascii="宋体" w:hAnsi="宋体" w:cs="宋体" w:eastAsia="宋体"/>
                      <w:color w:val="000000"/>
                      <w:sz w:val="20"/>
                    </w:rPr>
                    <w:t>、机房紧急电动运行</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34</w:t>
                  </w:r>
                  <w:r>
                    <w:rPr>
                      <w:rFonts w:ascii="宋体" w:hAnsi="宋体" w:cs="宋体" w:eastAsia="宋体"/>
                      <w:color w:val="000000"/>
                      <w:sz w:val="20"/>
                    </w:rPr>
                    <w:t>、轿厢内应急照明</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35</w:t>
                  </w:r>
                  <w:r>
                    <w:rPr>
                      <w:rFonts w:ascii="宋体" w:hAnsi="宋体" w:cs="宋体" w:eastAsia="宋体"/>
                      <w:color w:val="000000"/>
                      <w:sz w:val="20"/>
                    </w:rPr>
                    <w:t>、轿内照明风扇自动控制</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36</w:t>
                  </w:r>
                  <w:r>
                    <w:rPr>
                      <w:rFonts w:ascii="宋体" w:hAnsi="宋体" w:cs="宋体" w:eastAsia="宋体"/>
                      <w:color w:val="000000"/>
                      <w:sz w:val="20"/>
                    </w:rPr>
                    <w:t>、显示节能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37、轿厢到站钟</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38、厅外及轿厢方向指示</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39、轿内、厅外显示</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40、轿内消防状态提醒显示</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41、个性化楼层显示设置</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42、自动再平层</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43、防捣乱保护</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44、自动泊梯</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45、厅外呼梯切除开关</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46、静态定位功能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47、轿顶检修</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48、静音模式</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49、语音安抚</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50、就近平层功能</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51、斜线撤电流</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52、检修零速停车</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53、免调试功能</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54、层站召唤智能登记</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rFonts w:ascii="宋体" w:hAnsi="宋体" w:cs="宋体" w:eastAsia="宋体"/>
                      <w:color w:val="000000"/>
                      <w:sz w:val="20"/>
                    </w:rPr>
                    <w:t>55、开门保持时间智能调节</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56、智能舒适运行</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57、按钮粘连自动识别</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58、电梯专用空调</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59、双重杀菌新风风机（紫外线杀菌+臭氧杀菌）</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60、轿厢三面扶手（无障碍电梯配置）</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rFonts w:ascii="宋体" w:hAnsi="宋体" w:cs="宋体" w:eastAsia="宋体"/>
                      <w:color w:val="000000"/>
                      <w:sz w:val="20"/>
                    </w:rPr>
                    <w:t>61、语音报站（无障碍电梯配置）</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left"/>
            </w:pPr>
            <w:r>
              <w:rPr>
                <w:rFonts w:ascii="宋体" w:hAnsi="宋体" w:cs="宋体" w:eastAsia="宋体"/>
                <w:sz w:val="24"/>
              </w:rPr>
              <w:t>注：</w:t>
            </w:r>
            <w:r>
              <w:rPr>
                <w:rFonts w:ascii="宋体" w:hAnsi="宋体" w:cs="宋体" w:eastAsia="宋体"/>
                <w:sz w:val="24"/>
              </w:rPr>
              <w:t>以上规格、参数、数据非特指仅为最基本要求，当参考数据、规格等与施工现场不相符时，则以施工现场具体参数为准。不统一组织现场勘探请各投标人自行勘探，在勘探过程中的一切财产损失及人身意外，均由供应商自行承担。核心产品：电梯</w:t>
            </w:r>
            <w:r>
              <w:rPr>
                <w:rFonts w:ascii="宋体" w:hAnsi="宋体" w:cs="宋体" w:eastAsia="宋体"/>
                <w:color w:val="000000"/>
                <w:sz w:val="24"/>
                <w:shd w:fill="FFFFFF" w:val="clear"/>
              </w:rPr>
              <w:t>DT1</w:t>
            </w:r>
            <w:r>
              <w:rPr>
                <w:rFonts w:ascii="宋体" w:hAnsi="宋体" w:cs="宋体" w:eastAsia="宋体"/>
                <w:sz w:val="24"/>
              </w:rPr>
              <w:t>、电梯</w:t>
            </w:r>
            <w:r>
              <w:rPr>
                <w:rFonts w:ascii="宋体" w:hAnsi="宋体" w:cs="宋体" w:eastAsia="宋体"/>
                <w:color w:val="000000"/>
                <w:sz w:val="24"/>
                <w:shd w:fill="FFFFFF" w:val="clear"/>
              </w:rPr>
              <w:t>DT</w:t>
            </w:r>
            <w:r>
              <w:rPr>
                <w:rFonts w:ascii="宋体" w:hAnsi="宋体" w:cs="宋体" w:eastAsia="宋体"/>
                <w:sz w:val="24"/>
              </w:rPr>
              <w:t>2、电梯</w:t>
            </w:r>
            <w:r>
              <w:rPr>
                <w:rFonts w:ascii="宋体" w:hAnsi="宋体" w:cs="宋体" w:eastAsia="宋体"/>
                <w:color w:val="000000"/>
                <w:sz w:val="24"/>
                <w:shd w:fill="FFFFFF" w:val="clear"/>
              </w:rPr>
              <w:t>DT</w:t>
            </w:r>
            <w:r>
              <w:rPr>
                <w:rFonts w:ascii="宋体" w:hAnsi="宋体" w:cs="宋体" w:eastAsia="宋体"/>
                <w:sz w:val="24"/>
              </w:rPr>
              <w:t>3、电梯</w:t>
            </w:r>
            <w:r>
              <w:rPr>
                <w:rFonts w:ascii="宋体" w:hAnsi="宋体" w:cs="宋体" w:eastAsia="宋体"/>
                <w:color w:val="000000"/>
                <w:sz w:val="24"/>
                <w:shd w:fill="FFFFFF" w:val="clear"/>
              </w:rPr>
              <w:t>DT</w:t>
            </w:r>
            <w:r>
              <w:rPr>
                <w:rFonts w:ascii="宋体" w:hAnsi="宋体" w:cs="宋体" w:eastAsia="宋体"/>
                <w:sz w:val="24"/>
              </w:rPr>
              <w:t>4。</w:t>
            </w:r>
          </w:p>
          <w:p>
            <w:pPr>
              <w:pStyle w:val="null3"/>
              <w:ind w:firstLine="480"/>
              <w:jc w:val="left"/>
            </w:pPr>
            <w:r>
              <w:rPr/>
              <w:t>3、</w:t>
            </w:r>
            <w:r>
              <w:rPr>
                <w:rFonts w:ascii="calibri" w:hAnsi="calibri" w:cs="calibri" w:eastAsia="calibri"/>
                <w:sz w:val="21"/>
              </w:rPr>
              <w:t>本项目电梯应符合的主要标准</w:t>
            </w:r>
          </w:p>
          <w:p>
            <w:pPr>
              <w:pStyle w:val="null3"/>
              <w:ind w:firstLine="480"/>
              <w:jc w:val="both"/>
            </w:pPr>
          </w:p>
          <w:p>
            <w:pPr>
              <w:pStyle w:val="null3"/>
              <w:ind w:firstLine="480"/>
              <w:jc w:val="both"/>
            </w:pPr>
            <w:r>
              <w:rPr>
                <w:rFonts w:ascii="宋体" w:hAnsi="宋体" w:cs="宋体" w:eastAsia="宋体"/>
                <w:sz w:val="24"/>
              </w:rPr>
              <w:t>TSGT7007-2016《电梯型式试验规则》</w:t>
            </w:r>
          </w:p>
          <w:p>
            <w:pPr>
              <w:pStyle w:val="null3"/>
              <w:ind w:firstLine="480"/>
              <w:jc w:val="both"/>
            </w:pPr>
            <w:r>
              <w:rPr>
                <w:rFonts w:ascii="宋体" w:hAnsi="宋体" w:cs="宋体" w:eastAsia="宋体"/>
                <w:sz w:val="24"/>
              </w:rPr>
              <w:t>GB/50310《电梯工程施工质量验收规范》</w:t>
            </w:r>
          </w:p>
          <w:p>
            <w:pPr>
              <w:pStyle w:val="null3"/>
              <w:ind w:firstLine="480"/>
              <w:jc w:val="both"/>
            </w:pPr>
            <w:r>
              <w:rPr>
                <w:rFonts w:ascii="宋体" w:hAnsi="宋体" w:cs="宋体" w:eastAsia="宋体"/>
                <w:sz w:val="24"/>
              </w:rPr>
              <w:t>GB/8903《电梯用钢丝绳》</w:t>
            </w:r>
          </w:p>
          <w:p>
            <w:pPr>
              <w:pStyle w:val="null3"/>
              <w:ind w:firstLine="480"/>
              <w:jc w:val="both"/>
            </w:pPr>
            <w:r>
              <w:rPr>
                <w:rFonts w:ascii="宋体" w:hAnsi="宋体" w:cs="宋体" w:eastAsia="宋体"/>
                <w:sz w:val="24"/>
              </w:rPr>
              <w:t>GB/T10059-2009《电梯试验方法》</w:t>
            </w:r>
          </w:p>
          <w:p>
            <w:pPr>
              <w:pStyle w:val="null3"/>
              <w:ind w:firstLine="480"/>
              <w:jc w:val="both"/>
            </w:pPr>
            <w:r>
              <w:rPr>
                <w:rFonts w:ascii="宋体" w:hAnsi="宋体" w:cs="宋体" w:eastAsia="宋体"/>
                <w:sz w:val="24"/>
              </w:rPr>
              <w:t>GB/T10058-2009《电梯技术条件》</w:t>
            </w:r>
          </w:p>
          <w:p>
            <w:pPr>
              <w:pStyle w:val="null3"/>
              <w:ind w:firstLine="480"/>
              <w:jc w:val="both"/>
            </w:pPr>
            <w:r>
              <w:rPr>
                <w:rFonts w:ascii="宋体" w:hAnsi="宋体" w:cs="宋体" w:eastAsia="宋体"/>
                <w:sz w:val="24"/>
              </w:rPr>
              <w:t>GB70225-1997《电梯主要参数与轿厢、井道、机房的形式与尺寸》</w:t>
            </w:r>
          </w:p>
          <w:p>
            <w:pPr>
              <w:pStyle w:val="null3"/>
              <w:ind w:firstLine="480"/>
              <w:jc w:val="both"/>
            </w:pPr>
            <w:r>
              <w:rPr>
                <w:rFonts w:ascii="宋体" w:hAnsi="宋体" w:cs="宋体" w:eastAsia="宋体"/>
                <w:sz w:val="24"/>
              </w:rPr>
              <w:t xml:space="preserve">GB/T7024《电梯、自动扶梯、自动人行道术语》     </w:t>
            </w:r>
          </w:p>
          <w:p>
            <w:pPr>
              <w:pStyle w:val="null3"/>
              <w:ind w:firstLine="480"/>
              <w:jc w:val="both"/>
            </w:pPr>
            <w:r>
              <w:rPr>
                <w:rFonts w:ascii="宋体" w:hAnsi="宋体" w:cs="宋体" w:eastAsia="宋体"/>
                <w:sz w:val="24"/>
              </w:rPr>
              <w:t xml:space="preserve">GB/T7025《电梯主要参数及轿厢、井道、机房的型式与尺寸》   </w:t>
            </w:r>
          </w:p>
          <w:p>
            <w:pPr>
              <w:pStyle w:val="null3"/>
              <w:ind w:firstLine="480"/>
              <w:jc w:val="both"/>
            </w:pPr>
            <w:r>
              <w:rPr>
                <w:rFonts w:ascii="宋体" w:hAnsi="宋体" w:cs="宋体" w:eastAsia="宋体"/>
                <w:sz w:val="24"/>
              </w:rPr>
              <w:t>GB/T7251《低压成套开关设备和控制设备》</w:t>
            </w:r>
          </w:p>
          <w:p>
            <w:pPr>
              <w:pStyle w:val="null3"/>
              <w:ind w:firstLine="480"/>
              <w:jc w:val="both"/>
            </w:pPr>
            <w:r>
              <w:rPr>
                <w:rFonts w:ascii="宋体" w:hAnsi="宋体" w:cs="宋体" w:eastAsia="宋体"/>
                <w:sz w:val="24"/>
              </w:rPr>
              <w:t>GB7588《电梯制造与安装安全规范》</w:t>
            </w:r>
          </w:p>
          <w:p>
            <w:pPr>
              <w:pStyle w:val="null3"/>
              <w:ind w:firstLine="480"/>
              <w:jc w:val="both"/>
            </w:pPr>
            <w:r>
              <w:rPr>
                <w:rFonts w:ascii="宋体" w:hAnsi="宋体" w:cs="宋体" w:eastAsia="宋体"/>
                <w:sz w:val="24"/>
              </w:rPr>
              <w:t>GB10060-2011《电梯安装验收规范》</w:t>
            </w:r>
          </w:p>
          <w:p>
            <w:pPr>
              <w:pStyle w:val="null3"/>
              <w:ind w:firstLine="480"/>
              <w:jc w:val="both"/>
            </w:pPr>
            <w:r>
              <w:rPr>
                <w:rFonts w:ascii="宋体" w:hAnsi="宋体" w:cs="宋体" w:eastAsia="宋体"/>
                <w:sz w:val="24"/>
              </w:rPr>
              <w:t>GB/T10058《电梯技术条件》</w:t>
            </w:r>
          </w:p>
          <w:p>
            <w:pPr>
              <w:pStyle w:val="null3"/>
              <w:ind w:firstLine="480"/>
              <w:jc w:val="both"/>
            </w:pPr>
            <w:r>
              <w:rPr>
                <w:rFonts w:ascii="宋体" w:hAnsi="宋体" w:cs="宋体" w:eastAsia="宋体"/>
                <w:sz w:val="24"/>
              </w:rPr>
              <w:t>GB/T10059-2009《电梯试验方法》</w:t>
            </w:r>
          </w:p>
          <w:p>
            <w:pPr>
              <w:pStyle w:val="null3"/>
              <w:ind w:firstLine="480"/>
              <w:jc w:val="both"/>
            </w:pPr>
            <w:r>
              <w:rPr>
                <w:rFonts w:ascii="宋体" w:hAnsi="宋体" w:cs="宋体" w:eastAsia="宋体"/>
                <w:sz w:val="24"/>
              </w:rPr>
              <w:t>GB/T14821.1《建筑物的电气装置电击防护》</w:t>
            </w:r>
          </w:p>
          <w:p>
            <w:pPr>
              <w:pStyle w:val="null3"/>
              <w:ind w:firstLine="480"/>
              <w:jc w:val="both"/>
            </w:pPr>
            <w:r>
              <w:rPr>
                <w:rFonts w:ascii="宋体" w:hAnsi="宋体" w:cs="宋体" w:eastAsia="宋体"/>
                <w:sz w:val="24"/>
              </w:rPr>
              <w:t>GB50182《电气装置安装工程电梯电气装置施工及验收规范》</w:t>
            </w:r>
          </w:p>
          <w:p>
            <w:pPr>
              <w:pStyle w:val="null3"/>
              <w:ind w:firstLine="480"/>
              <w:jc w:val="both"/>
            </w:pPr>
            <w:r>
              <w:rPr>
                <w:rFonts w:ascii="宋体" w:hAnsi="宋体" w:cs="宋体" w:eastAsia="宋体"/>
                <w:sz w:val="24"/>
              </w:rPr>
              <w:t>GB50310 《电梯工程施工质量验收规范》</w:t>
            </w:r>
          </w:p>
          <w:p>
            <w:pPr>
              <w:pStyle w:val="null3"/>
              <w:ind w:firstLine="480"/>
              <w:jc w:val="both"/>
            </w:pPr>
            <w:r>
              <w:rPr>
                <w:rFonts w:ascii="宋体" w:hAnsi="宋体" w:cs="宋体" w:eastAsia="宋体"/>
                <w:sz w:val="24"/>
              </w:rPr>
              <w:t>Q/XO 10201.1 《乘客电梯》</w:t>
            </w:r>
          </w:p>
          <w:p>
            <w:pPr>
              <w:pStyle w:val="null3"/>
              <w:ind w:firstLine="480"/>
              <w:jc w:val="both"/>
            </w:pPr>
            <w:r>
              <w:rPr>
                <w:rFonts w:ascii="宋体" w:hAnsi="宋体" w:cs="宋体" w:eastAsia="宋体"/>
                <w:sz w:val="24"/>
              </w:rPr>
              <w:t>Q/XO 10902.1 《电梯产品出厂包装技术条件》</w:t>
            </w:r>
          </w:p>
          <w:p>
            <w:pPr>
              <w:pStyle w:val="null3"/>
              <w:ind w:firstLine="480"/>
              <w:jc w:val="both"/>
            </w:pPr>
            <w:r>
              <w:rPr>
                <w:rFonts w:ascii="宋体" w:hAnsi="宋体" w:cs="宋体" w:eastAsia="宋体"/>
                <w:sz w:val="24"/>
              </w:rPr>
              <w:t>WWJSSS 《电梯、液压、电梯产品型号编制方法》</w:t>
            </w:r>
          </w:p>
          <w:p>
            <w:pPr>
              <w:pStyle w:val="null3"/>
              <w:ind w:firstLine="480"/>
              <w:jc w:val="both"/>
            </w:pPr>
            <w:r>
              <w:rPr>
                <w:rFonts w:ascii="宋体" w:hAnsi="宋体" w:cs="宋体" w:eastAsia="宋体"/>
                <w:sz w:val="24"/>
              </w:rPr>
              <w:t>JG/T5072.1-1996 《电梯T型导轨》</w:t>
            </w:r>
          </w:p>
          <w:p>
            <w:pPr>
              <w:pStyle w:val="null3"/>
              <w:ind w:firstLine="480"/>
              <w:jc w:val="both"/>
            </w:pPr>
            <w:r>
              <w:rPr>
                <w:rFonts w:ascii="宋体" w:hAnsi="宋体" w:cs="宋体" w:eastAsia="宋体"/>
                <w:sz w:val="24"/>
              </w:rPr>
              <w:t>JG/T5072.1-1996 《电梯T型导轨检查规则》</w:t>
            </w:r>
          </w:p>
          <w:p>
            <w:pPr>
              <w:pStyle w:val="null3"/>
              <w:ind w:firstLine="480"/>
              <w:jc w:val="both"/>
            </w:pPr>
            <w:r>
              <w:rPr>
                <w:rFonts w:ascii="宋体" w:hAnsi="宋体" w:cs="宋体" w:eastAsia="宋体"/>
                <w:sz w:val="24"/>
              </w:rPr>
              <w:t>JG/T5072.1-1996 《电梯对重用空心导轨》</w:t>
            </w:r>
          </w:p>
          <w:p>
            <w:pPr>
              <w:pStyle w:val="null3"/>
              <w:ind w:firstLine="480"/>
              <w:jc w:val="both"/>
            </w:pPr>
            <w:r>
              <w:rPr>
                <w:rFonts w:ascii="宋体" w:hAnsi="宋体" w:cs="宋体" w:eastAsia="宋体"/>
                <w:sz w:val="24"/>
              </w:rPr>
              <w:t>GB8903-2005 《电梯用钢丝绳》</w:t>
            </w:r>
          </w:p>
          <w:p>
            <w:pPr>
              <w:pStyle w:val="null3"/>
              <w:ind w:firstLine="480"/>
              <w:jc w:val="both"/>
            </w:pPr>
            <w:r>
              <w:rPr>
                <w:rFonts w:ascii="宋体" w:hAnsi="宋体" w:cs="宋体" w:eastAsia="宋体"/>
                <w:sz w:val="24"/>
              </w:rPr>
              <w:t xml:space="preserve">JG5009-92 《电梯操作装置、信号及附件》   </w:t>
            </w:r>
          </w:p>
          <w:p>
            <w:pPr>
              <w:pStyle w:val="null3"/>
              <w:ind w:firstLine="480"/>
              <w:jc w:val="both"/>
            </w:pPr>
            <w:r>
              <w:rPr>
                <w:rFonts w:ascii="宋体" w:hAnsi="宋体" w:cs="宋体" w:eastAsia="宋体"/>
                <w:sz w:val="24"/>
              </w:rPr>
              <w:t>GB50303-2011 《建筑电气工程施工质量验收规范》</w:t>
            </w:r>
          </w:p>
          <w:p>
            <w:pPr>
              <w:pStyle w:val="null3"/>
              <w:ind w:firstLine="480"/>
              <w:jc w:val="both"/>
            </w:pPr>
            <w:r>
              <w:rPr>
                <w:rFonts w:ascii="宋体" w:hAnsi="宋体" w:cs="宋体" w:eastAsia="宋体"/>
                <w:sz w:val="24"/>
              </w:rPr>
              <w:t>GB/T 30560-2014 《电梯操作装置、信号及附件》</w:t>
            </w:r>
          </w:p>
          <w:p>
            <w:pPr>
              <w:pStyle w:val="null3"/>
              <w:ind w:firstLine="480"/>
              <w:jc w:val="both"/>
            </w:pPr>
            <w:r>
              <w:rPr>
                <w:rFonts w:ascii="宋体" w:hAnsi="宋体" w:cs="宋体" w:eastAsia="宋体"/>
                <w:sz w:val="24"/>
              </w:rPr>
              <w:t>GB/T 18775-2002 《电梯维修规范》</w:t>
            </w:r>
          </w:p>
          <w:p>
            <w:pPr>
              <w:pStyle w:val="null3"/>
              <w:ind w:firstLine="480"/>
              <w:jc w:val="both"/>
            </w:pPr>
            <w:r>
              <w:rPr>
                <w:rFonts w:ascii="宋体" w:hAnsi="宋体" w:cs="宋体" w:eastAsia="宋体"/>
                <w:sz w:val="24"/>
              </w:rPr>
              <w:t>TSG07-2019《特种设备生产和充装单位许可证》</w:t>
            </w:r>
          </w:p>
          <w:p>
            <w:pPr>
              <w:pStyle w:val="null3"/>
              <w:ind w:firstLine="480"/>
              <w:jc w:val="both"/>
            </w:pPr>
          </w:p>
          <w:p>
            <w:pPr>
              <w:pStyle w:val="null3"/>
              <w:ind w:firstLine="480"/>
              <w:jc w:val="both"/>
            </w:pPr>
            <w:r>
              <w:rPr>
                <w:rFonts w:ascii="宋体" w:hAnsi="宋体" w:cs="宋体" w:eastAsia="宋体"/>
                <w:b/>
                <w:sz w:val="24"/>
              </w:rPr>
              <w:t xml:space="preserve">  </w:t>
            </w:r>
            <w:r>
              <w:rPr>
                <w:rFonts w:ascii="宋体" w:hAnsi="宋体" w:cs="宋体" w:eastAsia="宋体"/>
                <w:b/>
                <w:sz w:val="24"/>
              </w:rPr>
              <w:t>注：如政策、技术标准有更新，按照新政策、技术标准执行。</w:t>
            </w:r>
          </w:p>
          <w:p>
            <w:pPr>
              <w:pStyle w:val="null3"/>
              <w:ind w:firstLine="480"/>
              <w:jc w:val="both"/>
            </w:pPr>
          </w:p>
        </w:tc>
      </w:tr>
    </w:tbl>
    <w:p>
      <w:pPr>
        <w:pStyle w:val="null3"/>
        <w:ind w:firstLine="480"/>
        <w:outlineLvl w:val="2"/>
      </w:pPr>
      <w:r>
        <w:rPr>
          <w:b/>
          <w:sz w:val="28"/>
        </w:rPr>
        <w:t>3.4、商务要求</w:t>
      </w:r>
    </w:p>
    <w:p>
      <w:pPr>
        <w:pStyle w:val="null3"/>
        <w:ind w:firstLine="480"/>
        <w:outlineLvl w:val="3"/>
      </w:pPr>
      <w:r>
        <w:rPr>
          <w:b/>
          <w:sz w:val="24"/>
        </w:rPr>
        <w:t>3.4.1交货时间</w:t>
      </w:r>
    </w:p>
    <w:p>
      <w:pPr>
        <w:pStyle w:val="null3"/>
      </w:pPr>
    </w:p>
    <w:p>
      <w:pPr>
        <w:pStyle w:val="null3"/>
      </w:pPr>
    </w:p>
    <w:p>
      <w:pPr>
        <w:pStyle w:val="null3"/>
      </w:pPr>
    </w:p>
    <w:p>
      <w:pPr>
        <w:pStyle w:val="null3"/>
      </w:pPr>
      <w:r>
        <w:rPr/>
        <w:t>采购包1：</w:t>
      </w:r>
    </w:p>
    <w:p>
      <w:pPr>
        <w:pStyle w:val="null3"/>
      </w:pPr>
      <w:r>
        <w:rPr/>
        <w:t>自合同签订之日起30日</w:t>
      </w:r>
    </w:p>
    <w:p>
      <w:pPr>
        <w:pStyle w:val="null3"/>
        <w:ind w:firstLine="480"/>
        <w:outlineLvl w:val="3"/>
      </w:pPr>
      <w:r>
        <w:rPr>
          <w:b/>
          <w:sz w:val="24"/>
        </w:rPr>
        <w:t>3.4.2交货地点和方式</w:t>
      </w:r>
    </w:p>
    <w:p>
      <w:pPr>
        <w:pStyle w:val="null3"/>
      </w:pPr>
    </w:p>
    <w:p>
      <w:pPr>
        <w:pStyle w:val="null3"/>
      </w:pPr>
    </w:p>
    <w:p>
      <w:pPr>
        <w:pStyle w:val="null3"/>
      </w:pPr>
    </w:p>
    <w:p>
      <w:pPr>
        <w:pStyle w:val="null3"/>
      </w:pPr>
      <w:r>
        <w:rPr/>
        <w:t>采购包1：</w:t>
      </w:r>
    </w:p>
    <w:p>
      <w:pPr>
        <w:pStyle w:val="null3"/>
      </w:pPr>
      <w:r>
        <w:rPr/>
        <w:t>金口河区人民医院传染病区</w:t>
      </w:r>
    </w:p>
    <w:p>
      <w:pPr>
        <w:pStyle w:val="null3"/>
        <w:ind w:firstLine="480"/>
        <w:outlineLvl w:val="3"/>
      </w:pPr>
      <w:r>
        <w:rPr>
          <w:b/>
          <w:sz w:val="24"/>
        </w:rPr>
        <w:t>3.4.3支付方式</w:t>
      </w:r>
    </w:p>
    <w:p>
      <w:pPr>
        <w:pStyle w:val="null3"/>
      </w:pPr>
    </w:p>
    <w:p>
      <w:pPr>
        <w:pStyle w:val="null3"/>
      </w:pPr>
    </w:p>
    <w:p>
      <w:pPr>
        <w:pStyle w:val="null3"/>
      </w:pPr>
    </w:p>
    <w:p>
      <w:pPr>
        <w:pStyle w:val="null3"/>
      </w:pPr>
      <w:r>
        <w:rPr/>
        <w:t>采购包1：</w:t>
      </w:r>
    </w:p>
    <w:p>
      <w:pPr>
        <w:pStyle w:val="null3"/>
      </w:pPr>
      <w:r>
        <w:rPr/>
        <w:t>分期付款</w:t>
      </w:r>
    </w:p>
    <w:p>
      <w:pPr>
        <w:pStyle w:val="null3"/>
        <w:ind w:firstLine="480"/>
        <w:outlineLvl w:val="3"/>
      </w:pPr>
      <w:r>
        <w:rPr>
          <w:b/>
          <w:sz w:val="24"/>
        </w:rPr>
        <w:t>3.4.4支付约定</w:t>
      </w:r>
    </w:p>
    <w:p>
      <w:pPr>
        <w:pStyle w:val="null3"/>
      </w:pPr>
    </w:p>
    <w:p>
      <w:pPr>
        <w:pStyle w:val="null3"/>
      </w:pPr>
    </w:p>
    <w:p>
      <w:pPr>
        <w:pStyle w:val="null3"/>
      </w:pPr>
    </w:p>
    <w:p>
      <w:pPr>
        <w:pStyle w:val="null3"/>
      </w:pPr>
      <w:r>
        <w:rPr/>
        <w:t>采购包1：</w:t>
      </w:r>
      <w:r>
        <w:rPr/>
        <w:t>付款条件说明：</w:t>
      </w:r>
      <w:r>
        <w:rPr/>
        <w:t>按照合同约定条款，乙方向甲方提供有效全额完税发票，合同签订生效后</w:t>
      </w:r>
      <w:r>
        <w:rPr/>
        <w:t>，达到付款条件起</w:t>
      </w:r>
      <w:r>
        <w:rPr/>
        <w:t>7</w:t>
      </w:r>
      <w:r>
        <w:rPr/>
        <w:t>日，支付合同总金额的</w:t>
      </w:r>
      <w:r>
        <w:rPr/>
        <w:t>30.00</w:t>
      </w:r>
      <w:r>
        <w:rPr/>
        <w:t>%。</w:t>
      </w:r>
    </w:p>
    <w:p>
      <w:pPr>
        <w:pStyle w:val="null3"/>
      </w:pPr>
      <w:r>
        <w:rPr/>
        <w:t>采购包1：</w:t>
      </w:r>
      <w:r>
        <w:rPr/>
        <w:t>付款条件说明：</w:t>
      </w:r>
      <w:r>
        <w:rPr/>
        <w:t>乙方将本合同产品按装完成，验收合格并取得检验合格报告投入正常使用后</w:t>
      </w:r>
      <w:r>
        <w:rPr/>
        <w:t>，达到付款条件起</w:t>
      </w:r>
      <w:r>
        <w:rPr/>
        <w:t>7</w:t>
      </w:r>
      <w:r>
        <w:rPr/>
        <w:t>日，支付合同总金额的</w:t>
      </w:r>
      <w:r>
        <w:rPr/>
        <w:t>67.00</w:t>
      </w:r>
      <w:r>
        <w:rPr/>
        <w:t>%。</w:t>
      </w:r>
    </w:p>
    <w:p>
      <w:pPr>
        <w:pStyle w:val="null3"/>
      </w:pPr>
      <w:r>
        <w:rPr/>
        <w:t>采购包1：</w:t>
      </w:r>
      <w:r>
        <w:rPr/>
        <w:t>付款条件说明：</w:t>
      </w:r>
      <w:r>
        <w:rPr/>
        <w:t>整体质保二年期满后，双方按规定进行检查认定，质量满足标准，确定无任何问题后</w:t>
      </w:r>
      <w:r>
        <w:rPr/>
        <w:t>，达到付款条件起</w:t>
      </w:r>
      <w:r>
        <w:rPr/>
        <w:t>7</w:t>
      </w:r>
      <w:r>
        <w:rPr/>
        <w:t>日，支付合同总金额的</w:t>
      </w:r>
      <w:r>
        <w:rPr/>
        <w:t>3.00</w:t>
      </w:r>
      <w:r>
        <w:rPr/>
        <w:t>%。</w:t>
      </w:r>
    </w:p>
    <w:p>
      <w:pPr>
        <w:pStyle w:val="null3"/>
        <w:ind w:firstLine="480"/>
        <w:outlineLvl w:val="3"/>
      </w:pPr>
      <w:r>
        <w:rPr>
          <w:b/>
          <w:sz w:val="24"/>
        </w:rPr>
        <w:t>3.4.5验收标准和方法</w:t>
      </w:r>
    </w:p>
    <w:p>
      <w:pPr>
        <w:pStyle w:val="null3"/>
      </w:pPr>
    </w:p>
    <w:p>
      <w:pPr>
        <w:pStyle w:val="null3"/>
      </w:pPr>
    </w:p>
    <w:p>
      <w:pPr>
        <w:pStyle w:val="null3"/>
      </w:pPr>
    </w:p>
    <w:p>
      <w:pPr>
        <w:pStyle w:val="null3"/>
      </w:pPr>
      <w:r>
        <w:rPr/>
        <w:t>采购包1：</w:t>
      </w:r>
    </w:p>
    <w:p>
      <w:pPr>
        <w:pStyle w:val="null3"/>
      </w:pPr>
      <w:r>
        <w:rPr/>
        <w:t>1、成交人应按照国家有关标准和招标文件要求对其在本采购项目范围内各设备或系统进行现场测试和试运行。确保各设备或系统完整地通过验收，并负责向业主提交各设备或系统完整的通过验收的证明文件。 2、本项目验收由采购人组织有关专业人员按国家相关标准、厂家质量标准和招标文件所列的各项要求进行验收。验收合格所有设备安装调试完毕后，采购单位按程序完成结算手续。验收结果不合格的，不予支付采购资金，还可能会报告本项目同级财政部门按照政府采购法律法规及《四川省公共资源交易领域严重失信联合惩戒实施办法》（川发改经信用规〔2019〕405号），《关于对政府采购领域严重失信主体开展联合惩戒的合作备忘录》（发改财经〔2018〕1614号）等有关规定给予行政处罚或者以失信行为记入诚信档案。</w:t>
      </w:r>
    </w:p>
    <w:p>
      <w:pPr>
        <w:pStyle w:val="null3"/>
        <w:ind w:firstLine="480"/>
        <w:outlineLvl w:val="3"/>
      </w:pPr>
      <w:r>
        <w:rPr>
          <w:b/>
          <w:sz w:val="24"/>
        </w:rPr>
        <w:t>3.4.6包装方式及运输</w:t>
      </w:r>
    </w:p>
    <w:p>
      <w:pPr>
        <w:pStyle w:val="null3"/>
      </w:pP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outlineLvl w:val="3"/>
      </w:pPr>
      <w:r>
        <w:rPr>
          <w:b/>
          <w:sz w:val="24"/>
        </w:rPr>
        <w:t>3.4.7质量保修范围和保修期</w:t>
      </w:r>
    </w:p>
    <w:p>
      <w:pPr>
        <w:pStyle w:val="null3"/>
      </w:pPr>
    </w:p>
    <w:p>
      <w:pPr>
        <w:pStyle w:val="null3"/>
      </w:pPr>
    </w:p>
    <w:p>
      <w:pPr>
        <w:pStyle w:val="null3"/>
      </w:pPr>
    </w:p>
    <w:p>
      <w:pPr>
        <w:pStyle w:val="null3"/>
      </w:pPr>
      <w:r>
        <w:rPr/>
        <w:t>采购包1：</w:t>
      </w:r>
    </w:p>
    <w:p>
      <w:pPr>
        <w:pStyle w:val="null3"/>
      </w:pPr>
      <w:r>
        <w:rPr/>
        <w:t>1、质量保证期：项目验收合格并正常使用和运行 24 小时后进入质保期，整体质保 2年，按照相关规定进行维保。 2、成交供应商的服务承诺应按不低于招标文件中提出的所有服务要求的标准做出响应。 其基本服务要求如下： ①、电梯质保期限按国家规定执行，并在乐山市设立服务网点，质保期内免费上门服务。在质保期内，同一设备、同一质量问题连续两次维修仍无法正常使用的，须更换同品牌、同型号新器件，并对产品质量实行“三包”服务。 ②、供应商应具有可靠的供货实力，并具有高素质的专业维修队伍。在接到用户维修请求后，提供快捷、周到、规范的服务。（提供供应商售后服务人员名单、联系电话、特种设备作业人员证复印件加盖供应商鲜章） ③、明确售后服务能力（包括售后服务、维护响应时间至小提供2小时内响应，4小时内到场维修，故障修复时间不超过24小时）。 ④、严格遵守厂方和商家的售后服务承诺。 3、其他服务要求： 货物在运输、安装等整个施工活动期间,在项目实施地点范围内,所有安全均由乙方负责，甲方不承担任何安全责任， 也不承担如发生安全事故产生的任何责任。在质保期内，因货物安装不合格或质量问题造成的安全事故均由乙方负责。施工方负责现场组织免费安装、直至能正常使用，安装所需的一切材料、备件、专业工具均由乙方自行负责。货物到现场但未交付验收合格前造成的遗失、损坏等问题，由乙方自行承担。</w:t>
      </w:r>
    </w:p>
    <w:p>
      <w:pPr>
        <w:pStyle w:val="null3"/>
        <w:ind w:firstLine="480"/>
        <w:outlineLvl w:val="3"/>
      </w:pPr>
      <w:r>
        <w:rPr>
          <w:b/>
          <w:sz w:val="24"/>
        </w:rPr>
        <w:t>3.4.8违约责任及解决争议的方法</w:t>
      </w:r>
    </w:p>
    <w:p>
      <w:pPr>
        <w:pStyle w:val="null3"/>
      </w:pPr>
    </w:p>
    <w:p>
      <w:pPr>
        <w:pStyle w:val="null3"/>
      </w:pPr>
    </w:p>
    <w:p>
      <w:pPr>
        <w:pStyle w:val="null3"/>
      </w:pPr>
    </w:p>
    <w:p>
      <w:pPr>
        <w:pStyle w:val="null3"/>
      </w:pPr>
      <w:r>
        <w:rPr/>
        <w:t>采购包1：</w:t>
      </w:r>
    </w:p>
    <w:p>
      <w:pPr>
        <w:pStyle w:val="null3"/>
      </w:pPr>
      <w:r>
        <w:rPr/>
        <w:t>合同履行期间,若双方发生争议，可协商或由有关部门调解解决，协商或调解不成的，双方均可向甲方所在地人民法院提起诉讼解决。</w:t>
      </w:r>
    </w:p>
    <w:p>
      <w:pPr>
        <w:pStyle w:val="null3"/>
        <w:ind w:firstLine="480"/>
        <w:jc w:val="left"/>
        <w:outlineLvl w:val="3"/>
      </w:pPr>
      <w:r>
        <w:rPr>
          <w:b/>
          <w:sz w:val="24"/>
        </w:rPr>
        <w:t>3.5其他要求</w:t>
      </w:r>
    </w:p>
    <w:p>
      <w:pPr>
        <w:pStyle w:val="null3"/>
      </w:pPr>
    </w:p>
    <w:p>
      <w:pPr>
        <w:pStyle w:val="null3"/>
      </w:pPr>
    </w:p>
    <w:p>
      <w:pPr>
        <w:pStyle w:val="null3"/>
      </w:pPr>
    </w:p>
    <w:p>
      <w:pPr>
        <w:pStyle w:val="null3"/>
      </w:pPr>
      <w:r>
        <w:rPr/>
        <w:t>采购包1：</w:t>
      </w:r>
    </w:p>
    <w:p>
      <w:pPr>
        <w:pStyle w:val="null3"/>
      </w:pPr>
      <w:r>
        <w:rPr/>
        <w:t>无</w:t>
      </w:r>
    </w:p>
    <w:p>
      <w:pPr>
        <w:pStyle w:val="null3"/>
      </w:pPr>
    </w:p>
    <w:p>
      <w:pPr>
        <w:pStyle w:val="null3"/>
        <w:ind w:firstLine="480"/>
      </w:pPr>
      <w:r>
        <w:rPr/>
        <w:t xml:space="preserve"> </w:t>
      </w:r>
    </w:p>
    <w:p>
      <w:pPr>
        <w:pStyle w:val="null3"/>
        <w:ind w:firstLine="480"/>
        <w:jc w:val="center"/>
        <w:outlineLvl w:val="1"/>
      </w:pPr>
      <w:r>
        <w:rPr>
          <w:b/>
          <w:sz w:val="36"/>
        </w:rPr>
        <w:t>第四章 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pPr>
    </w:p>
    <w:p>
      <w:pPr>
        <w:pStyle w:val="null3"/>
        <w:ind w:firstLine="480"/>
      </w:pPr>
      <w:r>
        <w:rPr/>
        <w:t xml:space="preserve"> </w:t>
      </w:r>
    </w:p>
    <w:p>
      <w:pPr>
        <w:pStyle w:val="null3"/>
        <w:ind w:firstLine="480"/>
        <w:jc w:val="center"/>
        <w:outlineLvl w:val="1"/>
      </w:pPr>
      <w:r>
        <w:rPr>
          <w:b/>
          <w:sz w:val="36"/>
        </w:rPr>
        <w:t>第五章 谈判办法</w:t>
      </w:r>
    </w:p>
    <w:p>
      <w:pPr>
        <w:pStyle w:val="null3"/>
        <w:ind w:firstLine="480"/>
        <w:outlineLvl w:val="2"/>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ind w:firstLine="480"/>
        <w:outlineLvl w:val="2"/>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ind w:firstLine="480"/>
        <w:outlineLvl w:val="2"/>
      </w:pPr>
      <w:r>
        <w:rPr>
          <w:b/>
          <w:sz w:val="28"/>
        </w:rPr>
        <w:t>5.3评审程序</w:t>
      </w:r>
    </w:p>
    <w:p>
      <w:pPr>
        <w:pStyle w:val="null3"/>
        <w:ind w:firstLine="480"/>
        <w:outlineLvl w:va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的，可以书面报告采购项目同级财政部门依法处理，并提供相关证明材料。</w:t>
      </w:r>
    </w:p>
    <w:p>
      <w:pPr>
        <w:pStyle w:val="null3"/>
        <w:ind w:firstLine="480"/>
        <w:outlineLvl w:val="3"/>
      </w:pPr>
      <w:r>
        <w:rPr>
          <w:b/>
          <w:sz w:val="24"/>
        </w:rPr>
        <w:t>5.3.2资格审查</w:t>
      </w:r>
    </w:p>
    <w:p>
      <w:pPr>
        <w:pStyle w:val="null3"/>
      </w:pPr>
    </w:p>
    <w:p>
      <w:pPr>
        <w:pStyle w:val="null3"/>
      </w:pPr>
    </w:p>
    <w:p>
      <w:pPr>
        <w:pStyle w:val="null3"/>
        <w:ind w:firstLine="480"/>
      </w:pPr>
      <w:r>
        <w:rPr/>
        <w:t>响应文件解密完成后，由谈判小组对提交响应文件的供应商进行资格审查。谈判小组在资格审查过程中，谈判小组成员对供应商资格是否符合规定存在争议的，应当以少数服从多数的原则处理，但不得违反政府采购法和竞争性谈判文件规定。</w:t>
      </w:r>
    </w:p>
    <w:p>
      <w:pPr>
        <w:pStyle w:val="null3"/>
        <w:ind w:firstLine="480"/>
        <w:outlineLvl w:val="3"/>
      </w:pPr>
      <w:r>
        <w:rPr>
          <w:b/>
          <w:sz w:val="24"/>
        </w:rPr>
        <w:t>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ind w:firstLine="480"/>
        <w:outlineLvl w:val="3"/>
      </w:pPr>
      <w:r>
        <w:rPr>
          <w:b/>
          <w:sz w:val="24"/>
        </w:rPr>
        <w:t>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1.供应商为电梯制造商时，须具有有效的中华人民共和国特种设备(电梯)制造许可证(曳引式客梯 B 级资质及以上)、并具有中华人民共和国特种设备安装改造维修许可证(电梯B级及以上资质: 2.若制造商在2019 年5月23日后取得《中华人民共和国特种设备生产许可证》的只提供新证即可。供应商为电梯代理商时，须具有有效的中华人民共和国特种设备安装维修许可证(电梯安装维修)B级及以上资质、并提供制造商的中华人民共和国特种设备(电梯)制造许可证(引式客梯 B 级资质及以上) (若制造商在 2019 年5月23日后取得《中华人民共和国特种设备生产许可证》的只提供新证即可)。</w:t>
            </w:r>
          </w:p>
        </w:tc>
        <w:tc>
          <w:tcPr>
            <w:tcW w:type="dxa" w:w="3322"/>
          </w:tcPr>
          <w:p>
            <w:pPr>
              <w:pStyle w:val="null3"/>
            </w:pPr>
            <w:r>
              <w:rPr/>
              <w:t>供应商投标时提供有效期内的证书复印件。</w:t>
            </w:r>
          </w:p>
        </w:tc>
        <w:tc>
          <w:tcPr>
            <w:tcW w:type="dxa" w:w="1661"/>
          </w:tcPr>
          <w:p>
            <w:pPr>
              <w:pStyle w:val="null3"/>
            </w:pPr>
            <w:r>
              <w:rPr/>
              <w:t>供应商应提交的相关资格证明材料</w:t>
            </w:r>
          </w:p>
        </w:tc>
      </w:tr>
    </w:tbl>
    <w:p>
      <w:pPr>
        <w:pStyle w:val="null3"/>
        <w:ind w:firstLine="480"/>
        <w:outlineLvl w:val="3"/>
      </w:pPr>
      <w:r>
        <w:rPr>
          <w:b/>
          <w:sz w:val="24"/>
        </w:rPr>
        <w:t>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pPr>
    </w:p>
    <w:p>
      <w:pPr>
        <w:pStyle w:val="null3"/>
        <w:ind w:firstLine="480"/>
      </w:pPr>
      <w:r>
        <w:rPr/>
        <w:t xml:space="preserve"> </w:t>
      </w:r>
    </w:p>
    <w:p>
      <w:pPr>
        <w:pStyle w:val="null3"/>
        <w:ind w:firstLine="480"/>
        <w:outlineLvl w:val="3"/>
      </w:pPr>
      <w:r>
        <w:rPr>
          <w:b/>
          <w:sz w:val="24"/>
        </w:rPr>
        <w:t>5.3.3符合性审查</w:t>
      </w:r>
    </w:p>
    <w:p>
      <w:pPr>
        <w:pStyle w:val="null3"/>
        <w:ind w:firstLine="480"/>
      </w:pPr>
      <w:r>
        <w:rPr/>
        <w:t>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在符合性审查过程中，如果出现谈判小组成员意见不一致的情况，按照少数服从多数的原则确定，但不得违背政府采购基本原则和谈判文件规定。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符合审查要求概况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报价表</w:t>
            </w:r>
          </w:p>
        </w:tc>
      </w:tr>
      <w:tr>
        <w:tc>
          <w:tcPr>
            <w:tcW w:type="dxa" w:w="831"/>
          </w:tcPr>
          <w:p>
            <w:pPr>
              <w:pStyle w:val="null3"/>
            </w:pPr>
            <w:r>
              <w:rPr/>
              <w:t>2</w:t>
            </w:r>
          </w:p>
        </w:tc>
        <w:tc>
          <w:tcPr>
            <w:tcW w:type="dxa" w:w="2492"/>
          </w:tcPr>
          <w:p>
            <w:pPr>
              <w:pStyle w:val="null3"/>
            </w:pPr>
            <w:r>
              <w:rPr/>
              <w:t>技术参数响应</w:t>
            </w:r>
          </w:p>
        </w:tc>
        <w:tc>
          <w:tcPr>
            <w:tcW w:type="dxa" w:w="3322"/>
          </w:tcPr>
          <w:p>
            <w:pPr>
              <w:pStyle w:val="null3"/>
            </w:pPr>
            <w:r>
              <w:rPr/>
              <w:t>供应商须按照“第3章谈判项目技术、服务、商务及其他要求”中“3.3 技术参数及要求”逐条进行响应。不满足实质性要求的作无效处理，响应文件及相关的证明材料须加盖供应商电子印章。</w:t>
            </w:r>
          </w:p>
        </w:tc>
        <w:tc>
          <w:tcPr>
            <w:tcW w:type="dxa" w:w="1661"/>
          </w:tcPr>
          <w:p>
            <w:pPr>
              <w:pStyle w:val="null3"/>
            </w:pPr>
            <w:r>
              <w:rPr/>
              <w:t>产品技术参数响应表</w:t>
            </w:r>
          </w:p>
        </w:tc>
      </w:tr>
      <w:tr>
        <w:tc>
          <w:tcPr>
            <w:tcW w:type="dxa" w:w="831"/>
          </w:tcPr>
          <w:p>
            <w:pPr>
              <w:pStyle w:val="null3"/>
            </w:pPr>
            <w:r>
              <w:rPr/>
              <w:t>3</w:t>
            </w:r>
          </w:p>
        </w:tc>
        <w:tc>
          <w:tcPr>
            <w:tcW w:type="dxa" w:w="2492"/>
          </w:tcPr>
          <w:p>
            <w:pPr>
              <w:pStyle w:val="null3"/>
            </w:pPr>
            <w:r>
              <w:rPr/>
              <w:t>商务服务响应</w:t>
            </w:r>
          </w:p>
        </w:tc>
        <w:tc>
          <w:tcPr>
            <w:tcW w:type="dxa" w:w="3322"/>
          </w:tcPr>
          <w:p>
            <w:pPr>
              <w:pStyle w:val="null3"/>
            </w:pPr>
            <w:r>
              <w:rPr/>
              <w:t>供应商须按照“第3章谈判项目技术、服务、商务及其他要求”中“3.4 商务要求”逐条进行响应。不满足实质性要求的作无效处理，响应文件及相关的证明材料须加盖供应商电子印章。</w:t>
            </w:r>
          </w:p>
        </w:tc>
        <w:tc>
          <w:tcPr>
            <w:tcW w:type="dxa" w:w="1661"/>
          </w:tcPr>
          <w:p>
            <w:pPr>
              <w:pStyle w:val="null3"/>
            </w:pPr>
            <w:r>
              <w:rPr/>
              <w:t>商务应答表</w:t>
            </w:r>
          </w:p>
        </w:tc>
      </w:tr>
    </w:tbl>
    <w:p>
      <w:pPr>
        <w:pStyle w:val="null3"/>
        <w:ind w:firstLine="480"/>
        <w:outlineLvl w:val="3"/>
      </w:pPr>
      <w:r>
        <w:rPr>
          <w:b/>
          <w:sz w:val="24"/>
        </w:rPr>
        <w:t>5.3.4谈判</w:t>
      </w:r>
    </w:p>
    <w:p>
      <w:pPr>
        <w:pStyle w:val="null3"/>
        <w:ind w:firstLine="480"/>
      </w:pPr>
      <w:r>
        <w:rPr/>
        <w:t>一、谈判小组按照谈判文件的规定与邀请参加谈判的供应商分别进行谈判，谈判顺序由谈判小组确定。</w:t>
      </w:r>
    </w:p>
    <w:p>
      <w:pPr>
        <w:pStyle w:val="null3"/>
        <w:ind w:firstLine="480"/>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七、谈判过程中，谈判的任何一方不得透露与谈判有关的其他供应商的技术资料、价格和其他信息。</w:t>
      </w:r>
    </w:p>
    <w:p>
      <w:pPr>
        <w:pStyle w:val="null3"/>
        <w:ind w:firstLine="480"/>
      </w:pPr>
      <w:r>
        <w:rPr/>
        <w:t>八、谈判过程中，谈判小组发现或者知晓供应商存在违法行为的，应当谈判报告中予以记录，并向本级财政部门报告，依法应将该供应商响应文件作无效处理的，应当作无效处理。</w:t>
      </w:r>
    </w:p>
    <w:p>
      <w:pPr>
        <w:pStyle w:val="null3"/>
        <w:ind w:firstLine="480"/>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采购包1：谈判文件能够详细列明采购标的的技术、服务要求，谈判结束后，谈判小组可以根据谈判情况要求所有实质性响应的供应商在规定时间内提交最后报价，提交最后报价的供应商不得少于3家。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四、供应商未在响应文件提交截止时间内提交报价或未按要求进行报价的，视为无效响应，由供应商自行承担不利后果。</w:t>
      </w:r>
    </w:p>
    <w:p>
      <w:pPr>
        <w:pStyle w:val="null3"/>
        <w:ind w:firstLine="480"/>
      </w:pPr>
      <w:r>
        <w:rPr/>
        <w:t>五、供应商未按谈判小组要求在规定时间内提交最后报价的，视为其退出谈判。</w:t>
      </w:r>
    </w:p>
    <w:p>
      <w:pPr>
        <w:pStyle w:val="null3"/>
        <w:ind w:firstLine="480"/>
      </w:pPr>
      <w:r>
        <w:rPr/>
        <w:t>六、最后报价一旦提交后，供应商不得以任何理由撤回。</w:t>
      </w:r>
    </w:p>
    <w:p>
      <w:pPr>
        <w:pStyle w:val="null3"/>
        <w:ind w:firstLine="480"/>
        <w:jc w:val="left"/>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ind w:firstLine="480"/>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序号</w:t>
            </w:r>
          </w:p>
        </w:tc>
        <w:tc>
          <w:tcPr>
            <w:tcW w:type="dxa" w:w="1661"/>
          </w:tcPr>
          <w:p>
            <w:pPr>
              <w:pStyle w:val="null3"/>
            </w:pPr>
            <w:r>
              <w:rPr/>
              <w:t>情形</w:t>
            </w:r>
          </w:p>
        </w:tc>
        <w:tc>
          <w:tcPr>
            <w:tcW w:type="dxa" w:w="1661"/>
          </w:tcPr>
          <w:p>
            <w:pPr>
              <w:pStyle w:val="null3"/>
            </w:pPr>
            <w:r>
              <w:rPr/>
              <w:t>适用对象</w:t>
            </w:r>
          </w:p>
        </w:tc>
        <w:tc>
          <w:tcPr>
            <w:tcW w:type="dxa" w:w="831"/>
          </w:tcPr>
          <w:p>
            <w:pPr>
              <w:pStyle w:val="null3"/>
            </w:pPr>
            <w:r>
              <w:rPr/>
              <w:t>比例</w:t>
            </w:r>
          </w:p>
        </w:tc>
        <w:tc>
          <w:tcPr>
            <w:tcW w:type="dxa" w:w="1661"/>
          </w:tcPr>
          <w:p>
            <w:pPr>
              <w:pStyle w:val="null3"/>
            </w:pPr>
            <w:r>
              <w:rPr/>
              <w:t>说明</w:t>
            </w:r>
          </w:p>
        </w:tc>
        <w:tc>
          <w:tcPr>
            <w:tcW w:type="dxa" w:w="1661"/>
          </w:tcPr>
          <w:p>
            <w:pPr>
              <w:pStyle w:val="null3"/>
            </w:pPr>
            <w:r>
              <w:rPr/>
              <w:t>关联格式</w:t>
            </w:r>
          </w:p>
        </w:tc>
      </w:tr>
      <w:tr>
        <w:tc>
          <w:tcPr>
            <w:tcW w:type="dxa" w:w="8306"/>
            <w:gridSpan w:val="6"/>
          </w:tcPr>
          <w:p>
            <w:pPr>
              <w:pStyle w:val="null3"/>
            </w:pPr>
            <w:r>
              <w:rPr/>
              <w:t>无</w:t>
            </w:r>
          </w:p>
        </w:tc>
      </w:tr>
    </w:tbl>
    <w:p>
      <w:pPr>
        <w:pStyle w:val="null3"/>
        <w:ind w:firstLine="480"/>
        <w:outlineLvl w:val="3"/>
      </w:pPr>
      <w:r>
        <w:rPr>
          <w:b/>
          <w:sz w:val="24"/>
        </w:rPr>
        <w:t>5.3.7解释、澄清、说明的有关问题</w:t>
      </w:r>
    </w:p>
    <w:p>
      <w:pPr>
        <w:pStyle w:val="null3"/>
        <w:ind w:firstLine="480"/>
      </w:pPr>
      <w:r>
        <w:rPr/>
        <w:t>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ind w:firstLine="480"/>
        <w:outlineLvl w:val="3"/>
      </w:pPr>
      <w:r>
        <w:rPr>
          <w:b/>
          <w:sz w:val="24"/>
        </w:rPr>
        <w:t>5.3.8复核</w:t>
      </w:r>
    </w:p>
    <w:p>
      <w:pPr>
        <w:pStyle w:val="null3"/>
        <w:ind w:firstLine="480"/>
      </w:pPr>
      <w:r>
        <w:rPr/>
        <w:t>一、评审结束后，谈判小组应当进行复核，特别要对拟推荐为成交供应商的、报价最低的、响应文件被认定为无效的进行重点复核。</w:t>
      </w:r>
    </w:p>
    <w:p>
      <w:pPr>
        <w:pStyle w:val="null3"/>
        <w:ind w:firstLine="480"/>
      </w:pPr>
      <w:r>
        <w:rPr/>
        <w:t>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ind w:firstLine="480"/>
        <w:outlineLvl w:va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ind w:firstLine="480"/>
        <w:outlineLvl w:val="3"/>
      </w:pPr>
      <w:r>
        <w:rPr>
          <w:b/>
          <w:sz w:val="24"/>
        </w:rPr>
        <w:t>5.3.10编写谈判报告</w:t>
      </w:r>
    </w:p>
    <w:p>
      <w:pPr>
        <w:pStyle w:val="null3"/>
        <w:ind w:firstLine="480"/>
      </w:pPr>
      <w:r>
        <w:rPr/>
        <w:t>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ind w:firstLine="480"/>
        <w:outlineLvl w:val="3"/>
      </w:pPr>
      <w:r>
        <w:rPr>
          <w:b/>
          <w:sz w:val="24"/>
        </w:rPr>
        <w:t>5.3.11谈判异议处理规则</w:t>
      </w:r>
    </w:p>
    <w:p>
      <w:pPr>
        <w:pStyle w:val="null3"/>
        <w:ind w:firstLine="480"/>
      </w:pPr>
      <w:r>
        <w:rPr/>
        <w:t>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ind w:firstLine="480"/>
        <w:outlineLvl w:val="2"/>
      </w:pPr>
      <w:r>
        <w:rPr>
          <w:b/>
          <w:sz w:val="28"/>
        </w:rPr>
        <w:t>5.4、终止采购活动情形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ind w:firstLine="480"/>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ind w:firstLine="480"/>
        <w:outlineLvl w:val="2"/>
      </w:pPr>
      <w:r>
        <w:rPr>
          <w:b/>
          <w:sz w:val="28"/>
        </w:rPr>
        <w:t>5.6、谈判小组成员义务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ind w:firstLine="480"/>
        <w:outlineLvl w:val="2"/>
      </w:pPr>
      <w:r>
        <w:rPr>
          <w:b/>
          <w:sz w:val="28"/>
        </w:rPr>
        <w:t>5.7、谈判纪律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         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ind w:firstLine="480"/>
      </w:pPr>
      <w:r>
        <w:rPr/>
        <w:t xml:space="preserve"> </w:t>
      </w:r>
    </w:p>
    <w:p>
      <w:pPr>
        <w:pStyle w:val="null3"/>
        <w:ind w:firstLine="480"/>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详见附件：产品技术参数响应表</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pPr>
    </w:p>
    <w:p>
      <w:pPr>
        <w:pStyle w:val="null3"/>
        <w:ind w:firstLine="480"/>
      </w:pPr>
      <w:r>
        <w:rPr/>
        <w:t xml:space="preserve"> </w:t>
      </w:r>
    </w:p>
    <w:p>
      <w:pPr>
        <w:pStyle w:val="null3"/>
        <w:ind w:firstLine="480"/>
        <w:jc w:val="center"/>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ind w:firstLine="480"/>
        <w:jc w:val="center"/>
        <w:outlineLvl w:val="0"/>
      </w:pPr>
      <w:r>
        <w:rPr>
          <w:b/>
          <w:sz w:val="48"/>
        </w:rPr>
        <w:t>政府采购合同（货物类）</w:t>
      </w:r>
      <w:r>
        <w:br/>
      </w:r>
    </w:p>
    <w:p>
      <w:pPr>
        <w:pStyle w:val="null3"/>
      </w:pPr>
      <w:r>
        <w:rPr/>
        <w:t>政府采购合同编号：__________________</w:t>
      </w:r>
    </w:p>
    <w:p>
      <w:pPr>
        <w:pStyle w:val="null3"/>
      </w:pPr>
      <w:r>
        <w:rPr/>
        <w:t>履约地点： __________________</w:t>
      </w:r>
    </w:p>
    <w:p>
      <w:pPr>
        <w:pStyle w:val="null3"/>
      </w:pPr>
      <w:r>
        <w:rPr/>
        <w:t>签订地点：__________________</w:t>
      </w:r>
    </w:p>
    <w:p>
      <w:pPr>
        <w:pStyle w:val="null3"/>
      </w:pPr>
      <w:r>
        <w:rPr/>
        <w:t>签订日期：20___年___月___日</w:t>
      </w:r>
    </w:p>
    <w:p>
      <w:pPr>
        <w:pStyle w:val="null3"/>
      </w:pPr>
      <w:r>
        <w:rPr/>
        <w:t>采购人（甲方）：__________________</w:t>
      </w:r>
    </w:p>
    <w:p>
      <w:pPr>
        <w:pStyle w:val="null3"/>
      </w:pPr>
      <w:r>
        <w:rPr/>
        <w:t>地址：__________________</w:t>
      </w:r>
    </w:p>
    <w:p>
      <w:pPr>
        <w:pStyle w:val="null3"/>
      </w:pPr>
      <w:r>
        <w:rPr/>
        <w:t>供应商(乙方)：__________________</w:t>
      </w:r>
    </w:p>
    <w:p>
      <w:pPr>
        <w:pStyle w:val="null3"/>
      </w:pPr>
      <w:r>
        <w:rPr/>
        <w:t>地址：__________________</w:t>
      </w:r>
    </w:p>
    <w:p>
      <w:pPr>
        <w:pStyle w:val="null3"/>
      </w:pPr>
      <w:r>
        <w:rPr/>
        <w:t>依据《中华人民共和国民法典》 《中华人民共和国政府采购法》与项目行业有关的法律法规，以及XXX采购项目的</w:t>
      </w:r>
      <w:r>
        <w:rPr/>
        <w:t>《谈判文件》</w:t>
      </w:r>
      <w:r>
        <w:rPr/>
        <w:t>，乙方的《投标（响应）文件》及《中标（成交）通知书》，甲乙双方同意签订本合同。具体情况及要求如下：</w:t>
      </w:r>
    </w:p>
    <w:p>
      <w:pPr>
        <w:pStyle w:val="null3"/>
        <w:outlineLvl w:val="3"/>
      </w:pPr>
      <w:r>
        <w:rPr>
          <w:b/>
          <w:sz w:val="24"/>
        </w:rPr>
        <w:t>一、标的信息</w:t>
      </w:r>
      <w:r>
        <w:br/>
      </w:r>
    </w:p>
    <w:p>
      <w:pPr>
        <w:pStyle w:val="null3"/>
        <w:outlineLvl w:val="3"/>
      </w:pPr>
      <w:r>
        <w:rPr>
          <w:b/>
          <w:sz w:val="24"/>
        </w:rPr>
        <w:t>二、货物要求</w:t>
      </w:r>
    </w:p>
    <w:p>
      <w:pPr>
        <w:pStyle w:val="null3"/>
      </w:pPr>
    </w:p>
    <w:p>
      <w:pPr>
        <w:pStyle w:val="null3"/>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pPr>
      <w:r>
        <w:rPr/>
        <w:t>2.包装方式</w:t>
      </w:r>
    </w:p>
    <w:p>
      <w:pPr>
        <w:pStyle w:val="null3"/>
      </w:pPr>
      <w:r>
        <w:rPr/>
        <w:t>3.质量保修范围和保修期</w:t>
      </w:r>
    </w:p>
    <w:p>
      <w:pPr>
        <w:pStyle w:val="null3"/>
      </w:pPr>
      <w:r>
        <w:rPr/>
        <w:t>4. 其他要求</w:t>
      </w:r>
    </w:p>
    <w:p>
      <w:pPr>
        <w:pStyle w:val="null3"/>
        <w:outlineLvl w:val="3"/>
      </w:pPr>
      <w:r>
        <w:rPr>
          <w:b/>
          <w:sz w:val="24"/>
        </w:rPr>
        <w:t>三、合同定价方式、付款进度和支付方式</w:t>
      </w:r>
      <w:r>
        <w:br/>
      </w:r>
    </w:p>
    <w:p>
      <w:pPr>
        <w:pStyle w:val="null3"/>
        <w:outlineLvl w:val="3"/>
      </w:pPr>
      <w:r>
        <w:rPr>
          <w:b/>
          <w:sz w:val="24"/>
        </w:rPr>
        <w:t>四、交货时间、地点和方式</w:t>
      </w:r>
      <w:r>
        <w:br/>
      </w:r>
    </w:p>
    <w:p>
      <w:pPr>
        <w:pStyle w:val="null3"/>
        <w:outlineLvl w:val="3"/>
      </w:pPr>
      <w:r>
        <w:rPr>
          <w:b/>
          <w:sz w:val="24"/>
        </w:rPr>
        <w:t>五、履约保证金</w:t>
      </w:r>
      <w:r>
        <w:br/>
      </w:r>
    </w:p>
    <w:p>
      <w:pPr>
        <w:pStyle w:val="null3"/>
        <w:outlineLvl w:val="3"/>
      </w:pPr>
      <w:r>
        <w:rPr>
          <w:b/>
          <w:sz w:val="24"/>
        </w:rPr>
        <w:t>六、验收标准和方法</w:t>
      </w:r>
      <w:r>
        <w:br/>
      </w:r>
    </w:p>
    <w:p>
      <w:pPr>
        <w:pStyle w:val="null3"/>
        <w:outlineLvl w:val="3"/>
      </w:pPr>
      <w:r>
        <w:rPr>
          <w:b/>
          <w:sz w:val="24"/>
        </w:rPr>
        <w:t>七、甲方的权利和义务</w:t>
      </w:r>
    </w:p>
    <w:p>
      <w:pPr>
        <w:pStyle w:val="null3"/>
      </w:pPr>
    </w:p>
    <w:p>
      <w:pPr>
        <w:pStyle w:val="null3"/>
      </w:pPr>
      <w:r>
        <w:rPr/>
        <w:t>1.甲方有权依据双方签订的合同对乙方提供的货物进行验收。当验收结果未达到标准时，有权依据合同约定对乙方......</w:t>
      </w:r>
    </w:p>
    <w:p>
      <w:pPr>
        <w:pStyle w:val="null3"/>
      </w:pPr>
      <w:r>
        <w:rPr/>
        <w:t>2.根据本合同规定，按时向乙方支付应付货物费用。</w:t>
      </w:r>
    </w:p>
    <w:p>
      <w:pPr>
        <w:pStyle w:val="null3"/>
      </w:pPr>
      <w:r>
        <w:rPr/>
        <w:t>3.国家法律、法规所规定由甲方承担的其它责任。</w:t>
      </w:r>
    </w:p>
    <w:p>
      <w:pPr>
        <w:pStyle w:val="null3"/>
        <w:outlineLvl w:val="3"/>
      </w:pPr>
      <w:r>
        <w:rPr>
          <w:b/>
          <w:sz w:val="24"/>
        </w:rPr>
        <w:t>八、乙方的权利和义务</w:t>
      </w:r>
    </w:p>
    <w:p>
      <w:pPr>
        <w:pStyle w:val="null3"/>
      </w:pPr>
    </w:p>
    <w:p>
      <w:pPr>
        <w:pStyle w:val="null3"/>
      </w:pPr>
      <w:r>
        <w:rPr/>
        <w:t>1.根据本合同的规定向甲方收取相关货物费用。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outlineLvl w:val="3"/>
      </w:pPr>
      <w:r>
        <w:rPr>
          <w:b/>
          <w:sz w:val="24"/>
        </w:rPr>
        <w:t>九、违约责任</w:t>
      </w:r>
    </w:p>
    <w:p>
      <w:pPr>
        <w:pStyle w:val="null3"/>
      </w:pP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outlineLvl w:val="3"/>
      </w:pPr>
      <w:r>
        <w:rPr>
          <w:b/>
          <w:sz w:val="24"/>
        </w:rPr>
        <w:t>十、不可抗事件处理</w:t>
      </w:r>
    </w:p>
    <w:p>
      <w:pPr>
        <w:pStyle w:val="null3"/>
      </w:pPr>
    </w:p>
    <w:p>
      <w:pPr>
        <w:pStyle w:val="null3"/>
      </w:pPr>
      <w:r>
        <w:rPr/>
        <w:t>1.在合同有效期内，任何一方因不可抗事件导致不能履行合同，则合同履行期可延长，其延长期与不可抗影响期相同。</w:t>
      </w:r>
    </w:p>
    <w:p>
      <w:pPr>
        <w:pStyle w:val="null3"/>
      </w:pPr>
      <w:r>
        <w:rPr/>
        <w:t>2.受阻一方应在不可抗事件发生后尽快用电话通知对方并于事故发生后XX天内将有关部门出具的证明文件等用特快专递或挂号信寄给对方审阅确认。</w:t>
      </w:r>
    </w:p>
    <w:p>
      <w:pPr>
        <w:pStyle w:val="null3"/>
      </w:pPr>
      <w:r>
        <w:rPr/>
        <w:t>3.不可抗事件延续XX天以上，双方应通过友好协商，确定是否继续履行合同。</w:t>
      </w:r>
    </w:p>
    <w:p>
      <w:pPr>
        <w:pStyle w:val="null3"/>
        <w:outlineLvl w:val="3"/>
      </w:pPr>
      <w:r>
        <w:rPr>
          <w:b/>
          <w:sz w:val="24"/>
        </w:rPr>
        <w:t>十一、解决合同纠纷的方式</w:t>
      </w:r>
      <w:r>
        <w:br/>
      </w:r>
    </w:p>
    <w:p>
      <w:pPr>
        <w:pStyle w:val="null3"/>
        <w:outlineLvl w:val="3"/>
      </w:pPr>
      <w:r>
        <w:rPr>
          <w:b/>
          <w:sz w:val="24"/>
        </w:rPr>
        <w:t>十二、合同生效及其他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r>
        <w:br/>
      </w:r>
      <w:r>
        <w:br/>
      </w:r>
      <w:r>
        <w:br/>
      </w:r>
      <w:r>
        <w:br/>
      </w:r>
      <w:r>
        <w:br/>
      </w:r>
    </w:p>
    <w:p>
      <w:pPr>
        <w:pStyle w:val="null3"/>
      </w:pPr>
    </w:p>
    <w:p>
      <w:pPr>
        <w:pStyle w:val="null3"/>
        <w:ind w:firstLine="480"/>
      </w:pPr>
    </w:p>
    <w:p>
      <w:pPr>
        <w:pStyle w:val="null3"/>
      </w:pPr>
      <w:r>
        <w:rPr/>
        <w:t>甲方： （盖章）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ind w:firstLine="480"/>
      </w:pPr>
    </w:p>
    <w:p>
      <w:pPr>
        <w:pStyle w:val="null3"/>
        <w:spacing w:after="375"/>
        <w:ind w:firstLine="480"/>
      </w:pPr>
    </w:p>
    <w:p>
      <w:pPr>
        <w:pStyle w:val="null3"/>
      </w:pPr>
      <w:r>
        <w:rPr/>
        <w:t>乙方：(盖章）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pPr>
    </w:p>
    <w:p>
      <w:pPr>
        <w:pStyle w:val="null3"/>
        <w:ind w:firstLine="480"/>
      </w:pPr>
      <w:r>
        <w:rPr/>
        <w:t xml:space="preserve"> </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