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p>
    <w:p>
      <w:pPr>
        <w:pStyle w:val="null3"/>
      </w:pPr>
      <w:r>
        <w:br/>
      </w:r>
      <w:r>
        <w:br/>
      </w:r>
      <w:r>
        <w:br/>
      </w:r>
      <w:r>
        <w:br/>
      </w:r>
      <w:r>
        <w:br/>
      </w:r>
    </w:p>
    <w:p>
      <w:pPr>
        <w:pStyle w:val="null3"/>
        <w:jc w:val="center"/>
        <w:outlineLvl w:val="0"/>
      </w:pPr>
      <w:r>
        <w:rPr>
          <w:b/>
          <w:sz w:val="48"/>
        </w:rPr>
        <w:t>询价通知书</w:t>
      </w:r>
      <w:r>
        <w:br/>
      </w:r>
      <w:r>
        <w:br/>
      </w:r>
      <w:r>
        <w:br/>
      </w:r>
    </w:p>
    <w:p>
      <w:pPr>
        <w:pStyle w:val="null3"/>
        <w:jc w:val="center"/>
        <w:outlineLvl w:val="1"/>
      </w:pPr>
      <w:r>
        <w:rPr>
          <w:b/>
          <w:sz w:val="36"/>
        </w:rPr>
        <w:t>（货物类）</w:t>
      </w:r>
      <w:r>
        <w:br/>
      </w:r>
      <w:r>
        <w:br/>
      </w:r>
      <w:r>
        <w:br/>
      </w:r>
      <w:r>
        <w:br/>
      </w:r>
      <w:r>
        <w:br/>
      </w:r>
      <w:r>
        <w:br/>
      </w:r>
      <w:r>
        <w:br/>
      </w:r>
      <w:r>
        <w:br/>
      </w:r>
      <w:r>
        <w:br/>
      </w:r>
      <w:r>
        <w:br/>
      </w:r>
      <w:r>
        <w:br/>
      </w:r>
    </w:p>
    <w:p>
      <w:pPr>
        <w:pStyle w:val="null3"/>
        <w:jc w:val="center"/>
        <w:outlineLvl w:val="2"/>
      </w:pPr>
      <w:r>
        <w:rPr>
          <w:b/>
          <w:sz w:val="28"/>
        </w:rPr>
        <w:t>采购项目名称：</w:t>
      </w:r>
      <w:r>
        <w:rPr>
          <w:b/>
          <w:sz w:val="28"/>
        </w:rPr>
        <w:t>金口河区教育考试标准化备用考点网上巡查系统办公设备采购（集采设备）</w:t>
      </w:r>
    </w:p>
    <w:p>
      <w:pPr>
        <w:pStyle w:val="null3"/>
        <w:jc w:val="center"/>
        <w:outlineLvl w:val="2"/>
      </w:pPr>
      <w:r>
        <w:rPr>
          <w:b/>
          <w:sz w:val="28"/>
        </w:rPr>
        <w:t>采购项目编号：</w:t>
      </w:r>
      <w:r>
        <w:rPr>
          <w:b/>
          <w:sz w:val="28"/>
        </w:rPr>
        <w:t>N5111132023000075</w:t>
      </w:r>
      <w:r>
        <w:br/>
      </w:r>
      <w:r>
        <w:br/>
      </w:r>
      <w:r>
        <w:br/>
      </w:r>
    </w:p>
    <w:p>
      <w:pPr>
        <w:pStyle w:val="null3"/>
        <w:jc w:val="center"/>
        <w:outlineLvl w:val="2"/>
      </w:pPr>
      <w:r>
        <w:rPr>
          <w:b/>
          <w:sz w:val="28"/>
        </w:rPr>
        <w:t>乐山市金口河区永和镇第一小学</w:t>
      </w:r>
    </w:p>
    <w:p>
      <w:pPr>
        <w:pStyle w:val="null3"/>
        <w:jc w:val="center"/>
        <w:outlineLvl w:val="2"/>
      </w:pPr>
      <w:r>
        <w:rPr>
          <w:b/>
          <w:sz w:val="28"/>
        </w:rPr>
        <w:t>乐山市金口河区公共资源交易服务中心（乐山市金口河区政府采购中心）</w:t>
      </w:r>
      <w:r>
        <w:rPr>
          <w:b/>
          <w:sz w:val="28"/>
        </w:rPr>
        <w:t>共同编制</w:t>
      </w:r>
    </w:p>
    <w:p>
      <w:pPr>
        <w:pStyle w:val="null3"/>
        <w:jc w:val="center"/>
        <w:outlineLvl w:val="2"/>
      </w:pPr>
      <w:r>
        <w:rPr>
          <w:b/>
          <w:sz w:val="28"/>
        </w:rPr>
        <w:t>2023年12月07日</w:t>
      </w:r>
    </w:p>
    <w:p>
      <w:pPr>
        <w:pStyle w:val="null3"/>
      </w:pPr>
    </w:p>
    <w:p>
      <w:pPr>
        <w:pStyle w:val="null3"/>
      </w:pPr>
      <w:r>
        <w:rPr/>
        <w:t xml:space="preserve"> </w:t>
      </w:r>
    </w:p>
    <w:p>
      <w:pPr>
        <w:pStyle w:val="null3"/>
        <w:outlineLvl w:val="1"/>
      </w:pPr>
      <w:r>
        <w:rPr>
          <w:b/>
          <w:sz w:val="36"/>
        </w:rPr>
        <w:t>第一章 询价邀请</w:t>
      </w:r>
    </w:p>
    <w:p>
      <w:pPr>
        <w:pStyle w:val="null3"/>
        <w:ind w:firstLine="480"/>
      </w:pPr>
      <w:r>
        <w:rPr/>
        <w:t>乐山市金口河区公共资源交易服务中心（乐山市金口河区政府采购中心）</w:t>
      </w:r>
      <w:r>
        <w:rPr/>
        <w:t>（以下简称“代理机构”）受</w:t>
      </w:r>
      <w:r>
        <w:rPr/>
        <w:t>乐山市金口河区永和镇第一小学</w:t>
      </w:r>
      <w:r>
        <w:rPr/>
        <w:t>委托，拟对</w:t>
      </w:r>
      <w:r>
        <w:rPr/>
        <w:t>金口河区教育考试标准化备用考点网上巡查系统办公设备采购（集采设备）</w:t>
      </w:r>
      <w:r>
        <w:rPr/>
        <w:t>进行询价采购，兹邀请供应商参加询价。</w:t>
      </w:r>
    </w:p>
    <w:p>
      <w:pPr>
        <w:pStyle w:val="null3"/>
        <w:outlineLvl w:val="2"/>
      </w:pPr>
      <w:r>
        <w:rPr>
          <w:b/>
          <w:sz w:val="28"/>
        </w:rPr>
        <w:t>一、采购项目编号：</w:t>
      </w:r>
      <w:r>
        <w:rPr>
          <w:b/>
          <w:sz w:val="28"/>
        </w:rPr>
        <w:t>N5111132023000075</w:t>
      </w:r>
    </w:p>
    <w:p>
      <w:pPr>
        <w:pStyle w:val="null3"/>
        <w:outlineLvl w:val="2"/>
      </w:pPr>
      <w:r>
        <w:rPr>
          <w:b/>
          <w:sz w:val="28"/>
        </w:rPr>
        <w:t>二、采购项目名称：</w:t>
      </w:r>
      <w:r>
        <w:rPr>
          <w:b/>
          <w:sz w:val="28"/>
        </w:rPr>
        <w:t>金口河区教育考试标准化备用考点网上巡查系统办公设备采购（集采设备）</w:t>
      </w:r>
    </w:p>
    <w:p>
      <w:pPr>
        <w:pStyle w:val="null3"/>
        <w:outlineLvl w:val="2"/>
      </w:pPr>
      <w:r>
        <w:rPr>
          <w:b/>
          <w:sz w:val="28"/>
        </w:rPr>
        <w:t>三、项目简介</w:t>
      </w:r>
    </w:p>
    <w:p>
      <w:pPr>
        <w:pStyle w:val="null3"/>
        <w:ind w:firstLine="480"/>
      </w:pPr>
      <w:r>
        <w:rPr/>
        <w:t>本项目为金口河区教育考试标准化备用考点网上巡查系统办公设备采购（集采设备），采购预算44.64万元，本项目所属行业为工业。</w:t>
      </w:r>
    </w:p>
    <w:p>
      <w:pPr>
        <w:pStyle w:val="null3"/>
        <w:outlineLvl w:val="2"/>
      </w:pPr>
      <w:r>
        <w:rPr>
          <w:b/>
          <w:sz w:val="28"/>
        </w:rPr>
        <w:t>四、邀请供应商方式</w:t>
      </w:r>
    </w:p>
    <w:p>
      <w:pPr>
        <w:pStyle w:val="null3"/>
      </w:pPr>
    </w:p>
    <w:p>
      <w:pPr>
        <w:pStyle w:val="null3"/>
      </w:pPr>
    </w:p>
    <w:p>
      <w:pPr>
        <w:pStyle w:val="null3"/>
      </w:pPr>
      <w:r>
        <w:rPr/>
        <w:t>本次采购采取公告征集邀请询价的供应商。</w:t>
      </w:r>
    </w:p>
    <w:p>
      <w:pPr>
        <w:pStyle w:val="null3"/>
      </w:pPr>
      <w:r>
        <w:rPr/>
        <w:t xml:space="preserve"> 公告征集：本次询价采购在“四川政府采购网（www.ccgp-sichuan.gov.cn）”上以公告形式发布，兹邀请符合本次采购要求的供应商参加本项目询价采购。</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p>
    <w:p>
      <w:pPr>
        <w:pStyle w:val="null3"/>
      </w:pPr>
    </w:p>
    <w:p>
      <w:pPr>
        <w:pStyle w:val="null3"/>
      </w:pPr>
      <w:r>
        <w:rPr/>
        <w:t>本项目所有采购包不专门面向中小企业。</w:t>
      </w:r>
    </w:p>
    <w:p>
      <w:pPr>
        <w:pStyle w:val="null3"/>
        <w:ind w:firstLine="480"/>
        <w:jc w:val="left"/>
      </w:pPr>
      <w:r>
        <w:rPr/>
        <w:t xml:space="preserve"> 注：监狱企业和残疾人福利性单位视同小微企业，符合中小企业划分标准的个体工商户视同中小企业。</w:t>
      </w:r>
    </w:p>
    <w:p>
      <w:pPr>
        <w:pStyle w:val="null3"/>
        <w:ind w:firstLine="480"/>
      </w:pPr>
      <w:r>
        <w:rPr/>
        <w:t>（三）本项目的特定资格要求：</w:t>
      </w:r>
    </w:p>
    <w:p>
      <w:pPr>
        <w:pStyle w:val="null3"/>
      </w:pPr>
    </w:p>
    <w:p>
      <w:pPr>
        <w:pStyle w:val="null3"/>
      </w:pPr>
    </w:p>
    <w:p>
      <w:pPr>
        <w:pStyle w:val="null3"/>
      </w:pPr>
    </w:p>
    <w:p>
      <w:pPr>
        <w:pStyle w:val="null3"/>
      </w:pPr>
      <w:r>
        <w:rPr/>
        <w:t>采购包1：</w:t>
      </w:r>
    </w:p>
    <w:p>
      <w:pPr>
        <w:pStyle w:val="null3"/>
      </w:pPr>
      <w:r>
        <w:rPr/>
        <w:t xml:space="preserve"> 无</w:t>
      </w:r>
    </w:p>
    <w:p>
      <w:pPr>
        <w:pStyle w:val="null3"/>
        <w:outlineLvl w:val="2"/>
      </w:pPr>
      <w:r>
        <w:rPr>
          <w:b/>
          <w:sz w:val="28"/>
        </w:rPr>
        <w:t>六、电子化采购相关事项</w:t>
      </w:r>
    </w:p>
    <w:p>
      <w:pPr>
        <w:pStyle w:val="null3"/>
        <w:ind w:firstLine="480"/>
      </w:pPr>
      <w:r>
        <w:rPr/>
        <w:t xml:space="preserve"> 本项目实行电子化采购，使用的电子化交易系统为：四川省政府采购一体化平台的项目电子化交易系统（以下简称项目电子化交易系统），登录方式及地址：通过四川政府采购网（www.ccgp-sichuan.gov.cn）首页供应商用户登录四川省政府采购一体化平台（以下简称“采购一体化平台”），进入项目电子化交易系统。供应商应当按照以下要求，参与本次电子化采购活动。</w:t>
      </w:r>
    </w:p>
    <w:p>
      <w:pPr>
        <w:pStyle w:val="null3"/>
        <w:ind w:firstLine="480"/>
      </w:pPr>
      <w:r>
        <w:rPr/>
        <w:t xml:space="preserve"> （一）供应商应当自行在四川政府采购网-办事指南查看相应的系统操作指南，并严格按照操作指南要求进行系统操作。在登录、使用采购一体化平台前，应当按照要求完成供应商注册和信息完善，加入采购一体化平台供应商库。</w:t>
      </w:r>
    </w:p>
    <w:p>
      <w:pPr>
        <w:pStyle w:val="null3"/>
        <w:ind w:firstLine="480"/>
      </w:pPr>
      <w:r>
        <w:rPr/>
        <w:t xml:space="preserve"> （二）供应商应当使用纳入全国公共资源交易平台（四川省）数字证书互认范围的数字证书及签章（以下简称“互认的证书及签章”）进行系统操作。供应商使用互认的证书及签章登录采购一体化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四川政府采购网-办事指南。</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（三）供应商应当自行准备电子化采购所需的计算机终端、软硬件及网络环境，承担因准备不足产生的不利后果。</w:t>
      </w:r>
    </w:p>
    <w:p>
      <w:pPr>
        <w:pStyle w:val="null3"/>
        <w:ind w:firstLine="480"/>
      </w:pPr>
      <w:r>
        <w:rPr/>
        <w:t>（四）采购一体化平台技术支持：</w:t>
      </w:r>
    </w:p>
    <w:p>
      <w:pPr>
        <w:pStyle w:val="null3"/>
        <w:ind w:firstLine="480"/>
      </w:pPr>
      <w:r>
        <w:rPr/>
        <w:t>在线客服：通过四川政府采购网-在线客服进行咨询</w:t>
      </w:r>
    </w:p>
    <w:p>
      <w:pPr>
        <w:pStyle w:val="null3"/>
        <w:ind w:firstLine="480"/>
      </w:pPr>
      <w:r>
        <w:rPr/>
        <w:t>400服务电话：4001600900</w:t>
      </w:r>
    </w:p>
    <w:p>
      <w:pPr>
        <w:pStyle w:val="null3"/>
        <w:ind w:firstLine="480"/>
      </w:pPr>
      <w:r>
        <w:rPr/>
        <w:t>CA及签章服务：通过四川政府采购网-办事指南进行查询</w:t>
      </w:r>
    </w:p>
    <w:p>
      <w:pPr>
        <w:pStyle w:val="null3"/>
        <w:outlineLvl w:val="2"/>
      </w:pPr>
      <w:r>
        <w:rPr>
          <w:b/>
          <w:sz w:val="28"/>
        </w:rPr>
        <w:t>七、询价通知书获取时间、方式及地址</w:t>
      </w:r>
    </w:p>
    <w:p>
      <w:pPr>
        <w:pStyle w:val="null3"/>
        <w:ind w:firstLine="480"/>
      </w:pPr>
      <w:r>
        <w:rPr/>
        <w:t>（一）询价通知书获取时间：详见采购公告或邀请书。</w:t>
      </w:r>
    </w:p>
    <w:p>
      <w:pPr>
        <w:pStyle w:val="null3"/>
        <w:ind w:firstLine="480"/>
      </w:pPr>
      <w:r>
        <w:rPr/>
        <w:t xml:space="preserve"> （二）在询价通知书获取开始时间前，采购人或代理机构将本项目询价通知书上传至项目电子化交易系统，免费向供应商提供。供应商通过项目电子化交易系统获取询价通知书。成功获取询价通知书的，供应商将收到已获取询价通知书的回执函。未成功获取询价通知书的供应商，不得参与本次征集活动，不得对询价通知书提起质疑。</w:t>
      </w:r>
    </w:p>
    <w:p>
      <w:pPr>
        <w:pStyle w:val="null3"/>
        <w:ind w:firstLine="480"/>
      </w:pPr>
      <w:r>
        <w:rPr/>
        <w:t xml:space="preserve"> 成功获取询价通知书后，采购人或代理机构进行澄清或者修改，澄清或者修改的内容可能影响响应文件编制的，采购人或代理机构将通过项目电子化交易系统发布澄清或者修改后的询价通知书，供应商应当重新获取询价通知书。供应商未重新获取询价通知书或者未按照澄清或者修改后的询价通知书编制响应文件进行响应的，自行承担不利后果。</w:t>
      </w:r>
    </w:p>
    <w:p>
      <w:pPr>
        <w:pStyle w:val="null3"/>
        <w:ind w:firstLine="480"/>
      </w:pPr>
      <w:r>
        <w:rPr/>
        <w:t>注：获取的询价通知书主体格式包括pdf、word两种格式版本，其中以pdf格式为准。</w:t>
      </w:r>
    </w:p>
    <w:p>
      <w:pPr>
        <w:pStyle w:val="null3"/>
        <w:outlineLvl w:val="2"/>
      </w:pPr>
      <w:r>
        <w:rPr>
          <w:b/>
          <w:sz w:val="28"/>
        </w:rPr>
        <w:t>八、响应文件提交截止时间及开启时间（北京时间）、地点、方式</w:t>
      </w:r>
    </w:p>
    <w:p>
      <w:pPr>
        <w:pStyle w:val="null3"/>
        <w:ind w:firstLine="480"/>
      </w:pPr>
      <w:r>
        <w:rPr/>
        <w:t>（一）响应文件提交截止时间及开启时间：详见采购公告或邀请书。</w:t>
      </w:r>
    </w:p>
    <w:p>
      <w:pPr>
        <w:pStyle w:val="null3"/>
        <w:ind w:firstLine="480"/>
      </w:pPr>
      <w:r>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t>（三）本项目采取网上开启，即采购人或代理机构通过项目电子化交易系统“开标/开启大厅”组织在线开启。</w:t>
      </w:r>
    </w:p>
    <w:p>
      <w:pPr>
        <w:pStyle w:val="null3"/>
        <w:outlineLvl w:val="2"/>
      </w:pPr>
      <w:r>
        <w:rPr>
          <w:b/>
          <w:sz w:val="28"/>
        </w:rPr>
        <w:t>九、本询价邀请在四川政府采购网以公告形式发布</w:t>
      </w:r>
    </w:p>
    <w:p>
      <w:pPr>
        <w:pStyle w:val="null3"/>
        <w:outlineLvl w:val="2"/>
      </w:pPr>
      <w:r>
        <w:rPr>
          <w:b/>
          <w:sz w:val="28"/>
        </w:rPr>
        <w:t>十、供应商信用融资</w:t>
      </w:r>
    </w:p>
    <w:p>
      <w:pPr>
        <w:pStyle w:val="null3"/>
        <w:ind w:firstLine="480"/>
      </w:pPr>
      <w:r>
        <w:rPr/>
        <w:t xml:space="preserve"> 根据《四川省财政厅关于推进四川省政府釆购供应商信用融资工作的通知》（川财采﹝2018﹞123号）文件，为助力解决政府采购成交供应商资金不足、融资难、融资贵的困难，促进供应商依法诚信参加政府采购活动，有融资需求的供应商可登录四川政府釆购网—金融服务平台，选择符合自身情况的“政采贷”银行及其产品，凭项目成交结果、成交通知书等信息在线向银行提出贷款意向申请、查看贷款审批情况等。</w:t>
      </w:r>
    </w:p>
    <w:p>
      <w:pPr>
        <w:pStyle w:val="null3"/>
        <w:outlineLvl w:val="2"/>
      </w:pPr>
      <w:r>
        <w:rPr>
          <w:b/>
          <w:sz w:val="28"/>
        </w:rPr>
        <w:t>十一、联系方式</w:t>
      </w:r>
    </w:p>
    <w:p>
      <w:pPr>
        <w:pStyle w:val="null3"/>
        <w:outlineLvl w:val="2"/>
      </w:pPr>
      <w:r>
        <w:rPr>
          <w:b/>
          <w:sz w:val="28"/>
        </w:rPr>
        <w:t xml:space="preserve">采购人： </w:t>
      </w:r>
      <w:r>
        <w:rPr>
          <w:b/>
          <w:sz w:val="28"/>
        </w:rPr>
        <w:t>乐山市金口河区永和镇第一小学</w:t>
      </w:r>
    </w:p>
    <w:p>
      <w:pPr>
        <w:pStyle w:val="null3"/>
      </w:pPr>
    </w:p>
    <w:p>
      <w:pPr>
        <w:pStyle w:val="null3"/>
      </w:pPr>
    </w:p>
    <w:p>
      <w:pPr>
        <w:pStyle w:val="null3"/>
      </w:pPr>
      <w:r>
        <w:rPr/>
        <w:t xml:space="preserve"> 地址： </w:t>
      </w:r>
      <w:r>
        <w:rPr/>
        <w:t>四川省乐山市金口河区永和镇滨河路三段129号</w:t>
      </w:r>
    </w:p>
    <w:p>
      <w:pPr>
        <w:pStyle w:val="null3"/>
      </w:pPr>
      <w:r>
        <w:rPr/>
        <w:t xml:space="preserve"> 邮编： </w:t>
      </w:r>
      <w:r>
        <w:rPr/>
        <w:t>614700</w:t>
      </w:r>
    </w:p>
    <w:p>
      <w:pPr>
        <w:pStyle w:val="null3"/>
      </w:pPr>
      <w:r>
        <w:rPr/>
        <w:t xml:space="preserve"> 联系人： </w:t>
      </w:r>
      <w:r>
        <w:rPr/>
        <w:t>王老师</w:t>
      </w:r>
    </w:p>
    <w:p>
      <w:pPr>
        <w:pStyle w:val="null3"/>
      </w:pPr>
      <w:r>
        <w:rPr/>
        <w:t xml:space="preserve"> 联系电话： </w:t>
      </w:r>
      <w:r>
        <w:rPr/>
        <w:t>18981349568</w:t>
      </w:r>
    </w:p>
    <w:p>
      <w:pPr>
        <w:pStyle w:val="null3"/>
        <w:outlineLvl w:val="2"/>
      </w:pPr>
      <w:r>
        <w:rPr>
          <w:b/>
          <w:sz w:val="28"/>
        </w:rPr>
        <w:t>代理机构：</w:t>
      </w:r>
      <w:r>
        <w:rPr>
          <w:b/>
          <w:sz w:val="28"/>
        </w:rPr>
        <w:t>乐山市金口河区公共资源交易服务中心（乐山市金口河区政府采购中心）</w:t>
      </w:r>
    </w:p>
    <w:p>
      <w:pPr>
        <w:pStyle w:val="null3"/>
      </w:pPr>
    </w:p>
    <w:p>
      <w:pPr>
        <w:pStyle w:val="null3"/>
      </w:pPr>
    </w:p>
    <w:p>
      <w:pPr>
        <w:pStyle w:val="null3"/>
      </w:pPr>
      <w:r>
        <w:rPr/>
        <w:t xml:space="preserve"> 地址： </w:t>
      </w:r>
      <w:r>
        <w:rPr/>
        <w:t>四川省乐山市金口河区滨河路三段153号</w:t>
      </w:r>
    </w:p>
    <w:p>
      <w:pPr>
        <w:pStyle w:val="null3"/>
      </w:pPr>
      <w:r>
        <w:rPr/>
        <w:t xml:space="preserve"> 邮编： </w:t>
      </w:r>
      <w:r>
        <w:rPr/>
        <w:t>614700</w:t>
      </w:r>
    </w:p>
    <w:p>
      <w:pPr>
        <w:pStyle w:val="null3"/>
      </w:pPr>
      <w:r>
        <w:rPr/>
        <w:t xml:space="preserve"> 联系人： </w:t>
      </w:r>
      <w:r>
        <w:rPr/>
        <w:t>李老师</w:t>
      </w:r>
    </w:p>
    <w:p>
      <w:pPr>
        <w:pStyle w:val="null3"/>
      </w:pPr>
      <w:r>
        <w:rPr/>
        <w:t xml:space="preserve"> 联系电话： </w:t>
      </w:r>
      <w:r>
        <w:rPr/>
        <w:t>0833-2713780</w:t>
      </w:r>
    </w:p>
    <w:p>
      <w:pPr>
        <w:pStyle w:val="null3"/>
      </w:pPr>
    </w:p>
    <w:p>
      <w:pPr>
        <w:pStyle w:val="null3"/>
      </w:pPr>
      <w:r>
        <w:rPr/>
        <w:t xml:space="preserve"> </w:t>
      </w:r>
    </w:p>
    <w:p>
      <w:pPr>
        <w:pStyle w:val="null3"/>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p>
          <w:p>
            <w:pPr>
              <w:pStyle w:val="null3"/>
            </w:pPr>
            <w:r>
              <w:rPr/>
              <w:t>采购包1：446,400.00元</w:t>
            </w:r>
            <w:r>
              <w:rPr/>
              <w:t xml:space="preserve"> 供应商的采购包响应报价高于采购包采购预算的，其响应文件将按无效处理。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 xml:space="preserve"> 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最低评标价法（详见第四章）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p>
          <w:p>
            <w:pPr>
              <w:pStyle w:val="null3"/>
            </w:pPr>
            <w:r>
              <w:rPr/>
              <w:t>采购包1：不接受联合体</w:t>
            </w:r>
          </w:p>
        </w:tc>
      </w:tr>
      <w:tr>
        <w:tc>
          <w:tcPr>
            <w:tcW w:type="dxa" w:w="1051"/>
          </w:tcPr>
          <w:p>
            <w:pPr>
              <w:pStyle w:val="null3"/>
            </w:pPr>
            <w:r>
              <w:rPr/>
              <w:t>5</w:t>
            </w:r>
          </w:p>
        </w:tc>
        <w:tc>
          <w:tcPr>
            <w:tcW w:type="dxa" w:w="2252"/>
          </w:tcPr>
          <w:p>
            <w:pPr>
              <w:pStyle w:val="null3"/>
            </w:pPr>
            <w:r>
              <w:rPr/>
              <w:t>落实节能、环保、无线局域网</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台式计算机、液晶显示器</w:t>
            </w:r>
            <w:r>
              <w:rPr/>
              <w:t xml:space="preserve"> 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w:t>
            </w:r>
            <w:r>
              <w:rPr/>
              <w:t>多功能一体机</w:t>
            </w:r>
            <w:r>
              <w:rPr/>
              <w:t>产品属于节能产品政府采购品目清单中应优先采购的产品范围，本项目采购</w:t>
            </w:r>
            <w:r>
              <w:rPr/>
              <w:t>台式计算机、液晶显示器、多功能一体机</w:t>
            </w:r>
            <w:r>
              <w:rPr/>
              <w:t>产品属于环境标志产品政府采购品目清单中应优先采购的产品范围，响应报价相同的，按供应商提供的优先采购产品认证证书数量由多到少顺序排列。</w:t>
            </w:r>
          </w:p>
          <w:p>
            <w:pPr>
              <w:pStyle w:val="null3"/>
            </w:pPr>
            <w:r>
              <w:rPr/>
              <w:t xml:space="preserve"> 4.响应产品属于中国政府采购网公布的《无线局域网认证产品政府采购清单》且在有效期内的，按《财政部国家发展改革委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关于本项目采购包中执行小微企业（监狱企业、残疾人福利性单位视同小微企业）价格扣除情况、具体扣除比例和规则详见第四章。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的不同供应商参加同一合同项下采购活动的，以其中通过资格审查、符合性审查且报价最低的参加评审；报价相同的，由采购人或者采购人委托询价小组按照随机抽取方式确定一个参加询价的供应商，其他响应无效。</w:t>
            </w:r>
          </w:p>
          <w:p>
            <w:pPr>
              <w:pStyle w:val="null3"/>
            </w:pPr>
            <w:r>
              <w:rPr/>
              <w:t xml:space="preserve"> 核心产品清单详见第三章。</w:t>
            </w:r>
          </w:p>
          <w:p>
            <w:pPr>
              <w:pStyle w:val="null3"/>
            </w:pPr>
            <w:r>
              <w:rPr/>
              <w:t xml:space="preserve"> 在符合性审查环节提供核心产品品牌不足3个的，视为有效响应供应商不足3家。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审过程中，询价小组认为供应商报价明显低于其他通过符合性审查供应商的报价，有可能影响产品质量或者不能诚信履约的，询价小组应当要求其在合理的时间内通过项目电子化交易系统进行书面说明，必要时提交相关证明材料。供应商提交的书面说明，应当加盖供应商公章，在询价小组要求的时间内通过项目电子化交易系统进行提交，否则视为不能证明其响应报价合理性。供应商不能证明其响应报价合理性的，询价小组应当将其响应文件作为无效处理。（注：供应商报价低于最高限价50%或者低于其他有效供应商报价算术平均价40%的，询价小组可以认为该供应商“报价明显低于其他实质性响应的供应商报价”。）</w:t>
            </w:r>
          </w:p>
          <w:p>
            <w:pPr>
              <w:pStyle w:val="null3"/>
            </w:pPr>
          </w:p>
        </w:tc>
      </w:tr>
      <w:tr>
        <w:tc>
          <w:tcPr>
            <w:tcW w:type="dxa" w:w="1051"/>
          </w:tcPr>
          <w:p>
            <w:pPr>
              <w:pStyle w:val="null3"/>
            </w:pPr>
            <w:r>
              <w:rPr/>
              <w:t>9</w:t>
            </w:r>
          </w:p>
        </w:tc>
        <w:tc>
          <w:tcPr>
            <w:tcW w:type="dxa" w:w="2252"/>
          </w:tcPr>
          <w:p>
            <w:pPr>
              <w:pStyle w:val="null3"/>
            </w:pPr>
            <w:r>
              <w:rPr/>
              <w:t>保证金</w:t>
            </w:r>
          </w:p>
        </w:tc>
        <w:tc>
          <w:tcPr>
            <w:tcW w:type="dxa" w:w="5004"/>
          </w:tcPr>
          <w:p>
            <w:pPr>
              <w:pStyle w:val="null3"/>
            </w:pPr>
            <w:r>
              <w:rPr/>
              <w:t>本项目不收取保证金。</w:t>
            </w:r>
          </w:p>
        </w:tc>
      </w:tr>
      <w:tr>
        <w:tc>
          <w:tcPr>
            <w:tcW w:type="dxa" w:w="1051"/>
          </w:tcPr>
          <w:p>
            <w:pPr>
              <w:pStyle w:val="null3"/>
            </w:pPr>
            <w:r>
              <w:rPr/>
              <w:t>10</w:t>
            </w:r>
          </w:p>
        </w:tc>
        <w:tc>
          <w:tcPr>
            <w:tcW w:type="dxa" w:w="2252"/>
          </w:tcPr>
          <w:p>
            <w:pPr>
              <w:pStyle w:val="null3"/>
            </w:pPr>
            <w:r>
              <w:rPr/>
              <w:t>履约保证金（实质性要求）</w:t>
            </w:r>
          </w:p>
        </w:tc>
        <w:tc>
          <w:tcPr>
            <w:tcW w:type="dxa" w:w="5004"/>
          </w:tcPr>
          <w:p>
            <w:pPr>
              <w:pStyle w:val="null3"/>
            </w:pPr>
          </w:p>
          <w:p>
            <w:pPr>
              <w:pStyle w:val="null3"/>
            </w:pPr>
          </w:p>
          <w:p>
            <w:pPr>
              <w:pStyle w:val="null3"/>
            </w:pPr>
            <w:r>
              <w:rPr/>
              <w:t>采购包1：收取</w:t>
            </w:r>
          </w:p>
          <w:p>
            <w:pPr>
              <w:pStyle w:val="null3"/>
            </w:pPr>
            <w:r>
              <w:rPr/>
              <w:t>本采购包履约保证金为合同金额的5%</w:t>
            </w:r>
          </w:p>
          <w:p>
            <w:pPr>
              <w:pStyle w:val="null3"/>
            </w:pPr>
            <w:r>
              <w:rPr/>
              <w:t>说明：履约保证金可以以支票、汇票、本票或者金融机构出具的保函等非现金形式向采购人提交（包括网银转账，电汇等方式）。</w:t>
            </w:r>
          </w:p>
        </w:tc>
      </w:tr>
      <w:tr>
        <w:tc>
          <w:tcPr>
            <w:tcW w:type="dxa" w:w="1051"/>
          </w:tcPr>
          <w:p>
            <w:pPr>
              <w:pStyle w:val="null3"/>
            </w:pPr>
            <w:r>
              <w:rPr/>
              <w:t>11</w:t>
            </w:r>
          </w:p>
        </w:tc>
        <w:tc>
          <w:tcPr>
            <w:tcW w:type="dxa" w:w="2252"/>
          </w:tcPr>
          <w:p>
            <w:pPr>
              <w:pStyle w:val="null3"/>
            </w:pPr>
            <w:r>
              <w:rPr/>
              <w:t>响应有效期（实质性要求）</w:t>
            </w:r>
          </w:p>
        </w:tc>
        <w:tc>
          <w:tcPr>
            <w:tcW w:type="dxa" w:w="5004"/>
          </w:tcPr>
          <w:p>
            <w:pPr>
              <w:pStyle w:val="null3"/>
            </w:pPr>
            <w:r>
              <w:rPr/>
              <w:t>提交响应文件的截止之日起不少于</w:t>
            </w:r>
            <w:r>
              <w:rPr/>
              <w:t>90</w:t>
            </w:r>
            <w:r>
              <w:rPr/>
              <w:t>天。</w:t>
            </w:r>
          </w:p>
        </w:tc>
      </w:tr>
      <w:tr>
        <w:tc>
          <w:tcPr>
            <w:tcW w:type="dxa" w:w="1051"/>
          </w:tcPr>
          <w:p>
            <w:pPr>
              <w:pStyle w:val="null3"/>
            </w:pPr>
            <w:r>
              <w:rPr/>
              <w:t>12</w:t>
            </w:r>
          </w:p>
        </w:tc>
        <w:tc>
          <w:tcPr>
            <w:tcW w:type="dxa" w:w="2252"/>
          </w:tcPr>
          <w:p>
            <w:pPr>
              <w:pStyle w:val="null3"/>
            </w:pPr>
            <w:r>
              <w:rPr/>
              <w:t>代理服务费（实质性要求）</w:t>
            </w:r>
          </w:p>
        </w:tc>
        <w:tc>
          <w:tcPr>
            <w:tcW w:type="dxa" w:w="5004"/>
          </w:tcPr>
          <w:p>
            <w:pPr>
              <w:pStyle w:val="null3"/>
            </w:pPr>
          </w:p>
          <w:p>
            <w:pPr>
              <w:pStyle w:val="null3"/>
            </w:pPr>
            <w:r>
              <w:rPr/>
              <w:t>本项目不收取代理服务费</w:t>
            </w:r>
          </w:p>
        </w:tc>
      </w:tr>
      <w:tr>
        <w:tc>
          <w:tcPr>
            <w:tcW w:type="dxa" w:w="1051"/>
          </w:tcPr>
          <w:p>
            <w:pPr>
              <w:pStyle w:val="null3"/>
            </w:pPr>
            <w:r>
              <w:rPr/>
              <w:t>13</w:t>
            </w:r>
          </w:p>
        </w:tc>
        <w:tc>
          <w:tcPr>
            <w:tcW w:type="dxa" w:w="2252"/>
          </w:tcPr>
          <w:p>
            <w:pPr>
              <w:pStyle w:val="null3"/>
            </w:pPr>
            <w:r>
              <w:rPr/>
              <w:t>采购结果公告</w:t>
            </w:r>
          </w:p>
        </w:tc>
        <w:tc>
          <w:tcPr>
            <w:tcW w:type="dxa" w:w="5004"/>
          </w:tcPr>
          <w:p>
            <w:pPr>
              <w:pStyle w:val="null3"/>
            </w:pPr>
            <w:r>
              <w:rPr/>
              <w:t>采购结果将在四川政府采购网予以公告。</w:t>
            </w:r>
          </w:p>
        </w:tc>
      </w:tr>
      <w:tr>
        <w:tc>
          <w:tcPr>
            <w:tcW w:type="dxa" w:w="1051"/>
          </w:tcPr>
          <w:p>
            <w:pPr>
              <w:pStyle w:val="null3"/>
            </w:pPr>
            <w:r>
              <w:rPr/>
              <w:t>14</w:t>
            </w:r>
          </w:p>
        </w:tc>
        <w:tc>
          <w:tcPr>
            <w:tcW w:type="dxa" w:w="2252"/>
          </w:tcPr>
          <w:p>
            <w:pPr>
              <w:pStyle w:val="null3"/>
            </w:pPr>
            <w:r>
              <w:rPr/>
              <w:t>成交通知书</w:t>
            </w:r>
          </w:p>
        </w:tc>
        <w:tc>
          <w:tcPr>
            <w:tcW w:type="dxa" w:w="5004"/>
          </w:tcPr>
          <w:p>
            <w:pPr>
              <w:pStyle w:val="null3"/>
            </w:pPr>
            <w:r>
              <w:rPr/>
              <w:t xml:space="preserve"> 采购结果公告后，采购人或代理机构通过项目电子化交易系统向成交供应商发出成交通知书；成交供应商通过项目电子化交易系统获取成交通知书。</w:t>
            </w:r>
          </w:p>
        </w:tc>
      </w:tr>
      <w:tr>
        <w:tc>
          <w:tcPr>
            <w:tcW w:type="dxa" w:w="1051"/>
          </w:tcPr>
          <w:p>
            <w:pPr>
              <w:pStyle w:val="null3"/>
            </w:pPr>
            <w:r>
              <w:rPr/>
              <w:t>15</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政府采购合同签订之日起2个工作日内，采购人将政府采购合同在四川政府采购网予以公告；政府采购合同签订之日起7个工作日内，采购人将政府采购合同报本级财政部门备案。</w:t>
            </w:r>
          </w:p>
        </w:tc>
      </w:tr>
      <w:tr>
        <w:tc>
          <w:tcPr>
            <w:tcW w:type="dxa" w:w="1051"/>
          </w:tcPr>
          <w:p>
            <w:pPr>
              <w:pStyle w:val="null3"/>
            </w:pPr>
            <w:r>
              <w:rPr/>
              <w:t>16</w:t>
            </w:r>
          </w:p>
        </w:tc>
        <w:tc>
          <w:tcPr>
            <w:tcW w:type="dxa" w:w="2252"/>
          </w:tcPr>
          <w:p>
            <w:pPr>
              <w:pStyle w:val="null3"/>
            </w:pPr>
            <w:r>
              <w:rPr/>
              <w:t>进口产品</w:t>
            </w:r>
          </w:p>
        </w:tc>
        <w:tc>
          <w:tcPr>
            <w:tcW w:type="dxa" w:w="5004"/>
          </w:tcPr>
          <w:p>
            <w:pPr>
              <w:pStyle w:val="null3"/>
            </w:pPr>
          </w:p>
          <w:p>
            <w:pPr>
              <w:pStyle w:val="null3"/>
            </w:pPr>
            <w:r>
              <w:rPr/>
              <w:t>不允许（实质性要求）</w:t>
            </w:r>
          </w:p>
        </w:tc>
      </w:tr>
      <w:tr>
        <w:tc>
          <w:tcPr>
            <w:tcW w:type="dxa" w:w="1051"/>
          </w:tcPr>
          <w:p>
            <w:pPr>
              <w:pStyle w:val="null3"/>
            </w:pPr>
            <w:r>
              <w:rPr/>
              <w:t>17</w:t>
            </w:r>
          </w:p>
        </w:tc>
        <w:tc>
          <w:tcPr>
            <w:tcW w:type="dxa" w:w="2252"/>
          </w:tcPr>
          <w:p>
            <w:pPr>
              <w:pStyle w:val="null3"/>
            </w:pPr>
            <w:r>
              <w:rPr/>
              <w:t>是否组织潜在供应商现场考察</w:t>
            </w:r>
          </w:p>
        </w:tc>
        <w:tc>
          <w:tcPr>
            <w:tcW w:type="dxa" w:w="5004"/>
          </w:tcPr>
          <w:p>
            <w:pPr>
              <w:pStyle w:val="null3"/>
            </w:pPr>
          </w:p>
          <w:p>
            <w:pPr>
              <w:pStyle w:val="null3"/>
            </w:pPr>
          </w:p>
          <w:p>
            <w:pPr>
              <w:pStyle w:val="null3"/>
            </w:pPr>
            <w:r>
              <w:rPr/>
              <w:t>采购包1：否</w:t>
            </w:r>
          </w:p>
        </w:tc>
      </w:tr>
      <w:tr>
        <w:tc>
          <w:tcPr>
            <w:tcW w:type="dxa" w:w="1051"/>
          </w:tcPr>
          <w:p>
            <w:pPr>
              <w:pStyle w:val="null3"/>
            </w:pPr>
            <w:r>
              <w:rPr/>
              <w:t>18</w:t>
            </w:r>
          </w:p>
        </w:tc>
        <w:tc>
          <w:tcPr>
            <w:tcW w:type="dxa" w:w="2252"/>
          </w:tcPr>
          <w:p>
            <w:pPr>
              <w:pStyle w:val="null3"/>
            </w:pPr>
            <w:r>
              <w:rPr/>
              <w:t>开启方式</w:t>
            </w:r>
          </w:p>
        </w:tc>
        <w:tc>
          <w:tcPr>
            <w:tcW w:type="dxa" w:w="5004"/>
          </w:tcPr>
          <w:p>
            <w:pPr>
              <w:pStyle w:val="null3"/>
            </w:pPr>
          </w:p>
          <w:p>
            <w:pPr>
              <w:pStyle w:val="null3"/>
            </w:pPr>
            <w:r>
              <w:rPr/>
              <w:t xml:space="preserve"> 响应文件提交截止时间前30分钟，供应商登录项目电子化交易系统-“开标/开启大厅”参与开启。</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出现上述的情形，不影响采购公平、公正的，采购人或者采购代理机构可以待上述情形消除后继续组织采购活动；影响或者可能影响采购公平、公正的，采购人或者采购代理机构应当依法终止采购活动。</w:t>
            </w:r>
          </w:p>
        </w:tc>
      </w:tr>
      <w:tr>
        <w:tc>
          <w:tcPr>
            <w:tcW w:type="dxa" w:w="1051"/>
          </w:tcPr>
          <w:p>
            <w:pPr>
              <w:pStyle w:val="null3"/>
            </w:pPr>
            <w:r>
              <w:rPr/>
              <w:t>20</w:t>
            </w:r>
          </w:p>
        </w:tc>
        <w:tc>
          <w:tcPr>
            <w:tcW w:type="dxa" w:w="2252"/>
          </w:tcPr>
          <w:p>
            <w:pPr>
              <w:pStyle w:val="null3"/>
            </w:pPr>
            <w:r>
              <w:rPr/>
              <w:t>报价/分值精确度</w:t>
            </w:r>
          </w:p>
        </w:tc>
        <w:tc>
          <w:tcPr>
            <w:tcW w:type="dxa" w:w="5004"/>
          </w:tcPr>
          <w:p>
            <w:pPr>
              <w:pStyle w:val="null3"/>
            </w:pPr>
            <w:r>
              <w:rPr/>
              <w:t xml:space="preserve"> 报价/分值精确度仅保留“所有数据项默认最多可输入/展示至小数点后2位，超出小数点位的数值采用四舍五入的方式进行精确。”</w:t>
            </w:r>
          </w:p>
        </w:tc>
      </w:tr>
    </w:tbl>
    <w:p>
      <w:pPr>
        <w:pStyle w:val="null3"/>
        <w:outlineLvl w:val="2"/>
      </w:pPr>
      <w:r>
        <w:rPr>
          <w:b/>
          <w:sz w:val="28"/>
        </w:rPr>
        <w:t>2.2总则</w:t>
      </w:r>
    </w:p>
    <w:p>
      <w:pPr>
        <w:pStyle w:val="null3"/>
        <w:outlineLvl w:val="3"/>
      </w:pPr>
      <w:r>
        <w:rPr>
          <w:b/>
          <w:sz w:val="24"/>
        </w:rPr>
        <w:t xml:space="preserve"> 2.2.1适用范围</w:t>
      </w:r>
    </w:p>
    <w:p>
      <w:pPr>
        <w:pStyle w:val="null3"/>
        <w:ind w:firstLine="480"/>
      </w:pPr>
      <w:r>
        <w:rPr/>
        <w:t>一、本询价通知书仅适用于本次询价采购项目。</w:t>
      </w:r>
    </w:p>
    <w:p>
      <w:pPr>
        <w:pStyle w:val="null3"/>
        <w:ind w:firstLine="480"/>
      </w:pPr>
      <w:r>
        <w:rPr/>
        <w:t xml:space="preserve"> 二、本询价通知书的最终解释权由</w:t>
      </w:r>
      <w:r>
        <w:rPr/>
        <w:t>乐山市金口河区永和镇第一小学</w:t>
      </w:r>
      <w:r>
        <w:rPr/>
        <w:t>和</w:t>
      </w:r>
      <w:r>
        <w:rPr/>
        <w:t>乐山市金口河区公共资源交易服务中心（乐山市金口河区政府采购中心）</w:t>
      </w:r>
      <w:r>
        <w:rPr/>
        <w:t>享有。询价通知书中供应商参加本次政府采购活动应当具备的条件、技术、服务、商务及其他要求由采购人负责解释。除前述询价通知书内容，其他内容</w:t>
      </w:r>
      <w:r>
        <w:rPr/>
        <w:t>乐山市金口河区公共资源交易服务中心（乐山市金口河区政府采购中心）</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一、“采购人”是指依法进行政府采购的各级国家机关、事业单位、团体组织。本次询价采购项目的采购人是</w:t>
      </w:r>
      <w:r>
        <w:rPr/>
        <w:t>乐山市金口河区永和镇第一小学</w:t>
      </w:r>
      <w:r>
        <w:rPr/>
        <w:t>。</w:t>
      </w:r>
    </w:p>
    <w:p>
      <w:pPr>
        <w:pStyle w:val="null3"/>
        <w:ind w:firstLine="480"/>
      </w:pPr>
      <w:r>
        <w:rPr/>
        <w:t xml:space="preserve"> 二、“供应商”是指按照本项目询价通知书规定获取询价通知书，拟参加响应和向采购人提供货物及相应服务的法人、其他组织或自然人。</w:t>
      </w:r>
    </w:p>
    <w:p>
      <w:pPr>
        <w:pStyle w:val="null3"/>
        <w:ind w:firstLine="480"/>
      </w:pPr>
      <w:r>
        <w:rPr/>
        <w:t xml:space="preserve"> 三、“代理机构”是指政府采购集中采购机构从事政府采购代理业务的社会中介机构。本项目的代理机构是</w:t>
      </w:r>
      <w:r>
        <w:rPr/>
        <w:t>乐山市金口河区公共资源交易服务中心（乐山市金口河区政府采购中心）</w:t>
      </w:r>
      <w:r>
        <w:rPr/>
        <w:t>。</w:t>
      </w:r>
    </w:p>
    <w:p>
      <w:pPr>
        <w:pStyle w:val="null3"/>
        <w:ind w:firstLine="480"/>
      </w:pPr>
      <w:r>
        <w:rPr/>
        <w:t xml:space="preserve"> 四、“网上开启”即不见面开启，是指代理机构通过项目电子化交易系统在线完成签到、开启和记录等活动，供应商通过项目电子化交易系统在线完成响应文件解密、参与询价采购活动。</w:t>
      </w:r>
    </w:p>
    <w:p>
      <w:pPr>
        <w:pStyle w:val="null3"/>
        <w:ind w:firstLine="480"/>
      </w:pPr>
      <w:r>
        <w:rPr/>
        <w:t xml:space="preserve"> 五、“电子评审”是指通过项目电子化交易系统在线完成询价小组组建，开展资格和符合性审查、比较与评价、出具评审报告、推荐成交候选供应商等活动。</w:t>
      </w:r>
    </w:p>
    <w:p>
      <w:pPr>
        <w:pStyle w:val="null3"/>
        <w:outlineLvl w:val="2"/>
      </w:pPr>
      <w:r>
        <w:rPr>
          <w:b/>
          <w:sz w:val="28"/>
        </w:rPr>
        <w:t>2.3询价通知书</w:t>
      </w:r>
    </w:p>
    <w:p>
      <w:pPr>
        <w:pStyle w:val="null3"/>
        <w:outlineLvl w:val="3"/>
      </w:pPr>
      <w:r>
        <w:rPr>
          <w:b/>
          <w:sz w:val="24"/>
        </w:rPr>
        <w:t xml:space="preserve"> 2.3.1询价通知书的构成</w:t>
      </w:r>
    </w:p>
    <w:p>
      <w:pPr>
        <w:pStyle w:val="null3"/>
        <w:ind w:firstLine="480"/>
      </w:pPr>
      <w:r>
        <w:rPr/>
        <w:t xml:space="preserve"> 一、询价通知书是供应商准备响应文件和参加询价采购活动的依据，同时也是评审的重要依据。询价通知书用以阐明采购项目所需的资质、技术、服务及报价等要求、询价采购活动程序、有关规定和注意事项以及合同草案条款等。本询价通知书包括以下内容：</w:t>
      </w:r>
    </w:p>
    <w:p>
      <w:pPr>
        <w:pStyle w:val="null3"/>
        <w:ind w:firstLine="480"/>
      </w:pPr>
      <w:r>
        <w:rPr/>
        <w:t>（一）询价邀请</w:t>
      </w:r>
    </w:p>
    <w:p>
      <w:pPr>
        <w:pStyle w:val="null3"/>
        <w:ind w:firstLine="480"/>
      </w:pPr>
      <w:r>
        <w:rPr/>
        <w:t>（二）供应商须知</w:t>
      </w:r>
    </w:p>
    <w:p>
      <w:pPr>
        <w:pStyle w:val="null3"/>
        <w:ind w:firstLine="480"/>
      </w:pPr>
      <w:r>
        <w:rPr/>
        <w:t>（三）采购项目技术、服务、商务及其他要求</w:t>
      </w:r>
    </w:p>
    <w:p>
      <w:pPr>
        <w:pStyle w:val="null3"/>
        <w:ind w:firstLine="480"/>
      </w:pPr>
      <w:r>
        <w:rPr/>
        <w:t>（四）询价方法</w:t>
      </w:r>
    </w:p>
    <w:p>
      <w:pPr>
        <w:pStyle w:val="null3"/>
        <w:ind w:firstLine="480"/>
      </w:pPr>
      <w:r>
        <w:rPr/>
        <w:t>（五）响应文件格式</w:t>
      </w:r>
    </w:p>
    <w:p>
      <w:pPr>
        <w:pStyle w:val="null3"/>
        <w:ind w:firstLine="480"/>
      </w:pPr>
      <w:r>
        <w:rPr/>
        <w:t>（六）拟签订采购合同文本</w:t>
      </w:r>
    </w:p>
    <w:p>
      <w:pPr>
        <w:pStyle w:val="null3"/>
        <w:ind w:firstLine="480"/>
      </w:pPr>
      <w:r>
        <w:rPr/>
        <w:t xml:space="preserve"> 二、供应商应认真阅读和充分理解询价通知书中所有的事项、格式条款和规范要求。供应商没有对询价通知书全面作出实质性响应所产生的风险由供应商承担。</w:t>
      </w:r>
    </w:p>
    <w:p>
      <w:pPr>
        <w:pStyle w:val="null3"/>
        <w:outlineLvl w:val="3"/>
      </w:pPr>
      <w:r>
        <w:rPr>
          <w:b/>
          <w:sz w:val="24"/>
        </w:rPr>
        <w:t xml:space="preserve"> 2.3.2询价通知书的澄清和修改</w:t>
      </w:r>
    </w:p>
    <w:p>
      <w:pPr>
        <w:pStyle w:val="null3"/>
        <w:ind w:firstLine="480"/>
      </w:pPr>
      <w:r>
        <w:rPr/>
        <w:t>一、在响应文件提交截止时间前，采购人或者代理机构可以对已发出的询价通知书进行必要的澄清或者修改。</w:t>
      </w:r>
    </w:p>
    <w:p>
      <w:pPr>
        <w:pStyle w:val="null3"/>
        <w:ind w:firstLine="480"/>
      </w:pPr>
      <w:r>
        <w:rPr/>
        <w:t xml:space="preserve"> 二、澄清或者修改的内容为询价通知书的组成部分。采购人或代理机构将在四川政府采购网发布更正公告，供应商应及时关注本项目更正公告信息，按更正后公告要求进行响应。更正内容可能影响响应文件编制的，采购人或代理机构将通过项目电子化交易系统发布更正后的询价通知书，供应商应依据更正后的询价通知书编制响应文件。若供应商未按前述要求进行响应的，自行承担不利后果。</w:t>
      </w:r>
    </w:p>
    <w:p>
      <w:pPr>
        <w:pStyle w:val="null3"/>
        <w:outlineLvl w:val="2"/>
      </w:pPr>
      <w:r>
        <w:rPr>
          <w:b/>
          <w:sz w:val="28"/>
        </w:rPr>
        <w:t>2.4响应文件</w:t>
      </w:r>
    </w:p>
    <w:p>
      <w:pPr>
        <w:pStyle w:val="null3"/>
        <w:outlineLvl w:val="3"/>
      </w:pPr>
      <w:r>
        <w:rPr>
          <w:b/>
          <w:sz w:val="24"/>
        </w:rPr>
        <w:t xml:space="preserve"> 2.4.1响应文件的语言</w:t>
      </w:r>
    </w:p>
    <w:p>
      <w:pPr>
        <w:pStyle w:val="null3"/>
        <w:ind w:firstLine="480"/>
      </w:pPr>
      <w:r>
        <w:rPr/>
        <w:t xml:space="preserve"> 一、供应商提交的响应文件以及供应商与询价小组在评审过程中的所有来往书面文件均须使用中文。响应文件中如附有外文资料，主要部分要对应翻译成中文并附在相关外文资料后面。未翻译的外文资料，询价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2.4.2计量单位（实质性要求）</w:t>
      </w:r>
    </w:p>
    <w:p>
      <w:pPr>
        <w:pStyle w:val="null3"/>
        <w:ind w:firstLine="480"/>
      </w:pPr>
      <w:r>
        <w:rPr/>
        <w:t>除询价通知书中另有规定外，本项目均采用国家法定的计量单位。</w:t>
      </w:r>
    </w:p>
    <w:p>
      <w:pPr>
        <w:pStyle w:val="null3"/>
        <w:outlineLvl w:val="3"/>
      </w:pPr>
      <w:r>
        <w:rPr>
          <w:b/>
          <w:sz w:val="24"/>
        </w:rPr>
        <w:t>2.4.3响应货币（实质性要求）</w:t>
      </w:r>
    </w:p>
    <w:p>
      <w:pPr>
        <w:pStyle w:val="null3"/>
        <w:ind w:firstLine="480"/>
      </w:pPr>
      <w:r>
        <w:rPr/>
        <w:t>本次项目均以人民币报价。</w:t>
      </w:r>
    </w:p>
    <w:p>
      <w:pPr>
        <w:pStyle w:val="null3"/>
        <w:outlineLvl w:val="3"/>
      </w:pPr>
      <w:r>
        <w:rPr>
          <w:b/>
          <w:sz w:val="24"/>
        </w:rPr>
        <w:t xml:space="preserve"> 2.4.4知识产权（实质性要求）</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三、如采用供应商所不拥有的知识产权，则在报价中必须包括合法获取使用该知识产权的相关费用。</w:t>
      </w:r>
    </w:p>
    <w:p>
      <w:pPr>
        <w:pStyle w:val="null3"/>
        <w:outlineLvl w:val="3"/>
      </w:pPr>
      <w:r>
        <w:rPr>
          <w:b/>
          <w:sz w:val="24"/>
        </w:rPr>
        <w:t>2.4.5响应文件的组成</w:t>
      </w:r>
    </w:p>
    <w:p>
      <w:pPr>
        <w:pStyle w:val="null3"/>
        <w:ind w:firstLine="480"/>
      </w:pPr>
      <w:r>
        <w:rPr/>
        <w:t>一、供应商应按照询价通知书的规定和要求编制响应文件。</w:t>
      </w:r>
    </w:p>
    <w:p>
      <w:pPr>
        <w:pStyle w:val="null3"/>
        <w:ind w:firstLine="480"/>
      </w:pPr>
      <w:r>
        <w:rPr/>
        <w:t>二、响应文件具体内容详见第五章。</w:t>
      </w:r>
    </w:p>
    <w:p>
      <w:pPr>
        <w:pStyle w:val="null3"/>
        <w:outlineLvl w:val="3"/>
      </w:pPr>
      <w:r>
        <w:rPr>
          <w:b/>
          <w:sz w:val="24"/>
        </w:rPr>
        <w:t xml:space="preserve"> 2.4.6响应文件格式</w:t>
      </w:r>
    </w:p>
    <w:p>
      <w:pPr>
        <w:pStyle w:val="null3"/>
        <w:ind w:firstLine="480"/>
      </w:pPr>
      <w:r>
        <w:rPr/>
        <w:t>一、供应商应按照询价通知书第五章中提供的“响应文件格式”填写相关内容。</w:t>
      </w:r>
    </w:p>
    <w:p>
      <w:pPr>
        <w:pStyle w:val="null3"/>
        <w:ind w:firstLine="480"/>
      </w:pPr>
      <w:r>
        <w:rPr/>
        <w:t>二、对于没有格式要求的响应文件由供应商自行编写。</w:t>
      </w:r>
    </w:p>
    <w:p>
      <w:pPr>
        <w:pStyle w:val="null3"/>
        <w:outlineLvl w:val="3"/>
      </w:pPr>
      <w:r>
        <w:rPr>
          <w:b/>
          <w:sz w:val="24"/>
        </w:rPr>
        <w:t>2.4.7响应报价（实质性要求）</w:t>
      </w:r>
    </w:p>
    <w:p>
      <w:pPr>
        <w:pStyle w:val="null3"/>
        <w:ind w:firstLine="480"/>
      </w:pPr>
      <w:r>
        <w:rPr/>
        <w:t>一、供应商的报价是其响应本项目要求的全部工作内容的价格体现，包括供应商完成本项目所需的一切费用。</w:t>
      </w:r>
    </w:p>
    <w:p>
      <w:pPr>
        <w:pStyle w:val="null3"/>
        <w:ind w:firstLine="480"/>
      </w:pPr>
      <w:r>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t>三、通过资格审查和符合性审查供应商的响应文件中的报价表或分项报价明细表是一次性不可更改的报价。</w:t>
      </w:r>
    </w:p>
    <w:p>
      <w:pPr>
        <w:pStyle w:val="null3"/>
        <w:outlineLvl w:val="3"/>
      </w:pPr>
      <w:r>
        <w:rPr>
          <w:b/>
          <w:sz w:val="24"/>
        </w:rPr>
        <w:t>2.4.8响应文件有效期（实质性要求）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2.4.9响应文件的制作、签章和加密（实质性要求）</w:t>
      </w:r>
    </w:p>
    <w:p>
      <w:pPr>
        <w:pStyle w:val="null3"/>
        <w:ind w:firstLine="480"/>
      </w:pPr>
      <w:r>
        <w:rPr/>
        <w:t xml:space="preserve"> 一、响应文件应当根据询价通知书进行编制。供应商应通过四川政府采购网-办事指南下载响应客户端，使用客户端编制响应文件。</w:t>
      </w:r>
    </w:p>
    <w:p>
      <w:pPr>
        <w:pStyle w:val="null3"/>
        <w:ind w:firstLine="480"/>
      </w:pPr>
      <w:r>
        <w:rPr/>
        <w:t xml:space="preserve"> 二、供应商应按照客户端操作要求，对应询价通知书的每项实质性要求，逐一如实响应；未如实响应或者响应内容不符合询价通知书对应项的要求的，其响应文件作无效处理。</w:t>
      </w:r>
    </w:p>
    <w:p>
      <w:pPr>
        <w:pStyle w:val="null3"/>
        <w:ind w:firstLine="480"/>
      </w:pPr>
      <w:r>
        <w:rPr/>
        <w:t xml:space="preserve"> 三、供应商完成响应文件编制后，应按照响应文件第一章明确的签章要求，使用互认的证书及签章对响应文件进行电子签章和加密。</w:t>
      </w:r>
    </w:p>
    <w:p>
      <w:pPr>
        <w:pStyle w:val="null3"/>
        <w:ind w:firstLine="480"/>
      </w:pPr>
      <w:r>
        <w:rPr/>
        <w:t xml:space="preserve"> 四、询价通知书澄清或者修改的内容可能影响响应文件编制的，代理机构将重新发布澄清或者修改后的询价通知书，供应商应重新获取澄清或者修改后的询价通知书，按照澄清或者修改后的询价通知书进行响应文件编制、签章和加密。</w:t>
      </w:r>
    </w:p>
    <w:p>
      <w:pPr>
        <w:pStyle w:val="null3"/>
        <w:outlineLvl w:val="3"/>
      </w:pPr>
      <w:r>
        <w:rPr>
          <w:b/>
          <w:sz w:val="24"/>
        </w:rPr>
        <w:t>2.4.10响应文件的提交（实质性要求）</w:t>
      </w:r>
    </w:p>
    <w:p>
      <w:pPr>
        <w:pStyle w:val="null3"/>
        <w:ind w:firstLine="480"/>
      </w:pPr>
      <w:r>
        <w:rPr/>
        <w:t>一、供应商应当在响应文件提交截止时间前，通过项目电子化交易系统完成响应文件提交。</w:t>
      </w:r>
    </w:p>
    <w:p>
      <w:pPr>
        <w:pStyle w:val="null3"/>
        <w:ind w:firstLine="480"/>
      </w:pPr>
      <w:r>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b/>
          <w:sz w:val="24"/>
        </w:rPr>
        <w:t xml:space="preserve"> 2.4.11响应文件的补充、修改、撤回（实质性要求）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2.5.开启、资格审查、询价和成交</w:t>
      </w:r>
    </w:p>
    <w:p>
      <w:pPr>
        <w:pStyle w:val="null3"/>
        <w:outlineLvl w:val="3"/>
      </w:pPr>
      <w:r>
        <w:rPr>
          <w:b/>
          <w:sz w:val="24"/>
        </w:rPr>
        <w:t>2.5.1开启程序</w:t>
      </w:r>
    </w:p>
    <w:p>
      <w:pPr>
        <w:pStyle w:val="null3"/>
        <w:ind w:firstLine="480"/>
      </w:pPr>
      <w:r>
        <w:rPr/>
        <w:t xml:space="preserve"> 一、本项目为网上询价项目。网上开启的开始时间为响应文件提交截止时间。成功提交或成功提交和解密电子响应文件的供应商不足3家的，不予开启，采购人或代理机构将终止采购活动。</w:t>
      </w:r>
    </w:p>
    <w:p>
      <w:pPr>
        <w:pStyle w:val="null3"/>
        <w:ind w:firstLine="480"/>
      </w:pPr>
      <w:r>
        <w:rPr/>
        <w:t>二、开启准备工作</w:t>
      </w:r>
    </w:p>
    <w:p>
      <w:pPr>
        <w:pStyle w:val="null3"/>
        <w:ind w:firstLine="480"/>
      </w:pPr>
      <w:r>
        <w:rPr/>
        <w:t>响应文件提交截止时间前30分钟，供应商登录项目电子化交易系统-“开标/开启大厅”参与开启。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四、开启</w:t>
      </w:r>
    </w:p>
    <w:p>
      <w:pPr>
        <w:pStyle w:val="null3"/>
        <w:ind w:firstLine="480"/>
      </w:pPr>
      <w:r>
        <w:rPr/>
        <w:t xml:space="preserve"> 解密时间截止或者所有供应商响应文件均完成解密后（以发生在先的时间为准），由代理机构通过项目电子化交易系统对供应商名称、响应文件解密情况、响应报价进行展示。</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t>供应商完成响应文件解密后，自主决定是否参加网上在线开启，未参加的，视同认可开启结果。</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详见询价通知书第四章。</w:t>
      </w:r>
    </w:p>
    <w:p>
      <w:pPr>
        <w:pStyle w:val="null3"/>
        <w:outlineLvl w:val="3"/>
      </w:pPr>
      <w:r>
        <w:rPr>
          <w:b/>
          <w:sz w:val="24"/>
        </w:rPr>
        <w:t>2.5.4询价</w:t>
      </w:r>
    </w:p>
    <w:p>
      <w:pPr>
        <w:pStyle w:val="null3"/>
        <w:ind w:firstLine="480"/>
      </w:pPr>
      <w:r>
        <w:rPr/>
        <w:t>详见询价通知书第四章</w:t>
      </w:r>
    </w:p>
    <w:p>
      <w:pPr>
        <w:pStyle w:val="null3"/>
        <w:outlineLvl w:val="3"/>
      </w:pPr>
      <w:r>
        <w:rPr>
          <w:b/>
          <w:sz w:val="24"/>
        </w:rPr>
        <w:t>2.5.5成交通知书</w:t>
      </w:r>
    </w:p>
    <w:p>
      <w:pPr>
        <w:pStyle w:val="null3"/>
        <w:ind w:firstLine="480"/>
      </w:pPr>
      <w:r>
        <w:rPr/>
        <w:t xml:space="preserve"> 一、采购人或者询价小组确认成交供应商后，代理机构在四川政府采购网发布成交结果公告、通过项目电子化交易系统发出成交通知书，成交供应商通过项目电子化交易系统获取成交通知书。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二、采购人和成交供应商签订的采购合同不得对询价通知书确定的事项以及成交供应商的响应文件作实质性修改。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供应商根据询价通知书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p>
    <w:p>
      <w:pPr>
        <w:pStyle w:val="null3"/>
      </w:pPr>
    </w:p>
    <w:p>
      <w:pPr>
        <w:pStyle w:val="null3"/>
      </w:pPr>
    </w:p>
    <w:p>
      <w:pPr>
        <w:pStyle w:val="null3"/>
      </w:pPr>
      <w:r>
        <w:rPr/>
        <w:t>采购包1：不允许合同分包；</w:t>
      </w:r>
    </w:p>
    <w:p>
      <w:pPr>
        <w:pStyle w:val="null3"/>
        <w:outlineLvl w:val="3"/>
      </w:pPr>
      <w:r>
        <w:rPr>
          <w:b/>
          <w:sz w:val="24"/>
        </w:rPr>
        <w:t>2.6.2.2合同转包</w:t>
      </w:r>
    </w:p>
    <w:p>
      <w:pPr>
        <w:pStyle w:val="null3"/>
        <w:ind w:firstLine="480"/>
      </w:pPr>
      <w:r>
        <w:rPr/>
        <w:t xml:space="preserve"> 一、严禁成交供应商将本项目转包。本项目所称转包，是指将本项目转给他人或者将本项目全部肢解以后以分包的名义分别转给他人的行为。</w:t>
      </w:r>
    </w:p>
    <w:p>
      <w:pPr>
        <w:pStyle w:val="null3"/>
        <w:ind w:firstLine="480"/>
      </w:pPr>
      <w:r>
        <w:rPr/>
        <w:t>二、成交供应商转包的，视同拒绝履行政府采购合同，将依法追究法律责任。</w:t>
      </w:r>
    </w:p>
    <w:p>
      <w:pPr>
        <w:pStyle w:val="null3"/>
        <w:outlineLvl w:val="3"/>
      </w:pPr>
      <w:r>
        <w:rPr>
          <w:b/>
          <w:sz w:val="24"/>
        </w:rPr>
        <w:t>2.6.3采购人增加合同标的的权利</w:t>
      </w:r>
    </w:p>
    <w:p>
      <w:pPr>
        <w:pStyle w:val="null3"/>
        <w:ind w:firstLine="480"/>
      </w:pPr>
      <w:r>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2"/>
      </w:pPr>
      <w:r>
        <w:rPr>
          <w:b/>
          <w:sz w:val="28"/>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2"/>
      </w:pPr>
      <w:r>
        <w:rPr>
          <w:b/>
          <w:sz w:val="28"/>
        </w:rPr>
        <w:t>2.6.5履约验收方案</w:t>
      </w:r>
    </w:p>
    <w:p>
      <w:pPr>
        <w:pStyle w:val="null3"/>
      </w:pPr>
    </w:p>
    <w:p>
      <w:pPr>
        <w:pStyle w:val="null3"/>
      </w:pPr>
    </w:p>
    <w:p>
      <w:pPr>
        <w:pStyle w:val="null3"/>
      </w:pPr>
    </w:p>
    <w:p>
      <w:pPr>
        <w:pStyle w:val="null3"/>
      </w:pPr>
      <w:r>
        <w:rPr/>
        <w:t>采购包1：</w:t>
      </w:r>
    </w:p>
    <w:p>
      <w:pPr>
        <w:pStyle w:val="null3"/>
        <w:ind w:firstLine="840"/>
      </w:pPr>
      <w:r>
        <w:rPr/>
        <w:t>1）验收组织方式：</w:t>
      </w:r>
      <w:r>
        <w:rPr/>
        <w:t>自行验收</w:t>
      </w:r>
    </w:p>
    <w:p>
      <w:pPr>
        <w:pStyle w:val="null3"/>
        <w:ind w:firstLine="840"/>
      </w:pPr>
      <w:r>
        <w:rPr/>
        <w:t>2）是否邀请本项目的其他供应商：</w:t>
      </w:r>
      <w:r>
        <w:rPr/>
        <w:t>否</w:t>
      </w:r>
    </w:p>
    <w:p>
      <w:pPr>
        <w:pStyle w:val="null3"/>
        <w:ind w:firstLine="840"/>
      </w:pPr>
      <w:r>
        <w:rPr/>
        <w:t>3）是否邀请专家：</w:t>
      </w:r>
      <w:r>
        <w:rPr/>
        <w:t>否</w:t>
      </w:r>
    </w:p>
    <w:p>
      <w:pPr>
        <w:pStyle w:val="null3"/>
        <w:ind w:firstLine="840"/>
      </w:pPr>
      <w:r>
        <w:rPr/>
        <w:t>4）是否邀请服务对象：</w:t>
      </w:r>
      <w:r>
        <w:rPr/>
        <w:t>否</w:t>
      </w:r>
    </w:p>
    <w:p>
      <w:pPr>
        <w:pStyle w:val="null3"/>
        <w:ind w:firstLine="840"/>
      </w:pPr>
      <w:r>
        <w:rPr/>
        <w:t>5）是否邀请第三方检测机构：</w:t>
      </w:r>
      <w:r>
        <w:rPr/>
        <w:t>否</w:t>
      </w:r>
    </w:p>
    <w:p>
      <w:pPr>
        <w:pStyle w:val="null3"/>
        <w:ind w:firstLine="840"/>
      </w:pPr>
      <w:r>
        <w:rPr/>
        <w:t>6）履约验收程序：</w:t>
      </w:r>
      <w:r>
        <w:rPr/>
        <w:t>一次性验收</w:t>
      </w:r>
    </w:p>
    <w:p>
      <w:pPr>
        <w:pStyle w:val="null3"/>
        <w:ind w:firstLine="840"/>
      </w:pPr>
      <w:r>
        <w:rPr/>
        <w:t>7）履约验收时间：</w:t>
      </w:r>
    </w:p>
    <w:p>
      <w:pPr>
        <w:pStyle w:val="null3"/>
      </w:pPr>
    </w:p>
    <w:p>
      <w:pPr>
        <w:pStyle w:val="null3"/>
        <w:ind w:firstLine="1200"/>
      </w:pPr>
      <w:r>
        <w:rPr/>
        <w:t>供应商提出验收申请之日起</w:t>
      </w:r>
      <w:r>
        <w:rPr/>
        <w:t>3</w:t>
      </w:r>
      <w:r>
        <w:rPr/>
        <w:t>日内组织验收</w:t>
      </w:r>
    </w:p>
    <w:p>
      <w:pPr>
        <w:pStyle w:val="null3"/>
        <w:ind w:firstLine="840"/>
      </w:pPr>
      <w:r>
        <w:rPr/>
        <w:t>8）验收组织的其他事项：</w:t>
      </w:r>
      <w:r>
        <w:rPr/>
        <w:t>1、验收标准：依据谈判文件以及经评审后供应商的响应文件中的规格，技术指标响应承诺以及商务等承诺为标准进行验收。货到时，验收检查，如不合格，拒收货物，并要求供货方于 7 日内调换产品，经检验还不合格，取消合同，产生的所有后果由供货方承担。 2、其他未尽事宜严格按照《中华人民共和国政府采购法实施条例》第四十五条〕和乐市财政采【2021】8号文件以及《财政部关于进一步加强政府采购需求和履约验收管理的指导意见》财库〔2016〕205号文件的规定对每一项技术、服务、安全标准逐项(条)确认验收。</w:t>
      </w:r>
    </w:p>
    <w:p>
      <w:pPr>
        <w:pStyle w:val="null3"/>
        <w:ind w:firstLine="840"/>
      </w:pPr>
      <w:r>
        <w:rPr/>
        <w:t>9）技术履约验收内容：</w:t>
      </w:r>
      <w:r>
        <w:rPr/>
        <w:t>按照文件技术要求</w:t>
      </w:r>
    </w:p>
    <w:p>
      <w:pPr>
        <w:pStyle w:val="null3"/>
        <w:ind w:firstLine="840"/>
      </w:pPr>
      <w:r>
        <w:rPr/>
        <w:t>10）商务履约验收内容：</w:t>
      </w:r>
      <w:r>
        <w:rPr/>
        <w:t>按照文件商务要求</w:t>
      </w:r>
    </w:p>
    <w:p>
      <w:pPr>
        <w:pStyle w:val="null3"/>
        <w:ind w:firstLine="840"/>
      </w:pPr>
      <w:r>
        <w:rPr/>
        <w:t>11）履约验收标准：</w:t>
      </w:r>
    </w:p>
    <w:p>
      <w:pPr>
        <w:pStyle w:val="null3"/>
      </w:pPr>
    </w:p>
    <w:p>
      <w:pPr>
        <w:pStyle w:val="null3"/>
        <w:ind w:firstLine="1200"/>
      </w:pPr>
      <w:r>
        <w:rPr/>
        <w:t>成交供应商与采购人应严格按照《财政部关于进一步加强政府采购需求和履约验收管理的指导意见》（财库〔2016〕205号）和《关于沿用＜乐山市政府采购项目需求论证和履约验收管理实施细则＞的通知》（乐市财政采〔2021〕8号）、财政部关于印发《政府采购需求管理办法》的通知（财库〔2021〕22号）等的要求进行验收。</w:t>
      </w:r>
    </w:p>
    <w:p>
      <w:pPr>
        <w:pStyle w:val="null3"/>
        <w:ind w:firstLine="840"/>
      </w:pPr>
      <w:r>
        <w:rPr/>
        <w:t>12）履约验收其他事项：</w:t>
      </w:r>
      <w:r>
        <w:rPr/>
        <w:t>其他未尽事宜严格按照《中华人民共和国政府采购法实施条例》第四十五条〕和乐市财政采【2021】8号文件以及《财政部关于进一步加强政府采购需求和履约验收管理的指导意见》财库〔2016〕205号文件的规定对每一项技术、服务、安全标准逐项(条)确认验收。</w:t>
      </w:r>
    </w:p>
    <w:p>
      <w:pPr>
        <w:pStyle w:val="null3"/>
        <w:outlineLvl w:val="2"/>
      </w:pPr>
      <w:r>
        <w:rPr>
          <w:b/>
          <w:sz w:val="28"/>
        </w:rPr>
        <w:t>2.6.6资金支付</w:t>
      </w:r>
    </w:p>
    <w:p>
      <w:pPr>
        <w:pStyle w:val="null3"/>
        <w:ind w:firstLine="480"/>
      </w:pPr>
      <w:r>
        <w:rPr/>
        <w:t>采购人按财政部门的相关规定及采购合同的约定进行支付。</w:t>
      </w:r>
    </w:p>
    <w:p>
      <w:pPr>
        <w:pStyle w:val="null3"/>
        <w:outlineLvl w:val="2"/>
      </w:pPr>
      <w:r>
        <w:rPr>
          <w:b/>
          <w:sz w:val="28"/>
        </w:rPr>
        <w:t>2.7询价采购工作纪律及要求</w:t>
      </w:r>
    </w:p>
    <w:p>
      <w:pPr>
        <w:pStyle w:val="null3"/>
        <w:outlineLvl w:val="3"/>
      </w:pPr>
      <w:r>
        <w:rPr>
          <w:b/>
          <w:sz w:val="24"/>
        </w:rPr>
        <w:t xml:space="preserve"> 2.7.1供应商不得具有的情形（实质性要求）</w:t>
      </w:r>
    </w:p>
    <w:p>
      <w:pPr>
        <w:pStyle w:val="null3"/>
        <w:ind w:firstLine="480"/>
      </w:pPr>
      <w:r>
        <w:rPr/>
        <w:t>供应商参加询价不得有下列情形：</w:t>
      </w:r>
    </w:p>
    <w:p>
      <w:pPr>
        <w:pStyle w:val="null3"/>
        <w:ind w:firstLine="480"/>
      </w:pPr>
      <w:r>
        <w:rPr/>
        <w:t>一、有下列情形之一的，视为供应商串通询价：</w:t>
      </w:r>
    </w:p>
    <w:p>
      <w:pPr>
        <w:pStyle w:val="null3"/>
        <w:ind w:firstLine="480"/>
      </w:pPr>
      <w:r>
        <w:rPr/>
        <w:t>（一）不同供应商的响应文件由同一单位或者个人编制；</w:t>
      </w:r>
    </w:p>
    <w:p>
      <w:pPr>
        <w:pStyle w:val="null3"/>
        <w:ind w:firstLine="480"/>
      </w:pPr>
      <w:r>
        <w:rPr/>
        <w:t>（二）不同供应商委托同一单位或者个人办理询价事宜；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五、向采购人或代理机构、询价小组成员行贿或者提供其他不正当利益；</w:t>
      </w:r>
    </w:p>
    <w:p>
      <w:pPr>
        <w:pStyle w:val="null3"/>
        <w:ind w:firstLine="480"/>
      </w:pPr>
      <w:r>
        <w:rPr/>
        <w:t>六、在询价过程中与采购人或代理机构进行协商谈判；</w:t>
      </w:r>
    </w:p>
    <w:p>
      <w:pPr>
        <w:pStyle w:val="null3"/>
        <w:ind w:firstLine="480"/>
      </w:pPr>
      <w:r>
        <w:rPr/>
        <w:t>七、成交后无正当理由拒不与采购人签订政府采购合同；</w:t>
      </w:r>
    </w:p>
    <w:p>
      <w:pPr>
        <w:pStyle w:val="null3"/>
        <w:ind w:firstLine="480"/>
      </w:pPr>
      <w:r>
        <w:rPr/>
        <w:t>八、未按照询价通知书确定的事项签订政府采购合同；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根据委托代理协议约定，供应商对询价通知书的询问、质疑由 </w:t>
      </w:r>
      <w:r>
        <w:rPr/>
        <w:t>乐山市金口河区公共资源交易服务中心（乐山市金口河区政府采购中心）</w:t>
      </w:r>
      <w:r>
        <w:rPr/>
        <w:t xml:space="preserve"> 负责答复；供应商对采购过程的询问、质疑由</w:t>
      </w:r>
      <w:r>
        <w:rPr/>
        <w:t>乐山市金口河区公共资源交易服务中心（乐山市金口河区政府采购中心）</w:t>
      </w:r>
      <w:r>
        <w:rPr/>
        <w:t xml:space="preserve"> 负责答复；供应商对采购结果的询问、质疑由 </w:t>
      </w:r>
      <w:r>
        <w:rPr/>
        <w:t>乐山市金口河区公共资源交易服务中心（乐山市金口河区政府采购中心）</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（五）针对质疑事项必要的证明材料（针对询价通知书提出的质疑，需提交从项目电子化交易系统获取的询价通知书回执函）。</w:t>
      </w:r>
    </w:p>
    <w:p>
      <w:pPr>
        <w:pStyle w:val="null3"/>
      </w:pPr>
    </w:p>
    <w:p>
      <w:pPr>
        <w:pStyle w:val="null3"/>
      </w:pPr>
    </w:p>
    <w:p>
      <w:pPr>
        <w:pStyle w:val="null3"/>
      </w:pPr>
      <w:r>
        <w:rPr/>
        <w:t>答复主体：代理机构</w:t>
      </w:r>
    </w:p>
    <w:p>
      <w:pPr>
        <w:pStyle w:val="null3"/>
      </w:pPr>
      <w:r>
        <w:rPr/>
        <w:t>联系人：李老师</w:t>
      </w:r>
    </w:p>
    <w:p>
      <w:pPr>
        <w:pStyle w:val="null3"/>
      </w:pPr>
      <w:r>
        <w:rPr/>
        <w:t>联系电话：0833-2713780</w:t>
      </w:r>
    </w:p>
    <w:p>
      <w:pPr>
        <w:pStyle w:val="null3"/>
      </w:pPr>
      <w:r>
        <w:rPr/>
        <w:t>地址：乐山市金口河区滨河路三段153号</w:t>
      </w:r>
    </w:p>
    <w:p>
      <w:pPr>
        <w:pStyle w:val="null3"/>
      </w:pPr>
      <w:r>
        <w:rPr/>
        <w:t>邮编：614700</w:t>
      </w:r>
    </w:p>
    <w:p>
      <w:pPr>
        <w:pStyle w:val="null3"/>
        <w:ind w:firstLine="480"/>
      </w:pPr>
      <w:r>
        <w:rPr/>
        <w:t>注：根据《中华人民共和国政府采购法》的规定，供应商质疑不得超出询价通知书、询价过程、成交结果的范围。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p>
    <w:p>
      <w:pPr>
        <w:pStyle w:val="null3"/>
      </w:pPr>
      <w:r>
        <w:rPr/>
        <w:t xml:space="preserve"> </w:t>
      </w:r>
    </w:p>
    <w:p>
      <w:pPr>
        <w:pStyle w:val="null3"/>
        <w:outlineLvl w:val="1"/>
      </w:pPr>
      <w:r>
        <w:rPr>
          <w:b/>
          <w:sz w:val="36"/>
        </w:rPr>
        <w:t>第三章 采购项目技术、服务、商务及其他要求</w:t>
      </w:r>
    </w:p>
    <w:p>
      <w:pPr>
        <w:pStyle w:val="null3"/>
        <w:ind w:firstLine="480"/>
      </w:pPr>
      <w:r>
        <w:rPr/>
        <w:t xml:space="preserve"> （带“★”的参数需求为实质性要求，供应商必须响应并满足的参数需求，采购人、采购代理机构应当根据项目实际需求合理设定，并明确具体要求。）</w:t>
      </w:r>
    </w:p>
    <w:p>
      <w:pPr>
        <w:pStyle w:val="null3"/>
        <w:outlineLvl w:val="2"/>
      </w:pPr>
      <w:r>
        <w:rPr>
          <w:b/>
          <w:sz w:val="28"/>
        </w:rPr>
        <w:t>3.1项目概况</w:t>
      </w:r>
    </w:p>
    <w:p>
      <w:pPr>
        <w:pStyle w:val="null3"/>
        <w:ind w:firstLine="480"/>
      </w:pPr>
    </w:p>
    <w:p>
      <w:pPr>
        <w:pStyle w:val="null3"/>
      </w:pPr>
    </w:p>
    <w:p>
      <w:pPr>
        <w:pStyle w:val="null3"/>
      </w:pPr>
      <w:r>
        <w:rPr/>
        <w:t>本项目为金口河区教育考试标准化备用考点网上巡查系统办公设备采购（集采设备），采购预算44.64万元，本项目所属行业为工业。</w:t>
      </w:r>
    </w:p>
    <w:p>
      <w:pPr>
        <w:pStyle w:val="null3"/>
        <w:outlineLvl w:val="2"/>
      </w:pPr>
      <w:r>
        <w:rPr>
          <w:b/>
          <w:sz w:val="28"/>
        </w:rPr>
        <w:t>3.2采购内容</w:t>
      </w:r>
    </w:p>
    <w:p>
      <w:pPr>
        <w:pStyle w:val="null3"/>
        <w:outlineLvl w:val="3"/>
      </w:pPr>
      <w:r>
        <w:rPr>
          <w:b/>
          <w:sz w:val="24"/>
        </w:rPr>
        <w:t>3.2.1标的清单</w:t>
      </w:r>
    </w:p>
    <w:p>
      <w:pPr>
        <w:pStyle w:val="null3"/>
      </w:pPr>
    </w:p>
    <w:p>
      <w:pPr>
        <w:pStyle w:val="null3"/>
      </w:pPr>
    </w:p>
    <w:p>
      <w:pPr>
        <w:pStyle w:val="null3"/>
      </w:pPr>
      <w:r>
        <w:rPr/>
        <w:t>采购包1：</w:t>
      </w:r>
    </w:p>
    <w:p>
      <w:pPr>
        <w:pStyle w:val="null3"/>
      </w:pPr>
      <w:r>
        <w:rPr/>
        <w:t>采购包预算金额（元）: 446,400.00</w:t>
      </w:r>
    </w:p>
    <w:p>
      <w:pPr>
        <w:pStyle w:val="null3"/>
      </w:pPr>
      <w:r>
        <w:rPr/>
        <w:t>采购包最高限价（元）: 446,400.00</w:t>
      </w:r>
    </w:p>
    <w:tbl>
      <w:tblPr>
        <w:tblW w:w="0" w:type="auto"/>
        <w:tblBorders>
          <w:top w:val="single"/>
          <w:left w:val="single"/>
          <w:bottom w:val="single"/>
          <w:right w:val="single"/>
          <w:insideH w:val="single"/>
          <w:insideV w:val="single"/>
        </w:tblBorders>
      </w:tblPr>
      <w:tblGrid>
        <w:gridCol w:w="678"/>
        <w:gridCol w:w="1271"/>
        <w:gridCol w:w="848"/>
        <w:gridCol w:w="1356"/>
        <w:gridCol w:w="678"/>
        <w:gridCol w:w="678"/>
        <w:gridCol w:w="593"/>
        <w:gridCol w:w="678"/>
        <w:gridCol w:w="678"/>
        <w:gridCol w:w="848"/>
      </w:tblGrid>
      <w:tr>
        <w:tc>
          <w:tcPr>
            <w:tcW w:type="dxa" w:w="678"/>
          </w:tcPr>
          <w:p>
            <w:pPr>
              <w:pStyle w:val="null3"/>
            </w:pPr>
            <w:r>
              <w:rPr/>
              <w:t>序号</w:t>
            </w:r>
          </w:p>
        </w:tc>
        <w:tc>
          <w:tcPr>
            <w:tcW w:type="dxa" w:w="1271"/>
          </w:tcPr>
          <w:p>
            <w:pPr>
              <w:pStyle w:val="null3"/>
            </w:pPr>
            <w:r>
              <w:rPr/>
              <w:t>标的名称</w:t>
            </w:r>
          </w:p>
        </w:tc>
        <w:tc>
          <w:tcPr>
            <w:tcW w:type="dxa" w:w="848"/>
          </w:tcPr>
          <w:p>
            <w:pPr>
              <w:pStyle w:val="null3"/>
            </w:pPr>
            <w:r>
              <w:rPr/>
              <w:t>数量</w:t>
            </w:r>
          </w:p>
        </w:tc>
        <w:tc>
          <w:tcPr>
            <w:tcW w:type="dxa" w:w="1356"/>
          </w:tcPr>
          <w:p>
            <w:pPr>
              <w:pStyle w:val="null3"/>
            </w:pPr>
            <w:r>
              <w:rPr/>
              <w:t>标的金额 （元）</w:t>
            </w:r>
          </w:p>
        </w:tc>
        <w:tc>
          <w:tcPr>
            <w:tcW w:type="dxa" w:w="678"/>
          </w:tcPr>
          <w:p>
            <w:pPr>
              <w:pStyle w:val="null3"/>
            </w:pPr>
            <w:r>
              <w:rPr/>
              <w:t>计量单位</w:t>
            </w:r>
          </w:p>
        </w:tc>
        <w:tc>
          <w:tcPr>
            <w:tcW w:type="dxa" w:w="678"/>
          </w:tcPr>
          <w:p>
            <w:pPr>
              <w:pStyle w:val="null3"/>
            </w:pPr>
            <w:r>
              <w:rPr/>
              <w:t>所属行业</w:t>
            </w:r>
          </w:p>
        </w:tc>
        <w:tc>
          <w:tcPr>
            <w:tcW w:type="dxa" w:w="593"/>
          </w:tcPr>
          <w:p>
            <w:pPr>
              <w:pStyle w:val="null3"/>
            </w:pPr>
            <w:r>
              <w:rPr/>
              <w:t>是否涉及核心产品</w:t>
            </w:r>
          </w:p>
        </w:tc>
        <w:tc>
          <w:tcPr>
            <w:tcW w:type="dxa" w:w="678"/>
          </w:tcPr>
          <w:p>
            <w:pPr>
              <w:pStyle w:val="null3"/>
            </w:pPr>
            <w:r>
              <w:rPr/>
              <w:t>是否涉及采购进口产品</w:t>
            </w:r>
          </w:p>
        </w:tc>
        <w:tc>
          <w:tcPr>
            <w:tcW w:type="dxa" w:w="678"/>
          </w:tcPr>
          <w:p>
            <w:pPr>
              <w:pStyle w:val="null3"/>
            </w:pPr>
            <w:r>
              <w:rPr/>
              <w:t>是否涉及采购节能产品</w:t>
            </w:r>
          </w:p>
        </w:tc>
        <w:tc>
          <w:tcPr>
            <w:tcW w:type="dxa" w:w="848"/>
          </w:tcPr>
          <w:p>
            <w:pPr>
              <w:pStyle w:val="null3"/>
            </w:pPr>
            <w:r>
              <w:rPr/>
              <w:t>是否涉及采购环境标志产品</w:t>
            </w:r>
          </w:p>
        </w:tc>
      </w:tr>
      <w:tr>
        <w:tc>
          <w:tcPr>
            <w:tcW w:type="dxa" w:w="678"/>
          </w:tcPr>
          <w:p>
            <w:pPr>
              <w:pStyle w:val="null3"/>
            </w:pPr>
            <w:r>
              <w:rPr/>
              <w:t>1</w:t>
            </w:r>
          </w:p>
        </w:tc>
        <w:tc>
          <w:tcPr>
            <w:tcW w:type="dxa" w:w="1271"/>
          </w:tcPr>
          <w:p>
            <w:pPr>
              <w:pStyle w:val="null3"/>
            </w:pPr>
            <w:r>
              <w:rPr/>
              <w:t>管理电脑</w:t>
            </w:r>
          </w:p>
        </w:tc>
        <w:tc>
          <w:tcPr>
            <w:tcW w:type="dxa" w:w="848"/>
          </w:tcPr>
          <w:p>
            <w:pPr>
              <w:pStyle w:val="null3"/>
              <w:jc w:val="right"/>
            </w:pPr>
            <w:r>
              <w:rPr/>
              <w:t>1.00</w:t>
            </w:r>
          </w:p>
        </w:tc>
        <w:tc>
          <w:tcPr>
            <w:tcW w:type="dxa" w:w="1356"/>
          </w:tcPr>
          <w:p>
            <w:pPr>
              <w:pStyle w:val="null3"/>
              <w:jc w:val="right"/>
            </w:pPr>
            <w:r>
              <w:rPr/>
              <w:t>18,070.00</w:t>
            </w:r>
          </w:p>
        </w:tc>
        <w:tc>
          <w:tcPr>
            <w:tcW w:type="dxa" w:w="678"/>
          </w:tcPr>
          <w:p>
            <w:pPr>
              <w:pStyle w:val="null3"/>
            </w:pPr>
            <w:r>
              <w:rPr/>
              <w:t>批</w:t>
            </w:r>
          </w:p>
        </w:tc>
        <w:tc>
          <w:tcPr>
            <w:tcW w:type="dxa" w:w="678"/>
          </w:tcPr>
          <w:p>
            <w:pPr>
              <w:pStyle w:val="null3"/>
            </w:pPr>
            <w:r>
              <w:rPr/>
              <w:t>工业</w:t>
            </w:r>
          </w:p>
        </w:tc>
        <w:tc>
          <w:tcPr>
            <w:tcW w:type="dxa" w:w="593"/>
          </w:tcPr>
          <w:p>
            <w:pPr>
              <w:pStyle w:val="null3"/>
            </w:pPr>
            <w:r>
              <w:rPr/>
              <w:t>否</w:t>
            </w:r>
          </w:p>
        </w:tc>
        <w:tc>
          <w:tcPr>
            <w:tcW w:type="dxa" w:w="678"/>
          </w:tcPr>
          <w:p>
            <w:pPr>
              <w:pStyle w:val="null3"/>
            </w:pPr>
            <w:r>
              <w:rPr/>
              <w:t>否</w:t>
            </w:r>
          </w:p>
        </w:tc>
        <w:tc>
          <w:tcPr>
            <w:tcW w:type="dxa" w:w="678"/>
          </w:tcPr>
          <w:p>
            <w:pPr>
              <w:pStyle w:val="null3"/>
            </w:pPr>
            <w:r>
              <w:rPr/>
              <w:t>是</w:t>
            </w:r>
          </w:p>
        </w:tc>
        <w:tc>
          <w:tcPr>
            <w:tcW w:type="dxa" w:w="848"/>
          </w:tcPr>
          <w:p>
            <w:pPr>
              <w:pStyle w:val="null3"/>
            </w:pPr>
            <w:r>
              <w:rPr/>
              <w:t>是</w:t>
            </w:r>
          </w:p>
        </w:tc>
      </w:tr>
      <w:tr>
        <w:tc>
          <w:tcPr>
            <w:tcW w:type="dxa" w:w="678"/>
          </w:tcPr>
          <w:p>
            <w:pPr>
              <w:pStyle w:val="null3"/>
            </w:pPr>
            <w:r>
              <w:rPr/>
              <w:t>2</w:t>
            </w:r>
          </w:p>
        </w:tc>
        <w:tc>
          <w:tcPr>
            <w:tcW w:type="dxa" w:w="1271"/>
          </w:tcPr>
          <w:p>
            <w:pPr>
              <w:pStyle w:val="null3"/>
            </w:pPr>
            <w:r>
              <w:rPr/>
              <w:t>彩色数码复合机</w:t>
            </w:r>
          </w:p>
        </w:tc>
        <w:tc>
          <w:tcPr>
            <w:tcW w:type="dxa" w:w="848"/>
          </w:tcPr>
          <w:p>
            <w:pPr>
              <w:pStyle w:val="null3"/>
              <w:jc w:val="right"/>
            </w:pPr>
            <w:r>
              <w:rPr/>
              <w:t>1.00</w:t>
            </w:r>
          </w:p>
        </w:tc>
        <w:tc>
          <w:tcPr>
            <w:tcW w:type="dxa" w:w="1356"/>
          </w:tcPr>
          <w:p>
            <w:pPr>
              <w:pStyle w:val="null3"/>
              <w:jc w:val="right"/>
            </w:pPr>
            <w:r>
              <w:rPr/>
              <w:t>7,819.00</w:t>
            </w:r>
          </w:p>
        </w:tc>
        <w:tc>
          <w:tcPr>
            <w:tcW w:type="dxa" w:w="678"/>
          </w:tcPr>
          <w:p>
            <w:pPr>
              <w:pStyle w:val="null3"/>
            </w:pPr>
            <w:r>
              <w:rPr/>
              <w:t>台</w:t>
            </w:r>
          </w:p>
        </w:tc>
        <w:tc>
          <w:tcPr>
            <w:tcW w:type="dxa" w:w="678"/>
          </w:tcPr>
          <w:p>
            <w:pPr>
              <w:pStyle w:val="null3"/>
            </w:pPr>
            <w:r>
              <w:rPr/>
              <w:t>工业</w:t>
            </w:r>
          </w:p>
        </w:tc>
        <w:tc>
          <w:tcPr>
            <w:tcW w:type="dxa" w:w="593"/>
          </w:tcPr>
          <w:p>
            <w:pPr>
              <w:pStyle w:val="null3"/>
            </w:pPr>
            <w:r>
              <w:rPr/>
              <w:t>否</w:t>
            </w:r>
          </w:p>
        </w:tc>
        <w:tc>
          <w:tcPr>
            <w:tcW w:type="dxa" w:w="678"/>
          </w:tcPr>
          <w:p>
            <w:pPr>
              <w:pStyle w:val="null3"/>
            </w:pPr>
            <w:r>
              <w:rPr/>
              <w:t>否</w:t>
            </w:r>
          </w:p>
        </w:tc>
        <w:tc>
          <w:tcPr>
            <w:tcW w:type="dxa" w:w="678"/>
          </w:tcPr>
          <w:p>
            <w:pPr>
              <w:pStyle w:val="null3"/>
            </w:pPr>
            <w:r>
              <w:rPr/>
              <w:t>是</w:t>
            </w:r>
          </w:p>
        </w:tc>
        <w:tc>
          <w:tcPr>
            <w:tcW w:type="dxa" w:w="848"/>
          </w:tcPr>
          <w:p>
            <w:pPr>
              <w:pStyle w:val="null3"/>
            </w:pPr>
            <w:r>
              <w:rPr/>
              <w:t>是</w:t>
            </w:r>
          </w:p>
        </w:tc>
      </w:tr>
      <w:tr>
        <w:tc>
          <w:tcPr>
            <w:tcW w:type="dxa" w:w="678"/>
          </w:tcPr>
          <w:p>
            <w:pPr>
              <w:pStyle w:val="null3"/>
            </w:pPr>
            <w:r>
              <w:rPr/>
              <w:t>3</w:t>
            </w:r>
          </w:p>
        </w:tc>
        <w:tc>
          <w:tcPr>
            <w:tcW w:type="dxa" w:w="1271"/>
          </w:tcPr>
          <w:p>
            <w:pPr>
              <w:pStyle w:val="null3"/>
            </w:pPr>
            <w:r>
              <w:rPr/>
              <w:t>标考高清电视墙管理平台</w:t>
            </w:r>
          </w:p>
        </w:tc>
        <w:tc>
          <w:tcPr>
            <w:tcW w:type="dxa" w:w="848"/>
          </w:tcPr>
          <w:p>
            <w:pPr>
              <w:pStyle w:val="null3"/>
              <w:jc w:val="right"/>
            </w:pPr>
            <w:r>
              <w:rPr/>
              <w:t>1.00</w:t>
            </w:r>
          </w:p>
        </w:tc>
        <w:tc>
          <w:tcPr>
            <w:tcW w:type="dxa" w:w="1356"/>
          </w:tcPr>
          <w:p>
            <w:pPr>
              <w:pStyle w:val="null3"/>
              <w:jc w:val="right"/>
            </w:pPr>
            <w:r>
              <w:rPr/>
              <w:t>192,872.00</w:t>
            </w:r>
          </w:p>
        </w:tc>
        <w:tc>
          <w:tcPr>
            <w:tcW w:type="dxa" w:w="678"/>
          </w:tcPr>
          <w:p>
            <w:pPr>
              <w:pStyle w:val="null3"/>
            </w:pPr>
            <w:r>
              <w:rPr/>
              <w:t>批</w:t>
            </w:r>
          </w:p>
        </w:tc>
        <w:tc>
          <w:tcPr>
            <w:tcW w:type="dxa" w:w="678"/>
          </w:tcPr>
          <w:p>
            <w:pPr>
              <w:pStyle w:val="null3"/>
            </w:pPr>
            <w:r>
              <w:rPr/>
              <w:t>工业</w:t>
            </w:r>
          </w:p>
        </w:tc>
        <w:tc>
          <w:tcPr>
            <w:tcW w:type="dxa" w:w="593"/>
          </w:tcPr>
          <w:p>
            <w:pPr>
              <w:pStyle w:val="null3"/>
            </w:pPr>
            <w:r>
              <w:rPr/>
              <w:t>是</w:t>
            </w:r>
          </w:p>
        </w:tc>
        <w:tc>
          <w:tcPr>
            <w:tcW w:type="dxa" w:w="678"/>
          </w:tcPr>
          <w:p>
            <w:pPr>
              <w:pStyle w:val="null3"/>
            </w:pPr>
            <w:r>
              <w:rPr/>
              <w:t>否</w:t>
            </w:r>
          </w:p>
        </w:tc>
        <w:tc>
          <w:tcPr>
            <w:tcW w:type="dxa" w:w="678"/>
          </w:tcPr>
          <w:p>
            <w:pPr>
              <w:pStyle w:val="null3"/>
            </w:pPr>
            <w:r>
              <w:rPr/>
              <w:t>否</w:t>
            </w:r>
          </w:p>
        </w:tc>
        <w:tc>
          <w:tcPr>
            <w:tcW w:type="dxa" w:w="848"/>
          </w:tcPr>
          <w:p>
            <w:pPr>
              <w:pStyle w:val="null3"/>
            </w:pPr>
            <w:r>
              <w:rPr/>
              <w:t>否</w:t>
            </w:r>
          </w:p>
        </w:tc>
      </w:tr>
      <w:tr>
        <w:tc>
          <w:tcPr>
            <w:tcW w:type="dxa" w:w="678"/>
          </w:tcPr>
          <w:p>
            <w:pPr>
              <w:pStyle w:val="null3"/>
            </w:pPr>
            <w:r>
              <w:rPr/>
              <w:t>4</w:t>
            </w:r>
          </w:p>
        </w:tc>
        <w:tc>
          <w:tcPr>
            <w:tcW w:type="dxa" w:w="1271"/>
          </w:tcPr>
          <w:p>
            <w:pPr>
              <w:pStyle w:val="null3"/>
            </w:pPr>
            <w:r>
              <w:rPr/>
              <w:t>HDMI连接线</w:t>
            </w:r>
          </w:p>
        </w:tc>
        <w:tc>
          <w:tcPr>
            <w:tcW w:type="dxa" w:w="848"/>
          </w:tcPr>
          <w:p>
            <w:pPr>
              <w:pStyle w:val="null3"/>
              <w:jc w:val="right"/>
            </w:pPr>
            <w:r>
              <w:rPr/>
              <w:t>1.00</w:t>
            </w:r>
          </w:p>
        </w:tc>
        <w:tc>
          <w:tcPr>
            <w:tcW w:type="dxa" w:w="1356"/>
          </w:tcPr>
          <w:p>
            <w:pPr>
              <w:pStyle w:val="null3"/>
              <w:jc w:val="right"/>
            </w:pPr>
            <w:r>
              <w:rPr/>
              <w:t>6,096.00</w:t>
            </w:r>
          </w:p>
        </w:tc>
        <w:tc>
          <w:tcPr>
            <w:tcW w:type="dxa" w:w="678"/>
          </w:tcPr>
          <w:p>
            <w:pPr>
              <w:pStyle w:val="null3"/>
            </w:pPr>
            <w:r>
              <w:rPr/>
              <w:t>批</w:t>
            </w:r>
          </w:p>
        </w:tc>
        <w:tc>
          <w:tcPr>
            <w:tcW w:type="dxa" w:w="678"/>
          </w:tcPr>
          <w:p>
            <w:pPr>
              <w:pStyle w:val="null3"/>
            </w:pPr>
            <w:r>
              <w:rPr/>
              <w:t>工业</w:t>
            </w:r>
          </w:p>
        </w:tc>
        <w:tc>
          <w:tcPr>
            <w:tcW w:type="dxa" w:w="593"/>
          </w:tcPr>
          <w:p>
            <w:pPr>
              <w:pStyle w:val="null3"/>
            </w:pPr>
            <w:r>
              <w:rPr/>
              <w:t>否</w:t>
            </w:r>
          </w:p>
        </w:tc>
        <w:tc>
          <w:tcPr>
            <w:tcW w:type="dxa" w:w="678"/>
          </w:tcPr>
          <w:p>
            <w:pPr>
              <w:pStyle w:val="null3"/>
            </w:pPr>
            <w:r>
              <w:rPr/>
              <w:t>否</w:t>
            </w:r>
          </w:p>
        </w:tc>
        <w:tc>
          <w:tcPr>
            <w:tcW w:type="dxa" w:w="678"/>
          </w:tcPr>
          <w:p>
            <w:pPr>
              <w:pStyle w:val="null3"/>
            </w:pPr>
            <w:r>
              <w:rPr/>
              <w:t>否</w:t>
            </w:r>
          </w:p>
        </w:tc>
        <w:tc>
          <w:tcPr>
            <w:tcW w:type="dxa" w:w="848"/>
          </w:tcPr>
          <w:p>
            <w:pPr>
              <w:pStyle w:val="null3"/>
            </w:pPr>
            <w:r>
              <w:rPr/>
              <w:t>否</w:t>
            </w:r>
          </w:p>
        </w:tc>
      </w:tr>
      <w:tr>
        <w:tc>
          <w:tcPr>
            <w:tcW w:type="dxa" w:w="678"/>
          </w:tcPr>
          <w:p>
            <w:pPr>
              <w:pStyle w:val="null3"/>
            </w:pPr>
            <w:r>
              <w:rPr/>
              <w:t>5</w:t>
            </w:r>
          </w:p>
        </w:tc>
        <w:tc>
          <w:tcPr>
            <w:tcW w:type="dxa" w:w="1271"/>
          </w:tcPr>
          <w:p>
            <w:pPr>
              <w:pStyle w:val="null3"/>
            </w:pPr>
            <w:r>
              <w:rPr/>
              <w:t>液晶拼接电视墙系统单元</w:t>
            </w:r>
          </w:p>
        </w:tc>
        <w:tc>
          <w:tcPr>
            <w:tcW w:type="dxa" w:w="848"/>
          </w:tcPr>
          <w:p>
            <w:pPr>
              <w:pStyle w:val="null3"/>
              <w:jc w:val="right"/>
            </w:pPr>
            <w:r>
              <w:rPr/>
              <w:t>1.00</w:t>
            </w:r>
          </w:p>
        </w:tc>
        <w:tc>
          <w:tcPr>
            <w:tcW w:type="dxa" w:w="1356"/>
          </w:tcPr>
          <w:p>
            <w:pPr>
              <w:pStyle w:val="null3"/>
              <w:jc w:val="right"/>
            </w:pPr>
            <w:r>
              <w:rPr/>
              <w:t>165,072.00</w:t>
            </w:r>
          </w:p>
        </w:tc>
        <w:tc>
          <w:tcPr>
            <w:tcW w:type="dxa" w:w="678"/>
          </w:tcPr>
          <w:p>
            <w:pPr>
              <w:pStyle w:val="null3"/>
            </w:pPr>
            <w:r>
              <w:rPr/>
              <w:t>批</w:t>
            </w:r>
          </w:p>
        </w:tc>
        <w:tc>
          <w:tcPr>
            <w:tcW w:type="dxa" w:w="678"/>
          </w:tcPr>
          <w:p>
            <w:pPr>
              <w:pStyle w:val="null3"/>
            </w:pPr>
            <w:r>
              <w:rPr/>
              <w:t>工业</w:t>
            </w:r>
          </w:p>
        </w:tc>
        <w:tc>
          <w:tcPr>
            <w:tcW w:type="dxa" w:w="593"/>
          </w:tcPr>
          <w:p>
            <w:pPr>
              <w:pStyle w:val="null3"/>
            </w:pPr>
            <w:r>
              <w:rPr/>
              <w:t>否</w:t>
            </w:r>
          </w:p>
        </w:tc>
        <w:tc>
          <w:tcPr>
            <w:tcW w:type="dxa" w:w="678"/>
          </w:tcPr>
          <w:p>
            <w:pPr>
              <w:pStyle w:val="null3"/>
            </w:pPr>
            <w:r>
              <w:rPr/>
              <w:t>否</w:t>
            </w:r>
          </w:p>
        </w:tc>
        <w:tc>
          <w:tcPr>
            <w:tcW w:type="dxa" w:w="678"/>
          </w:tcPr>
          <w:p>
            <w:pPr>
              <w:pStyle w:val="null3"/>
            </w:pPr>
            <w:r>
              <w:rPr/>
              <w:t>是</w:t>
            </w:r>
          </w:p>
        </w:tc>
        <w:tc>
          <w:tcPr>
            <w:tcW w:type="dxa" w:w="848"/>
          </w:tcPr>
          <w:p>
            <w:pPr>
              <w:pStyle w:val="null3"/>
            </w:pPr>
            <w:r>
              <w:rPr/>
              <w:t>是</w:t>
            </w:r>
          </w:p>
        </w:tc>
      </w:tr>
      <w:tr>
        <w:tc>
          <w:tcPr>
            <w:tcW w:type="dxa" w:w="678"/>
          </w:tcPr>
          <w:p>
            <w:pPr>
              <w:pStyle w:val="null3"/>
            </w:pPr>
            <w:r>
              <w:rPr/>
              <w:t>6</w:t>
            </w:r>
          </w:p>
        </w:tc>
        <w:tc>
          <w:tcPr>
            <w:tcW w:type="dxa" w:w="1271"/>
          </w:tcPr>
          <w:p>
            <w:pPr>
              <w:pStyle w:val="null3"/>
            </w:pPr>
            <w:r>
              <w:rPr/>
              <w:t>UPS供电系统</w:t>
            </w:r>
          </w:p>
        </w:tc>
        <w:tc>
          <w:tcPr>
            <w:tcW w:type="dxa" w:w="848"/>
          </w:tcPr>
          <w:p>
            <w:pPr>
              <w:pStyle w:val="null3"/>
              <w:jc w:val="right"/>
            </w:pPr>
            <w:r>
              <w:rPr/>
              <w:t>1.00</w:t>
            </w:r>
          </w:p>
        </w:tc>
        <w:tc>
          <w:tcPr>
            <w:tcW w:type="dxa" w:w="1356"/>
          </w:tcPr>
          <w:p>
            <w:pPr>
              <w:pStyle w:val="null3"/>
              <w:jc w:val="right"/>
            </w:pPr>
            <w:r>
              <w:rPr/>
              <w:t>46,046.00</w:t>
            </w:r>
          </w:p>
        </w:tc>
        <w:tc>
          <w:tcPr>
            <w:tcW w:type="dxa" w:w="678"/>
          </w:tcPr>
          <w:p>
            <w:pPr>
              <w:pStyle w:val="null3"/>
            </w:pPr>
            <w:r>
              <w:rPr/>
              <w:t>项</w:t>
            </w:r>
          </w:p>
        </w:tc>
        <w:tc>
          <w:tcPr>
            <w:tcW w:type="dxa" w:w="678"/>
          </w:tcPr>
          <w:p>
            <w:pPr>
              <w:pStyle w:val="null3"/>
            </w:pPr>
            <w:r>
              <w:rPr/>
              <w:t>工业</w:t>
            </w:r>
          </w:p>
        </w:tc>
        <w:tc>
          <w:tcPr>
            <w:tcW w:type="dxa" w:w="593"/>
          </w:tcPr>
          <w:p>
            <w:pPr>
              <w:pStyle w:val="null3"/>
            </w:pPr>
            <w:r>
              <w:rPr/>
              <w:t>否</w:t>
            </w:r>
          </w:p>
        </w:tc>
        <w:tc>
          <w:tcPr>
            <w:tcW w:type="dxa" w:w="678"/>
          </w:tcPr>
          <w:p>
            <w:pPr>
              <w:pStyle w:val="null3"/>
            </w:pPr>
            <w:r>
              <w:rPr/>
              <w:t>否</w:t>
            </w:r>
          </w:p>
        </w:tc>
        <w:tc>
          <w:tcPr>
            <w:tcW w:type="dxa" w:w="678"/>
          </w:tcPr>
          <w:p>
            <w:pPr>
              <w:pStyle w:val="null3"/>
            </w:pPr>
            <w:r>
              <w:rPr/>
              <w:t>否</w:t>
            </w:r>
          </w:p>
        </w:tc>
        <w:tc>
          <w:tcPr>
            <w:tcW w:type="dxa" w:w="848"/>
          </w:tcPr>
          <w:p>
            <w:pPr>
              <w:pStyle w:val="null3"/>
            </w:pPr>
            <w:r>
              <w:rPr/>
              <w:t>否</w:t>
            </w:r>
          </w:p>
        </w:tc>
      </w:tr>
      <w:tr>
        <w:tc>
          <w:tcPr>
            <w:tcW w:type="dxa" w:w="678"/>
          </w:tcPr>
          <w:p>
            <w:pPr>
              <w:pStyle w:val="null3"/>
            </w:pPr>
            <w:r>
              <w:rPr/>
              <w:t>7</w:t>
            </w:r>
          </w:p>
        </w:tc>
        <w:tc>
          <w:tcPr>
            <w:tcW w:type="dxa" w:w="1271"/>
          </w:tcPr>
          <w:p>
            <w:pPr>
              <w:pStyle w:val="null3"/>
            </w:pPr>
            <w:r>
              <w:rPr/>
              <w:t>电视管理软件</w:t>
            </w:r>
          </w:p>
        </w:tc>
        <w:tc>
          <w:tcPr>
            <w:tcW w:type="dxa" w:w="848"/>
          </w:tcPr>
          <w:p>
            <w:pPr>
              <w:pStyle w:val="null3"/>
              <w:jc w:val="right"/>
            </w:pPr>
            <w:r>
              <w:rPr/>
              <w:t>1.00</w:t>
            </w:r>
          </w:p>
        </w:tc>
        <w:tc>
          <w:tcPr>
            <w:tcW w:type="dxa" w:w="1356"/>
          </w:tcPr>
          <w:p>
            <w:pPr>
              <w:pStyle w:val="null3"/>
              <w:jc w:val="right"/>
            </w:pPr>
            <w:r>
              <w:rPr/>
              <w:t>10,425.00</w:t>
            </w:r>
          </w:p>
        </w:tc>
        <w:tc>
          <w:tcPr>
            <w:tcW w:type="dxa" w:w="678"/>
          </w:tcPr>
          <w:p>
            <w:pPr>
              <w:pStyle w:val="null3"/>
            </w:pPr>
            <w:r>
              <w:rPr/>
              <w:t>批</w:t>
            </w:r>
          </w:p>
        </w:tc>
        <w:tc>
          <w:tcPr>
            <w:tcW w:type="dxa" w:w="678"/>
          </w:tcPr>
          <w:p>
            <w:pPr>
              <w:pStyle w:val="null3"/>
            </w:pPr>
            <w:r>
              <w:rPr/>
              <w:t>工业</w:t>
            </w:r>
          </w:p>
        </w:tc>
        <w:tc>
          <w:tcPr>
            <w:tcW w:type="dxa" w:w="593"/>
          </w:tcPr>
          <w:p>
            <w:pPr>
              <w:pStyle w:val="null3"/>
            </w:pPr>
            <w:r>
              <w:rPr/>
              <w:t>否</w:t>
            </w:r>
          </w:p>
        </w:tc>
        <w:tc>
          <w:tcPr>
            <w:tcW w:type="dxa" w:w="678"/>
          </w:tcPr>
          <w:p>
            <w:pPr>
              <w:pStyle w:val="null3"/>
            </w:pPr>
            <w:r>
              <w:rPr/>
              <w:t>否</w:t>
            </w:r>
          </w:p>
        </w:tc>
        <w:tc>
          <w:tcPr>
            <w:tcW w:type="dxa" w:w="678"/>
          </w:tcPr>
          <w:p>
            <w:pPr>
              <w:pStyle w:val="null3"/>
            </w:pPr>
            <w:r>
              <w:rPr/>
              <w:t>否</w:t>
            </w:r>
          </w:p>
        </w:tc>
        <w:tc>
          <w:tcPr>
            <w:tcW w:type="dxa" w:w="848"/>
          </w:tcPr>
          <w:p>
            <w:pPr>
              <w:pStyle w:val="null3"/>
            </w:pPr>
            <w:r>
              <w:rPr/>
              <w:t>否</w:t>
            </w:r>
          </w:p>
        </w:tc>
      </w:tr>
    </w:tbl>
    <w:p>
      <w:pPr>
        <w:pStyle w:val="null3"/>
        <w:outlineLvl w:val="2"/>
      </w:pPr>
      <w:r>
        <w:rPr>
          <w:b/>
          <w:sz w:val="28"/>
        </w:rPr>
        <w:t>3.3技术参数</w:t>
      </w:r>
    </w:p>
    <w:p>
      <w:pPr>
        <w:pStyle w:val="null3"/>
      </w:pPr>
    </w:p>
    <w:p>
      <w:pPr>
        <w:pStyle w:val="null3"/>
      </w:pPr>
    </w:p>
    <w:p>
      <w:pPr>
        <w:pStyle w:val="null3"/>
      </w:pPr>
    </w:p>
    <w:p>
      <w:pPr>
        <w:pStyle w:val="null3"/>
      </w:pPr>
      <w:r>
        <w:rPr/>
        <w:t>采购包1：</w:t>
      </w:r>
    </w:p>
    <w:p>
      <w:pPr>
        <w:pStyle w:val="null3"/>
      </w:pPr>
    </w:p>
    <w:p>
      <w:pPr>
        <w:pStyle w:val="null3"/>
      </w:pPr>
      <w:r>
        <w:rPr/>
        <w:t>标的名称：管理电脑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51"/>
              <w:gridCol w:w="238"/>
              <w:gridCol w:w="1593"/>
              <w:gridCol w:w="156"/>
              <w:gridCol w:w="142"/>
            </w:tblGrid>
            <w:tr>
              <w:tc>
                <w:tcPr>
                  <w:tcW w:type="dxa" w:w="151"/>
                  <w:tcBorders>
                    <w:top w:val="single" w:color="000000" w:sz="4"/>
                    <w:left w:val="single" w:color="000000" w:sz="4"/>
                    <w:bottom w:val="single" w:color="000000" w:sz="4"/>
                    <w:right w:val="single" w:color="000000" w:sz="4"/>
                  </w:tcBorders>
                  <w:shd w:fill="D9E3F3"/>
                  <w:tcMar>
                    <w:top w:type="dxa" w:w="0"/>
                    <w:left w:type="dxa" w:w="105"/>
                    <w:bottom w:type="dxa" w:w="0"/>
                    <w:right w:type="dxa" w:w="105"/>
                  </w:tcMar>
                  <w:vAlign w:val="top"/>
                </w:tcPr>
                <w:p>
                  <w:pPr>
                    <w:pStyle w:val="null3"/>
                    <w:jc w:val="center"/>
                  </w:pPr>
                  <w:r>
                    <w:rPr>
                      <w:rFonts w:ascii="宋体" w:hAnsi="宋体" w:cs="宋体" w:eastAsia="宋体"/>
                      <w:b/>
                      <w:color w:val="000000"/>
                      <w:sz w:val="28"/>
                    </w:rPr>
                    <w:t>序号</w:t>
                  </w:r>
                </w:p>
              </w:tc>
              <w:tc>
                <w:tcPr>
                  <w:tcW w:type="dxa" w:w="238"/>
                  <w:tcBorders>
                    <w:top w:val="single" w:color="000000" w:sz="4"/>
                    <w:left w:val="none" w:color="000000" w:sz="4"/>
                    <w:bottom w:val="single" w:color="000000" w:sz="4"/>
                    <w:right w:val="single" w:color="000000" w:sz="4"/>
                  </w:tcBorders>
                  <w:shd w:fill="D9E3F3"/>
                  <w:tcMar>
                    <w:top w:type="dxa" w:w="0"/>
                    <w:left w:type="dxa" w:w="105"/>
                    <w:bottom w:type="dxa" w:w="0"/>
                    <w:right w:type="dxa" w:w="105"/>
                  </w:tcMar>
                  <w:vAlign w:val="top"/>
                </w:tcPr>
                <w:p>
                  <w:pPr>
                    <w:pStyle w:val="null3"/>
                    <w:jc w:val="center"/>
                  </w:pPr>
                  <w:r>
                    <w:rPr>
                      <w:rFonts w:ascii="宋体" w:hAnsi="宋体" w:cs="宋体" w:eastAsia="宋体"/>
                      <w:b/>
                      <w:color w:val="000000"/>
                      <w:sz w:val="28"/>
                    </w:rPr>
                    <w:t>设备名称</w:t>
                  </w:r>
                </w:p>
              </w:tc>
              <w:tc>
                <w:tcPr>
                  <w:tcW w:type="dxa" w:w="1593"/>
                  <w:tcBorders>
                    <w:top w:val="single" w:color="000000" w:sz="4"/>
                    <w:left w:val="none" w:color="000000" w:sz="4"/>
                    <w:bottom w:val="single" w:color="000000" w:sz="4"/>
                    <w:right w:val="single" w:color="000000" w:sz="4"/>
                  </w:tcBorders>
                  <w:shd w:fill="D9E3F3"/>
                  <w:tcMar>
                    <w:top w:type="dxa" w:w="0"/>
                    <w:left w:type="dxa" w:w="105"/>
                    <w:bottom w:type="dxa" w:w="0"/>
                    <w:right w:type="dxa" w:w="105"/>
                  </w:tcMar>
                  <w:vAlign w:val="top"/>
                </w:tcPr>
                <w:p>
                  <w:pPr>
                    <w:pStyle w:val="null3"/>
                    <w:jc w:val="center"/>
                  </w:pPr>
                  <w:r>
                    <w:rPr>
                      <w:rFonts w:ascii="宋体" w:hAnsi="宋体" w:cs="宋体" w:eastAsia="宋体"/>
                      <w:b/>
                      <w:color w:val="000000"/>
                      <w:sz w:val="28"/>
                    </w:rPr>
                    <w:t>技术参数</w:t>
                  </w:r>
                </w:p>
              </w:tc>
              <w:tc>
                <w:tcPr>
                  <w:tcW w:type="dxa" w:w="156"/>
                  <w:tcBorders>
                    <w:top w:val="single" w:color="000000" w:sz="4"/>
                    <w:left w:val="none" w:color="000000" w:sz="4"/>
                    <w:bottom w:val="single" w:color="000000" w:sz="4"/>
                    <w:right w:val="single" w:color="000000" w:sz="4"/>
                  </w:tcBorders>
                  <w:shd w:fill="D9E3F3"/>
                  <w:tcMar>
                    <w:top w:type="dxa" w:w="0"/>
                    <w:left w:type="dxa" w:w="105"/>
                    <w:bottom w:type="dxa" w:w="0"/>
                    <w:right w:type="dxa" w:w="105"/>
                  </w:tcMar>
                  <w:vAlign w:val="top"/>
                </w:tcPr>
                <w:p>
                  <w:pPr>
                    <w:pStyle w:val="null3"/>
                    <w:jc w:val="center"/>
                  </w:pPr>
                  <w:r>
                    <w:rPr>
                      <w:rFonts w:ascii="宋体" w:hAnsi="宋体" w:cs="宋体" w:eastAsia="宋体"/>
                      <w:b/>
                      <w:color w:val="000000"/>
                      <w:sz w:val="28"/>
                    </w:rPr>
                    <w:t>数量</w:t>
                  </w:r>
                </w:p>
              </w:tc>
              <w:tc>
                <w:tcPr>
                  <w:tcW w:type="dxa" w:w="142"/>
                  <w:tcBorders>
                    <w:top w:val="single" w:color="000000" w:sz="4"/>
                    <w:left w:val="none" w:color="000000" w:sz="4"/>
                    <w:bottom w:val="single" w:color="000000" w:sz="4"/>
                    <w:right w:val="single" w:color="000000" w:sz="4"/>
                  </w:tcBorders>
                  <w:shd w:fill="D9E3F3"/>
                  <w:tcMar>
                    <w:top w:type="dxa" w:w="0"/>
                    <w:left w:type="dxa" w:w="105"/>
                    <w:bottom w:type="dxa" w:w="0"/>
                    <w:right w:type="dxa" w:w="105"/>
                  </w:tcMar>
                  <w:vAlign w:val="top"/>
                </w:tcPr>
                <w:p>
                  <w:pPr>
                    <w:pStyle w:val="null3"/>
                    <w:jc w:val="center"/>
                  </w:pPr>
                  <w:r>
                    <w:rPr>
                      <w:rFonts w:ascii="宋体" w:hAnsi="宋体" w:cs="宋体" w:eastAsia="宋体"/>
                      <w:b/>
                      <w:color w:val="000000"/>
                      <w:sz w:val="28"/>
                    </w:rPr>
                    <w:t>单位</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管理电脑</w:t>
                  </w:r>
                </w:p>
              </w:tc>
              <w:tc>
                <w:tcPr>
                  <w:tcW w:type="dxa" w:w="1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商用机型，不接受家用消费类机型</w:t>
                  </w:r>
                  <w:r>
                    <w:rPr>
                      <w:rFonts w:ascii="宋体" w:hAnsi="宋体" w:cs="宋体" w:eastAsia="宋体"/>
                      <w:color w:val="000000"/>
                      <w:sz w:val="22"/>
                    </w:rPr>
                    <w:t>。</w:t>
                  </w:r>
                </w:p>
                <w:p>
                  <w:pPr>
                    <w:pStyle w:val="null3"/>
                    <w:jc w:val="left"/>
                  </w:pPr>
                  <w:r>
                    <w:rPr>
                      <w:rFonts w:ascii="宋体" w:hAnsi="宋体" w:cs="宋体" w:eastAsia="宋体"/>
                      <w:color w:val="000000"/>
                      <w:sz w:val="22"/>
                    </w:rPr>
                    <w:t>2</w:t>
                  </w:r>
                  <w:r>
                    <w:rPr>
                      <w:rFonts w:ascii="宋体" w:hAnsi="宋体" w:cs="宋体" w:eastAsia="宋体"/>
                      <w:color w:val="000000"/>
                      <w:sz w:val="22"/>
                    </w:rPr>
                    <w:t>、</w:t>
                  </w:r>
                  <w:r>
                    <w:rPr>
                      <w:rFonts w:ascii="宋体" w:hAnsi="宋体" w:cs="宋体" w:eastAsia="宋体"/>
                      <w:color w:val="000000"/>
                      <w:sz w:val="22"/>
                    </w:rPr>
                    <w:t>处理器：</w:t>
                  </w:r>
                  <w:r>
                    <w:rPr>
                      <w:rFonts w:ascii="宋体" w:hAnsi="宋体" w:cs="宋体" w:eastAsia="宋体"/>
                      <w:color w:val="000000"/>
                      <w:sz w:val="22"/>
                    </w:rPr>
                    <w:t>≥Intel酷睿处理器I5 12400, 六核心十二线程，主频2.5GHz</w:t>
                  </w:r>
                  <w:r>
                    <w:rPr>
                      <w:rFonts w:ascii="宋体" w:hAnsi="宋体" w:cs="宋体" w:eastAsia="宋体"/>
                      <w:color w:val="000000"/>
                      <w:sz w:val="22"/>
                    </w:rPr>
                    <w:t>。</w:t>
                  </w:r>
                </w:p>
                <w:p>
                  <w:pPr>
                    <w:pStyle w:val="null3"/>
                    <w:jc w:val="left"/>
                  </w:pPr>
                  <w:r>
                    <w:rPr>
                      <w:rFonts w:ascii="宋体" w:hAnsi="宋体" w:cs="宋体" w:eastAsia="宋体"/>
                      <w:color w:val="000000"/>
                      <w:sz w:val="22"/>
                    </w:rPr>
                    <w:t>3</w:t>
                  </w:r>
                  <w:r>
                    <w:rPr>
                      <w:rFonts w:ascii="宋体" w:hAnsi="宋体" w:cs="宋体" w:eastAsia="宋体"/>
                      <w:color w:val="000000"/>
                      <w:sz w:val="22"/>
                    </w:rPr>
                    <w:t>、</w:t>
                  </w:r>
                  <w:r>
                    <w:rPr>
                      <w:rFonts w:ascii="宋体" w:hAnsi="宋体" w:cs="宋体" w:eastAsia="宋体"/>
                      <w:color w:val="000000"/>
                      <w:sz w:val="22"/>
                    </w:rPr>
                    <w:t>内存：</w:t>
                  </w:r>
                  <w:r>
                    <w:rPr>
                      <w:rFonts w:ascii="宋体" w:hAnsi="宋体" w:cs="宋体" w:eastAsia="宋体"/>
                      <w:color w:val="000000"/>
                      <w:sz w:val="22"/>
                    </w:rPr>
                    <w:t>≥8GB DDR4 2666MHz，4 根双通道内存插槽，最高支持128GB内存</w:t>
                  </w:r>
                  <w:r>
                    <w:rPr>
                      <w:rFonts w:ascii="宋体" w:hAnsi="宋体" w:cs="宋体" w:eastAsia="宋体"/>
                      <w:color w:val="000000"/>
                      <w:sz w:val="22"/>
                    </w:rPr>
                    <w:t>。</w:t>
                  </w:r>
                </w:p>
                <w:p>
                  <w:pPr>
                    <w:pStyle w:val="null3"/>
                    <w:jc w:val="left"/>
                  </w:pPr>
                  <w:r>
                    <w:rPr>
                      <w:rFonts w:ascii="宋体" w:hAnsi="宋体" w:cs="宋体" w:eastAsia="宋体"/>
                      <w:color w:val="000000"/>
                      <w:sz w:val="22"/>
                    </w:rPr>
                    <w:t>4</w:t>
                  </w:r>
                  <w:r>
                    <w:rPr>
                      <w:rFonts w:ascii="宋体" w:hAnsi="宋体" w:cs="宋体" w:eastAsia="宋体"/>
                      <w:color w:val="000000"/>
                      <w:sz w:val="22"/>
                    </w:rPr>
                    <w:t>、</w:t>
                  </w:r>
                  <w:r>
                    <w:rPr>
                      <w:rFonts w:ascii="宋体" w:hAnsi="宋体" w:cs="宋体" w:eastAsia="宋体"/>
                      <w:color w:val="000000"/>
                      <w:sz w:val="22"/>
                    </w:rPr>
                    <w:t>芯片组：</w:t>
                  </w:r>
                  <w:r>
                    <w:rPr>
                      <w:rFonts w:ascii="宋体" w:hAnsi="宋体" w:cs="宋体" w:eastAsia="宋体"/>
                      <w:color w:val="000000"/>
                      <w:sz w:val="22"/>
                    </w:rPr>
                    <w:t>≥Intel B660芯片组; 具备可动态调节电压的装置的节能技术</w:t>
                  </w:r>
                  <w:r>
                    <w:rPr>
                      <w:rFonts w:ascii="宋体" w:hAnsi="宋体" w:cs="宋体" w:eastAsia="宋体"/>
                      <w:color w:val="000000"/>
                      <w:sz w:val="22"/>
                    </w:rPr>
                    <w:t>。</w:t>
                  </w:r>
                  <w:r>
                    <w:rPr>
                      <w:rFonts w:ascii="宋体" w:hAnsi="宋体" w:cs="宋体" w:eastAsia="宋体"/>
                      <w:color w:val="000000"/>
                      <w:sz w:val="22"/>
                    </w:rPr>
                    <w:t>（提供有资质的检测机构出具的相关证明文件并加盖投标人公章）</w:t>
                  </w:r>
                </w:p>
                <w:p>
                  <w:pPr>
                    <w:pStyle w:val="null3"/>
                    <w:jc w:val="left"/>
                  </w:pPr>
                  <w:r>
                    <w:rPr>
                      <w:rFonts w:ascii="宋体" w:hAnsi="宋体" w:cs="宋体" w:eastAsia="宋体"/>
                      <w:color w:val="000000"/>
                      <w:sz w:val="22"/>
                    </w:rPr>
                    <w:t>5</w:t>
                  </w:r>
                  <w:r>
                    <w:rPr>
                      <w:rFonts w:ascii="宋体" w:hAnsi="宋体" w:cs="宋体" w:eastAsia="宋体"/>
                      <w:color w:val="000000"/>
                      <w:sz w:val="22"/>
                    </w:rPr>
                    <w:t>、</w:t>
                  </w:r>
                  <w:r>
                    <w:rPr>
                      <w:rFonts w:ascii="宋体" w:hAnsi="宋体" w:cs="宋体" w:eastAsia="宋体"/>
                      <w:color w:val="000000"/>
                      <w:sz w:val="22"/>
                    </w:rPr>
                    <w:t>硬盘：</w:t>
                  </w:r>
                  <w:r>
                    <w:rPr>
                      <w:rFonts w:ascii="宋体" w:hAnsi="宋体" w:cs="宋体" w:eastAsia="宋体"/>
                      <w:color w:val="000000"/>
                      <w:sz w:val="22"/>
                    </w:rPr>
                    <w:t>≥512G M.2 SSD，支持2 x 3.5英寸机械硬盘位，2 x M.2固态硬盘位</w:t>
                  </w:r>
                  <w:r>
                    <w:rPr>
                      <w:rFonts w:ascii="宋体" w:hAnsi="宋体" w:cs="宋体" w:eastAsia="宋体"/>
                      <w:color w:val="000000"/>
                      <w:sz w:val="22"/>
                    </w:rPr>
                    <w:t>。</w:t>
                  </w:r>
                </w:p>
                <w:p>
                  <w:pPr>
                    <w:pStyle w:val="null3"/>
                    <w:jc w:val="left"/>
                  </w:pPr>
                  <w:r>
                    <w:rPr>
                      <w:rFonts w:ascii="宋体" w:hAnsi="宋体" w:cs="宋体" w:eastAsia="宋体"/>
                      <w:color w:val="000000"/>
                      <w:sz w:val="22"/>
                    </w:rPr>
                    <w:t>6</w:t>
                  </w:r>
                  <w:r>
                    <w:rPr>
                      <w:rFonts w:ascii="宋体" w:hAnsi="宋体" w:cs="宋体" w:eastAsia="宋体"/>
                      <w:color w:val="000000"/>
                      <w:sz w:val="22"/>
                    </w:rPr>
                    <w:t>、</w:t>
                  </w:r>
                  <w:r>
                    <w:rPr>
                      <w:rFonts w:ascii="宋体" w:hAnsi="宋体" w:cs="宋体" w:eastAsia="宋体"/>
                      <w:color w:val="000000"/>
                      <w:sz w:val="22"/>
                    </w:rPr>
                    <w:t>显卡：</w:t>
                  </w:r>
                  <w:r>
                    <w:rPr>
                      <w:rFonts w:ascii="宋体" w:hAnsi="宋体" w:cs="宋体" w:eastAsia="宋体"/>
                      <w:color w:val="000000"/>
                      <w:sz w:val="22"/>
                    </w:rPr>
                    <w:t>2G显存，主板同时具备VGA，HDMI，DP接口，可扩展三屏独立显示</w:t>
                  </w:r>
                  <w:r>
                    <w:rPr>
                      <w:rFonts w:ascii="宋体" w:hAnsi="宋体" w:cs="宋体" w:eastAsia="宋体"/>
                      <w:color w:val="000000"/>
                      <w:sz w:val="22"/>
                    </w:rPr>
                    <w:t>。</w:t>
                  </w:r>
                </w:p>
                <w:p>
                  <w:pPr>
                    <w:pStyle w:val="null3"/>
                    <w:jc w:val="left"/>
                  </w:pPr>
                  <w:r>
                    <w:rPr>
                      <w:rFonts w:ascii="宋体" w:hAnsi="宋体" w:cs="宋体" w:eastAsia="宋体"/>
                      <w:color w:val="000000"/>
                      <w:sz w:val="22"/>
                    </w:rPr>
                    <w:t>7</w:t>
                  </w:r>
                  <w:r>
                    <w:rPr>
                      <w:rFonts w:ascii="宋体" w:hAnsi="宋体" w:cs="宋体" w:eastAsia="宋体"/>
                      <w:color w:val="000000"/>
                      <w:sz w:val="22"/>
                    </w:rPr>
                    <w:t>、</w:t>
                  </w:r>
                  <w:r>
                    <w:rPr>
                      <w:rFonts w:ascii="宋体" w:hAnsi="宋体" w:cs="宋体" w:eastAsia="宋体"/>
                      <w:color w:val="000000"/>
                      <w:sz w:val="22"/>
                    </w:rPr>
                    <w:t>显示器：</w:t>
                  </w:r>
                  <w:r>
                    <w:rPr>
                      <w:rFonts w:ascii="宋体" w:hAnsi="宋体" w:cs="宋体" w:eastAsia="宋体"/>
                      <w:color w:val="000000"/>
                      <w:sz w:val="22"/>
                    </w:rPr>
                    <w:t>≥23.8寸，分辨率1920*1080</w:t>
                  </w:r>
                  <w:r>
                    <w:rPr>
                      <w:rFonts w:ascii="宋体" w:hAnsi="宋体" w:cs="宋体" w:eastAsia="宋体"/>
                      <w:color w:val="000000"/>
                      <w:sz w:val="22"/>
                    </w:rPr>
                    <w:t>。</w:t>
                  </w:r>
                </w:p>
                <w:p>
                  <w:pPr>
                    <w:pStyle w:val="null3"/>
                    <w:jc w:val="left"/>
                  </w:pPr>
                  <w:r>
                    <w:rPr>
                      <w:rFonts w:ascii="宋体" w:hAnsi="宋体" w:cs="宋体" w:eastAsia="宋体"/>
                      <w:color w:val="000000"/>
                      <w:sz w:val="22"/>
                    </w:rPr>
                    <w:t>8</w:t>
                  </w:r>
                  <w:r>
                    <w:rPr>
                      <w:rFonts w:ascii="宋体" w:hAnsi="宋体" w:cs="宋体" w:eastAsia="宋体"/>
                      <w:color w:val="000000"/>
                      <w:sz w:val="22"/>
                    </w:rPr>
                    <w:t>、</w:t>
                  </w:r>
                  <w:r>
                    <w:rPr>
                      <w:rFonts w:ascii="宋体" w:hAnsi="宋体" w:cs="宋体" w:eastAsia="宋体"/>
                      <w:color w:val="000000"/>
                      <w:sz w:val="22"/>
                    </w:rPr>
                    <w:t>声卡：主板集成</w:t>
                  </w:r>
                  <w:r>
                    <w:rPr>
                      <w:rFonts w:ascii="宋体" w:hAnsi="宋体" w:cs="宋体" w:eastAsia="宋体"/>
                      <w:color w:val="000000"/>
                      <w:sz w:val="22"/>
                    </w:rPr>
                    <w:t>7.1声道声卡，不接受通过PCI,PCI-E,USB扩展的声卡</w:t>
                  </w:r>
                  <w:r>
                    <w:rPr>
                      <w:rFonts w:ascii="宋体" w:hAnsi="宋体" w:cs="宋体" w:eastAsia="宋体"/>
                      <w:color w:val="000000"/>
                      <w:sz w:val="22"/>
                    </w:rPr>
                    <w:t>。</w:t>
                  </w:r>
                </w:p>
                <w:p>
                  <w:pPr>
                    <w:pStyle w:val="null3"/>
                    <w:jc w:val="left"/>
                  </w:pPr>
                  <w:r>
                    <w:rPr>
                      <w:rFonts w:ascii="宋体" w:hAnsi="宋体" w:cs="宋体" w:eastAsia="宋体"/>
                      <w:color w:val="000000"/>
                      <w:sz w:val="22"/>
                    </w:rPr>
                    <w:t>9</w:t>
                  </w:r>
                  <w:r>
                    <w:rPr>
                      <w:rFonts w:ascii="宋体" w:hAnsi="宋体" w:cs="宋体" w:eastAsia="宋体"/>
                      <w:color w:val="000000"/>
                      <w:sz w:val="22"/>
                    </w:rPr>
                    <w:t>、</w:t>
                  </w:r>
                  <w:r>
                    <w:rPr>
                      <w:rFonts w:ascii="宋体" w:hAnsi="宋体" w:cs="宋体" w:eastAsia="宋体"/>
                      <w:color w:val="000000"/>
                      <w:sz w:val="22"/>
                    </w:rPr>
                    <w:t>接口：</w:t>
                  </w:r>
                  <w:r>
                    <w:rPr>
                      <w:rFonts w:ascii="宋体" w:hAnsi="宋体" w:cs="宋体" w:eastAsia="宋体"/>
                      <w:color w:val="000000"/>
                      <w:sz w:val="22"/>
                    </w:rPr>
                    <w:t>≥8个USB接口，其中前置4 x USB 3.2，1 x HDMI, 1 x VGA，2 x PS/2，2 x DP</w:t>
                  </w:r>
                  <w:r>
                    <w:rPr>
                      <w:rFonts w:ascii="宋体" w:hAnsi="宋体" w:cs="宋体" w:eastAsia="宋体"/>
                      <w:color w:val="000000"/>
                      <w:sz w:val="22"/>
                    </w:rPr>
                    <w:t>。</w:t>
                  </w:r>
                </w:p>
                <w:p>
                  <w:pPr>
                    <w:pStyle w:val="null3"/>
                    <w:jc w:val="left"/>
                  </w:pPr>
                  <w:r>
                    <w:rPr>
                      <w:rFonts w:ascii="宋体" w:hAnsi="宋体" w:cs="宋体" w:eastAsia="宋体"/>
                      <w:color w:val="000000"/>
                      <w:sz w:val="22"/>
                    </w:rPr>
                    <w:t>10</w:t>
                  </w:r>
                  <w:r>
                    <w:rPr>
                      <w:rFonts w:ascii="宋体" w:hAnsi="宋体" w:cs="宋体" w:eastAsia="宋体"/>
                      <w:color w:val="000000"/>
                      <w:sz w:val="22"/>
                    </w:rPr>
                    <w:t>、</w:t>
                  </w:r>
                  <w:r>
                    <w:rPr>
                      <w:rFonts w:ascii="宋体" w:hAnsi="宋体" w:cs="宋体" w:eastAsia="宋体"/>
                      <w:color w:val="000000"/>
                      <w:sz w:val="22"/>
                    </w:rPr>
                    <w:t>扩展槽：</w:t>
                  </w:r>
                  <w:r>
                    <w:rPr>
                      <w:rFonts w:ascii="宋体" w:hAnsi="宋体" w:cs="宋体" w:eastAsia="宋体"/>
                      <w:color w:val="000000"/>
                      <w:sz w:val="22"/>
                    </w:rPr>
                    <w:t>2 x PCI-e 3.0 x 1，1 x PCI-e 4.0 x 16，2 x M.2可支持PCIe 4.0，1 x M.2可支持WIFI</w:t>
                  </w:r>
                  <w:r>
                    <w:rPr>
                      <w:rFonts w:ascii="宋体" w:hAnsi="宋体" w:cs="宋体" w:eastAsia="宋体"/>
                      <w:color w:val="000000"/>
                      <w:sz w:val="22"/>
                    </w:rPr>
                    <w:t>。</w:t>
                  </w:r>
                </w:p>
                <w:p>
                  <w:pPr>
                    <w:pStyle w:val="null3"/>
                    <w:jc w:val="left"/>
                  </w:pPr>
                  <w:r>
                    <w:rPr>
                      <w:rFonts w:ascii="宋体" w:hAnsi="宋体" w:cs="宋体" w:eastAsia="宋体"/>
                      <w:color w:val="000000"/>
                      <w:sz w:val="22"/>
                    </w:rPr>
                    <w:t>11</w:t>
                  </w:r>
                  <w:r>
                    <w:rPr>
                      <w:rFonts w:ascii="宋体" w:hAnsi="宋体" w:cs="宋体" w:eastAsia="宋体"/>
                      <w:color w:val="000000"/>
                      <w:sz w:val="22"/>
                    </w:rPr>
                    <w:t>、</w:t>
                  </w:r>
                  <w:r>
                    <w:rPr>
                      <w:rFonts w:ascii="宋体" w:hAnsi="宋体" w:cs="宋体" w:eastAsia="宋体"/>
                      <w:color w:val="000000"/>
                      <w:sz w:val="22"/>
                    </w:rPr>
                    <w:t>网卡：</w:t>
                  </w:r>
                  <w:r>
                    <w:rPr>
                      <w:rFonts w:ascii="宋体" w:hAnsi="宋体" w:cs="宋体" w:eastAsia="宋体"/>
                      <w:color w:val="000000"/>
                      <w:sz w:val="22"/>
                    </w:rPr>
                    <w:t>Intel千兆网卡, 带网卡状态指示灯</w:t>
                  </w:r>
                  <w:r>
                    <w:rPr>
                      <w:rFonts w:ascii="宋体" w:hAnsi="宋体" w:cs="宋体" w:eastAsia="宋体"/>
                      <w:color w:val="000000"/>
                      <w:sz w:val="22"/>
                    </w:rPr>
                    <w:t>。</w:t>
                  </w:r>
                </w:p>
                <w:p>
                  <w:pPr>
                    <w:pStyle w:val="null3"/>
                    <w:jc w:val="left"/>
                  </w:pPr>
                  <w:r>
                    <w:rPr>
                      <w:rFonts w:ascii="宋体" w:hAnsi="宋体" w:cs="宋体" w:eastAsia="宋体"/>
                      <w:color w:val="000000"/>
                      <w:sz w:val="22"/>
                    </w:rPr>
                    <w:t>12</w:t>
                  </w:r>
                  <w:r>
                    <w:rPr>
                      <w:rFonts w:ascii="宋体" w:hAnsi="宋体" w:cs="宋体" w:eastAsia="宋体"/>
                      <w:color w:val="000000"/>
                      <w:sz w:val="22"/>
                    </w:rPr>
                    <w:t>、</w:t>
                  </w:r>
                  <w:r>
                    <w:rPr>
                      <w:rFonts w:ascii="宋体" w:hAnsi="宋体" w:cs="宋体" w:eastAsia="宋体"/>
                      <w:color w:val="000000"/>
                      <w:sz w:val="22"/>
                    </w:rPr>
                    <w:t>机箱：</w:t>
                  </w:r>
                  <w:r>
                    <w:rPr>
                      <w:rFonts w:ascii="宋体" w:hAnsi="宋体" w:cs="宋体" w:eastAsia="宋体"/>
                      <w:color w:val="000000"/>
                      <w:sz w:val="22"/>
                    </w:rPr>
                    <w:t>≥27L，免工具拆卸</w:t>
                  </w:r>
                  <w:r>
                    <w:rPr>
                      <w:rFonts w:ascii="宋体" w:hAnsi="宋体" w:cs="宋体" w:eastAsia="宋体"/>
                      <w:color w:val="000000"/>
                      <w:sz w:val="22"/>
                    </w:rPr>
                    <w:t>。</w:t>
                  </w:r>
                </w:p>
                <w:p>
                  <w:pPr>
                    <w:pStyle w:val="null3"/>
                    <w:jc w:val="left"/>
                  </w:pPr>
                  <w:r>
                    <w:rPr>
                      <w:rFonts w:ascii="宋体" w:hAnsi="宋体" w:cs="宋体" w:eastAsia="宋体"/>
                      <w:color w:val="000000"/>
                      <w:sz w:val="22"/>
                    </w:rPr>
                    <w:t>13</w:t>
                  </w:r>
                  <w:r>
                    <w:rPr>
                      <w:rFonts w:ascii="宋体" w:hAnsi="宋体" w:cs="宋体" w:eastAsia="宋体"/>
                      <w:color w:val="000000"/>
                      <w:sz w:val="22"/>
                    </w:rPr>
                    <w:t>、</w:t>
                  </w:r>
                  <w:r>
                    <w:rPr>
                      <w:rFonts w:ascii="宋体" w:hAnsi="宋体" w:cs="宋体" w:eastAsia="宋体"/>
                      <w:color w:val="000000"/>
                      <w:sz w:val="22"/>
                    </w:rPr>
                    <w:t>电源</w:t>
                  </w:r>
                  <w:r>
                    <w:rPr>
                      <w:rFonts w:ascii="宋体" w:hAnsi="宋体" w:cs="宋体" w:eastAsia="宋体"/>
                      <w:color w:val="000000"/>
                      <w:sz w:val="22"/>
                    </w:rPr>
                    <w:t>: ≥500W节能电源，可以在90-265V使用（须提供相关证书和报告复印件并加盖投标人公章）</w:t>
                  </w:r>
                  <w:r>
                    <w:rPr>
                      <w:rFonts w:ascii="宋体" w:hAnsi="宋体" w:cs="宋体" w:eastAsia="宋体"/>
                      <w:color w:val="000000"/>
                      <w:sz w:val="22"/>
                    </w:rPr>
                    <w:t>。</w:t>
                  </w:r>
                </w:p>
                <w:p>
                  <w:pPr>
                    <w:pStyle w:val="null3"/>
                    <w:jc w:val="left"/>
                  </w:pPr>
                  <w:r>
                    <w:rPr>
                      <w:rFonts w:ascii="宋体" w:hAnsi="宋体" w:cs="宋体" w:eastAsia="宋体"/>
                      <w:color w:val="000000"/>
                      <w:sz w:val="22"/>
                    </w:rPr>
                    <w:t>14</w:t>
                  </w:r>
                  <w:r>
                    <w:rPr>
                      <w:rFonts w:ascii="宋体" w:hAnsi="宋体" w:cs="宋体" w:eastAsia="宋体"/>
                      <w:color w:val="000000"/>
                      <w:sz w:val="22"/>
                    </w:rPr>
                    <w:t>、</w:t>
                  </w:r>
                  <w:r>
                    <w:rPr>
                      <w:rFonts w:ascii="宋体" w:hAnsi="宋体" w:cs="宋体" w:eastAsia="宋体"/>
                      <w:color w:val="000000"/>
                      <w:sz w:val="22"/>
                    </w:rPr>
                    <w:t>系统：</w:t>
                  </w:r>
                  <w:r>
                    <w:rPr>
                      <w:rFonts w:ascii="宋体" w:hAnsi="宋体" w:cs="宋体" w:eastAsia="宋体"/>
                      <w:color w:val="000000"/>
                      <w:sz w:val="22"/>
                    </w:rPr>
                    <w:t>预装</w:t>
                  </w:r>
                  <w:r>
                    <w:rPr>
                      <w:rFonts w:ascii="宋体" w:hAnsi="宋体" w:cs="宋体" w:eastAsia="宋体"/>
                      <w:color w:val="000000"/>
                      <w:sz w:val="22"/>
                    </w:rPr>
                    <w:t>原厂正版</w:t>
                  </w:r>
                  <w:r>
                    <w:rPr>
                      <w:rFonts w:ascii="宋体" w:hAnsi="宋体" w:cs="宋体" w:eastAsia="宋体"/>
                      <w:color w:val="000000"/>
                      <w:sz w:val="22"/>
                    </w:rPr>
                    <w:t>WIN11操作系统</w:t>
                  </w:r>
                  <w:r>
                    <w:rPr>
                      <w:rFonts w:ascii="宋体" w:hAnsi="宋体" w:cs="宋体" w:eastAsia="宋体"/>
                      <w:color w:val="000000"/>
                      <w:sz w:val="22"/>
                    </w:rPr>
                    <w:t>。</w:t>
                  </w:r>
                </w:p>
                <w:p>
                  <w:pPr>
                    <w:pStyle w:val="null3"/>
                    <w:jc w:val="left"/>
                  </w:pPr>
                  <w:r>
                    <w:rPr>
                      <w:rFonts w:ascii="宋体" w:hAnsi="宋体" w:cs="宋体" w:eastAsia="宋体"/>
                      <w:color w:val="000000"/>
                      <w:sz w:val="22"/>
                    </w:rPr>
                    <w:t>15</w:t>
                  </w:r>
                  <w:r>
                    <w:rPr>
                      <w:rFonts w:ascii="宋体" w:hAnsi="宋体" w:cs="宋体" w:eastAsia="宋体"/>
                      <w:color w:val="000000"/>
                      <w:sz w:val="22"/>
                    </w:rPr>
                    <w:t>、</w:t>
                  </w:r>
                  <w:r>
                    <w:rPr>
                      <w:rFonts w:ascii="宋体" w:hAnsi="宋体" w:cs="宋体" w:eastAsia="宋体"/>
                      <w:color w:val="000000"/>
                      <w:sz w:val="22"/>
                    </w:rPr>
                    <w:t>资产管理：全中文图形化</w:t>
                  </w:r>
                  <w:r>
                    <w:rPr>
                      <w:rFonts w:ascii="宋体" w:hAnsi="宋体" w:cs="宋体" w:eastAsia="宋体"/>
                      <w:color w:val="000000"/>
                      <w:sz w:val="22"/>
                    </w:rPr>
                    <w:t>BIOS界面，支持鼠标操作，可用U盘升级BIOS系统，BIOS中可以显示机器序列号，CPU 型号，内存容量，显卡型号， CPU温度及电压，风扇转速，硬盘容量及品牌型号，有线网卡MAC地址等信息，方便资产管理与硬件故障排查（提供功能截图）</w:t>
                  </w:r>
                  <w:r>
                    <w:rPr>
                      <w:rFonts w:ascii="宋体" w:hAnsi="宋体" w:cs="宋体" w:eastAsia="宋体"/>
                      <w:color w:val="000000"/>
                      <w:sz w:val="22"/>
                    </w:rPr>
                    <w:t>。</w:t>
                  </w:r>
                  <w:r>
                    <w:rPr>
                      <w:rFonts w:ascii="calibri" w:hAnsi="calibri" w:cs="calibri" w:eastAsia="calibri"/>
                      <w:sz w:val="21"/>
                    </w:rPr>
                    <w:t xml:space="preserve"> </w:t>
                  </w:r>
                </w:p>
                <w:p>
                  <w:pPr>
                    <w:pStyle w:val="null3"/>
                    <w:jc w:val="left"/>
                  </w:pPr>
                  <w:r>
                    <w:rPr>
                      <w:rFonts w:ascii="宋体" w:hAnsi="宋体" w:cs="宋体" w:eastAsia="宋体"/>
                      <w:color w:val="000000"/>
                      <w:sz w:val="22"/>
                    </w:rPr>
                    <w:t>软件功能</w:t>
                  </w:r>
                  <w:r>
                    <w:rPr>
                      <w:rFonts w:ascii="宋体" w:hAnsi="宋体" w:cs="宋体" w:eastAsia="宋体"/>
                      <w:color w:val="000000"/>
                      <w:sz w:val="22"/>
                    </w:rPr>
                    <w:t>: 预装原厂软件，可实现双向智能语音降噪，电脑与手机互联，传输文件和URL，接收弹出通知，阅读和发送消息、接听或拔打电话以及镜像屏幕，通过密码控制USB 接口使用权限，显示处理器, 内存, 操作系统, BIOS, 系统使用情况，对修改日期时间、修改注册表、执行 DirectX 3D、锁定屏幕等方面进行密码管理。</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4</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台</w:t>
                  </w:r>
                </w:p>
              </w:tc>
            </w:tr>
          </w:tbl>
          <w:p/>
        </w:tc>
      </w:tr>
    </w:tbl>
    <w:p>
      <w:pPr>
        <w:pStyle w:val="null3"/>
      </w:pPr>
    </w:p>
    <w:p>
      <w:pPr>
        <w:pStyle w:val="null3"/>
      </w:pPr>
      <w:r>
        <w:rPr/>
        <w:t>标的名称：彩色数码复合机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51"/>
              <w:gridCol w:w="238"/>
              <w:gridCol w:w="1593"/>
              <w:gridCol w:w="156"/>
              <w:gridCol w:w="142"/>
            </w:tblGrid>
            <w:tr>
              <w:tc>
                <w:tcPr>
                  <w:tcW w:type="dxa" w:w="151"/>
                  <w:tcBorders>
                    <w:top w:val="single" w:color="000000" w:sz="4"/>
                    <w:left w:val="single" w:color="000000" w:sz="4"/>
                    <w:bottom w:val="single" w:color="000000" w:sz="4"/>
                    <w:right w:val="single" w:color="000000" w:sz="4"/>
                  </w:tcBorders>
                  <w:shd w:fill="D9E3F3"/>
                  <w:tcMar>
                    <w:top w:type="dxa" w:w="0"/>
                    <w:left w:type="dxa" w:w="105"/>
                    <w:bottom w:type="dxa" w:w="0"/>
                    <w:right w:type="dxa" w:w="105"/>
                  </w:tcMar>
                  <w:vAlign w:val="top"/>
                </w:tcPr>
                <w:p>
                  <w:pPr>
                    <w:pStyle w:val="null3"/>
                    <w:jc w:val="center"/>
                  </w:pPr>
                  <w:r>
                    <w:rPr>
                      <w:rFonts w:ascii="宋体" w:hAnsi="宋体" w:cs="宋体" w:eastAsia="宋体"/>
                      <w:b/>
                      <w:color w:val="000000"/>
                      <w:sz w:val="28"/>
                    </w:rPr>
                    <w:t>序号</w:t>
                  </w:r>
                </w:p>
              </w:tc>
              <w:tc>
                <w:tcPr>
                  <w:tcW w:type="dxa" w:w="238"/>
                  <w:tcBorders>
                    <w:top w:val="single" w:color="000000" w:sz="4"/>
                    <w:left w:val="none" w:color="000000" w:sz="4"/>
                    <w:bottom w:val="single" w:color="000000" w:sz="4"/>
                    <w:right w:val="single" w:color="000000" w:sz="4"/>
                  </w:tcBorders>
                  <w:shd w:fill="D9E3F3"/>
                  <w:tcMar>
                    <w:top w:type="dxa" w:w="0"/>
                    <w:left w:type="dxa" w:w="105"/>
                    <w:bottom w:type="dxa" w:w="0"/>
                    <w:right w:type="dxa" w:w="105"/>
                  </w:tcMar>
                  <w:vAlign w:val="top"/>
                </w:tcPr>
                <w:p>
                  <w:pPr>
                    <w:pStyle w:val="null3"/>
                    <w:jc w:val="center"/>
                  </w:pPr>
                  <w:r>
                    <w:rPr>
                      <w:rFonts w:ascii="宋体" w:hAnsi="宋体" w:cs="宋体" w:eastAsia="宋体"/>
                      <w:b/>
                      <w:color w:val="000000"/>
                      <w:sz w:val="28"/>
                    </w:rPr>
                    <w:t>设备名称</w:t>
                  </w:r>
                </w:p>
              </w:tc>
              <w:tc>
                <w:tcPr>
                  <w:tcW w:type="dxa" w:w="1593"/>
                  <w:tcBorders>
                    <w:top w:val="single" w:color="000000" w:sz="4"/>
                    <w:left w:val="none" w:color="000000" w:sz="4"/>
                    <w:bottom w:val="single" w:color="000000" w:sz="4"/>
                    <w:right w:val="single" w:color="000000" w:sz="4"/>
                  </w:tcBorders>
                  <w:shd w:fill="D9E3F3"/>
                  <w:tcMar>
                    <w:top w:type="dxa" w:w="0"/>
                    <w:left w:type="dxa" w:w="105"/>
                    <w:bottom w:type="dxa" w:w="0"/>
                    <w:right w:type="dxa" w:w="105"/>
                  </w:tcMar>
                  <w:vAlign w:val="top"/>
                </w:tcPr>
                <w:p>
                  <w:pPr>
                    <w:pStyle w:val="null3"/>
                    <w:jc w:val="center"/>
                  </w:pPr>
                  <w:r>
                    <w:rPr>
                      <w:rFonts w:ascii="宋体" w:hAnsi="宋体" w:cs="宋体" w:eastAsia="宋体"/>
                      <w:b/>
                      <w:color w:val="000000"/>
                      <w:sz w:val="28"/>
                    </w:rPr>
                    <w:t>技术参数</w:t>
                  </w:r>
                </w:p>
              </w:tc>
              <w:tc>
                <w:tcPr>
                  <w:tcW w:type="dxa" w:w="156"/>
                  <w:tcBorders>
                    <w:top w:val="single" w:color="000000" w:sz="4"/>
                    <w:left w:val="none" w:color="000000" w:sz="4"/>
                    <w:bottom w:val="single" w:color="000000" w:sz="4"/>
                    <w:right w:val="single" w:color="000000" w:sz="4"/>
                  </w:tcBorders>
                  <w:shd w:fill="D9E3F3"/>
                  <w:tcMar>
                    <w:top w:type="dxa" w:w="0"/>
                    <w:left w:type="dxa" w:w="105"/>
                    <w:bottom w:type="dxa" w:w="0"/>
                    <w:right w:type="dxa" w:w="105"/>
                  </w:tcMar>
                  <w:vAlign w:val="top"/>
                </w:tcPr>
                <w:p>
                  <w:pPr>
                    <w:pStyle w:val="null3"/>
                    <w:jc w:val="center"/>
                  </w:pPr>
                  <w:r>
                    <w:rPr>
                      <w:rFonts w:ascii="宋体" w:hAnsi="宋体" w:cs="宋体" w:eastAsia="宋体"/>
                      <w:b/>
                      <w:color w:val="000000"/>
                      <w:sz w:val="28"/>
                    </w:rPr>
                    <w:t>数量</w:t>
                  </w:r>
                </w:p>
              </w:tc>
              <w:tc>
                <w:tcPr>
                  <w:tcW w:type="dxa" w:w="142"/>
                  <w:tcBorders>
                    <w:top w:val="single" w:color="000000" w:sz="4"/>
                    <w:left w:val="none" w:color="000000" w:sz="4"/>
                    <w:bottom w:val="single" w:color="000000" w:sz="4"/>
                    <w:right w:val="single" w:color="000000" w:sz="4"/>
                  </w:tcBorders>
                  <w:shd w:fill="D9E3F3"/>
                  <w:tcMar>
                    <w:top w:type="dxa" w:w="0"/>
                    <w:left w:type="dxa" w:w="105"/>
                    <w:bottom w:type="dxa" w:w="0"/>
                    <w:right w:type="dxa" w:w="105"/>
                  </w:tcMar>
                  <w:vAlign w:val="top"/>
                </w:tcPr>
                <w:p>
                  <w:pPr>
                    <w:pStyle w:val="null3"/>
                    <w:jc w:val="center"/>
                  </w:pPr>
                  <w:r>
                    <w:rPr>
                      <w:rFonts w:ascii="宋体" w:hAnsi="宋体" w:cs="宋体" w:eastAsia="宋体"/>
                      <w:b/>
                      <w:color w:val="000000"/>
                      <w:sz w:val="28"/>
                    </w:rPr>
                    <w:t>单位</w:t>
                  </w:r>
                </w:p>
              </w:tc>
            </w:tr>
            <w:tr>
              <w:tc>
                <w:tcPr>
                  <w:tcW w:type="dxa" w:w="2280"/>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b/>
                      <w:color w:val="000000"/>
                      <w:sz w:val="28"/>
                    </w:rPr>
                    <w:t>一、学校网上巡查系统</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彩色数码复合机</w:t>
                  </w:r>
                </w:p>
              </w:tc>
              <w:tc>
                <w:tcPr>
                  <w:tcW w:type="dxa" w:w="15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彩色双面复印，双面网络打印，网络扫描；复印、打印速度：黑白</w:t>
                  </w:r>
                  <w:r>
                    <w:rPr>
                      <w:rFonts w:ascii="宋体" w:hAnsi="宋体" w:cs="宋体" w:eastAsia="宋体"/>
                      <w:color w:val="000000"/>
                      <w:sz w:val="22"/>
                    </w:rPr>
                    <w:t>/彩色≥20张/分钟，扫描速度≥73页/分钟；标配双面器，双面自动输稿器。OLED曝光，单通道四鼓四粉设计；干式双组份显影方式，热辊加热定影方式；启动时间：≤13.1秒，标配1.8G双核处理器,4G内存，128G SSD,可扩充至640GB；中文彩色液晶触摸操作面板≥10英寸，标配红章复印/打印模式；复印分辨可达2400x600dpi（平滑处理），打印分辨可达1200x2400dpi（平滑处理）；标配支持满幅面A3图像输出，且支持256g厚纸，满足特殊纸张输出需求；标配U盘打印及预览，标配扫描为Office文档(Word/Excel/PPT)，且文字可编辑，支持扫描至U盘；睡眠模式最低能耗仅为0.5W，可选择2种容量墨粉，可配原厂专用机柜。</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w:t>
                  </w:r>
                </w:p>
              </w:tc>
              <w:tc>
                <w:tcPr>
                  <w:tcW w:type="dxa" w:w="1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台</w:t>
                  </w:r>
                </w:p>
              </w:tc>
            </w:tr>
          </w:tbl>
          <w:p/>
        </w:tc>
      </w:tr>
    </w:tbl>
    <w:p>
      <w:pPr>
        <w:pStyle w:val="null3"/>
      </w:pPr>
    </w:p>
    <w:p>
      <w:pPr>
        <w:pStyle w:val="null3"/>
      </w:pPr>
      <w:r>
        <w:rPr/>
        <w:t>标的名称：标考高清电视墙管理平台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94"/>
              <w:gridCol w:w="302"/>
              <w:gridCol w:w="2035"/>
              <w:gridCol w:w="194"/>
              <w:gridCol w:w="179"/>
            </w:tblGrid>
            <w:tr>
              <w:tc>
                <w:tcPr>
                  <w:tcW w:type="dxa" w:w="194"/>
                  <w:tcBorders>
                    <w:top w:val="single" w:color="000000" w:sz="4"/>
                    <w:left w:val="single" w:color="000000" w:sz="4"/>
                    <w:bottom w:val="single" w:color="000000" w:sz="4"/>
                    <w:right w:val="single" w:color="000000" w:sz="4"/>
                  </w:tcBorders>
                  <w:shd w:fill="D9E3F3"/>
                  <w:tcMar>
                    <w:top w:type="dxa" w:w="0"/>
                    <w:left w:type="dxa" w:w="105"/>
                    <w:bottom w:type="dxa" w:w="0"/>
                    <w:right w:type="dxa" w:w="105"/>
                  </w:tcMar>
                  <w:vAlign w:val="top"/>
                </w:tcPr>
                <w:p>
                  <w:pPr>
                    <w:pStyle w:val="null3"/>
                    <w:jc w:val="center"/>
                  </w:pPr>
                  <w:r>
                    <w:rPr>
                      <w:rFonts w:ascii="宋体" w:hAnsi="宋体" w:cs="宋体" w:eastAsia="宋体"/>
                      <w:b/>
                      <w:color w:val="000000"/>
                      <w:sz w:val="28"/>
                    </w:rPr>
                    <w:t>序号</w:t>
                  </w:r>
                </w:p>
              </w:tc>
              <w:tc>
                <w:tcPr>
                  <w:tcW w:type="dxa" w:w="302"/>
                  <w:tcBorders>
                    <w:top w:val="single" w:color="000000" w:sz="4"/>
                    <w:left w:val="none" w:color="000000" w:sz="4"/>
                    <w:bottom w:val="single" w:color="000000" w:sz="4"/>
                    <w:right w:val="single" w:color="000000" w:sz="4"/>
                  </w:tcBorders>
                  <w:shd w:fill="D9E3F3"/>
                  <w:tcMar>
                    <w:top w:type="dxa" w:w="0"/>
                    <w:left w:type="dxa" w:w="105"/>
                    <w:bottom w:type="dxa" w:w="0"/>
                    <w:right w:type="dxa" w:w="105"/>
                  </w:tcMar>
                  <w:vAlign w:val="top"/>
                </w:tcPr>
                <w:p>
                  <w:pPr>
                    <w:pStyle w:val="null3"/>
                    <w:jc w:val="center"/>
                  </w:pPr>
                  <w:r>
                    <w:rPr>
                      <w:rFonts w:ascii="宋体" w:hAnsi="宋体" w:cs="宋体" w:eastAsia="宋体"/>
                      <w:b/>
                      <w:color w:val="000000"/>
                      <w:sz w:val="28"/>
                    </w:rPr>
                    <w:t>设备名称</w:t>
                  </w:r>
                </w:p>
              </w:tc>
              <w:tc>
                <w:tcPr>
                  <w:tcW w:type="dxa" w:w="2035"/>
                  <w:tcBorders>
                    <w:top w:val="single" w:color="000000" w:sz="4"/>
                    <w:left w:val="none" w:color="000000" w:sz="4"/>
                    <w:bottom w:val="single" w:color="000000" w:sz="4"/>
                    <w:right w:val="single" w:color="000000" w:sz="4"/>
                  </w:tcBorders>
                  <w:shd w:fill="D9E3F3"/>
                  <w:tcMar>
                    <w:top w:type="dxa" w:w="0"/>
                    <w:left w:type="dxa" w:w="105"/>
                    <w:bottom w:type="dxa" w:w="0"/>
                    <w:right w:type="dxa" w:w="105"/>
                  </w:tcMar>
                  <w:vAlign w:val="top"/>
                </w:tcPr>
                <w:p>
                  <w:pPr>
                    <w:pStyle w:val="null3"/>
                    <w:jc w:val="center"/>
                  </w:pPr>
                  <w:r>
                    <w:rPr>
                      <w:rFonts w:ascii="宋体" w:hAnsi="宋体" w:cs="宋体" w:eastAsia="宋体"/>
                      <w:b/>
                      <w:color w:val="000000"/>
                      <w:sz w:val="28"/>
                    </w:rPr>
                    <w:t>技术参数</w:t>
                  </w:r>
                </w:p>
              </w:tc>
              <w:tc>
                <w:tcPr>
                  <w:tcW w:type="dxa" w:w="194"/>
                  <w:tcBorders>
                    <w:top w:val="single" w:color="000000" w:sz="4"/>
                    <w:left w:val="none" w:color="000000" w:sz="4"/>
                    <w:bottom w:val="single" w:color="000000" w:sz="4"/>
                    <w:right w:val="single" w:color="000000" w:sz="4"/>
                  </w:tcBorders>
                  <w:shd w:fill="D9E3F3"/>
                  <w:tcMar>
                    <w:top w:type="dxa" w:w="0"/>
                    <w:left w:type="dxa" w:w="105"/>
                    <w:bottom w:type="dxa" w:w="0"/>
                    <w:right w:type="dxa" w:w="105"/>
                  </w:tcMar>
                  <w:vAlign w:val="top"/>
                </w:tcPr>
                <w:p>
                  <w:pPr>
                    <w:pStyle w:val="null3"/>
                    <w:jc w:val="center"/>
                  </w:pPr>
                  <w:r>
                    <w:rPr>
                      <w:rFonts w:ascii="宋体" w:hAnsi="宋体" w:cs="宋体" w:eastAsia="宋体"/>
                      <w:b/>
                      <w:color w:val="000000"/>
                      <w:sz w:val="28"/>
                    </w:rPr>
                    <w:t>数量</w:t>
                  </w:r>
                </w:p>
              </w:tc>
              <w:tc>
                <w:tcPr>
                  <w:tcW w:type="dxa" w:w="179"/>
                  <w:tcBorders>
                    <w:top w:val="single" w:color="000000" w:sz="4"/>
                    <w:left w:val="none" w:color="000000" w:sz="4"/>
                    <w:bottom w:val="single" w:color="000000" w:sz="4"/>
                    <w:right w:val="single" w:color="000000" w:sz="4"/>
                  </w:tcBorders>
                  <w:shd w:fill="D9E3F3"/>
                  <w:tcMar>
                    <w:top w:type="dxa" w:w="0"/>
                    <w:left w:type="dxa" w:w="105"/>
                    <w:bottom w:type="dxa" w:w="0"/>
                    <w:right w:type="dxa" w:w="105"/>
                  </w:tcMar>
                  <w:vAlign w:val="top"/>
                </w:tcPr>
                <w:p>
                  <w:pPr>
                    <w:pStyle w:val="null3"/>
                    <w:jc w:val="center"/>
                  </w:pPr>
                  <w:r>
                    <w:rPr>
                      <w:rFonts w:ascii="宋体" w:hAnsi="宋体" w:cs="宋体" w:eastAsia="宋体"/>
                      <w:b/>
                      <w:color w:val="000000"/>
                      <w:sz w:val="28"/>
                    </w:rPr>
                    <w:t>单位</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平台操作系统</w:t>
                  </w: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符合《国家教育考试网上巡查系统视频标准技术规范（</w:t>
                  </w:r>
                  <w:r>
                    <w:rPr>
                      <w:rFonts w:ascii="宋体" w:hAnsi="宋体" w:cs="宋体" w:eastAsia="宋体"/>
                      <w:color w:val="000000"/>
                      <w:sz w:val="22"/>
                    </w:rPr>
                    <w:t>2017版）》（JY/T-KS-JS-2017-1）技术规范</w:t>
                  </w:r>
                  <w:r>
                    <w:rPr>
                      <w:rFonts w:ascii="宋体" w:hAnsi="宋体" w:cs="宋体" w:eastAsia="宋体"/>
                      <w:color w:val="000000"/>
                      <w:sz w:val="22"/>
                    </w:rPr>
                    <w:t>。</w:t>
                  </w:r>
                </w:p>
                <w:p>
                  <w:pPr>
                    <w:pStyle w:val="null3"/>
                    <w:jc w:val="left"/>
                  </w:pPr>
                  <w:r>
                    <w:rPr>
                      <w:rFonts w:ascii="宋体" w:hAnsi="宋体" w:cs="宋体" w:eastAsia="宋体"/>
                      <w:color w:val="000000"/>
                      <w:sz w:val="22"/>
                    </w:rPr>
                    <w:t>2</w:t>
                  </w:r>
                  <w:r>
                    <w:rPr>
                      <w:rFonts w:ascii="宋体" w:hAnsi="宋体" w:cs="宋体" w:eastAsia="宋体"/>
                      <w:color w:val="000000"/>
                      <w:sz w:val="22"/>
                    </w:rPr>
                    <w:t>、</w:t>
                  </w:r>
                  <w:r>
                    <w:rPr>
                      <w:rFonts w:ascii="宋体" w:hAnsi="宋体" w:cs="宋体" w:eastAsia="宋体"/>
                      <w:color w:val="000000"/>
                      <w:sz w:val="22"/>
                    </w:rPr>
                    <w:t>嵌入式平台设计，具备实施操作系统（本身具备抗病毒和抗攻击能力）</w:t>
                  </w:r>
                  <w:r>
                    <w:rPr>
                      <w:rFonts w:ascii="宋体" w:hAnsi="宋体" w:cs="宋体" w:eastAsia="宋体"/>
                      <w:color w:val="000000"/>
                      <w:sz w:val="22"/>
                    </w:rPr>
                    <w:t>。</w:t>
                  </w:r>
                </w:p>
                <w:p>
                  <w:pPr>
                    <w:pStyle w:val="null3"/>
                    <w:jc w:val="left"/>
                  </w:pPr>
                  <w:r>
                    <w:rPr>
                      <w:rFonts w:ascii="宋体" w:hAnsi="宋体" w:cs="宋体" w:eastAsia="宋体"/>
                      <w:color w:val="000000"/>
                      <w:sz w:val="22"/>
                    </w:rPr>
                    <w:t>3</w:t>
                  </w:r>
                  <w:r>
                    <w:rPr>
                      <w:rFonts w:ascii="宋体" w:hAnsi="宋体" w:cs="宋体" w:eastAsia="宋体"/>
                      <w:color w:val="000000"/>
                      <w:sz w:val="22"/>
                    </w:rPr>
                    <w:t>、</w:t>
                  </w:r>
                  <w:r>
                    <w:rPr>
                      <w:rFonts w:ascii="宋体" w:hAnsi="宋体" w:cs="宋体" w:eastAsia="宋体"/>
                      <w:color w:val="000000"/>
                      <w:sz w:val="22"/>
                    </w:rPr>
                    <w:t>支持</w:t>
                  </w:r>
                  <w:r>
                    <w:rPr>
                      <w:rFonts w:ascii="宋体" w:hAnsi="宋体" w:cs="宋体" w:eastAsia="宋体"/>
                      <w:color w:val="000000"/>
                      <w:sz w:val="22"/>
                    </w:rPr>
                    <w:t>H.265、H.264、MPEG4等格式的视频解码，支持MPEG LayerⅡ、G711a、G711u、AAC格式的音频解码，支持Program Stream（系统流）和Transition Stream（传输流）封装格式的视频流解码</w:t>
                  </w:r>
                  <w:r>
                    <w:rPr>
                      <w:rFonts w:ascii="宋体" w:hAnsi="宋体" w:cs="宋体" w:eastAsia="宋体"/>
                      <w:color w:val="000000"/>
                      <w:sz w:val="22"/>
                    </w:rPr>
                    <w:t>。</w:t>
                  </w:r>
                  <w:r>
                    <w:rPr>
                      <w:rFonts w:ascii="宋体" w:hAnsi="宋体" w:cs="宋体" w:eastAsia="宋体"/>
                      <w:color w:val="000000"/>
                      <w:sz w:val="22"/>
                    </w:rPr>
                    <w:t>（提供</w:t>
                  </w:r>
                  <w:r>
                    <w:rPr>
                      <w:rFonts w:ascii="宋体" w:hAnsi="宋体" w:cs="宋体" w:eastAsia="宋体"/>
                      <w:color w:val="000000"/>
                      <w:sz w:val="22"/>
                    </w:rPr>
                    <w:t>有资质的机构</w:t>
                  </w:r>
                  <w:r>
                    <w:rPr>
                      <w:rFonts w:ascii="宋体" w:hAnsi="宋体" w:cs="宋体" w:eastAsia="宋体"/>
                      <w:color w:val="000000"/>
                      <w:sz w:val="22"/>
                    </w:rPr>
                    <w:t>出具的检测报告为佐证，报告内容须体现相应功能，提供复印件并加盖投标人公章。）</w:t>
                  </w:r>
                </w:p>
                <w:p>
                  <w:pPr>
                    <w:pStyle w:val="null3"/>
                    <w:jc w:val="left"/>
                  </w:pPr>
                  <w:r>
                    <w:rPr>
                      <w:rFonts w:ascii="宋体" w:hAnsi="宋体" w:cs="宋体" w:eastAsia="宋体"/>
                      <w:color w:val="000000"/>
                      <w:sz w:val="22"/>
                    </w:rPr>
                    <w:t>4</w:t>
                  </w:r>
                  <w:r>
                    <w:rPr>
                      <w:rFonts w:ascii="宋体" w:hAnsi="宋体" w:cs="宋体" w:eastAsia="宋体"/>
                      <w:color w:val="000000"/>
                      <w:sz w:val="22"/>
                    </w:rPr>
                    <w:t>、</w:t>
                  </w:r>
                  <w:r>
                    <w:rPr>
                      <w:rFonts w:ascii="宋体" w:hAnsi="宋体" w:cs="宋体" w:eastAsia="宋体"/>
                      <w:color w:val="000000"/>
                      <w:sz w:val="22"/>
                    </w:rPr>
                    <w:t>支持不少于</w:t>
                  </w:r>
                  <w:r>
                    <w:rPr>
                      <w:rFonts w:ascii="宋体" w:hAnsi="宋体" w:cs="宋体" w:eastAsia="宋体"/>
                      <w:color w:val="000000"/>
                      <w:sz w:val="22"/>
                    </w:rPr>
                    <w:t>4路HDMI（或者DVI、VGA）视频输入接口；支持≥12 路高清数字视频接口输出,支持1080p、4K 解码输出</w:t>
                  </w:r>
                  <w:r>
                    <w:rPr>
                      <w:rFonts w:ascii="宋体" w:hAnsi="宋体" w:cs="宋体" w:eastAsia="宋体"/>
                      <w:color w:val="000000"/>
                      <w:sz w:val="22"/>
                    </w:rPr>
                    <w:t>。</w:t>
                  </w:r>
                </w:p>
                <w:p>
                  <w:pPr>
                    <w:pStyle w:val="null3"/>
                    <w:jc w:val="left"/>
                  </w:pPr>
                  <w:r>
                    <w:rPr>
                      <w:rFonts w:ascii="宋体" w:hAnsi="宋体" w:cs="宋体" w:eastAsia="宋体"/>
                      <w:color w:val="000000"/>
                      <w:sz w:val="22"/>
                    </w:rPr>
                    <w:t>5</w:t>
                  </w:r>
                  <w:r>
                    <w:rPr>
                      <w:rFonts w:ascii="宋体" w:hAnsi="宋体" w:cs="宋体" w:eastAsia="宋体"/>
                      <w:color w:val="000000"/>
                      <w:sz w:val="22"/>
                    </w:rPr>
                    <w:t>、</w:t>
                  </w:r>
                  <w:r>
                    <w:rPr>
                      <w:rFonts w:ascii="宋体" w:hAnsi="宋体" w:cs="宋体" w:eastAsia="宋体"/>
                      <w:color w:val="000000"/>
                      <w:sz w:val="22"/>
                    </w:rPr>
                    <w:t>支持板卡热插拔，</w:t>
                  </w:r>
                  <w:r>
                    <w:rPr>
                      <w:rFonts w:ascii="宋体" w:hAnsi="宋体" w:cs="宋体" w:eastAsia="宋体"/>
                      <w:color w:val="000000"/>
                      <w:sz w:val="22"/>
                    </w:rPr>
                    <w:t>HDMI、DVI、VGA等多种接口类型板卡，板卡数量≥12块</w:t>
                  </w:r>
                  <w:r>
                    <w:rPr>
                      <w:rFonts w:ascii="宋体" w:hAnsi="宋体" w:cs="宋体" w:eastAsia="宋体"/>
                      <w:color w:val="000000"/>
                      <w:sz w:val="22"/>
                    </w:rPr>
                    <w:t>。</w:t>
                  </w:r>
                </w:p>
                <w:p>
                  <w:pPr>
                    <w:pStyle w:val="null3"/>
                    <w:jc w:val="left"/>
                  </w:pPr>
                  <w:r>
                    <w:rPr>
                      <w:rFonts w:ascii="宋体" w:hAnsi="宋体" w:cs="宋体" w:eastAsia="宋体"/>
                      <w:color w:val="000000"/>
                      <w:sz w:val="22"/>
                    </w:rPr>
                    <w:t>6</w:t>
                  </w:r>
                  <w:r>
                    <w:rPr>
                      <w:rFonts w:ascii="宋体" w:hAnsi="宋体" w:cs="宋体" w:eastAsia="宋体"/>
                      <w:color w:val="000000"/>
                      <w:sz w:val="22"/>
                    </w:rPr>
                    <w:t>、</w:t>
                  </w:r>
                  <w:r>
                    <w:rPr>
                      <w:rFonts w:ascii="宋体" w:hAnsi="宋体" w:cs="宋体" w:eastAsia="宋体"/>
                      <w:color w:val="000000"/>
                      <w:sz w:val="22"/>
                    </w:rPr>
                    <w:t>支持大屏拼接，开窗和漫游功能，单屏和融合窗口都支持</w:t>
                  </w:r>
                  <w:r>
                    <w:rPr>
                      <w:rFonts w:ascii="宋体" w:hAnsi="宋体" w:cs="宋体" w:eastAsia="宋体"/>
                      <w:color w:val="000000"/>
                      <w:sz w:val="22"/>
                    </w:rPr>
                    <w:t>1/4/9/16画面分割显示，单块板卡支持≥32个窗口</w:t>
                  </w:r>
                  <w:r>
                    <w:rPr>
                      <w:rFonts w:ascii="宋体" w:hAnsi="宋体" w:cs="宋体" w:eastAsia="宋体"/>
                      <w:color w:val="000000"/>
                      <w:sz w:val="22"/>
                    </w:rPr>
                    <w:t>。</w:t>
                  </w:r>
                </w:p>
                <w:p>
                  <w:pPr>
                    <w:pStyle w:val="null3"/>
                    <w:jc w:val="left"/>
                  </w:pPr>
                  <w:r>
                    <w:rPr>
                      <w:rFonts w:ascii="宋体" w:hAnsi="宋体" w:cs="宋体" w:eastAsia="宋体"/>
                      <w:color w:val="000000"/>
                      <w:sz w:val="22"/>
                    </w:rPr>
                    <w:t>7</w:t>
                  </w:r>
                  <w:r>
                    <w:rPr>
                      <w:rFonts w:ascii="宋体" w:hAnsi="宋体" w:cs="宋体" w:eastAsia="宋体"/>
                      <w:color w:val="000000"/>
                      <w:sz w:val="22"/>
                    </w:rPr>
                    <w:t>、</w:t>
                  </w:r>
                  <w:r>
                    <w:rPr>
                      <w:rFonts w:ascii="宋体" w:hAnsi="宋体" w:cs="宋体" w:eastAsia="宋体"/>
                      <w:color w:val="000000"/>
                      <w:sz w:val="22"/>
                    </w:rPr>
                    <w:t>保证解码效果，拼接屏各物理单元屏之间显示时差小于</w:t>
                  </w:r>
                  <w:r>
                    <w:rPr>
                      <w:rFonts w:ascii="宋体" w:hAnsi="宋体" w:cs="宋体" w:eastAsia="宋体"/>
                      <w:color w:val="000000"/>
                      <w:sz w:val="22"/>
                    </w:rPr>
                    <w:t>5ms，视频上墙延时小于92ms</w:t>
                  </w:r>
                  <w:r>
                    <w:rPr>
                      <w:rFonts w:ascii="宋体" w:hAnsi="宋体" w:cs="宋体" w:eastAsia="宋体"/>
                      <w:color w:val="000000"/>
                      <w:sz w:val="22"/>
                    </w:rPr>
                    <w:t>。</w:t>
                  </w:r>
                </w:p>
                <w:p>
                  <w:pPr>
                    <w:pStyle w:val="null3"/>
                    <w:jc w:val="left"/>
                  </w:pPr>
                  <w:r>
                    <w:rPr>
                      <w:rFonts w:ascii="宋体" w:hAnsi="宋体" w:cs="宋体" w:eastAsia="宋体"/>
                      <w:color w:val="000000"/>
                      <w:sz w:val="22"/>
                    </w:rPr>
                    <w:t>8</w:t>
                  </w:r>
                  <w:r>
                    <w:rPr>
                      <w:rFonts w:ascii="宋体" w:hAnsi="宋体" w:cs="宋体" w:eastAsia="宋体"/>
                      <w:color w:val="000000"/>
                      <w:sz w:val="22"/>
                    </w:rPr>
                    <w:t>、</w:t>
                  </w:r>
                  <w:r>
                    <w:rPr>
                      <w:rFonts w:ascii="宋体" w:hAnsi="宋体" w:cs="宋体" w:eastAsia="宋体"/>
                      <w:color w:val="000000"/>
                      <w:sz w:val="22"/>
                    </w:rPr>
                    <w:t>支持在单屏</w:t>
                  </w:r>
                  <w:r>
                    <w:rPr>
                      <w:rFonts w:ascii="宋体" w:hAnsi="宋体" w:cs="宋体" w:eastAsia="宋体"/>
                      <w:color w:val="000000"/>
                      <w:sz w:val="22"/>
                    </w:rPr>
                    <w:t>/拼接屏上显示文字，文字字体、颜色、字符间距、背景色和速度可调节</w:t>
                  </w:r>
                  <w:r>
                    <w:rPr>
                      <w:rFonts w:ascii="宋体" w:hAnsi="宋体" w:cs="宋体" w:eastAsia="宋体"/>
                      <w:color w:val="000000"/>
                      <w:sz w:val="22"/>
                    </w:rPr>
                    <w:t>。</w:t>
                  </w:r>
                </w:p>
                <w:p>
                  <w:pPr>
                    <w:pStyle w:val="null3"/>
                    <w:jc w:val="left"/>
                  </w:pPr>
                  <w:r>
                    <w:rPr>
                      <w:rFonts w:ascii="宋体" w:hAnsi="宋体" w:cs="宋体" w:eastAsia="宋体"/>
                      <w:color w:val="000000"/>
                      <w:sz w:val="22"/>
                    </w:rPr>
                    <w:t>9</w:t>
                  </w:r>
                  <w:r>
                    <w:rPr>
                      <w:rFonts w:ascii="宋体" w:hAnsi="宋体" w:cs="宋体" w:eastAsia="宋体"/>
                      <w:color w:val="000000"/>
                      <w:sz w:val="22"/>
                    </w:rPr>
                    <w:t>、</w:t>
                  </w:r>
                  <w:r>
                    <w:rPr>
                      <w:rFonts w:ascii="宋体" w:hAnsi="宋体" w:cs="宋体" w:eastAsia="宋体"/>
                      <w:color w:val="000000"/>
                      <w:sz w:val="22"/>
                    </w:rPr>
                    <w:t>设备支持开窗、漫游、漂移、改变形状等功能，单通道支持不少于</w:t>
                  </w:r>
                  <w:r>
                    <w:rPr>
                      <w:rFonts w:ascii="宋体" w:hAnsi="宋体" w:cs="宋体" w:eastAsia="宋体"/>
                      <w:color w:val="000000"/>
                      <w:sz w:val="22"/>
                    </w:rPr>
                    <w:t>36个图层叠加，支持多预案（不少于30个）定时轮巡，轮巡时间间隔、轮巡预案选择可配置</w:t>
                  </w:r>
                  <w:r>
                    <w:rPr>
                      <w:rFonts w:ascii="宋体" w:hAnsi="宋体" w:cs="宋体" w:eastAsia="宋体"/>
                      <w:color w:val="000000"/>
                      <w:sz w:val="22"/>
                    </w:rPr>
                    <w:t>。</w:t>
                  </w:r>
                </w:p>
                <w:p>
                  <w:pPr>
                    <w:pStyle w:val="null3"/>
                    <w:jc w:val="left"/>
                  </w:pPr>
                  <w:r>
                    <w:rPr>
                      <w:rFonts w:ascii="宋体" w:hAnsi="宋体" w:cs="宋体" w:eastAsia="宋体"/>
                      <w:color w:val="000000"/>
                      <w:sz w:val="22"/>
                    </w:rPr>
                    <w:t>10</w:t>
                  </w:r>
                  <w:r>
                    <w:rPr>
                      <w:rFonts w:ascii="宋体" w:hAnsi="宋体" w:cs="宋体" w:eastAsia="宋体"/>
                      <w:color w:val="000000"/>
                      <w:sz w:val="22"/>
                    </w:rPr>
                    <w:t>、</w:t>
                  </w:r>
                  <w:r>
                    <w:rPr>
                      <w:rFonts w:ascii="宋体" w:hAnsi="宋体" w:cs="宋体" w:eastAsia="宋体"/>
                      <w:color w:val="000000"/>
                      <w:sz w:val="22"/>
                    </w:rPr>
                    <w:t>支持电视墙的拼接功能，多块输出板卡进行拼接，满配最大支持</w:t>
                  </w:r>
                  <w:r>
                    <w:rPr>
                      <w:rFonts w:ascii="宋体" w:hAnsi="宋体" w:cs="宋体" w:eastAsia="宋体"/>
                      <w:color w:val="000000"/>
                      <w:sz w:val="22"/>
                    </w:rPr>
                    <w:t>60个屏幕拼接，且拼接屏各物理单元屏之间显示时差小于5ms</w:t>
                  </w:r>
                  <w:r>
                    <w:rPr>
                      <w:rFonts w:ascii="宋体" w:hAnsi="宋体" w:cs="宋体" w:eastAsia="宋体"/>
                      <w:color w:val="000000"/>
                      <w:sz w:val="22"/>
                    </w:rPr>
                    <w:t>。</w:t>
                  </w:r>
                </w:p>
                <w:p>
                  <w:pPr>
                    <w:pStyle w:val="null3"/>
                    <w:jc w:val="left"/>
                  </w:pPr>
                  <w:r>
                    <w:rPr>
                      <w:rFonts w:ascii="宋体" w:hAnsi="宋体" w:cs="宋体" w:eastAsia="宋体"/>
                      <w:color w:val="000000"/>
                      <w:sz w:val="22"/>
                    </w:rPr>
                    <w:t>11</w:t>
                  </w:r>
                  <w:r>
                    <w:rPr>
                      <w:rFonts w:ascii="宋体" w:hAnsi="宋体" w:cs="宋体" w:eastAsia="宋体"/>
                      <w:color w:val="000000"/>
                      <w:sz w:val="22"/>
                    </w:rPr>
                    <w:t>、</w:t>
                  </w:r>
                  <w:r>
                    <w:rPr>
                      <w:rFonts w:ascii="宋体" w:hAnsi="宋体" w:cs="宋体" w:eastAsia="宋体"/>
                      <w:color w:val="000000"/>
                      <w:sz w:val="22"/>
                    </w:rPr>
                    <w:t>支持调用主码流、辅码流、三码流解码，远程录像文件的解码上墙，并支持选择实时</w:t>
                  </w:r>
                  <w:r>
                    <w:rPr>
                      <w:rFonts w:ascii="宋体" w:hAnsi="宋体" w:cs="宋体" w:eastAsia="宋体"/>
                      <w:color w:val="000000"/>
                      <w:sz w:val="22"/>
                    </w:rPr>
                    <w:t>/流畅的解码策略</w:t>
                  </w:r>
                  <w:r>
                    <w:rPr>
                      <w:rFonts w:ascii="宋体" w:hAnsi="宋体" w:cs="宋体" w:eastAsia="宋体"/>
                      <w:color w:val="000000"/>
                      <w:sz w:val="22"/>
                    </w:rPr>
                    <w:t>。</w:t>
                  </w:r>
                </w:p>
                <w:p>
                  <w:pPr>
                    <w:pStyle w:val="null3"/>
                    <w:jc w:val="left"/>
                  </w:pPr>
                  <w:r>
                    <w:rPr>
                      <w:rFonts w:ascii="宋体" w:hAnsi="宋体" w:cs="宋体" w:eastAsia="宋体"/>
                      <w:color w:val="000000"/>
                      <w:sz w:val="22"/>
                    </w:rPr>
                    <w:t>12</w:t>
                  </w:r>
                  <w:r>
                    <w:rPr>
                      <w:rFonts w:ascii="宋体" w:hAnsi="宋体" w:cs="宋体" w:eastAsia="宋体"/>
                      <w:color w:val="000000"/>
                      <w:sz w:val="22"/>
                    </w:rPr>
                    <w:t>、</w:t>
                  </w:r>
                  <w:r>
                    <w:rPr>
                      <w:rFonts w:ascii="宋体" w:hAnsi="宋体" w:cs="宋体" w:eastAsia="宋体"/>
                      <w:color w:val="000000"/>
                      <w:sz w:val="22"/>
                    </w:rPr>
                    <w:t>支持不少于</w:t>
                  </w:r>
                  <w:r>
                    <w:rPr>
                      <w:rFonts w:ascii="宋体" w:hAnsi="宋体" w:cs="宋体" w:eastAsia="宋体"/>
                      <w:color w:val="000000"/>
                      <w:sz w:val="22"/>
                    </w:rPr>
                    <w:t>4个千兆带宽网络接口，具有多网口绑定功能，并支持容错网络模式、多网络模式、负载均衡网络模式、链路聚合网络模式</w:t>
                  </w:r>
                  <w:r>
                    <w:rPr>
                      <w:rFonts w:ascii="宋体" w:hAnsi="宋体" w:cs="宋体" w:eastAsia="宋体"/>
                      <w:color w:val="000000"/>
                      <w:sz w:val="22"/>
                    </w:rPr>
                    <w:t>。</w:t>
                  </w:r>
                </w:p>
                <w:p>
                  <w:pPr>
                    <w:pStyle w:val="null3"/>
                    <w:jc w:val="left"/>
                  </w:pPr>
                  <w:r>
                    <w:rPr>
                      <w:rFonts w:ascii="宋体" w:hAnsi="宋体" w:cs="宋体" w:eastAsia="宋体"/>
                      <w:color w:val="000000"/>
                      <w:sz w:val="22"/>
                    </w:rPr>
                    <w:t>13</w:t>
                  </w:r>
                  <w:r>
                    <w:rPr>
                      <w:rFonts w:ascii="宋体" w:hAnsi="宋体" w:cs="宋体" w:eastAsia="宋体"/>
                      <w:color w:val="000000"/>
                      <w:sz w:val="22"/>
                    </w:rPr>
                    <w:t>、</w:t>
                  </w:r>
                  <w:r>
                    <w:rPr>
                      <w:rFonts w:ascii="宋体" w:hAnsi="宋体" w:cs="宋体" w:eastAsia="宋体"/>
                      <w:color w:val="000000"/>
                      <w:sz w:val="22"/>
                    </w:rPr>
                    <w:t>支持解码透雾功能设置以及支持通过网络将远端电脑操作界面投射到电视墙，（提供</w:t>
                  </w:r>
                  <w:r>
                    <w:rPr>
                      <w:rFonts w:ascii="宋体" w:hAnsi="宋体" w:cs="宋体" w:eastAsia="宋体"/>
                      <w:color w:val="000000"/>
                      <w:sz w:val="22"/>
                    </w:rPr>
                    <w:t>有资质的机构</w:t>
                  </w:r>
                  <w:r>
                    <w:rPr>
                      <w:rFonts w:ascii="宋体" w:hAnsi="宋体" w:cs="宋体" w:eastAsia="宋体"/>
                      <w:color w:val="000000"/>
                      <w:sz w:val="22"/>
                    </w:rPr>
                    <w:t>出具的检测报告为佐证，报告内容须体现相应功能，提供复印件并加盖投标人公章。）</w:t>
                  </w:r>
                </w:p>
                <w:p>
                  <w:pPr>
                    <w:pStyle w:val="null3"/>
                    <w:jc w:val="left"/>
                  </w:pPr>
                  <w:r>
                    <w:rPr>
                      <w:rFonts w:ascii="宋体" w:hAnsi="宋体" w:cs="宋体" w:eastAsia="宋体"/>
                      <w:color w:val="000000"/>
                      <w:sz w:val="22"/>
                    </w:rPr>
                    <w:t>14</w:t>
                  </w:r>
                  <w:r>
                    <w:rPr>
                      <w:rFonts w:ascii="宋体" w:hAnsi="宋体" w:cs="宋体" w:eastAsia="宋体"/>
                      <w:color w:val="000000"/>
                      <w:sz w:val="22"/>
                    </w:rPr>
                    <w:t>、</w:t>
                  </w:r>
                  <w:r>
                    <w:rPr>
                      <w:rFonts w:ascii="宋体" w:hAnsi="宋体" w:cs="宋体" w:eastAsia="宋体"/>
                      <w:color w:val="000000"/>
                      <w:sz w:val="22"/>
                    </w:rPr>
                    <w:t>支持实时监测设备运作情况，可在本地界面实时显示机箱温度、风扇转速、子板信息、电源模块信息、网络使用信息，发生</w:t>
                  </w:r>
                  <w:r>
                    <w:rPr>
                      <w:rFonts w:ascii="宋体" w:hAnsi="宋体" w:cs="宋体" w:eastAsia="宋体"/>
                      <w:color w:val="000000"/>
                      <w:sz w:val="22"/>
                    </w:rPr>
                    <w:t>IP/MAC地址冲突时，可在本地界面上进行提示（提供</w:t>
                  </w:r>
                  <w:r>
                    <w:rPr>
                      <w:rFonts w:ascii="宋体" w:hAnsi="宋体" w:cs="宋体" w:eastAsia="宋体"/>
                      <w:color w:val="000000"/>
                      <w:sz w:val="22"/>
                    </w:rPr>
                    <w:t>有资质的机构</w:t>
                  </w:r>
                  <w:r>
                    <w:rPr>
                      <w:rFonts w:ascii="宋体" w:hAnsi="宋体" w:cs="宋体" w:eastAsia="宋体"/>
                      <w:color w:val="000000"/>
                      <w:sz w:val="22"/>
                    </w:rPr>
                    <w:t>出具的检测报告为佐证，报告内容须体现相应功能，提供复印件并加盖投标人公章。）</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台</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2</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6路板卡</w:t>
                  </w: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支持</w:t>
                  </w:r>
                  <w:r>
                    <w:rPr>
                      <w:rFonts w:ascii="宋体" w:hAnsi="宋体" w:cs="宋体" w:eastAsia="宋体"/>
                      <w:color w:val="000000"/>
                      <w:sz w:val="22"/>
                    </w:rPr>
                    <w:t>6路VGA/DVI/HDMI解码，每路输出支持1/4/9/16画面分割显示；每路解码能力: 16路D1或9路720p或4路1080p；</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4</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张</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3</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4路板卡</w:t>
                  </w: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支持</w:t>
                  </w:r>
                  <w:r>
                    <w:rPr>
                      <w:rFonts w:ascii="宋体" w:hAnsi="宋体" w:cs="宋体" w:eastAsia="宋体"/>
                      <w:color w:val="000000"/>
                      <w:sz w:val="22"/>
                    </w:rPr>
                    <w:t>4路VGA/DVI/HDMI编码，每路最大支持.265 1080P；</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张</w:t>
                  </w:r>
                </w:p>
              </w:tc>
            </w:tr>
          </w:tbl>
          <w:p/>
        </w:tc>
      </w:tr>
    </w:tbl>
    <w:p>
      <w:pPr>
        <w:pStyle w:val="null3"/>
      </w:pPr>
    </w:p>
    <w:p>
      <w:pPr>
        <w:pStyle w:val="null3"/>
      </w:pPr>
      <w:r>
        <w:rPr/>
        <w:t>标的名称：HDMI连接线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51"/>
              <w:gridCol w:w="238"/>
              <w:gridCol w:w="1593"/>
              <w:gridCol w:w="156"/>
              <w:gridCol w:w="142"/>
            </w:tblGrid>
            <w:tr>
              <w:tc>
                <w:tcPr>
                  <w:tcW w:type="dxa" w:w="151"/>
                  <w:tcBorders>
                    <w:top w:val="single" w:color="000000" w:sz="4"/>
                    <w:left w:val="single" w:color="000000" w:sz="4"/>
                    <w:bottom w:val="single" w:color="000000" w:sz="4"/>
                    <w:right w:val="single" w:color="000000" w:sz="4"/>
                  </w:tcBorders>
                  <w:shd w:fill="D9E3F3"/>
                  <w:tcMar>
                    <w:top w:type="dxa" w:w="0"/>
                    <w:left w:type="dxa" w:w="105"/>
                    <w:bottom w:type="dxa" w:w="0"/>
                    <w:right w:type="dxa" w:w="105"/>
                  </w:tcMar>
                  <w:vAlign w:val="top"/>
                </w:tcPr>
                <w:p>
                  <w:pPr>
                    <w:pStyle w:val="null3"/>
                    <w:jc w:val="center"/>
                  </w:pPr>
                  <w:r>
                    <w:rPr>
                      <w:rFonts w:ascii="宋体" w:hAnsi="宋体" w:cs="宋体" w:eastAsia="宋体"/>
                      <w:b/>
                      <w:color w:val="000000"/>
                      <w:sz w:val="28"/>
                    </w:rPr>
                    <w:t>序号</w:t>
                  </w:r>
                </w:p>
              </w:tc>
              <w:tc>
                <w:tcPr>
                  <w:tcW w:type="dxa" w:w="238"/>
                  <w:tcBorders>
                    <w:top w:val="single" w:color="000000" w:sz="4"/>
                    <w:left w:val="none" w:color="000000" w:sz="4"/>
                    <w:bottom w:val="single" w:color="000000" w:sz="4"/>
                    <w:right w:val="single" w:color="000000" w:sz="4"/>
                  </w:tcBorders>
                  <w:shd w:fill="D9E3F3"/>
                  <w:tcMar>
                    <w:top w:type="dxa" w:w="0"/>
                    <w:left w:type="dxa" w:w="105"/>
                    <w:bottom w:type="dxa" w:w="0"/>
                    <w:right w:type="dxa" w:w="105"/>
                  </w:tcMar>
                  <w:vAlign w:val="top"/>
                </w:tcPr>
                <w:p>
                  <w:pPr>
                    <w:pStyle w:val="null3"/>
                    <w:jc w:val="center"/>
                  </w:pPr>
                  <w:r>
                    <w:rPr>
                      <w:rFonts w:ascii="宋体" w:hAnsi="宋体" w:cs="宋体" w:eastAsia="宋体"/>
                      <w:b/>
                      <w:color w:val="000000"/>
                      <w:sz w:val="28"/>
                    </w:rPr>
                    <w:t>设备名称</w:t>
                  </w:r>
                </w:p>
              </w:tc>
              <w:tc>
                <w:tcPr>
                  <w:tcW w:type="dxa" w:w="1593"/>
                  <w:tcBorders>
                    <w:top w:val="single" w:color="000000" w:sz="4"/>
                    <w:left w:val="none" w:color="000000" w:sz="4"/>
                    <w:bottom w:val="single" w:color="000000" w:sz="4"/>
                    <w:right w:val="single" w:color="000000" w:sz="4"/>
                  </w:tcBorders>
                  <w:shd w:fill="D9E3F3"/>
                  <w:tcMar>
                    <w:top w:type="dxa" w:w="0"/>
                    <w:left w:type="dxa" w:w="105"/>
                    <w:bottom w:type="dxa" w:w="0"/>
                    <w:right w:type="dxa" w:w="105"/>
                  </w:tcMar>
                  <w:vAlign w:val="top"/>
                </w:tcPr>
                <w:p>
                  <w:pPr>
                    <w:pStyle w:val="null3"/>
                    <w:jc w:val="center"/>
                  </w:pPr>
                  <w:r>
                    <w:rPr>
                      <w:rFonts w:ascii="宋体" w:hAnsi="宋体" w:cs="宋体" w:eastAsia="宋体"/>
                      <w:b/>
                      <w:color w:val="000000"/>
                      <w:sz w:val="28"/>
                    </w:rPr>
                    <w:t>技术参数</w:t>
                  </w:r>
                </w:p>
              </w:tc>
              <w:tc>
                <w:tcPr>
                  <w:tcW w:type="dxa" w:w="156"/>
                  <w:tcBorders>
                    <w:top w:val="single" w:color="000000" w:sz="4"/>
                    <w:left w:val="none" w:color="000000" w:sz="4"/>
                    <w:bottom w:val="single" w:color="000000" w:sz="4"/>
                    <w:right w:val="single" w:color="000000" w:sz="4"/>
                  </w:tcBorders>
                  <w:shd w:fill="D9E3F3"/>
                  <w:tcMar>
                    <w:top w:type="dxa" w:w="0"/>
                    <w:left w:type="dxa" w:w="105"/>
                    <w:bottom w:type="dxa" w:w="0"/>
                    <w:right w:type="dxa" w:w="105"/>
                  </w:tcMar>
                  <w:vAlign w:val="top"/>
                </w:tcPr>
                <w:p>
                  <w:pPr>
                    <w:pStyle w:val="null3"/>
                    <w:jc w:val="center"/>
                  </w:pPr>
                  <w:r>
                    <w:rPr>
                      <w:rFonts w:ascii="宋体" w:hAnsi="宋体" w:cs="宋体" w:eastAsia="宋体"/>
                      <w:b/>
                      <w:color w:val="000000"/>
                      <w:sz w:val="28"/>
                    </w:rPr>
                    <w:t>数量</w:t>
                  </w:r>
                </w:p>
              </w:tc>
              <w:tc>
                <w:tcPr>
                  <w:tcW w:type="dxa" w:w="142"/>
                  <w:tcBorders>
                    <w:top w:val="single" w:color="000000" w:sz="4"/>
                    <w:left w:val="none" w:color="000000" w:sz="4"/>
                    <w:bottom w:val="single" w:color="000000" w:sz="4"/>
                    <w:right w:val="single" w:color="000000" w:sz="4"/>
                  </w:tcBorders>
                  <w:shd w:fill="D9E3F3"/>
                  <w:tcMar>
                    <w:top w:type="dxa" w:w="0"/>
                    <w:left w:type="dxa" w:w="105"/>
                    <w:bottom w:type="dxa" w:w="0"/>
                    <w:right w:type="dxa" w:w="105"/>
                  </w:tcMar>
                  <w:vAlign w:val="top"/>
                </w:tcPr>
                <w:p>
                  <w:pPr>
                    <w:pStyle w:val="null3"/>
                    <w:jc w:val="center"/>
                  </w:pPr>
                  <w:r>
                    <w:rPr>
                      <w:rFonts w:ascii="宋体" w:hAnsi="宋体" w:cs="宋体" w:eastAsia="宋体"/>
                      <w:b/>
                      <w:color w:val="000000"/>
                      <w:sz w:val="28"/>
                    </w:rPr>
                    <w:t>单位</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HDMI连接线</w:t>
                  </w:r>
                </w:p>
              </w:tc>
              <w:tc>
                <w:tcPr>
                  <w:tcW w:type="dxa" w:w="1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铜芯规格：</w:t>
                  </w:r>
                  <w:r>
                    <w:rPr>
                      <w:rFonts w:ascii="宋体" w:hAnsi="宋体" w:cs="宋体" w:eastAsia="宋体"/>
                      <w:color w:val="000000"/>
                      <w:sz w:val="22"/>
                    </w:rPr>
                    <w:t>28AWG</w:t>
                  </w:r>
                  <w:r>
                    <w:rPr>
                      <w:rFonts w:ascii="宋体" w:hAnsi="宋体" w:cs="宋体" w:eastAsia="宋体"/>
                      <w:color w:val="000000"/>
                      <w:sz w:val="22"/>
                    </w:rPr>
                    <w:t>。</w:t>
                  </w:r>
                </w:p>
                <w:p>
                  <w:pPr>
                    <w:pStyle w:val="null3"/>
                    <w:jc w:val="both"/>
                  </w:pPr>
                  <w:r>
                    <w:rPr>
                      <w:rFonts w:ascii="宋体" w:hAnsi="宋体" w:cs="宋体" w:eastAsia="宋体"/>
                      <w:color w:val="000000"/>
                      <w:sz w:val="22"/>
                    </w:rPr>
                    <w:t>2</w:t>
                  </w:r>
                  <w:r>
                    <w:rPr>
                      <w:rFonts w:ascii="宋体" w:hAnsi="宋体" w:cs="宋体" w:eastAsia="宋体"/>
                      <w:color w:val="000000"/>
                      <w:sz w:val="22"/>
                    </w:rPr>
                    <w:t>、</w:t>
                  </w:r>
                  <w:r>
                    <w:rPr>
                      <w:rFonts w:ascii="宋体" w:hAnsi="宋体" w:cs="宋体" w:eastAsia="宋体"/>
                      <w:color w:val="000000"/>
                      <w:sz w:val="22"/>
                    </w:rPr>
                    <w:t>线径：</w:t>
                  </w:r>
                  <w:r>
                    <w:rPr>
                      <w:rFonts w:ascii="宋体" w:hAnsi="宋体" w:cs="宋体" w:eastAsia="宋体"/>
                      <w:color w:val="000000"/>
                      <w:sz w:val="22"/>
                    </w:rPr>
                    <w:t>8mm</w:t>
                  </w:r>
                  <w:r>
                    <w:rPr>
                      <w:rFonts w:ascii="宋体" w:hAnsi="宋体" w:cs="宋体" w:eastAsia="宋体"/>
                      <w:color w:val="000000"/>
                      <w:sz w:val="22"/>
                    </w:rPr>
                    <w:t>。</w:t>
                  </w:r>
                </w:p>
                <w:p>
                  <w:pPr>
                    <w:pStyle w:val="null3"/>
                    <w:jc w:val="both"/>
                  </w:pPr>
                  <w:r>
                    <w:rPr>
                      <w:rFonts w:ascii="宋体" w:hAnsi="宋体" w:cs="宋体" w:eastAsia="宋体"/>
                      <w:color w:val="000000"/>
                      <w:sz w:val="22"/>
                    </w:rPr>
                    <w:t>3</w:t>
                  </w:r>
                  <w:r>
                    <w:rPr>
                      <w:rFonts w:ascii="宋体" w:hAnsi="宋体" w:cs="宋体" w:eastAsia="宋体"/>
                      <w:color w:val="000000"/>
                      <w:sz w:val="22"/>
                    </w:rPr>
                    <w:t>、</w:t>
                  </w:r>
                  <w:r>
                    <w:rPr>
                      <w:rFonts w:ascii="宋体" w:hAnsi="宋体" w:cs="宋体" w:eastAsia="宋体"/>
                      <w:color w:val="000000"/>
                      <w:sz w:val="22"/>
                    </w:rPr>
                    <w:t>最大支持分辨率：</w:t>
                  </w:r>
                  <w:r>
                    <w:rPr>
                      <w:rFonts w:ascii="宋体" w:hAnsi="宋体" w:cs="宋体" w:eastAsia="宋体"/>
                      <w:color w:val="000000"/>
                      <w:sz w:val="22"/>
                    </w:rPr>
                    <w:t>4K*2K/30Hz</w:t>
                  </w:r>
                  <w:r>
                    <w:rPr>
                      <w:rFonts w:ascii="宋体" w:hAnsi="宋体" w:cs="宋体" w:eastAsia="宋体"/>
                      <w:color w:val="000000"/>
                      <w:sz w:val="22"/>
                    </w:rPr>
                    <w:t>。</w:t>
                  </w:r>
                </w:p>
                <w:p>
                  <w:pPr>
                    <w:pStyle w:val="null3"/>
                    <w:jc w:val="both"/>
                  </w:pPr>
                  <w:r>
                    <w:rPr>
                      <w:rFonts w:ascii="宋体" w:hAnsi="宋体" w:cs="宋体" w:eastAsia="宋体"/>
                      <w:color w:val="000000"/>
                      <w:sz w:val="22"/>
                    </w:rPr>
                    <w:t>4</w:t>
                  </w:r>
                  <w:r>
                    <w:rPr>
                      <w:rFonts w:ascii="宋体" w:hAnsi="宋体" w:cs="宋体" w:eastAsia="宋体"/>
                      <w:color w:val="000000"/>
                      <w:sz w:val="22"/>
                    </w:rPr>
                    <w:t>、</w:t>
                  </w:r>
                  <w:r>
                    <w:rPr>
                      <w:rFonts w:ascii="宋体" w:hAnsi="宋体" w:cs="宋体" w:eastAsia="宋体"/>
                      <w:color w:val="000000"/>
                      <w:sz w:val="22"/>
                    </w:rPr>
                    <w:t xml:space="preserve"> </w:t>
                  </w:r>
                  <w:r>
                    <w:rPr>
                      <w:rFonts w:ascii="宋体" w:hAnsi="宋体" w:cs="宋体" w:eastAsia="宋体"/>
                      <w:color w:val="000000"/>
                      <w:sz w:val="22"/>
                    </w:rPr>
                    <w:t>理论带宽：</w:t>
                  </w:r>
                  <w:r>
                    <w:rPr>
                      <w:rFonts w:ascii="宋体" w:hAnsi="宋体" w:cs="宋体" w:eastAsia="宋体"/>
                      <w:color w:val="000000"/>
                      <w:sz w:val="22"/>
                    </w:rPr>
                    <w:t>10.2Gbps</w:t>
                  </w:r>
                  <w:r>
                    <w:rPr>
                      <w:rFonts w:ascii="宋体" w:hAnsi="宋体" w:cs="宋体" w:eastAsia="宋体"/>
                      <w:color w:val="000000"/>
                      <w:sz w:val="22"/>
                    </w:rPr>
                    <w:t>。</w:t>
                  </w:r>
                </w:p>
                <w:p>
                  <w:pPr>
                    <w:pStyle w:val="null3"/>
                    <w:jc w:val="both"/>
                  </w:pPr>
                  <w:r>
                    <w:rPr>
                      <w:rFonts w:ascii="宋体" w:hAnsi="宋体" w:cs="宋体" w:eastAsia="宋体"/>
                      <w:color w:val="000000"/>
                      <w:sz w:val="22"/>
                    </w:rPr>
                    <w:t>5</w:t>
                  </w:r>
                  <w:r>
                    <w:rPr>
                      <w:rFonts w:ascii="宋体" w:hAnsi="宋体" w:cs="宋体" w:eastAsia="宋体"/>
                      <w:color w:val="000000"/>
                      <w:sz w:val="22"/>
                    </w:rPr>
                    <w:t>、</w:t>
                  </w:r>
                  <w:r>
                    <w:rPr>
                      <w:rFonts w:ascii="宋体" w:hAnsi="宋体" w:cs="宋体" w:eastAsia="宋体"/>
                      <w:color w:val="000000"/>
                      <w:sz w:val="22"/>
                    </w:rPr>
                    <w:t>长度：</w:t>
                  </w:r>
                  <w:r>
                    <w:rPr>
                      <w:rFonts w:ascii="宋体" w:hAnsi="宋体" w:cs="宋体" w:eastAsia="宋体"/>
                      <w:color w:val="000000"/>
                      <w:sz w:val="22"/>
                    </w:rPr>
                    <w:t>20m。</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20</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根</w:t>
                  </w:r>
                </w:p>
              </w:tc>
            </w:tr>
          </w:tbl>
          <w:p/>
        </w:tc>
      </w:tr>
    </w:tbl>
    <w:p>
      <w:pPr>
        <w:pStyle w:val="null3"/>
      </w:pPr>
    </w:p>
    <w:p>
      <w:pPr>
        <w:pStyle w:val="null3"/>
      </w:pPr>
      <w:r>
        <w:rPr/>
        <w:t>标的名称：液晶拼接电视墙系统单元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51"/>
              <w:gridCol w:w="238"/>
              <w:gridCol w:w="1593"/>
              <w:gridCol w:w="156"/>
              <w:gridCol w:w="142"/>
            </w:tblGrid>
            <w:tr>
              <w:tc>
                <w:tcPr>
                  <w:tcW w:type="dxa" w:w="151"/>
                  <w:tcBorders>
                    <w:top w:val="single" w:color="000000" w:sz="4"/>
                    <w:left w:val="single" w:color="000000" w:sz="4"/>
                    <w:bottom w:val="single" w:color="000000" w:sz="4"/>
                    <w:right w:val="single" w:color="000000" w:sz="4"/>
                  </w:tcBorders>
                  <w:shd w:fill="D9E3F3"/>
                  <w:tcMar>
                    <w:top w:type="dxa" w:w="0"/>
                    <w:left w:type="dxa" w:w="105"/>
                    <w:bottom w:type="dxa" w:w="0"/>
                    <w:right w:type="dxa" w:w="105"/>
                  </w:tcMar>
                  <w:vAlign w:val="top"/>
                </w:tcPr>
                <w:p>
                  <w:pPr>
                    <w:pStyle w:val="null3"/>
                    <w:jc w:val="center"/>
                  </w:pPr>
                  <w:r>
                    <w:rPr>
                      <w:rFonts w:ascii="宋体" w:hAnsi="宋体" w:cs="宋体" w:eastAsia="宋体"/>
                      <w:b/>
                      <w:color w:val="000000"/>
                      <w:sz w:val="28"/>
                    </w:rPr>
                    <w:t>序号</w:t>
                  </w:r>
                </w:p>
              </w:tc>
              <w:tc>
                <w:tcPr>
                  <w:tcW w:type="dxa" w:w="238"/>
                  <w:tcBorders>
                    <w:top w:val="single" w:color="000000" w:sz="4"/>
                    <w:left w:val="none" w:color="000000" w:sz="4"/>
                    <w:bottom w:val="single" w:color="000000" w:sz="4"/>
                    <w:right w:val="single" w:color="000000" w:sz="4"/>
                  </w:tcBorders>
                  <w:shd w:fill="D9E3F3"/>
                  <w:tcMar>
                    <w:top w:type="dxa" w:w="0"/>
                    <w:left w:type="dxa" w:w="105"/>
                    <w:bottom w:type="dxa" w:w="0"/>
                    <w:right w:type="dxa" w:w="105"/>
                  </w:tcMar>
                  <w:vAlign w:val="top"/>
                </w:tcPr>
                <w:p>
                  <w:pPr>
                    <w:pStyle w:val="null3"/>
                    <w:jc w:val="center"/>
                  </w:pPr>
                  <w:r>
                    <w:rPr>
                      <w:rFonts w:ascii="宋体" w:hAnsi="宋体" w:cs="宋体" w:eastAsia="宋体"/>
                      <w:b/>
                      <w:color w:val="000000"/>
                      <w:sz w:val="28"/>
                    </w:rPr>
                    <w:t>设备名称</w:t>
                  </w:r>
                </w:p>
              </w:tc>
              <w:tc>
                <w:tcPr>
                  <w:tcW w:type="dxa" w:w="1593"/>
                  <w:tcBorders>
                    <w:top w:val="single" w:color="000000" w:sz="4"/>
                    <w:left w:val="none" w:color="000000" w:sz="4"/>
                    <w:bottom w:val="single" w:color="000000" w:sz="4"/>
                    <w:right w:val="single" w:color="000000" w:sz="4"/>
                  </w:tcBorders>
                  <w:shd w:fill="D9E3F3"/>
                  <w:tcMar>
                    <w:top w:type="dxa" w:w="0"/>
                    <w:left w:type="dxa" w:w="105"/>
                    <w:bottom w:type="dxa" w:w="0"/>
                    <w:right w:type="dxa" w:w="105"/>
                  </w:tcMar>
                  <w:vAlign w:val="top"/>
                </w:tcPr>
                <w:p>
                  <w:pPr>
                    <w:pStyle w:val="null3"/>
                    <w:jc w:val="center"/>
                  </w:pPr>
                  <w:r>
                    <w:rPr>
                      <w:rFonts w:ascii="宋体" w:hAnsi="宋体" w:cs="宋体" w:eastAsia="宋体"/>
                      <w:b/>
                      <w:color w:val="000000"/>
                      <w:sz w:val="28"/>
                    </w:rPr>
                    <w:t>技术参数</w:t>
                  </w:r>
                </w:p>
              </w:tc>
              <w:tc>
                <w:tcPr>
                  <w:tcW w:type="dxa" w:w="156"/>
                  <w:tcBorders>
                    <w:top w:val="single" w:color="000000" w:sz="4"/>
                    <w:left w:val="none" w:color="000000" w:sz="4"/>
                    <w:bottom w:val="single" w:color="000000" w:sz="4"/>
                    <w:right w:val="single" w:color="000000" w:sz="4"/>
                  </w:tcBorders>
                  <w:shd w:fill="D9E3F3"/>
                  <w:tcMar>
                    <w:top w:type="dxa" w:w="0"/>
                    <w:left w:type="dxa" w:w="105"/>
                    <w:bottom w:type="dxa" w:w="0"/>
                    <w:right w:type="dxa" w:w="105"/>
                  </w:tcMar>
                  <w:vAlign w:val="top"/>
                </w:tcPr>
                <w:p>
                  <w:pPr>
                    <w:pStyle w:val="null3"/>
                    <w:jc w:val="center"/>
                  </w:pPr>
                  <w:r>
                    <w:rPr>
                      <w:rFonts w:ascii="宋体" w:hAnsi="宋体" w:cs="宋体" w:eastAsia="宋体"/>
                      <w:b/>
                      <w:color w:val="000000"/>
                      <w:sz w:val="28"/>
                    </w:rPr>
                    <w:t>数量</w:t>
                  </w:r>
                </w:p>
              </w:tc>
              <w:tc>
                <w:tcPr>
                  <w:tcW w:type="dxa" w:w="142"/>
                  <w:tcBorders>
                    <w:top w:val="single" w:color="000000" w:sz="4"/>
                    <w:left w:val="none" w:color="000000" w:sz="4"/>
                    <w:bottom w:val="single" w:color="000000" w:sz="4"/>
                    <w:right w:val="single" w:color="000000" w:sz="4"/>
                  </w:tcBorders>
                  <w:shd w:fill="D9E3F3"/>
                  <w:tcMar>
                    <w:top w:type="dxa" w:w="0"/>
                    <w:left w:type="dxa" w:w="105"/>
                    <w:bottom w:type="dxa" w:w="0"/>
                    <w:right w:type="dxa" w:w="105"/>
                  </w:tcMar>
                  <w:vAlign w:val="top"/>
                </w:tcPr>
                <w:p>
                  <w:pPr>
                    <w:pStyle w:val="null3"/>
                    <w:jc w:val="center"/>
                  </w:pPr>
                  <w:r>
                    <w:rPr>
                      <w:rFonts w:ascii="宋体" w:hAnsi="宋体" w:cs="宋体" w:eastAsia="宋体"/>
                      <w:b/>
                      <w:color w:val="000000"/>
                      <w:sz w:val="28"/>
                    </w:rPr>
                    <w:t>单位</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液晶拼接电视墙系统单元</w:t>
                  </w:r>
                </w:p>
              </w:tc>
              <w:tc>
                <w:tcPr>
                  <w:tcW w:type="dxa" w:w="1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工业级面板：采用工业级面板，适合</w:t>
                  </w:r>
                  <w:r>
                    <w:rPr>
                      <w:rFonts w:ascii="宋体" w:hAnsi="宋体" w:cs="宋体" w:eastAsia="宋体"/>
                      <w:color w:val="000000"/>
                      <w:sz w:val="22"/>
                    </w:rPr>
                    <w:t>7*24小时连续工作</w:t>
                  </w:r>
                  <w:r>
                    <w:rPr>
                      <w:rFonts w:ascii="宋体" w:hAnsi="宋体" w:cs="宋体" w:eastAsia="宋体"/>
                      <w:color w:val="000000"/>
                      <w:sz w:val="22"/>
                    </w:rPr>
                    <w:t>。</w:t>
                  </w:r>
                </w:p>
                <w:p>
                  <w:pPr>
                    <w:pStyle w:val="null3"/>
                    <w:jc w:val="left"/>
                  </w:pPr>
                  <w:r>
                    <w:rPr>
                      <w:rFonts w:ascii="宋体" w:hAnsi="宋体" w:cs="宋体" w:eastAsia="宋体"/>
                      <w:color w:val="000000"/>
                      <w:sz w:val="22"/>
                    </w:rPr>
                    <w:t>2</w:t>
                  </w:r>
                  <w:r>
                    <w:rPr>
                      <w:rFonts w:ascii="宋体" w:hAnsi="宋体" w:cs="宋体" w:eastAsia="宋体"/>
                      <w:color w:val="000000"/>
                      <w:sz w:val="22"/>
                    </w:rPr>
                    <w:t>、</w:t>
                  </w:r>
                  <w:r>
                    <w:rPr>
                      <w:rFonts w:ascii="宋体" w:hAnsi="宋体" w:cs="宋体" w:eastAsia="宋体"/>
                      <w:color w:val="000000"/>
                      <w:sz w:val="22"/>
                    </w:rPr>
                    <w:t>产品尺寸：</w:t>
                  </w:r>
                  <w:r>
                    <w:rPr>
                      <w:rFonts w:ascii="宋体" w:hAnsi="宋体" w:cs="宋体" w:eastAsia="宋体"/>
                      <w:color w:val="000000"/>
                      <w:sz w:val="22"/>
                    </w:rPr>
                    <w:t>55寸</w:t>
                  </w:r>
                  <w:r>
                    <w:rPr>
                      <w:rFonts w:ascii="宋体" w:hAnsi="宋体" w:cs="宋体" w:eastAsia="宋体"/>
                      <w:color w:val="000000"/>
                      <w:sz w:val="22"/>
                    </w:rPr>
                    <w:t>。</w:t>
                  </w:r>
                </w:p>
                <w:p>
                  <w:pPr>
                    <w:pStyle w:val="null3"/>
                    <w:jc w:val="left"/>
                  </w:pPr>
                  <w:r>
                    <w:rPr>
                      <w:rFonts w:ascii="宋体" w:hAnsi="宋体" w:cs="宋体" w:eastAsia="宋体"/>
                      <w:color w:val="000000"/>
                      <w:sz w:val="22"/>
                    </w:rPr>
                    <w:t>3</w:t>
                  </w:r>
                  <w:r>
                    <w:rPr>
                      <w:rFonts w:ascii="宋体" w:hAnsi="宋体" w:cs="宋体" w:eastAsia="宋体"/>
                      <w:color w:val="000000"/>
                      <w:sz w:val="22"/>
                    </w:rPr>
                    <w:t>、</w:t>
                  </w:r>
                  <w:r>
                    <w:rPr>
                      <w:rFonts w:ascii="宋体" w:hAnsi="宋体" w:cs="宋体" w:eastAsia="宋体"/>
                      <w:color w:val="000000"/>
                      <w:sz w:val="22"/>
                    </w:rPr>
                    <w:t>物理双边拼缝：双边物理拼缝</w:t>
                  </w:r>
                  <w:r>
                    <w:rPr>
                      <w:rFonts w:ascii="arial, helvetica, sans-serif" w:hAnsi="arial, helvetica, sans-serif" w:cs="arial, helvetica, sans-serif" w:eastAsia="arial, helvetica, sans-serif"/>
                      <w:color w:val="000000"/>
                      <w:sz w:val="22"/>
                    </w:rPr>
                    <w:t>≤</w:t>
                  </w:r>
                  <w:r>
                    <w:rPr>
                      <w:rFonts w:ascii="宋体" w:hAnsi="宋体" w:cs="宋体" w:eastAsia="宋体"/>
                      <w:color w:val="000000"/>
                      <w:sz w:val="22"/>
                    </w:rPr>
                    <w:t>1.7mm</w:t>
                  </w:r>
                  <w:r>
                    <w:rPr>
                      <w:rFonts w:ascii="宋体" w:hAnsi="宋体" w:cs="宋体" w:eastAsia="宋体"/>
                      <w:color w:val="000000"/>
                      <w:sz w:val="22"/>
                    </w:rPr>
                    <w:t>。</w:t>
                  </w:r>
                </w:p>
                <w:p>
                  <w:pPr>
                    <w:pStyle w:val="null3"/>
                    <w:jc w:val="left"/>
                  </w:pPr>
                  <w:r>
                    <w:rPr>
                      <w:rFonts w:ascii="宋体" w:hAnsi="宋体" w:cs="宋体" w:eastAsia="宋体"/>
                      <w:color w:val="000000"/>
                      <w:sz w:val="22"/>
                    </w:rPr>
                    <w:t>4</w:t>
                  </w:r>
                  <w:r>
                    <w:rPr>
                      <w:rFonts w:ascii="宋体" w:hAnsi="宋体" w:cs="宋体" w:eastAsia="宋体"/>
                      <w:color w:val="000000"/>
                      <w:sz w:val="22"/>
                    </w:rPr>
                    <w:t>、</w:t>
                  </w:r>
                  <w:r>
                    <w:rPr>
                      <w:rFonts w:ascii="宋体" w:hAnsi="宋体" w:cs="宋体" w:eastAsia="宋体"/>
                      <w:color w:val="000000"/>
                      <w:sz w:val="22"/>
                    </w:rPr>
                    <w:t>高亮背光：直下式</w:t>
                  </w:r>
                  <w:r>
                    <w:rPr>
                      <w:rFonts w:ascii="宋体" w:hAnsi="宋体" w:cs="宋体" w:eastAsia="宋体"/>
                      <w:color w:val="000000"/>
                      <w:sz w:val="22"/>
                    </w:rPr>
                    <w:t>LED背光源，显示单元亮度更加均匀，无边界暗影现象</w:t>
                  </w:r>
                  <w:r>
                    <w:rPr>
                      <w:rFonts w:ascii="宋体" w:hAnsi="宋体" w:cs="宋体" w:eastAsia="宋体"/>
                      <w:color w:val="000000"/>
                      <w:sz w:val="22"/>
                    </w:rPr>
                    <w:t>。</w:t>
                  </w:r>
                </w:p>
                <w:p>
                  <w:pPr>
                    <w:pStyle w:val="null3"/>
                    <w:jc w:val="left"/>
                  </w:pPr>
                  <w:r>
                    <w:rPr>
                      <w:rFonts w:ascii="宋体" w:hAnsi="宋体" w:cs="宋体" w:eastAsia="宋体"/>
                      <w:color w:val="000000"/>
                      <w:sz w:val="22"/>
                    </w:rPr>
                    <w:t>5</w:t>
                  </w:r>
                  <w:r>
                    <w:rPr>
                      <w:rFonts w:ascii="宋体" w:hAnsi="宋体" w:cs="宋体" w:eastAsia="宋体"/>
                      <w:color w:val="000000"/>
                      <w:sz w:val="22"/>
                    </w:rPr>
                    <w:t>、</w:t>
                  </w:r>
                  <w:r>
                    <w:rPr>
                      <w:rFonts w:ascii="宋体" w:hAnsi="宋体" w:cs="宋体" w:eastAsia="宋体"/>
                      <w:color w:val="000000"/>
                      <w:sz w:val="22"/>
                    </w:rPr>
                    <w:t>出厂时坏点率为</w:t>
                  </w:r>
                  <w:r>
                    <w:rPr>
                      <w:rFonts w:ascii="宋体" w:hAnsi="宋体" w:cs="宋体" w:eastAsia="宋体"/>
                      <w:color w:val="000000"/>
                      <w:sz w:val="22"/>
                    </w:rPr>
                    <w:t>0，白屏最大亮度下，运行2000小时后，液晶显示单元坏点率小于3ppm</w:t>
                  </w:r>
                  <w:r>
                    <w:rPr>
                      <w:rFonts w:ascii="宋体" w:hAnsi="宋体" w:cs="宋体" w:eastAsia="宋体"/>
                      <w:color w:val="000000"/>
                      <w:sz w:val="22"/>
                    </w:rPr>
                    <w:t>。</w:t>
                  </w:r>
                  <w:r>
                    <w:rPr>
                      <w:rFonts w:ascii="宋体" w:hAnsi="宋体" w:cs="宋体" w:eastAsia="宋体"/>
                      <w:color w:val="000000"/>
                      <w:sz w:val="22"/>
                    </w:rPr>
                    <w:t>（提供有资质的检测机构出具的相关证明文件并加盖投标人公章）</w:t>
                  </w:r>
                </w:p>
                <w:p>
                  <w:pPr>
                    <w:pStyle w:val="null3"/>
                    <w:jc w:val="left"/>
                  </w:pPr>
                  <w:r>
                    <w:rPr>
                      <w:rFonts w:ascii="宋体" w:hAnsi="宋体" w:cs="宋体" w:eastAsia="宋体"/>
                      <w:color w:val="000000"/>
                      <w:sz w:val="22"/>
                    </w:rPr>
                    <w:t>6</w:t>
                  </w:r>
                  <w:r>
                    <w:rPr>
                      <w:rFonts w:ascii="宋体" w:hAnsi="宋体" w:cs="宋体" w:eastAsia="宋体"/>
                      <w:color w:val="000000"/>
                      <w:sz w:val="22"/>
                    </w:rPr>
                    <w:t>、</w:t>
                  </w:r>
                  <w:r>
                    <w:rPr>
                      <w:rFonts w:ascii="宋体" w:hAnsi="宋体" w:cs="宋体" w:eastAsia="宋体"/>
                      <w:color w:val="000000"/>
                      <w:sz w:val="22"/>
                    </w:rPr>
                    <w:t>屏幕漏光度小于</w:t>
                  </w:r>
                  <w:r>
                    <w:rPr>
                      <w:rFonts w:ascii="宋体" w:hAnsi="宋体" w:cs="宋体" w:eastAsia="宋体"/>
                      <w:color w:val="000000"/>
                      <w:sz w:val="22"/>
                    </w:rPr>
                    <w:t>0.5cd/㎡（全黑信号下测试）</w:t>
                  </w:r>
                  <w:r>
                    <w:rPr>
                      <w:rFonts w:ascii="宋体" w:hAnsi="宋体" w:cs="宋体" w:eastAsia="宋体"/>
                      <w:color w:val="000000"/>
                      <w:sz w:val="22"/>
                    </w:rPr>
                    <w:t>。</w:t>
                  </w:r>
                </w:p>
                <w:p>
                  <w:pPr>
                    <w:pStyle w:val="null3"/>
                    <w:jc w:val="left"/>
                  </w:pPr>
                  <w:r>
                    <w:rPr>
                      <w:rFonts w:ascii="宋体" w:hAnsi="宋体" w:cs="宋体" w:eastAsia="宋体"/>
                      <w:color w:val="000000"/>
                      <w:sz w:val="22"/>
                    </w:rPr>
                    <w:t>7</w:t>
                  </w:r>
                  <w:r>
                    <w:rPr>
                      <w:rFonts w:ascii="宋体" w:hAnsi="宋体" w:cs="宋体" w:eastAsia="宋体"/>
                      <w:color w:val="000000"/>
                      <w:sz w:val="22"/>
                    </w:rPr>
                    <w:t>、</w:t>
                  </w:r>
                  <w:r>
                    <w:rPr>
                      <w:rFonts w:ascii="宋体" w:hAnsi="宋体" w:cs="宋体" w:eastAsia="宋体"/>
                      <w:color w:val="000000"/>
                      <w:sz w:val="22"/>
                    </w:rPr>
                    <w:t>液晶拼接单元具有抗强光能力、防眩光功能，可抵抗太阳光等强光干扰</w:t>
                  </w:r>
                  <w:r>
                    <w:rPr>
                      <w:rFonts w:ascii="宋体" w:hAnsi="宋体" w:cs="宋体" w:eastAsia="宋体"/>
                      <w:color w:val="000000"/>
                      <w:sz w:val="22"/>
                    </w:rPr>
                    <w:t>。</w:t>
                  </w:r>
                </w:p>
                <w:p>
                  <w:pPr>
                    <w:pStyle w:val="null3"/>
                    <w:jc w:val="left"/>
                  </w:pPr>
                  <w:r>
                    <w:rPr>
                      <w:rFonts w:ascii="宋体" w:hAnsi="宋体" w:cs="宋体" w:eastAsia="宋体"/>
                      <w:color w:val="000000"/>
                      <w:sz w:val="22"/>
                    </w:rPr>
                    <w:t>8</w:t>
                  </w:r>
                  <w:r>
                    <w:rPr>
                      <w:rFonts w:ascii="宋体" w:hAnsi="宋体" w:cs="宋体" w:eastAsia="宋体"/>
                      <w:color w:val="000000"/>
                      <w:sz w:val="22"/>
                    </w:rPr>
                    <w:t>、</w:t>
                  </w:r>
                  <w:r>
                    <w:rPr>
                      <w:rFonts w:ascii="宋体" w:hAnsi="宋体" w:cs="宋体" w:eastAsia="宋体"/>
                      <w:color w:val="000000"/>
                      <w:sz w:val="22"/>
                    </w:rPr>
                    <w:t>通过遥控器可设置显示单元，位置码，信号源类型，分辨率，系统运行时间，软件版本，光源温度信息（提供有资质的检测机构出具的相关证明文件并加盖投标人公章）</w:t>
                  </w:r>
                </w:p>
                <w:p>
                  <w:pPr>
                    <w:pStyle w:val="null3"/>
                    <w:jc w:val="left"/>
                  </w:pPr>
                  <w:r>
                    <w:rPr>
                      <w:rFonts w:ascii="宋体" w:hAnsi="宋体" w:cs="宋体" w:eastAsia="宋体"/>
                      <w:color w:val="000000"/>
                      <w:sz w:val="22"/>
                    </w:rPr>
                    <w:t>亮度：</w:t>
                  </w:r>
                  <w:r>
                    <w:rPr>
                      <w:rFonts w:ascii="宋体" w:hAnsi="宋体" w:cs="宋体" w:eastAsia="宋体"/>
                      <w:color w:val="000000"/>
                      <w:sz w:val="22"/>
                    </w:rPr>
                    <w:t>500cd/㎡;</w:t>
                  </w:r>
                </w:p>
                <w:p>
                  <w:pPr>
                    <w:pStyle w:val="null3"/>
                    <w:jc w:val="left"/>
                  </w:pPr>
                  <w:r>
                    <w:rPr>
                      <w:rFonts w:ascii="宋体" w:hAnsi="宋体" w:cs="宋体" w:eastAsia="宋体"/>
                      <w:color w:val="000000"/>
                      <w:sz w:val="22"/>
                    </w:rPr>
                    <w:t>9</w:t>
                  </w:r>
                  <w:r>
                    <w:rPr>
                      <w:rFonts w:ascii="宋体" w:hAnsi="宋体" w:cs="宋体" w:eastAsia="宋体"/>
                      <w:color w:val="000000"/>
                      <w:sz w:val="22"/>
                    </w:rPr>
                    <w:t>、</w:t>
                  </w:r>
                  <w:r>
                    <w:rPr>
                      <w:rFonts w:ascii="宋体" w:hAnsi="宋体" w:cs="宋体" w:eastAsia="宋体"/>
                      <w:color w:val="000000"/>
                      <w:sz w:val="22"/>
                    </w:rPr>
                    <w:t>内置图像处理引擎可将输入的非</w:t>
                  </w:r>
                  <w:r>
                    <w:rPr>
                      <w:rFonts w:ascii="宋体" w:hAnsi="宋体" w:cs="宋体" w:eastAsia="宋体"/>
                      <w:color w:val="000000"/>
                      <w:sz w:val="22"/>
                    </w:rPr>
                    <w:t>50/60HZ的图像转换为60HZ输出，图像显示流畅</w:t>
                  </w:r>
                  <w:r>
                    <w:rPr>
                      <w:rFonts w:ascii="宋体" w:hAnsi="宋体" w:cs="宋体" w:eastAsia="宋体"/>
                      <w:color w:val="000000"/>
                      <w:sz w:val="22"/>
                    </w:rPr>
                    <w:t>。</w:t>
                  </w:r>
                  <w:r>
                    <w:rPr>
                      <w:rFonts w:ascii="宋体" w:hAnsi="宋体" w:cs="宋体" w:eastAsia="宋体"/>
                      <w:color w:val="000000"/>
                      <w:sz w:val="22"/>
                    </w:rPr>
                    <w:t>（提供</w:t>
                  </w:r>
                  <w:r>
                    <w:rPr>
                      <w:rFonts w:ascii="宋体" w:hAnsi="宋体" w:cs="宋体" w:eastAsia="宋体"/>
                      <w:color w:val="000000"/>
                      <w:sz w:val="22"/>
                    </w:rPr>
                    <w:t>有资质的检测机构出具的检测报告加盖供应商鲜章）</w:t>
                  </w:r>
                </w:p>
                <w:p>
                  <w:pPr>
                    <w:pStyle w:val="null3"/>
                    <w:jc w:val="left"/>
                  </w:pPr>
                  <w:r>
                    <w:rPr>
                      <w:rFonts w:ascii="宋体" w:hAnsi="宋体" w:cs="宋体" w:eastAsia="宋体"/>
                      <w:color w:val="000000"/>
                      <w:sz w:val="22"/>
                    </w:rPr>
                    <w:t>10</w:t>
                  </w:r>
                  <w:r>
                    <w:rPr>
                      <w:rFonts w:ascii="宋体" w:hAnsi="宋体" w:cs="宋体" w:eastAsia="宋体"/>
                      <w:color w:val="000000"/>
                      <w:sz w:val="22"/>
                    </w:rPr>
                    <w:t>、</w:t>
                  </w:r>
                  <w:r>
                    <w:rPr>
                      <w:rFonts w:ascii="宋体" w:hAnsi="宋体" w:cs="宋体" w:eastAsia="宋体"/>
                      <w:color w:val="000000"/>
                      <w:sz w:val="22"/>
                    </w:rPr>
                    <w:t>支持边缘屏蔽符合去黑边功能，可消除显示终端上存在的河边及因拼缝带来的图像变形</w:t>
                  </w:r>
                  <w:r>
                    <w:rPr>
                      <w:rFonts w:ascii="宋体" w:hAnsi="宋体" w:cs="宋体" w:eastAsia="宋体"/>
                      <w:color w:val="000000"/>
                      <w:sz w:val="22"/>
                    </w:rPr>
                    <w:t>。</w:t>
                  </w:r>
                  <w:r>
                    <w:rPr>
                      <w:rFonts w:ascii="宋体" w:hAnsi="宋体" w:cs="宋体" w:eastAsia="宋体"/>
                      <w:color w:val="000000"/>
                      <w:sz w:val="22"/>
                    </w:rPr>
                    <w:t>（提供有资质的检测机构出具的相关证明文件并加盖投标人公章）</w:t>
                  </w:r>
                </w:p>
                <w:p>
                  <w:pPr>
                    <w:pStyle w:val="null3"/>
                    <w:jc w:val="left"/>
                  </w:pPr>
                  <w:r>
                    <w:rPr>
                      <w:rFonts w:ascii="宋体" w:hAnsi="宋体" w:cs="宋体" w:eastAsia="宋体"/>
                      <w:color w:val="000000"/>
                      <w:sz w:val="22"/>
                    </w:rPr>
                    <w:t>11</w:t>
                  </w:r>
                  <w:r>
                    <w:rPr>
                      <w:rFonts w:ascii="宋体" w:hAnsi="宋体" w:cs="宋体" w:eastAsia="宋体"/>
                      <w:color w:val="000000"/>
                      <w:sz w:val="22"/>
                    </w:rPr>
                    <w:t>、</w:t>
                  </w:r>
                  <w:r>
                    <w:rPr>
                      <w:rFonts w:ascii="宋体" w:hAnsi="宋体" w:cs="宋体" w:eastAsia="宋体"/>
                      <w:color w:val="000000"/>
                      <w:sz w:val="22"/>
                    </w:rPr>
                    <w:t>安装方式：积木式、壁挂式、前维护等多种方式供用户选择</w:t>
                  </w:r>
                  <w:r>
                    <w:rPr>
                      <w:rFonts w:ascii="宋体" w:hAnsi="宋体" w:cs="宋体" w:eastAsia="宋体"/>
                      <w:color w:val="000000"/>
                      <w:sz w:val="22"/>
                    </w:rPr>
                    <w:t>。</w:t>
                  </w:r>
                </w:p>
                <w:p>
                  <w:pPr>
                    <w:pStyle w:val="null3"/>
                    <w:jc w:val="left"/>
                  </w:pPr>
                  <w:r>
                    <w:rPr>
                      <w:rFonts w:ascii="宋体" w:hAnsi="宋体" w:cs="宋体" w:eastAsia="宋体"/>
                      <w:color w:val="000000"/>
                      <w:sz w:val="22"/>
                    </w:rPr>
                    <w:t>12</w:t>
                  </w:r>
                  <w:r>
                    <w:rPr>
                      <w:rFonts w:ascii="宋体" w:hAnsi="宋体" w:cs="宋体" w:eastAsia="宋体"/>
                      <w:color w:val="000000"/>
                      <w:sz w:val="22"/>
                    </w:rPr>
                    <w:t>、</w:t>
                  </w:r>
                  <w:r>
                    <w:rPr>
                      <w:rFonts w:ascii="宋体" w:hAnsi="宋体" w:cs="宋体" w:eastAsia="宋体"/>
                      <w:color w:val="000000"/>
                      <w:sz w:val="22"/>
                    </w:rPr>
                    <w:t>电磁辐射：金属外壳，防辐射、防磁场、防强电场干扰</w:t>
                  </w:r>
                  <w:r>
                    <w:rPr>
                      <w:rFonts w:ascii="宋体" w:hAnsi="宋体" w:cs="宋体" w:eastAsia="宋体"/>
                      <w:color w:val="000000"/>
                      <w:sz w:val="22"/>
                    </w:rPr>
                    <w:t>。</w:t>
                  </w:r>
                </w:p>
                <w:p>
                  <w:pPr>
                    <w:pStyle w:val="null3"/>
                    <w:jc w:val="left"/>
                  </w:pPr>
                  <w:r>
                    <w:rPr>
                      <w:rFonts w:ascii="宋体" w:hAnsi="宋体" w:cs="宋体" w:eastAsia="宋体"/>
                      <w:color w:val="000000"/>
                      <w:sz w:val="22"/>
                    </w:rPr>
                    <w:t>13</w:t>
                  </w:r>
                  <w:r>
                    <w:rPr>
                      <w:rFonts w:ascii="宋体" w:hAnsi="宋体" w:cs="宋体" w:eastAsia="宋体"/>
                      <w:color w:val="000000"/>
                      <w:sz w:val="22"/>
                    </w:rPr>
                    <w:t>、</w:t>
                  </w:r>
                  <w:r>
                    <w:rPr>
                      <w:rFonts w:ascii="宋体" w:hAnsi="宋体" w:cs="宋体" w:eastAsia="宋体"/>
                      <w:color w:val="000000"/>
                      <w:sz w:val="22"/>
                    </w:rPr>
                    <w:t>可外接光控模块，根据环境光线强弱自动调整大屏显示亮度，降低功耗</w:t>
                  </w:r>
                  <w:r>
                    <w:rPr>
                      <w:rFonts w:ascii="宋体" w:hAnsi="宋体" w:cs="宋体" w:eastAsia="宋体"/>
                      <w:color w:val="000000"/>
                      <w:sz w:val="22"/>
                    </w:rPr>
                    <w:t>。</w:t>
                  </w:r>
                  <w:r>
                    <w:rPr>
                      <w:rFonts w:ascii="宋体" w:hAnsi="宋体" w:cs="宋体" w:eastAsia="宋体"/>
                      <w:color w:val="000000"/>
                      <w:sz w:val="22"/>
                    </w:rPr>
                    <w:t>（提供有资质的检测机构出具的相关证明文件并加盖投标人公章）</w:t>
                  </w:r>
                </w:p>
                <w:p>
                  <w:pPr>
                    <w:pStyle w:val="null3"/>
                    <w:jc w:val="left"/>
                  </w:pPr>
                  <w:r>
                    <w:rPr>
                      <w:rFonts w:ascii="宋体" w:hAnsi="宋体" w:cs="宋体" w:eastAsia="宋体"/>
                      <w:color w:val="000000"/>
                      <w:sz w:val="22"/>
                    </w:rPr>
                    <w:t>14</w:t>
                  </w:r>
                  <w:r>
                    <w:rPr>
                      <w:rFonts w:ascii="宋体" w:hAnsi="宋体" w:cs="宋体" w:eastAsia="宋体"/>
                      <w:color w:val="000000"/>
                      <w:sz w:val="22"/>
                    </w:rPr>
                    <w:t>、</w:t>
                  </w:r>
                  <w:r>
                    <w:rPr>
                      <w:rFonts w:ascii="宋体" w:hAnsi="宋体" w:cs="宋体" w:eastAsia="宋体"/>
                      <w:color w:val="000000"/>
                      <w:sz w:val="22"/>
                    </w:rPr>
                    <w:t>输入接口：</w:t>
                  </w:r>
                  <w:r>
                    <w:rPr>
                      <w:rFonts w:ascii="宋体" w:hAnsi="宋体" w:cs="宋体" w:eastAsia="宋体"/>
                      <w:color w:val="000000"/>
                      <w:sz w:val="22"/>
                    </w:rPr>
                    <w:t>VGA(D-Sub)*1、CVBS(BNC)*1、DVI-D*1、HDMI*1、RS232(RJ45)*1、USB（升级和多媒体）*1</w:t>
                  </w:r>
                </w:p>
                <w:p>
                  <w:pPr>
                    <w:pStyle w:val="null3"/>
                    <w:jc w:val="left"/>
                  </w:pPr>
                  <w:r>
                    <w:rPr>
                      <w:rFonts w:ascii="宋体" w:hAnsi="宋体" w:cs="宋体" w:eastAsia="宋体"/>
                      <w:color w:val="000000"/>
                      <w:sz w:val="22"/>
                    </w:rPr>
                    <w:t>输出接口：</w:t>
                  </w:r>
                  <w:r>
                    <w:rPr>
                      <w:rFonts w:ascii="宋体" w:hAnsi="宋体" w:cs="宋体" w:eastAsia="宋体"/>
                      <w:color w:val="000000"/>
                      <w:sz w:val="22"/>
                    </w:rPr>
                    <w:t>RS232(RJ45)*1</w:t>
                  </w:r>
                  <w:r>
                    <w:rPr>
                      <w:rFonts w:ascii="宋体" w:hAnsi="宋体" w:cs="宋体" w:eastAsia="宋体"/>
                      <w:color w:val="000000"/>
                      <w:sz w:val="22"/>
                    </w:rPr>
                    <w:t>。</w:t>
                  </w:r>
                </w:p>
                <w:p>
                  <w:pPr>
                    <w:pStyle w:val="null3"/>
                    <w:jc w:val="left"/>
                  </w:pPr>
                  <w:r>
                    <w:rPr>
                      <w:rFonts w:ascii="宋体" w:hAnsi="宋体" w:cs="宋体" w:eastAsia="宋体"/>
                      <w:color w:val="000000"/>
                      <w:sz w:val="22"/>
                    </w:rPr>
                    <w:t>15</w:t>
                  </w:r>
                  <w:r>
                    <w:rPr>
                      <w:rFonts w:ascii="宋体" w:hAnsi="宋体" w:cs="宋体" w:eastAsia="宋体"/>
                      <w:color w:val="000000"/>
                      <w:sz w:val="22"/>
                    </w:rPr>
                    <w:t>、</w:t>
                  </w:r>
                  <w:r>
                    <w:rPr>
                      <w:rFonts w:ascii="宋体" w:hAnsi="宋体" w:cs="宋体" w:eastAsia="宋体"/>
                      <w:color w:val="000000"/>
                      <w:sz w:val="22"/>
                    </w:rPr>
                    <w:t>需提供CCC证书证书加盖供应商鲜章。</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19</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套</w:t>
                  </w:r>
                </w:p>
              </w:tc>
            </w:tr>
          </w:tbl>
          <w:p/>
        </w:tc>
      </w:tr>
    </w:tbl>
    <w:p>
      <w:pPr>
        <w:pStyle w:val="null3"/>
      </w:pPr>
    </w:p>
    <w:p>
      <w:pPr>
        <w:pStyle w:val="null3"/>
      </w:pPr>
      <w:r>
        <w:rPr/>
        <w:t>标的名称：UPS供电系统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94"/>
              <w:gridCol w:w="302"/>
              <w:gridCol w:w="2035"/>
              <w:gridCol w:w="194"/>
              <w:gridCol w:w="179"/>
            </w:tblGrid>
            <w:tr>
              <w:tc>
                <w:tcPr>
                  <w:tcW w:type="dxa" w:w="194"/>
                  <w:tcBorders>
                    <w:top w:val="single" w:color="000000" w:sz="4"/>
                    <w:left w:val="single" w:color="000000" w:sz="4"/>
                    <w:bottom w:val="single" w:color="000000" w:sz="4"/>
                    <w:right w:val="single" w:color="000000" w:sz="4"/>
                  </w:tcBorders>
                  <w:shd w:fill="D9E3F3"/>
                  <w:tcMar>
                    <w:top w:type="dxa" w:w="0"/>
                    <w:left w:type="dxa" w:w="105"/>
                    <w:bottom w:type="dxa" w:w="0"/>
                    <w:right w:type="dxa" w:w="105"/>
                  </w:tcMar>
                  <w:vAlign w:val="top"/>
                </w:tcPr>
                <w:p>
                  <w:pPr>
                    <w:pStyle w:val="null3"/>
                    <w:jc w:val="center"/>
                  </w:pPr>
                  <w:r>
                    <w:rPr>
                      <w:rFonts w:ascii="宋体" w:hAnsi="宋体" w:cs="宋体" w:eastAsia="宋体"/>
                      <w:b/>
                      <w:color w:val="000000"/>
                      <w:sz w:val="28"/>
                    </w:rPr>
                    <w:t>序号</w:t>
                  </w:r>
                </w:p>
              </w:tc>
              <w:tc>
                <w:tcPr>
                  <w:tcW w:type="dxa" w:w="302"/>
                  <w:tcBorders>
                    <w:top w:val="single" w:color="000000" w:sz="4"/>
                    <w:left w:val="none" w:color="000000" w:sz="4"/>
                    <w:bottom w:val="single" w:color="000000" w:sz="4"/>
                    <w:right w:val="single" w:color="000000" w:sz="4"/>
                  </w:tcBorders>
                  <w:shd w:fill="D9E3F3"/>
                  <w:tcMar>
                    <w:top w:type="dxa" w:w="0"/>
                    <w:left w:type="dxa" w:w="105"/>
                    <w:bottom w:type="dxa" w:w="0"/>
                    <w:right w:type="dxa" w:w="105"/>
                  </w:tcMar>
                  <w:vAlign w:val="top"/>
                </w:tcPr>
                <w:p>
                  <w:pPr>
                    <w:pStyle w:val="null3"/>
                    <w:jc w:val="center"/>
                  </w:pPr>
                  <w:r>
                    <w:rPr>
                      <w:rFonts w:ascii="宋体" w:hAnsi="宋体" w:cs="宋体" w:eastAsia="宋体"/>
                      <w:b/>
                      <w:color w:val="000000"/>
                      <w:sz w:val="28"/>
                    </w:rPr>
                    <w:t>设备名称</w:t>
                  </w:r>
                </w:p>
              </w:tc>
              <w:tc>
                <w:tcPr>
                  <w:tcW w:type="dxa" w:w="2035"/>
                  <w:tcBorders>
                    <w:top w:val="single" w:color="000000" w:sz="4"/>
                    <w:left w:val="none" w:color="000000" w:sz="4"/>
                    <w:bottom w:val="single" w:color="000000" w:sz="4"/>
                    <w:right w:val="single" w:color="000000" w:sz="4"/>
                  </w:tcBorders>
                  <w:shd w:fill="D9E3F3"/>
                  <w:tcMar>
                    <w:top w:type="dxa" w:w="0"/>
                    <w:left w:type="dxa" w:w="105"/>
                    <w:bottom w:type="dxa" w:w="0"/>
                    <w:right w:type="dxa" w:w="105"/>
                  </w:tcMar>
                  <w:vAlign w:val="top"/>
                </w:tcPr>
                <w:p>
                  <w:pPr>
                    <w:pStyle w:val="null3"/>
                    <w:jc w:val="center"/>
                  </w:pPr>
                  <w:r>
                    <w:rPr>
                      <w:rFonts w:ascii="宋体" w:hAnsi="宋体" w:cs="宋体" w:eastAsia="宋体"/>
                      <w:b/>
                      <w:color w:val="000000"/>
                      <w:sz w:val="28"/>
                    </w:rPr>
                    <w:t>技术参数</w:t>
                  </w:r>
                </w:p>
              </w:tc>
              <w:tc>
                <w:tcPr>
                  <w:tcW w:type="dxa" w:w="194"/>
                  <w:tcBorders>
                    <w:top w:val="single" w:color="000000" w:sz="4"/>
                    <w:left w:val="none" w:color="000000" w:sz="4"/>
                    <w:bottom w:val="single" w:color="000000" w:sz="4"/>
                    <w:right w:val="single" w:color="000000" w:sz="4"/>
                  </w:tcBorders>
                  <w:shd w:fill="D9E3F3"/>
                  <w:tcMar>
                    <w:top w:type="dxa" w:w="0"/>
                    <w:left w:type="dxa" w:w="105"/>
                    <w:bottom w:type="dxa" w:w="0"/>
                    <w:right w:type="dxa" w:w="105"/>
                  </w:tcMar>
                  <w:vAlign w:val="top"/>
                </w:tcPr>
                <w:p>
                  <w:pPr>
                    <w:pStyle w:val="null3"/>
                    <w:jc w:val="center"/>
                  </w:pPr>
                  <w:r>
                    <w:rPr>
                      <w:rFonts w:ascii="宋体" w:hAnsi="宋体" w:cs="宋体" w:eastAsia="宋体"/>
                      <w:b/>
                      <w:color w:val="000000"/>
                      <w:sz w:val="28"/>
                    </w:rPr>
                    <w:t>数量</w:t>
                  </w:r>
                </w:p>
              </w:tc>
              <w:tc>
                <w:tcPr>
                  <w:tcW w:type="dxa" w:w="179"/>
                  <w:tcBorders>
                    <w:top w:val="single" w:color="000000" w:sz="4"/>
                    <w:left w:val="none" w:color="000000" w:sz="4"/>
                    <w:bottom w:val="single" w:color="000000" w:sz="4"/>
                    <w:right w:val="single" w:color="000000" w:sz="4"/>
                  </w:tcBorders>
                  <w:shd w:fill="D9E3F3"/>
                  <w:tcMar>
                    <w:top w:type="dxa" w:w="0"/>
                    <w:left w:type="dxa" w:w="105"/>
                    <w:bottom w:type="dxa" w:w="0"/>
                    <w:right w:type="dxa" w:w="105"/>
                  </w:tcMar>
                  <w:vAlign w:val="top"/>
                </w:tcPr>
                <w:p>
                  <w:pPr>
                    <w:pStyle w:val="null3"/>
                    <w:jc w:val="center"/>
                  </w:pPr>
                  <w:r>
                    <w:rPr>
                      <w:rFonts w:ascii="宋体" w:hAnsi="宋体" w:cs="宋体" w:eastAsia="宋体"/>
                      <w:b/>
                      <w:color w:val="000000"/>
                      <w:sz w:val="28"/>
                    </w:rPr>
                    <w:t>单位</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UPS供电系统</w:t>
                  </w:r>
                  <w:r>
                    <w:rPr>
                      <w:rFonts w:ascii="宋体" w:hAnsi="宋体" w:cs="宋体" w:eastAsia="宋体"/>
                      <w:color w:val="000000"/>
                      <w:sz w:val="21"/>
                    </w:rPr>
                    <w:t>（</w:t>
                  </w:r>
                  <w:r>
                    <w:rPr>
                      <w:rFonts w:ascii="宋体" w:hAnsi="宋体" w:cs="宋体" w:eastAsia="宋体"/>
                      <w:color w:val="000000"/>
                      <w:sz w:val="21"/>
                    </w:rPr>
                    <w:t>学校网上巡查系统</w:t>
                  </w:r>
                  <w:r>
                    <w:rPr>
                      <w:rFonts w:ascii="宋体" w:hAnsi="宋体" w:cs="宋体" w:eastAsia="宋体"/>
                      <w:color w:val="000000"/>
                      <w:sz w:val="21"/>
                    </w:rPr>
                    <w:t>）</w:t>
                  </w: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UPS功率容量：10KVA/8KW；配电方式：单进单出，塔式</w:t>
                  </w:r>
                  <w:r>
                    <w:rPr>
                      <w:rFonts w:ascii="宋体" w:hAnsi="宋体" w:cs="宋体" w:eastAsia="宋体"/>
                      <w:color w:val="000000"/>
                      <w:sz w:val="22"/>
                    </w:rPr>
                    <w:t>。</w:t>
                  </w:r>
                </w:p>
                <w:p>
                  <w:pPr>
                    <w:pStyle w:val="null3"/>
                    <w:jc w:val="left"/>
                  </w:pPr>
                  <w:r>
                    <w:rPr>
                      <w:rFonts w:ascii="宋体" w:hAnsi="宋体" w:cs="宋体" w:eastAsia="宋体"/>
                      <w:color w:val="000000"/>
                      <w:sz w:val="22"/>
                    </w:rPr>
                    <w:t>2</w:t>
                  </w:r>
                  <w:r>
                    <w:rPr>
                      <w:rFonts w:ascii="宋体" w:hAnsi="宋体" w:cs="宋体" w:eastAsia="宋体"/>
                      <w:color w:val="000000"/>
                      <w:sz w:val="22"/>
                    </w:rPr>
                    <w:t>、</w:t>
                  </w:r>
                  <w:r>
                    <w:rPr>
                      <w:rFonts w:ascii="宋体" w:hAnsi="宋体" w:cs="宋体" w:eastAsia="宋体"/>
                      <w:color w:val="000000"/>
                      <w:sz w:val="22"/>
                    </w:rPr>
                    <w:t>在线式双变换结构设计，采用</w:t>
                  </w:r>
                  <w:r>
                    <w:rPr>
                      <w:rFonts w:ascii="宋体" w:hAnsi="宋体" w:cs="宋体" w:eastAsia="宋体"/>
                      <w:color w:val="000000"/>
                      <w:sz w:val="22"/>
                    </w:rPr>
                    <w:t>DSP数字技术，增强系统的稳定性</w:t>
                  </w:r>
                  <w:r>
                    <w:rPr>
                      <w:rFonts w:ascii="宋体" w:hAnsi="宋体" w:cs="宋体" w:eastAsia="宋体"/>
                      <w:color w:val="000000"/>
                      <w:sz w:val="22"/>
                    </w:rPr>
                    <w:t>。</w:t>
                  </w:r>
                </w:p>
                <w:p>
                  <w:pPr>
                    <w:pStyle w:val="null3"/>
                    <w:jc w:val="left"/>
                  </w:pPr>
                  <w:r>
                    <w:rPr>
                      <w:rFonts w:ascii="宋体" w:hAnsi="宋体" w:cs="宋体" w:eastAsia="宋体"/>
                      <w:color w:val="000000"/>
                      <w:sz w:val="22"/>
                    </w:rPr>
                    <w:t>3</w:t>
                  </w:r>
                  <w:r>
                    <w:rPr>
                      <w:rFonts w:ascii="宋体" w:hAnsi="宋体" w:cs="宋体" w:eastAsia="宋体"/>
                      <w:color w:val="000000"/>
                      <w:sz w:val="22"/>
                    </w:rPr>
                    <w:t>、</w:t>
                  </w:r>
                  <w:r>
                    <w:rPr>
                      <w:rFonts w:ascii="宋体" w:hAnsi="宋体" w:cs="宋体" w:eastAsia="宋体"/>
                      <w:color w:val="000000"/>
                      <w:sz w:val="22"/>
                    </w:rPr>
                    <w:t>面板显示：</w:t>
                  </w:r>
                  <w:r>
                    <w:rPr>
                      <w:rFonts w:ascii="宋体" w:hAnsi="宋体" w:cs="宋体" w:eastAsia="宋体"/>
                      <w:color w:val="000000"/>
                      <w:sz w:val="22"/>
                    </w:rPr>
                    <w:t>LED显示UPS的运行状况，LCD显示UPS的系统状态、负载大小、电池容量、市电模式、电池模式、旁路模式、输入/输出电压、故障指示等参数</w:t>
                  </w:r>
                  <w:r>
                    <w:rPr>
                      <w:rFonts w:ascii="宋体" w:hAnsi="宋体" w:cs="宋体" w:eastAsia="宋体"/>
                      <w:color w:val="000000"/>
                      <w:sz w:val="22"/>
                    </w:rPr>
                    <w:t>。</w:t>
                  </w:r>
                </w:p>
                <w:p>
                  <w:pPr>
                    <w:pStyle w:val="null3"/>
                    <w:jc w:val="left"/>
                  </w:pPr>
                  <w:r>
                    <w:rPr>
                      <w:rFonts w:ascii="宋体" w:hAnsi="宋体" w:cs="宋体" w:eastAsia="宋体"/>
                      <w:color w:val="000000"/>
                      <w:sz w:val="22"/>
                    </w:rPr>
                    <w:t>4</w:t>
                  </w:r>
                  <w:r>
                    <w:rPr>
                      <w:rFonts w:ascii="宋体" w:hAnsi="宋体" w:cs="宋体" w:eastAsia="宋体"/>
                      <w:color w:val="000000"/>
                      <w:sz w:val="22"/>
                    </w:rPr>
                    <w:t>、</w:t>
                  </w:r>
                  <w:r>
                    <w:rPr>
                      <w:rFonts w:ascii="宋体" w:hAnsi="宋体" w:cs="宋体" w:eastAsia="宋体"/>
                      <w:color w:val="000000"/>
                      <w:sz w:val="22"/>
                    </w:rPr>
                    <w:t>输入电压范围：</w:t>
                  </w:r>
                  <w:r>
                    <w:rPr>
                      <w:rFonts w:ascii="宋体" w:hAnsi="宋体" w:cs="宋体" w:eastAsia="宋体"/>
                      <w:color w:val="000000"/>
                      <w:sz w:val="22"/>
                    </w:rPr>
                    <w:t>120-275VAC</w:t>
                  </w:r>
                  <w:r>
                    <w:rPr>
                      <w:rFonts w:ascii="宋体" w:hAnsi="宋体" w:cs="宋体" w:eastAsia="宋体"/>
                      <w:color w:val="000000"/>
                      <w:sz w:val="22"/>
                    </w:rPr>
                    <w:t>。</w:t>
                  </w:r>
                </w:p>
                <w:p>
                  <w:pPr>
                    <w:pStyle w:val="null3"/>
                    <w:jc w:val="left"/>
                  </w:pPr>
                  <w:r>
                    <w:rPr>
                      <w:rFonts w:ascii="宋体" w:hAnsi="宋体" w:cs="宋体" w:eastAsia="宋体"/>
                      <w:color w:val="000000"/>
                      <w:sz w:val="22"/>
                    </w:rPr>
                    <w:t>5</w:t>
                  </w:r>
                  <w:r>
                    <w:rPr>
                      <w:rFonts w:ascii="宋体" w:hAnsi="宋体" w:cs="宋体" w:eastAsia="宋体"/>
                      <w:color w:val="000000"/>
                      <w:sz w:val="22"/>
                    </w:rPr>
                    <w:t>、</w:t>
                  </w:r>
                  <w:r>
                    <w:rPr>
                      <w:rFonts w:ascii="宋体" w:hAnsi="宋体" w:cs="宋体" w:eastAsia="宋体"/>
                      <w:color w:val="000000"/>
                      <w:sz w:val="22"/>
                    </w:rPr>
                    <w:t>输入频率范围：</w:t>
                  </w:r>
                  <w:r>
                    <w:rPr>
                      <w:rFonts w:ascii="宋体" w:hAnsi="宋体" w:cs="宋体" w:eastAsia="宋体"/>
                      <w:color w:val="000000"/>
                      <w:sz w:val="22"/>
                    </w:rPr>
                    <w:t>46~54 Hz 或 56~64Hz</w:t>
                  </w:r>
                  <w:r>
                    <w:rPr>
                      <w:rFonts w:ascii="宋体" w:hAnsi="宋体" w:cs="宋体" w:eastAsia="宋体"/>
                      <w:color w:val="000000"/>
                      <w:sz w:val="22"/>
                    </w:rPr>
                    <w:t>。</w:t>
                  </w:r>
                </w:p>
                <w:p>
                  <w:pPr>
                    <w:pStyle w:val="null3"/>
                    <w:jc w:val="left"/>
                  </w:pPr>
                  <w:r>
                    <w:rPr>
                      <w:rFonts w:ascii="宋体" w:hAnsi="宋体" w:cs="宋体" w:eastAsia="宋体"/>
                      <w:color w:val="000000"/>
                      <w:sz w:val="22"/>
                    </w:rPr>
                    <w:t>6</w:t>
                  </w:r>
                  <w:r>
                    <w:rPr>
                      <w:rFonts w:ascii="宋体" w:hAnsi="宋体" w:cs="宋体" w:eastAsia="宋体"/>
                      <w:color w:val="000000"/>
                      <w:sz w:val="22"/>
                    </w:rPr>
                    <w:t>、</w:t>
                  </w:r>
                  <w:r>
                    <w:rPr>
                      <w:rFonts w:ascii="宋体" w:hAnsi="宋体" w:cs="宋体" w:eastAsia="宋体"/>
                      <w:color w:val="000000"/>
                      <w:sz w:val="22"/>
                    </w:rPr>
                    <w:t>输入功率因数：</w:t>
                  </w:r>
                  <w:r>
                    <w:rPr>
                      <w:rFonts w:ascii="宋体" w:hAnsi="宋体" w:cs="宋体" w:eastAsia="宋体"/>
                      <w:color w:val="000000"/>
                      <w:sz w:val="22"/>
                    </w:rPr>
                    <w:t>≥0.99； 输出功率因素：≥0.8</w:t>
                  </w:r>
                  <w:r>
                    <w:rPr>
                      <w:rFonts w:ascii="宋体" w:hAnsi="宋体" w:cs="宋体" w:eastAsia="宋体"/>
                      <w:color w:val="000000"/>
                      <w:sz w:val="22"/>
                    </w:rPr>
                    <w:t>。</w:t>
                  </w:r>
                </w:p>
                <w:p>
                  <w:pPr>
                    <w:pStyle w:val="null3"/>
                    <w:jc w:val="left"/>
                  </w:pPr>
                  <w:r>
                    <w:rPr>
                      <w:rFonts w:ascii="宋体" w:hAnsi="宋体" w:cs="宋体" w:eastAsia="宋体"/>
                      <w:color w:val="000000"/>
                      <w:sz w:val="22"/>
                    </w:rPr>
                    <w:t>7</w:t>
                  </w:r>
                  <w:r>
                    <w:rPr>
                      <w:rFonts w:ascii="宋体" w:hAnsi="宋体" w:cs="宋体" w:eastAsia="宋体"/>
                      <w:color w:val="000000"/>
                      <w:sz w:val="22"/>
                    </w:rPr>
                    <w:t>、</w:t>
                  </w:r>
                  <w:r>
                    <w:rPr>
                      <w:rFonts w:ascii="宋体" w:hAnsi="宋体" w:cs="宋体" w:eastAsia="宋体"/>
                      <w:color w:val="000000"/>
                      <w:sz w:val="22"/>
                    </w:rPr>
                    <w:t>输出特性：正弦波；</w:t>
                  </w:r>
                  <w:r>
                    <w:rPr>
                      <w:rFonts w:ascii="宋体" w:hAnsi="宋体" w:cs="宋体" w:eastAsia="宋体"/>
                      <w:color w:val="000000"/>
                      <w:sz w:val="22"/>
                    </w:rPr>
                    <w:t>≦3 % THD(线性负载)，≦ 5% THD(非线性负载)</w:t>
                  </w:r>
                  <w:r>
                    <w:rPr>
                      <w:rFonts w:ascii="宋体" w:hAnsi="宋体" w:cs="宋体" w:eastAsia="宋体"/>
                      <w:color w:val="000000"/>
                      <w:sz w:val="22"/>
                    </w:rPr>
                    <w:t>。</w:t>
                  </w:r>
                </w:p>
                <w:p>
                  <w:pPr>
                    <w:pStyle w:val="null3"/>
                    <w:jc w:val="left"/>
                  </w:pPr>
                  <w:r>
                    <w:rPr>
                      <w:rFonts w:ascii="宋体" w:hAnsi="宋体" w:cs="宋体" w:eastAsia="宋体"/>
                      <w:color w:val="000000"/>
                      <w:sz w:val="22"/>
                    </w:rPr>
                    <w:t>8</w:t>
                  </w:r>
                  <w:r>
                    <w:rPr>
                      <w:rFonts w:ascii="宋体" w:hAnsi="宋体" w:cs="宋体" w:eastAsia="宋体"/>
                      <w:color w:val="000000"/>
                      <w:sz w:val="22"/>
                    </w:rPr>
                    <w:t>、</w:t>
                  </w:r>
                  <w:r>
                    <w:rPr>
                      <w:rFonts w:ascii="宋体" w:hAnsi="宋体" w:cs="宋体" w:eastAsia="宋体"/>
                      <w:color w:val="000000"/>
                      <w:sz w:val="22"/>
                    </w:rPr>
                    <w:t>输出电压范围：</w:t>
                  </w:r>
                  <w:r>
                    <w:rPr>
                      <w:rFonts w:ascii="宋体" w:hAnsi="宋体" w:cs="宋体" w:eastAsia="宋体"/>
                      <w:color w:val="000000"/>
                      <w:sz w:val="22"/>
                    </w:rPr>
                    <w:t>208/220/230/240VAC ±1%</w:t>
                  </w:r>
                  <w:r>
                    <w:rPr>
                      <w:rFonts w:ascii="宋体" w:hAnsi="宋体" w:cs="宋体" w:eastAsia="宋体"/>
                      <w:color w:val="000000"/>
                      <w:sz w:val="22"/>
                    </w:rPr>
                    <w:t>。</w:t>
                  </w:r>
                </w:p>
                <w:p>
                  <w:pPr>
                    <w:pStyle w:val="null3"/>
                    <w:jc w:val="left"/>
                  </w:pPr>
                  <w:r>
                    <w:rPr>
                      <w:rFonts w:ascii="宋体" w:hAnsi="宋体" w:cs="宋体" w:eastAsia="宋体"/>
                      <w:color w:val="000000"/>
                      <w:sz w:val="22"/>
                    </w:rPr>
                    <w:t>9</w:t>
                  </w:r>
                  <w:r>
                    <w:rPr>
                      <w:rFonts w:ascii="宋体" w:hAnsi="宋体" w:cs="宋体" w:eastAsia="宋体"/>
                      <w:color w:val="000000"/>
                      <w:sz w:val="22"/>
                    </w:rPr>
                    <w:t>、</w:t>
                  </w:r>
                  <w:r>
                    <w:rPr>
                      <w:rFonts w:ascii="宋体" w:hAnsi="宋体" w:cs="宋体" w:eastAsia="宋体"/>
                      <w:color w:val="000000"/>
                      <w:sz w:val="22"/>
                    </w:rPr>
                    <w:t>电池电压：标准</w:t>
                  </w:r>
                  <w:r>
                    <w:rPr>
                      <w:rFonts w:ascii="宋体" w:hAnsi="宋体" w:cs="宋体" w:eastAsia="宋体"/>
                      <w:color w:val="000000"/>
                      <w:sz w:val="22"/>
                    </w:rPr>
                    <w:t>192VDC</w:t>
                  </w:r>
                  <w:r>
                    <w:rPr>
                      <w:rFonts w:ascii="宋体" w:hAnsi="宋体" w:cs="宋体" w:eastAsia="宋体"/>
                      <w:color w:val="000000"/>
                      <w:sz w:val="22"/>
                    </w:rPr>
                    <w:t>。</w:t>
                  </w:r>
                </w:p>
                <w:p>
                  <w:pPr>
                    <w:pStyle w:val="null3"/>
                    <w:jc w:val="left"/>
                  </w:pPr>
                  <w:r>
                    <w:rPr>
                      <w:rFonts w:ascii="宋体" w:hAnsi="宋体" w:cs="宋体" w:eastAsia="宋体"/>
                      <w:color w:val="000000"/>
                      <w:sz w:val="22"/>
                    </w:rPr>
                    <w:t>10</w:t>
                  </w:r>
                  <w:r>
                    <w:rPr>
                      <w:rFonts w:ascii="宋体" w:hAnsi="宋体" w:cs="宋体" w:eastAsia="宋体"/>
                      <w:color w:val="000000"/>
                      <w:sz w:val="22"/>
                    </w:rPr>
                    <w:t>、</w:t>
                  </w:r>
                  <w:r>
                    <w:rPr>
                      <w:rFonts w:ascii="宋体" w:hAnsi="宋体" w:cs="宋体" w:eastAsia="宋体"/>
                      <w:color w:val="000000"/>
                      <w:sz w:val="22"/>
                    </w:rPr>
                    <w:t>丰富的通讯和监控功能，可选配</w:t>
                  </w:r>
                  <w:r>
                    <w:rPr>
                      <w:rFonts w:ascii="宋体" w:hAnsi="宋体" w:cs="宋体" w:eastAsia="宋体"/>
                      <w:color w:val="000000"/>
                      <w:sz w:val="22"/>
                    </w:rPr>
                    <w:t>RS232，干节点，智能插槽（可扩充SNMP，手机短信等多种监控方式），随时随地了解使用状态</w:t>
                  </w:r>
                  <w:r>
                    <w:rPr>
                      <w:rFonts w:ascii="宋体" w:hAnsi="宋体" w:cs="宋体" w:eastAsia="宋体"/>
                      <w:color w:val="000000"/>
                      <w:sz w:val="22"/>
                    </w:rPr>
                    <w:t>。</w:t>
                  </w:r>
                </w:p>
                <w:p>
                  <w:pPr>
                    <w:pStyle w:val="null3"/>
                    <w:jc w:val="left"/>
                  </w:pPr>
                  <w:r>
                    <w:rPr>
                      <w:rFonts w:ascii="宋体" w:hAnsi="宋体" w:cs="宋体" w:eastAsia="宋体"/>
                      <w:color w:val="000000"/>
                      <w:sz w:val="22"/>
                    </w:rPr>
                    <w:t>11</w:t>
                  </w:r>
                  <w:r>
                    <w:rPr>
                      <w:rFonts w:ascii="宋体" w:hAnsi="宋体" w:cs="宋体" w:eastAsia="宋体"/>
                      <w:color w:val="000000"/>
                      <w:sz w:val="22"/>
                    </w:rPr>
                    <w:t>、</w:t>
                  </w:r>
                  <w:r>
                    <w:rPr>
                      <w:rFonts w:ascii="宋体" w:hAnsi="宋体" w:cs="宋体" w:eastAsia="宋体"/>
                      <w:color w:val="000000"/>
                      <w:sz w:val="22"/>
                    </w:rPr>
                    <w:t>配套</w:t>
                  </w:r>
                  <w:r>
                    <w:rPr>
                      <w:rFonts w:ascii="宋体" w:hAnsi="宋体" w:cs="宋体" w:eastAsia="宋体"/>
                      <w:color w:val="000000"/>
                      <w:sz w:val="22"/>
                    </w:rPr>
                    <w:t>12V100AH蓄电池16节及电池柜等安装辅助材料</w:t>
                  </w:r>
                  <w:r>
                    <w:rPr>
                      <w:rFonts w:ascii="宋体" w:hAnsi="宋体" w:cs="宋体" w:eastAsia="宋体"/>
                      <w:color w:val="000000"/>
                      <w:sz w:val="22"/>
                    </w:rPr>
                    <w:t>。</w:t>
                  </w:r>
                </w:p>
                <w:p>
                  <w:pPr>
                    <w:pStyle w:val="null3"/>
                    <w:jc w:val="left"/>
                  </w:pPr>
                  <w:r>
                    <w:rPr>
                      <w:rFonts w:ascii="宋体" w:hAnsi="宋体" w:cs="宋体" w:eastAsia="宋体"/>
                      <w:color w:val="000000"/>
                      <w:sz w:val="22"/>
                    </w:rPr>
                    <w:t>12</w:t>
                  </w:r>
                  <w:r>
                    <w:rPr>
                      <w:rFonts w:ascii="宋体" w:hAnsi="宋体" w:cs="宋体" w:eastAsia="宋体"/>
                      <w:color w:val="000000"/>
                      <w:sz w:val="22"/>
                    </w:rPr>
                    <w:t>、</w:t>
                  </w:r>
                  <w:r>
                    <w:rPr>
                      <w:rFonts w:ascii="宋体" w:hAnsi="宋体" w:cs="宋体" w:eastAsia="宋体"/>
                      <w:color w:val="000000"/>
                      <w:sz w:val="22"/>
                    </w:rPr>
                    <w:t>密封反应效率：蓄电池密封反应效率应</w:t>
                  </w:r>
                  <w:r>
                    <w:rPr>
                      <w:rFonts w:ascii="宋体" w:hAnsi="宋体" w:cs="宋体" w:eastAsia="宋体"/>
                      <w:color w:val="000000"/>
                      <w:sz w:val="22"/>
                    </w:rPr>
                    <w:t>≥99.5%，安全可靠。（提供检测报告复印件并加盖投标人鲜章）</w:t>
                  </w:r>
                  <w:r>
                    <w:rPr>
                      <w:rFonts w:ascii="宋体" w:hAnsi="宋体" w:cs="宋体" w:eastAsia="宋体"/>
                      <w:color w:val="000000"/>
                      <w:sz w:val="22"/>
                    </w:rPr>
                    <w:t>。</w:t>
                  </w:r>
                </w:p>
                <w:p>
                  <w:pPr>
                    <w:pStyle w:val="null3"/>
                    <w:jc w:val="left"/>
                  </w:pPr>
                  <w:r>
                    <w:rPr>
                      <w:rFonts w:ascii="宋体" w:hAnsi="宋体" w:cs="宋体" w:eastAsia="宋体"/>
                      <w:color w:val="000000"/>
                      <w:sz w:val="22"/>
                    </w:rPr>
                    <w:t>13</w:t>
                  </w:r>
                  <w:r>
                    <w:rPr>
                      <w:rFonts w:ascii="宋体" w:hAnsi="宋体" w:cs="宋体" w:eastAsia="宋体"/>
                      <w:color w:val="000000"/>
                      <w:sz w:val="22"/>
                    </w:rPr>
                    <w:t>、</w:t>
                  </w:r>
                  <w:r>
                    <w:rPr>
                      <w:rFonts w:ascii="宋体" w:hAnsi="宋体" w:cs="宋体" w:eastAsia="宋体"/>
                      <w:color w:val="000000"/>
                      <w:sz w:val="22"/>
                    </w:rPr>
                    <w:t>蓄电池由生产地到使用地需要长距离运输，蓄电池生产企业需具有电池包装属性鉴定证书和运输条件鉴定证书（提供相关证书复印件并加盖投标人鲜章）</w:t>
                  </w:r>
                  <w:r>
                    <w:rPr>
                      <w:rFonts w:ascii="宋体" w:hAnsi="宋体" w:cs="宋体" w:eastAsia="宋体"/>
                      <w:color w:val="000000"/>
                      <w:sz w:val="22"/>
                    </w:rPr>
                    <w:t>。</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套</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2</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UPS供电系统</w:t>
                  </w:r>
                  <w:r>
                    <w:rPr>
                      <w:rFonts w:ascii="宋体" w:hAnsi="宋体" w:cs="宋体" w:eastAsia="宋体"/>
                      <w:color w:val="000000"/>
                      <w:sz w:val="22"/>
                    </w:rPr>
                    <w:t>（</w:t>
                  </w:r>
                  <w:r>
                    <w:rPr>
                      <w:rFonts w:ascii="宋体" w:hAnsi="宋体" w:cs="宋体" w:eastAsia="宋体"/>
                      <w:color w:val="000000"/>
                      <w:sz w:val="22"/>
                    </w:rPr>
                    <w:t>应急指挥系统</w:t>
                  </w: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 xml:space="preserve"> </w:t>
                  </w:r>
                  <w:r>
                    <w:rPr>
                      <w:rFonts w:ascii="宋体" w:hAnsi="宋体" w:cs="宋体" w:eastAsia="宋体"/>
                      <w:color w:val="000000"/>
                      <w:sz w:val="22"/>
                    </w:rPr>
                    <w:t>UPS功率容量：20KVA/16KW；配电方式：三进单出，塔式</w:t>
                  </w:r>
                  <w:r>
                    <w:rPr>
                      <w:rFonts w:ascii="宋体" w:hAnsi="宋体" w:cs="宋体" w:eastAsia="宋体"/>
                      <w:color w:val="000000"/>
                      <w:sz w:val="22"/>
                    </w:rPr>
                    <w:t>。</w:t>
                  </w:r>
                </w:p>
                <w:p>
                  <w:pPr>
                    <w:pStyle w:val="null3"/>
                    <w:jc w:val="left"/>
                  </w:pPr>
                  <w:r>
                    <w:rPr>
                      <w:rFonts w:ascii="宋体" w:hAnsi="宋体" w:cs="宋体" w:eastAsia="宋体"/>
                      <w:color w:val="000000"/>
                      <w:sz w:val="22"/>
                    </w:rPr>
                    <w:t>2</w:t>
                  </w:r>
                  <w:r>
                    <w:rPr>
                      <w:rFonts w:ascii="宋体" w:hAnsi="宋体" w:cs="宋体" w:eastAsia="宋体"/>
                      <w:color w:val="000000"/>
                      <w:sz w:val="22"/>
                    </w:rPr>
                    <w:t>、</w:t>
                  </w:r>
                  <w:r>
                    <w:rPr>
                      <w:rFonts w:ascii="宋体" w:hAnsi="宋体" w:cs="宋体" w:eastAsia="宋体"/>
                      <w:color w:val="000000"/>
                      <w:sz w:val="22"/>
                    </w:rPr>
                    <w:t>在线式双变换结构设计，采用</w:t>
                  </w:r>
                  <w:r>
                    <w:rPr>
                      <w:rFonts w:ascii="宋体" w:hAnsi="宋体" w:cs="宋体" w:eastAsia="宋体"/>
                      <w:color w:val="000000"/>
                      <w:sz w:val="22"/>
                    </w:rPr>
                    <w:t>DSP数字技术，增强系统的稳定性</w:t>
                  </w:r>
                  <w:r>
                    <w:rPr>
                      <w:rFonts w:ascii="宋体" w:hAnsi="宋体" w:cs="宋体" w:eastAsia="宋体"/>
                      <w:color w:val="000000"/>
                      <w:sz w:val="22"/>
                    </w:rPr>
                    <w:t>。</w:t>
                  </w:r>
                </w:p>
                <w:p>
                  <w:pPr>
                    <w:pStyle w:val="null3"/>
                    <w:jc w:val="left"/>
                  </w:pPr>
                  <w:r>
                    <w:rPr>
                      <w:rFonts w:ascii="宋体" w:hAnsi="宋体" w:cs="宋体" w:eastAsia="宋体"/>
                      <w:color w:val="000000"/>
                      <w:sz w:val="22"/>
                    </w:rPr>
                    <w:t>3</w:t>
                  </w:r>
                  <w:r>
                    <w:rPr>
                      <w:rFonts w:ascii="宋体" w:hAnsi="宋体" w:cs="宋体" w:eastAsia="宋体"/>
                      <w:color w:val="000000"/>
                      <w:sz w:val="22"/>
                    </w:rPr>
                    <w:t>、</w:t>
                  </w:r>
                  <w:r>
                    <w:rPr>
                      <w:rFonts w:ascii="宋体" w:hAnsi="宋体" w:cs="宋体" w:eastAsia="宋体"/>
                      <w:color w:val="000000"/>
                      <w:sz w:val="22"/>
                    </w:rPr>
                    <w:t>面板显示：</w:t>
                  </w:r>
                  <w:r>
                    <w:rPr>
                      <w:rFonts w:ascii="宋体" w:hAnsi="宋体" w:cs="宋体" w:eastAsia="宋体"/>
                      <w:color w:val="000000"/>
                      <w:sz w:val="22"/>
                    </w:rPr>
                    <w:t>LED显示UPS的运行状况，LCD显示UPS的系统状态、负载大小、电池容量、市电模式、电池模式、旁路模式、输入/输出电压、故障指示等参数</w:t>
                  </w:r>
                  <w:r>
                    <w:rPr>
                      <w:rFonts w:ascii="宋体" w:hAnsi="宋体" w:cs="宋体" w:eastAsia="宋体"/>
                      <w:color w:val="000000"/>
                      <w:sz w:val="22"/>
                    </w:rPr>
                    <w:t>。</w:t>
                  </w:r>
                </w:p>
                <w:p>
                  <w:pPr>
                    <w:pStyle w:val="null3"/>
                    <w:jc w:val="left"/>
                  </w:pPr>
                  <w:r>
                    <w:rPr>
                      <w:rFonts w:ascii="宋体" w:hAnsi="宋体" w:cs="宋体" w:eastAsia="宋体"/>
                      <w:color w:val="000000"/>
                      <w:sz w:val="22"/>
                    </w:rPr>
                    <w:t>4</w:t>
                  </w:r>
                  <w:r>
                    <w:rPr>
                      <w:rFonts w:ascii="宋体" w:hAnsi="宋体" w:cs="宋体" w:eastAsia="宋体"/>
                      <w:color w:val="000000"/>
                      <w:sz w:val="22"/>
                    </w:rPr>
                    <w:t>、</w:t>
                  </w:r>
                  <w:r>
                    <w:rPr>
                      <w:rFonts w:ascii="宋体" w:hAnsi="宋体" w:cs="宋体" w:eastAsia="宋体"/>
                      <w:color w:val="000000"/>
                      <w:sz w:val="22"/>
                    </w:rPr>
                    <w:t xml:space="preserve"> </w:t>
                  </w:r>
                  <w:r>
                    <w:rPr>
                      <w:rFonts w:ascii="宋体" w:hAnsi="宋体" w:cs="宋体" w:eastAsia="宋体"/>
                      <w:color w:val="000000"/>
                      <w:sz w:val="22"/>
                    </w:rPr>
                    <w:t>输入电压范围：</w:t>
                  </w:r>
                  <w:r>
                    <w:rPr>
                      <w:rFonts w:ascii="宋体" w:hAnsi="宋体" w:cs="宋体" w:eastAsia="宋体"/>
                      <w:color w:val="000000"/>
                      <w:sz w:val="22"/>
                    </w:rPr>
                    <w:t>305-478VAC</w:t>
                  </w:r>
                  <w:r>
                    <w:rPr>
                      <w:rFonts w:ascii="宋体" w:hAnsi="宋体" w:cs="宋体" w:eastAsia="宋体"/>
                      <w:color w:val="000000"/>
                      <w:sz w:val="22"/>
                    </w:rPr>
                    <w:t>。</w:t>
                  </w:r>
                </w:p>
                <w:p>
                  <w:pPr>
                    <w:pStyle w:val="null3"/>
                    <w:jc w:val="left"/>
                  </w:pPr>
                  <w:r>
                    <w:rPr>
                      <w:rFonts w:ascii="宋体" w:hAnsi="宋体" w:cs="宋体" w:eastAsia="宋体"/>
                      <w:color w:val="000000"/>
                      <w:sz w:val="22"/>
                    </w:rPr>
                    <w:t>5</w:t>
                  </w:r>
                  <w:r>
                    <w:rPr>
                      <w:rFonts w:ascii="宋体" w:hAnsi="宋体" w:cs="宋体" w:eastAsia="宋体"/>
                      <w:color w:val="000000"/>
                      <w:sz w:val="22"/>
                    </w:rPr>
                    <w:t>、</w:t>
                  </w:r>
                  <w:r>
                    <w:rPr>
                      <w:rFonts w:ascii="宋体" w:hAnsi="宋体" w:cs="宋体" w:eastAsia="宋体"/>
                      <w:color w:val="000000"/>
                      <w:sz w:val="22"/>
                    </w:rPr>
                    <w:t>输入频率范围：</w:t>
                  </w:r>
                  <w:r>
                    <w:rPr>
                      <w:rFonts w:ascii="宋体" w:hAnsi="宋体" w:cs="宋体" w:eastAsia="宋体"/>
                      <w:color w:val="000000"/>
                      <w:sz w:val="22"/>
                    </w:rPr>
                    <w:t>46~54 Hz 或 56~64Hz</w:t>
                  </w:r>
                  <w:r>
                    <w:rPr>
                      <w:rFonts w:ascii="宋体" w:hAnsi="宋体" w:cs="宋体" w:eastAsia="宋体"/>
                      <w:color w:val="000000"/>
                      <w:sz w:val="22"/>
                    </w:rPr>
                    <w:t>。</w:t>
                  </w:r>
                </w:p>
                <w:p>
                  <w:pPr>
                    <w:pStyle w:val="null3"/>
                    <w:jc w:val="left"/>
                  </w:pPr>
                  <w:r>
                    <w:rPr>
                      <w:rFonts w:ascii="宋体" w:hAnsi="宋体" w:cs="宋体" w:eastAsia="宋体"/>
                      <w:color w:val="000000"/>
                      <w:sz w:val="22"/>
                    </w:rPr>
                    <w:t>6</w:t>
                  </w:r>
                  <w:r>
                    <w:rPr>
                      <w:rFonts w:ascii="宋体" w:hAnsi="宋体" w:cs="宋体" w:eastAsia="宋体"/>
                      <w:color w:val="000000"/>
                      <w:sz w:val="22"/>
                    </w:rPr>
                    <w:t>、</w:t>
                  </w:r>
                  <w:r>
                    <w:rPr>
                      <w:rFonts w:ascii="宋体" w:hAnsi="宋体" w:cs="宋体" w:eastAsia="宋体"/>
                      <w:color w:val="000000"/>
                      <w:sz w:val="22"/>
                    </w:rPr>
                    <w:t>输入功率因数：</w:t>
                  </w:r>
                  <w:r>
                    <w:rPr>
                      <w:rFonts w:ascii="宋体" w:hAnsi="宋体" w:cs="宋体" w:eastAsia="宋体"/>
                      <w:color w:val="000000"/>
                      <w:sz w:val="22"/>
                    </w:rPr>
                    <w:t>≥0.99； 输出功率因素：≥0.8</w:t>
                  </w:r>
                  <w:r>
                    <w:rPr>
                      <w:rFonts w:ascii="宋体" w:hAnsi="宋体" w:cs="宋体" w:eastAsia="宋体"/>
                      <w:color w:val="000000"/>
                      <w:sz w:val="22"/>
                    </w:rPr>
                    <w:t>。</w:t>
                  </w:r>
                </w:p>
                <w:p>
                  <w:pPr>
                    <w:pStyle w:val="null3"/>
                    <w:jc w:val="left"/>
                  </w:pPr>
                  <w:r>
                    <w:rPr>
                      <w:rFonts w:ascii="宋体" w:hAnsi="宋体" w:cs="宋体" w:eastAsia="宋体"/>
                      <w:color w:val="000000"/>
                      <w:sz w:val="22"/>
                    </w:rPr>
                    <w:t>7</w:t>
                  </w:r>
                  <w:r>
                    <w:rPr>
                      <w:rFonts w:ascii="宋体" w:hAnsi="宋体" w:cs="宋体" w:eastAsia="宋体"/>
                      <w:color w:val="000000"/>
                      <w:sz w:val="22"/>
                    </w:rPr>
                    <w:t>、</w:t>
                  </w:r>
                  <w:r>
                    <w:rPr>
                      <w:rFonts w:ascii="宋体" w:hAnsi="宋体" w:cs="宋体" w:eastAsia="宋体"/>
                      <w:color w:val="000000"/>
                      <w:sz w:val="22"/>
                    </w:rPr>
                    <w:t>输出特性：正弦波；</w:t>
                  </w:r>
                  <w:r>
                    <w:rPr>
                      <w:rFonts w:ascii="宋体" w:hAnsi="宋体" w:cs="宋体" w:eastAsia="宋体"/>
                      <w:color w:val="000000"/>
                      <w:sz w:val="22"/>
                    </w:rPr>
                    <w:t>≦3 % THD(线性负载)，≦ 5% THD(非线性负载)</w:t>
                  </w:r>
                  <w:r>
                    <w:rPr>
                      <w:rFonts w:ascii="宋体" w:hAnsi="宋体" w:cs="宋体" w:eastAsia="宋体"/>
                      <w:color w:val="000000"/>
                      <w:sz w:val="22"/>
                    </w:rPr>
                    <w:t>。</w:t>
                  </w:r>
                  <w:r>
                    <w:rPr>
                      <w:rFonts w:ascii="calibri" w:hAnsi="calibri" w:cs="calibri" w:eastAsia="calibri"/>
                      <w:sz w:val="21"/>
                    </w:rPr>
                    <w:t xml:space="preserve"> </w:t>
                  </w:r>
                </w:p>
                <w:p>
                  <w:pPr>
                    <w:pStyle w:val="null3"/>
                    <w:jc w:val="left"/>
                  </w:pPr>
                  <w:r>
                    <w:rPr>
                      <w:rFonts w:ascii="宋体" w:hAnsi="宋体" w:cs="宋体" w:eastAsia="宋体"/>
                      <w:color w:val="000000"/>
                      <w:sz w:val="22"/>
                    </w:rPr>
                    <w:t>8</w:t>
                  </w:r>
                  <w:r>
                    <w:rPr>
                      <w:rFonts w:ascii="宋体" w:hAnsi="宋体" w:cs="宋体" w:eastAsia="宋体"/>
                      <w:color w:val="000000"/>
                      <w:sz w:val="22"/>
                    </w:rPr>
                    <w:t>、</w:t>
                  </w:r>
                  <w:r>
                    <w:rPr>
                      <w:rFonts w:ascii="宋体" w:hAnsi="宋体" w:cs="宋体" w:eastAsia="宋体"/>
                      <w:color w:val="000000"/>
                      <w:sz w:val="22"/>
                    </w:rPr>
                    <w:t>输出电压范围：</w:t>
                  </w:r>
                  <w:r>
                    <w:rPr>
                      <w:rFonts w:ascii="宋体" w:hAnsi="宋体" w:cs="宋体" w:eastAsia="宋体"/>
                      <w:color w:val="000000"/>
                      <w:sz w:val="22"/>
                    </w:rPr>
                    <w:t>208/220/230/240VAC ±1%</w:t>
                  </w:r>
                  <w:r>
                    <w:rPr>
                      <w:rFonts w:ascii="宋体" w:hAnsi="宋体" w:cs="宋体" w:eastAsia="宋体"/>
                      <w:color w:val="000000"/>
                      <w:sz w:val="22"/>
                    </w:rPr>
                    <w:t>。</w:t>
                  </w:r>
                </w:p>
                <w:p>
                  <w:pPr>
                    <w:pStyle w:val="null3"/>
                    <w:jc w:val="left"/>
                  </w:pPr>
                  <w:r>
                    <w:rPr>
                      <w:rFonts w:ascii="宋体" w:hAnsi="宋体" w:cs="宋体" w:eastAsia="宋体"/>
                      <w:color w:val="000000"/>
                      <w:sz w:val="22"/>
                    </w:rPr>
                    <w:t>9</w:t>
                  </w:r>
                  <w:r>
                    <w:rPr>
                      <w:rFonts w:ascii="宋体" w:hAnsi="宋体" w:cs="宋体" w:eastAsia="宋体"/>
                      <w:color w:val="000000"/>
                      <w:sz w:val="22"/>
                    </w:rPr>
                    <w:t>、</w:t>
                  </w:r>
                  <w:r>
                    <w:rPr>
                      <w:rFonts w:ascii="宋体" w:hAnsi="宋体" w:cs="宋体" w:eastAsia="宋体"/>
                      <w:color w:val="000000"/>
                      <w:sz w:val="22"/>
                    </w:rPr>
                    <w:t>电池电压：标准</w:t>
                  </w:r>
                  <w:r>
                    <w:rPr>
                      <w:rFonts w:ascii="宋体" w:hAnsi="宋体" w:cs="宋体" w:eastAsia="宋体"/>
                      <w:color w:val="000000"/>
                      <w:sz w:val="22"/>
                    </w:rPr>
                    <w:t>192VDC</w:t>
                  </w:r>
                  <w:r>
                    <w:rPr>
                      <w:rFonts w:ascii="宋体" w:hAnsi="宋体" w:cs="宋体" w:eastAsia="宋体"/>
                      <w:color w:val="000000"/>
                      <w:sz w:val="22"/>
                    </w:rPr>
                    <w:t>。</w:t>
                  </w:r>
                </w:p>
                <w:p>
                  <w:pPr>
                    <w:pStyle w:val="null3"/>
                    <w:jc w:val="left"/>
                  </w:pPr>
                  <w:r>
                    <w:rPr>
                      <w:rFonts w:ascii="宋体" w:hAnsi="宋体" w:cs="宋体" w:eastAsia="宋体"/>
                      <w:color w:val="000000"/>
                      <w:sz w:val="22"/>
                    </w:rPr>
                    <w:t>10</w:t>
                  </w:r>
                  <w:r>
                    <w:rPr>
                      <w:rFonts w:ascii="宋体" w:hAnsi="宋体" w:cs="宋体" w:eastAsia="宋体"/>
                      <w:color w:val="000000"/>
                      <w:sz w:val="22"/>
                    </w:rPr>
                    <w:t>、</w:t>
                  </w:r>
                  <w:r>
                    <w:rPr>
                      <w:rFonts w:ascii="宋体" w:hAnsi="宋体" w:cs="宋体" w:eastAsia="宋体"/>
                      <w:color w:val="000000"/>
                      <w:sz w:val="22"/>
                    </w:rPr>
                    <w:t>丰富的通讯和监控功能，可选配</w:t>
                  </w:r>
                  <w:r>
                    <w:rPr>
                      <w:rFonts w:ascii="宋体" w:hAnsi="宋体" w:cs="宋体" w:eastAsia="宋体"/>
                      <w:color w:val="000000"/>
                      <w:sz w:val="22"/>
                    </w:rPr>
                    <w:t>RS232，干节点，智能插槽（可扩充SNMP，手机短信等多种监控方式），随时随地了解使用状态</w:t>
                  </w:r>
                  <w:r>
                    <w:rPr>
                      <w:rFonts w:ascii="宋体" w:hAnsi="宋体" w:cs="宋体" w:eastAsia="宋体"/>
                      <w:color w:val="000000"/>
                      <w:sz w:val="22"/>
                    </w:rPr>
                    <w:t>。</w:t>
                  </w:r>
                </w:p>
                <w:p>
                  <w:pPr>
                    <w:pStyle w:val="null3"/>
                    <w:jc w:val="left"/>
                  </w:pPr>
                  <w:r>
                    <w:rPr>
                      <w:rFonts w:ascii="宋体" w:hAnsi="宋体" w:cs="宋体" w:eastAsia="宋体"/>
                      <w:color w:val="000000"/>
                      <w:sz w:val="22"/>
                    </w:rPr>
                    <w:t>11</w:t>
                  </w:r>
                  <w:r>
                    <w:rPr>
                      <w:rFonts w:ascii="宋体" w:hAnsi="宋体" w:cs="宋体" w:eastAsia="宋体"/>
                      <w:color w:val="000000"/>
                      <w:sz w:val="22"/>
                    </w:rPr>
                    <w:t>、</w:t>
                  </w:r>
                  <w:r>
                    <w:rPr>
                      <w:rFonts w:ascii="宋体" w:hAnsi="宋体" w:cs="宋体" w:eastAsia="宋体"/>
                      <w:color w:val="000000"/>
                      <w:sz w:val="22"/>
                    </w:rPr>
                    <w:t xml:space="preserve"> </w:t>
                  </w:r>
                  <w:r>
                    <w:rPr>
                      <w:rFonts w:ascii="宋体" w:hAnsi="宋体" w:cs="宋体" w:eastAsia="宋体"/>
                      <w:color w:val="000000"/>
                      <w:sz w:val="22"/>
                    </w:rPr>
                    <w:t>配套</w:t>
                  </w:r>
                  <w:r>
                    <w:rPr>
                      <w:rFonts w:ascii="宋体" w:hAnsi="宋体" w:cs="宋体" w:eastAsia="宋体"/>
                      <w:color w:val="000000"/>
                      <w:sz w:val="22"/>
                    </w:rPr>
                    <w:t>12V100AH蓄电池32节及电池柜等安装辅助材料</w:t>
                  </w:r>
                  <w:r>
                    <w:rPr>
                      <w:rFonts w:ascii="宋体" w:hAnsi="宋体" w:cs="宋体" w:eastAsia="宋体"/>
                      <w:color w:val="000000"/>
                      <w:sz w:val="22"/>
                    </w:rPr>
                    <w:t>。</w:t>
                  </w:r>
                </w:p>
                <w:p>
                  <w:pPr>
                    <w:pStyle w:val="null3"/>
                    <w:jc w:val="left"/>
                  </w:pPr>
                  <w:r>
                    <w:rPr>
                      <w:rFonts w:ascii="宋体" w:hAnsi="宋体" w:cs="宋体" w:eastAsia="宋体"/>
                      <w:color w:val="000000"/>
                      <w:sz w:val="22"/>
                    </w:rPr>
                    <w:t>12</w:t>
                  </w:r>
                  <w:r>
                    <w:rPr>
                      <w:rFonts w:ascii="宋体" w:hAnsi="宋体" w:cs="宋体" w:eastAsia="宋体"/>
                      <w:color w:val="000000"/>
                      <w:sz w:val="22"/>
                    </w:rPr>
                    <w:t>、</w:t>
                  </w:r>
                  <w:r>
                    <w:rPr>
                      <w:rFonts w:ascii="宋体" w:hAnsi="宋体" w:cs="宋体" w:eastAsia="宋体"/>
                      <w:color w:val="000000"/>
                      <w:sz w:val="22"/>
                    </w:rPr>
                    <w:t>密封反应效率：蓄电池密封反应效率应</w:t>
                  </w:r>
                  <w:r>
                    <w:rPr>
                      <w:rFonts w:ascii="宋体" w:hAnsi="宋体" w:cs="宋体" w:eastAsia="宋体"/>
                      <w:color w:val="000000"/>
                      <w:sz w:val="22"/>
                    </w:rPr>
                    <w:t>≥99.5%，安全可靠。（提供检测报告复印件并加盖投标人鲜章）</w:t>
                  </w:r>
                  <w:r>
                    <w:rPr>
                      <w:rFonts w:ascii="宋体" w:hAnsi="宋体" w:cs="宋体" w:eastAsia="宋体"/>
                      <w:color w:val="000000"/>
                      <w:sz w:val="22"/>
                    </w:rPr>
                    <w:t>。</w:t>
                  </w:r>
                </w:p>
                <w:p>
                  <w:pPr>
                    <w:pStyle w:val="null3"/>
                    <w:jc w:val="left"/>
                  </w:pPr>
                  <w:r>
                    <w:rPr>
                      <w:rFonts w:ascii="宋体" w:hAnsi="宋体" w:cs="宋体" w:eastAsia="宋体"/>
                      <w:color w:val="000000"/>
                      <w:sz w:val="22"/>
                    </w:rPr>
                    <w:t>13</w:t>
                  </w:r>
                  <w:r>
                    <w:rPr>
                      <w:rFonts w:ascii="宋体" w:hAnsi="宋体" w:cs="宋体" w:eastAsia="宋体"/>
                      <w:color w:val="000000"/>
                      <w:sz w:val="22"/>
                    </w:rPr>
                    <w:t>、</w:t>
                  </w:r>
                  <w:r>
                    <w:rPr>
                      <w:rFonts w:ascii="宋体" w:hAnsi="宋体" w:cs="宋体" w:eastAsia="宋体"/>
                      <w:color w:val="000000"/>
                      <w:sz w:val="22"/>
                    </w:rPr>
                    <w:t>蓄电池由生产地到使用地需要长距离运输，蓄电池生产企业需具有电池包装属性鉴定证书和运输条件鉴定证书（提供相关证书复印件并加盖投标人鲜章）</w:t>
                  </w:r>
                  <w:r>
                    <w:rPr>
                      <w:rFonts w:ascii="宋体" w:hAnsi="宋体" w:cs="宋体" w:eastAsia="宋体"/>
                      <w:color w:val="000000"/>
                      <w:sz w:val="22"/>
                    </w:rPr>
                    <w:t>。</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套</w:t>
                  </w:r>
                </w:p>
              </w:tc>
            </w:tr>
          </w:tbl>
          <w:p/>
        </w:tc>
      </w:tr>
    </w:tbl>
    <w:p>
      <w:pPr>
        <w:pStyle w:val="null3"/>
      </w:pPr>
    </w:p>
    <w:p>
      <w:pPr>
        <w:pStyle w:val="null3"/>
      </w:pPr>
      <w:r>
        <w:rPr/>
        <w:t>标的名称：电视管理软件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51"/>
              <w:gridCol w:w="238"/>
              <w:gridCol w:w="1593"/>
              <w:gridCol w:w="156"/>
              <w:gridCol w:w="142"/>
            </w:tblGrid>
            <w:tr>
              <w:tc>
                <w:tcPr>
                  <w:tcW w:type="dxa" w:w="151"/>
                  <w:tcBorders>
                    <w:top w:val="single" w:color="000000" w:sz="4"/>
                    <w:left w:val="single" w:color="000000" w:sz="4"/>
                    <w:bottom w:val="single" w:color="000000" w:sz="4"/>
                    <w:right w:val="single" w:color="000000" w:sz="4"/>
                  </w:tcBorders>
                  <w:shd w:fill="D9E3F3"/>
                  <w:tcMar>
                    <w:top w:type="dxa" w:w="0"/>
                    <w:left w:type="dxa" w:w="105"/>
                    <w:bottom w:type="dxa" w:w="0"/>
                    <w:right w:type="dxa" w:w="105"/>
                  </w:tcMar>
                  <w:vAlign w:val="top"/>
                </w:tcPr>
                <w:p>
                  <w:pPr>
                    <w:pStyle w:val="null3"/>
                    <w:jc w:val="center"/>
                  </w:pPr>
                  <w:r>
                    <w:rPr>
                      <w:rFonts w:ascii="宋体" w:hAnsi="宋体" w:cs="宋体" w:eastAsia="宋体"/>
                      <w:b/>
                      <w:color w:val="000000"/>
                      <w:sz w:val="28"/>
                    </w:rPr>
                    <w:t>序号</w:t>
                  </w:r>
                </w:p>
              </w:tc>
              <w:tc>
                <w:tcPr>
                  <w:tcW w:type="dxa" w:w="238"/>
                  <w:tcBorders>
                    <w:top w:val="single" w:color="000000" w:sz="4"/>
                    <w:left w:val="none" w:color="000000" w:sz="4"/>
                    <w:bottom w:val="single" w:color="000000" w:sz="4"/>
                    <w:right w:val="single" w:color="000000" w:sz="4"/>
                  </w:tcBorders>
                  <w:shd w:fill="D9E3F3"/>
                  <w:tcMar>
                    <w:top w:type="dxa" w:w="0"/>
                    <w:left w:type="dxa" w:w="105"/>
                    <w:bottom w:type="dxa" w:w="0"/>
                    <w:right w:type="dxa" w:w="105"/>
                  </w:tcMar>
                  <w:vAlign w:val="top"/>
                </w:tcPr>
                <w:p>
                  <w:pPr>
                    <w:pStyle w:val="null3"/>
                    <w:jc w:val="center"/>
                  </w:pPr>
                  <w:r>
                    <w:rPr>
                      <w:rFonts w:ascii="宋体" w:hAnsi="宋体" w:cs="宋体" w:eastAsia="宋体"/>
                      <w:b/>
                      <w:color w:val="000000"/>
                      <w:sz w:val="28"/>
                    </w:rPr>
                    <w:t>设备名称</w:t>
                  </w:r>
                </w:p>
              </w:tc>
              <w:tc>
                <w:tcPr>
                  <w:tcW w:type="dxa" w:w="1593"/>
                  <w:tcBorders>
                    <w:top w:val="single" w:color="000000" w:sz="4"/>
                    <w:left w:val="none" w:color="000000" w:sz="4"/>
                    <w:bottom w:val="single" w:color="000000" w:sz="4"/>
                    <w:right w:val="single" w:color="000000" w:sz="4"/>
                  </w:tcBorders>
                  <w:shd w:fill="D9E3F3"/>
                  <w:tcMar>
                    <w:top w:type="dxa" w:w="0"/>
                    <w:left w:type="dxa" w:w="105"/>
                    <w:bottom w:type="dxa" w:w="0"/>
                    <w:right w:type="dxa" w:w="105"/>
                  </w:tcMar>
                  <w:vAlign w:val="top"/>
                </w:tcPr>
                <w:p>
                  <w:pPr>
                    <w:pStyle w:val="null3"/>
                    <w:jc w:val="center"/>
                  </w:pPr>
                  <w:r>
                    <w:rPr>
                      <w:rFonts w:ascii="宋体" w:hAnsi="宋体" w:cs="宋体" w:eastAsia="宋体"/>
                      <w:b/>
                      <w:color w:val="000000"/>
                      <w:sz w:val="28"/>
                    </w:rPr>
                    <w:t>技术参数</w:t>
                  </w:r>
                </w:p>
              </w:tc>
              <w:tc>
                <w:tcPr>
                  <w:tcW w:type="dxa" w:w="156"/>
                  <w:tcBorders>
                    <w:top w:val="single" w:color="000000" w:sz="4"/>
                    <w:left w:val="none" w:color="000000" w:sz="4"/>
                    <w:bottom w:val="single" w:color="000000" w:sz="4"/>
                    <w:right w:val="single" w:color="000000" w:sz="4"/>
                  </w:tcBorders>
                  <w:shd w:fill="D9E3F3"/>
                  <w:tcMar>
                    <w:top w:type="dxa" w:w="0"/>
                    <w:left w:type="dxa" w:w="105"/>
                    <w:bottom w:type="dxa" w:w="0"/>
                    <w:right w:type="dxa" w:w="105"/>
                  </w:tcMar>
                  <w:vAlign w:val="top"/>
                </w:tcPr>
                <w:p>
                  <w:pPr>
                    <w:pStyle w:val="null3"/>
                    <w:jc w:val="center"/>
                  </w:pPr>
                  <w:r>
                    <w:rPr>
                      <w:rFonts w:ascii="宋体" w:hAnsi="宋体" w:cs="宋体" w:eastAsia="宋体"/>
                      <w:b/>
                      <w:color w:val="000000"/>
                      <w:sz w:val="28"/>
                    </w:rPr>
                    <w:t>数量</w:t>
                  </w:r>
                </w:p>
              </w:tc>
              <w:tc>
                <w:tcPr>
                  <w:tcW w:type="dxa" w:w="142"/>
                  <w:tcBorders>
                    <w:top w:val="single" w:color="000000" w:sz="4"/>
                    <w:left w:val="none" w:color="000000" w:sz="4"/>
                    <w:bottom w:val="single" w:color="000000" w:sz="4"/>
                    <w:right w:val="single" w:color="000000" w:sz="4"/>
                  </w:tcBorders>
                  <w:shd w:fill="D9E3F3"/>
                  <w:tcMar>
                    <w:top w:type="dxa" w:w="0"/>
                    <w:left w:type="dxa" w:w="105"/>
                    <w:bottom w:type="dxa" w:w="0"/>
                    <w:right w:type="dxa" w:w="105"/>
                  </w:tcMar>
                  <w:vAlign w:val="top"/>
                </w:tcPr>
                <w:p>
                  <w:pPr>
                    <w:pStyle w:val="null3"/>
                    <w:jc w:val="center"/>
                  </w:pPr>
                  <w:r>
                    <w:rPr>
                      <w:rFonts w:ascii="宋体" w:hAnsi="宋体" w:cs="宋体" w:eastAsia="宋体"/>
                      <w:b/>
                      <w:color w:val="000000"/>
                      <w:sz w:val="28"/>
                    </w:rPr>
                    <w:t>单位</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电视管理软件</w:t>
                  </w:r>
                </w:p>
              </w:tc>
              <w:tc>
                <w:tcPr>
                  <w:tcW w:type="dxa" w:w="1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1、</w:t>
                  </w:r>
                  <w:r>
                    <w:rPr>
                      <w:rFonts w:ascii="宋体" w:hAnsi="宋体" w:cs="宋体" w:eastAsia="宋体"/>
                      <w:color w:val="000000"/>
                      <w:sz w:val="22"/>
                    </w:rPr>
                    <w:t>符合《国家教育考试网上巡查系统视频标准技术规范（</w:t>
                  </w:r>
                  <w:r>
                    <w:rPr>
                      <w:rFonts w:ascii="宋体" w:hAnsi="宋体" w:cs="宋体" w:eastAsia="宋体"/>
                      <w:color w:val="000000"/>
                      <w:sz w:val="22"/>
                    </w:rPr>
                    <w:t>2017版）》相关技术规范</w:t>
                  </w:r>
                  <w:r>
                    <w:rPr>
                      <w:rFonts w:ascii="宋体" w:hAnsi="宋体" w:cs="宋体" w:eastAsia="宋体"/>
                      <w:color w:val="000000"/>
                      <w:sz w:val="22"/>
                    </w:rPr>
                    <w:t>。</w:t>
                  </w:r>
                </w:p>
                <w:p>
                  <w:pPr>
                    <w:pStyle w:val="null3"/>
                    <w:jc w:val="left"/>
                  </w:pPr>
                  <w:r>
                    <w:rPr>
                      <w:rFonts w:ascii="宋体" w:hAnsi="宋体" w:cs="宋体" w:eastAsia="宋体"/>
                      <w:color w:val="000000"/>
                      <w:sz w:val="22"/>
                    </w:rPr>
                    <w:t>2、</w:t>
                  </w:r>
                  <w:r>
                    <w:rPr>
                      <w:rFonts w:ascii="宋体" w:hAnsi="宋体" w:cs="宋体" w:eastAsia="宋体"/>
                      <w:color w:val="000000"/>
                      <w:sz w:val="22"/>
                    </w:rPr>
                    <w:t>支持电视墙管理平台控制巡查图像以及设置巡查图像轮巡显示和编码通道上墙显示</w:t>
                  </w:r>
                  <w:r>
                    <w:rPr>
                      <w:rFonts w:ascii="宋体" w:hAnsi="宋体" w:cs="宋体" w:eastAsia="宋体"/>
                      <w:color w:val="000000"/>
                      <w:sz w:val="22"/>
                    </w:rPr>
                    <w:t>。</w:t>
                  </w:r>
                </w:p>
                <w:p>
                  <w:pPr>
                    <w:pStyle w:val="null3"/>
                    <w:jc w:val="left"/>
                  </w:pPr>
                  <w:r>
                    <w:rPr>
                      <w:rFonts w:ascii="宋体" w:hAnsi="宋体" w:cs="宋体" w:eastAsia="宋体"/>
                      <w:color w:val="000000"/>
                      <w:sz w:val="22"/>
                    </w:rPr>
                    <w:t>3、</w:t>
                  </w:r>
                  <w:r>
                    <w:rPr>
                      <w:rFonts w:ascii="宋体" w:hAnsi="宋体" w:cs="宋体" w:eastAsia="宋体"/>
                      <w:color w:val="000000"/>
                      <w:sz w:val="22"/>
                    </w:rPr>
                    <w:t>分屏模式：支持电视墙管理平台分屏模式包括</w:t>
                  </w:r>
                  <w:r>
                    <w:rPr>
                      <w:rFonts w:ascii="宋体" w:hAnsi="宋体" w:cs="宋体" w:eastAsia="宋体"/>
                      <w:color w:val="000000"/>
                      <w:sz w:val="22"/>
                    </w:rPr>
                    <w:t>1分屏、4分屏、9分屏、16分屏</w:t>
                  </w:r>
                  <w:r>
                    <w:rPr>
                      <w:rFonts w:ascii="宋体" w:hAnsi="宋体" w:cs="宋体" w:eastAsia="宋体"/>
                      <w:color w:val="000000"/>
                      <w:sz w:val="22"/>
                    </w:rPr>
                    <w:t>。</w:t>
                  </w:r>
                </w:p>
                <w:p>
                  <w:pPr>
                    <w:pStyle w:val="null3"/>
                    <w:jc w:val="left"/>
                  </w:pPr>
                  <w:r>
                    <w:rPr>
                      <w:rFonts w:ascii="宋体" w:hAnsi="宋体" w:cs="宋体" w:eastAsia="宋体"/>
                      <w:color w:val="000000"/>
                      <w:sz w:val="22"/>
                    </w:rPr>
                    <w:t>4</w:t>
                  </w:r>
                  <w:r>
                    <w:rPr>
                      <w:rFonts w:ascii="宋体" w:hAnsi="宋体" w:cs="宋体" w:eastAsia="宋体"/>
                      <w:color w:val="000000"/>
                      <w:sz w:val="22"/>
                    </w:rPr>
                    <w:t>、</w:t>
                  </w:r>
                  <w:r>
                    <w:rPr>
                      <w:rFonts w:ascii="宋体" w:hAnsi="宋体" w:cs="宋体" w:eastAsia="宋体"/>
                      <w:color w:val="000000"/>
                      <w:sz w:val="22"/>
                    </w:rPr>
                    <w:t>画面轮巡：支持电视墙服务器设置多种自定义的巡查轮巡；支持电视墙管理平台多种自定义的巡查轮巡设置</w:t>
                  </w:r>
                  <w:r>
                    <w:rPr>
                      <w:rFonts w:ascii="宋体" w:hAnsi="宋体" w:cs="宋体" w:eastAsia="宋体"/>
                      <w:color w:val="000000"/>
                      <w:sz w:val="22"/>
                    </w:rPr>
                    <w:t>。</w:t>
                  </w:r>
                </w:p>
                <w:p>
                  <w:pPr>
                    <w:pStyle w:val="null3"/>
                    <w:jc w:val="left"/>
                  </w:pPr>
                  <w:r>
                    <w:rPr>
                      <w:rFonts w:ascii="宋体" w:hAnsi="宋体" w:cs="宋体" w:eastAsia="宋体"/>
                      <w:color w:val="000000"/>
                      <w:sz w:val="22"/>
                    </w:rPr>
                    <w:t>5</w:t>
                  </w:r>
                  <w:r>
                    <w:rPr>
                      <w:rFonts w:ascii="宋体" w:hAnsi="宋体" w:cs="宋体" w:eastAsia="宋体"/>
                      <w:color w:val="000000"/>
                      <w:sz w:val="22"/>
                    </w:rPr>
                    <w:t>、</w:t>
                  </w:r>
                  <w:r>
                    <w:rPr>
                      <w:rFonts w:ascii="宋体" w:hAnsi="宋体" w:cs="宋体" w:eastAsia="宋体"/>
                      <w:color w:val="000000"/>
                      <w:sz w:val="22"/>
                    </w:rPr>
                    <w:t>轮巡模式：独立轮巡和组合轮巡，同步轮巡和异步轮巡，定点轮巡和定长轮巡</w:t>
                  </w:r>
                  <w:r>
                    <w:rPr>
                      <w:rFonts w:ascii="宋体" w:hAnsi="宋体" w:cs="宋体" w:eastAsia="宋体"/>
                      <w:color w:val="000000"/>
                      <w:sz w:val="22"/>
                    </w:rPr>
                    <w:t>。</w:t>
                  </w:r>
                </w:p>
                <w:p>
                  <w:pPr>
                    <w:pStyle w:val="null3"/>
                    <w:jc w:val="left"/>
                  </w:pPr>
                  <w:r>
                    <w:rPr>
                      <w:rFonts w:ascii="宋体" w:hAnsi="宋体" w:cs="宋体" w:eastAsia="宋体"/>
                      <w:color w:val="000000"/>
                      <w:sz w:val="22"/>
                    </w:rPr>
                    <w:t>6</w:t>
                  </w:r>
                  <w:r>
                    <w:rPr>
                      <w:rFonts w:ascii="宋体" w:hAnsi="宋体" w:cs="宋体" w:eastAsia="宋体"/>
                      <w:color w:val="000000"/>
                      <w:sz w:val="22"/>
                    </w:rPr>
                    <w:t>、</w:t>
                  </w:r>
                  <w:r>
                    <w:rPr>
                      <w:rFonts w:ascii="宋体" w:hAnsi="宋体" w:cs="宋体" w:eastAsia="宋体"/>
                      <w:color w:val="000000"/>
                      <w:sz w:val="22"/>
                    </w:rPr>
                    <w:t>方案控制：支持控制电视墙服务器拉取图像和载入与保存方案等功能，可支持多种不同方案</w:t>
                  </w:r>
                  <w:r>
                    <w:rPr>
                      <w:rFonts w:ascii="宋体" w:hAnsi="宋体" w:cs="宋体" w:eastAsia="宋体"/>
                      <w:color w:val="000000"/>
                      <w:sz w:val="22"/>
                    </w:rPr>
                    <w:t>;支持电视墙管理平台拉取不同巡查图像，并设置巡查轮巡、屏幕融合、屏幕分割模式方案的功能</w:t>
                  </w:r>
                  <w:r>
                    <w:rPr>
                      <w:rFonts w:ascii="宋体" w:hAnsi="宋体" w:cs="宋体" w:eastAsia="宋体"/>
                      <w:color w:val="000000"/>
                      <w:sz w:val="22"/>
                    </w:rPr>
                    <w:t>。</w:t>
                  </w:r>
                </w:p>
                <w:p>
                  <w:pPr>
                    <w:pStyle w:val="null3"/>
                    <w:jc w:val="left"/>
                  </w:pPr>
                  <w:r>
                    <w:rPr>
                      <w:rFonts w:ascii="宋体" w:hAnsi="宋体" w:cs="宋体" w:eastAsia="宋体"/>
                      <w:color w:val="000000"/>
                      <w:sz w:val="22"/>
                    </w:rPr>
                    <w:t>7</w:t>
                  </w:r>
                  <w:r>
                    <w:rPr>
                      <w:rFonts w:ascii="宋体" w:hAnsi="宋体" w:cs="宋体" w:eastAsia="宋体"/>
                      <w:color w:val="000000"/>
                      <w:sz w:val="22"/>
                    </w:rPr>
                    <w:t>、</w:t>
                  </w:r>
                  <w:r>
                    <w:rPr>
                      <w:rFonts w:ascii="宋体" w:hAnsi="宋体" w:cs="宋体" w:eastAsia="宋体"/>
                      <w:color w:val="000000"/>
                      <w:sz w:val="22"/>
                    </w:rPr>
                    <w:t>云台控制：可支持巡查云台设置方向、焦距、步长、自动旋转、左右边界以及预置点等功能</w:t>
                  </w:r>
                  <w:r>
                    <w:rPr>
                      <w:rFonts w:ascii="宋体" w:hAnsi="宋体" w:cs="宋体" w:eastAsia="宋体"/>
                      <w:color w:val="000000"/>
                      <w:sz w:val="22"/>
                    </w:rPr>
                    <w:t>。</w:t>
                  </w:r>
                </w:p>
                <w:p>
                  <w:pPr>
                    <w:pStyle w:val="null3"/>
                    <w:jc w:val="left"/>
                  </w:pPr>
                  <w:r>
                    <w:rPr>
                      <w:rFonts w:ascii="宋体" w:hAnsi="宋体" w:cs="宋体" w:eastAsia="宋体"/>
                      <w:color w:val="000000"/>
                      <w:sz w:val="22"/>
                    </w:rPr>
                    <w:t>8</w:t>
                  </w:r>
                  <w:r>
                    <w:rPr>
                      <w:rFonts w:ascii="宋体" w:hAnsi="宋体" w:cs="宋体" w:eastAsia="宋体"/>
                      <w:color w:val="000000"/>
                      <w:sz w:val="22"/>
                    </w:rPr>
                    <w:t>、</w:t>
                  </w:r>
                  <w:r>
                    <w:rPr>
                      <w:rFonts w:ascii="宋体" w:hAnsi="宋体" w:cs="宋体" w:eastAsia="宋体"/>
                      <w:color w:val="000000"/>
                      <w:sz w:val="22"/>
                    </w:rPr>
                    <w:t>大屏融合：支持控制电视墙管理平台可进行屏幕随意排列融合大屏</w:t>
                  </w:r>
                  <w:r>
                    <w:rPr>
                      <w:rFonts w:ascii="宋体" w:hAnsi="宋体" w:cs="宋体" w:eastAsia="宋体"/>
                      <w:color w:val="000000"/>
                      <w:sz w:val="22"/>
                    </w:rPr>
                    <w:t>。</w:t>
                  </w:r>
                </w:p>
                <w:p>
                  <w:pPr>
                    <w:pStyle w:val="null3"/>
                    <w:jc w:val="left"/>
                  </w:pPr>
                  <w:r>
                    <w:rPr>
                      <w:rFonts w:ascii="宋体" w:hAnsi="宋体" w:cs="宋体" w:eastAsia="宋体"/>
                      <w:color w:val="000000"/>
                      <w:sz w:val="22"/>
                    </w:rPr>
                    <w:t>9</w:t>
                  </w:r>
                  <w:r>
                    <w:rPr>
                      <w:rFonts w:ascii="宋体" w:hAnsi="宋体" w:cs="宋体" w:eastAsia="宋体"/>
                      <w:color w:val="000000"/>
                      <w:sz w:val="22"/>
                    </w:rPr>
                    <w:t>、</w:t>
                  </w:r>
                  <w:r>
                    <w:rPr>
                      <w:rFonts w:ascii="宋体" w:hAnsi="宋体" w:cs="宋体" w:eastAsia="宋体"/>
                      <w:color w:val="000000"/>
                      <w:sz w:val="22"/>
                    </w:rPr>
                    <w:t>报警功能：具有视频丢失检测报警，系统自诊断功能和网络中断报警，电视墙主机可以接收到平台发出的各种报警信息，进行上墙以及弹窗提示；支持报警联动</w:t>
                  </w:r>
                  <w:r>
                    <w:rPr>
                      <w:rFonts w:ascii="宋体" w:hAnsi="宋体" w:cs="宋体" w:eastAsia="宋体"/>
                      <w:color w:val="000000"/>
                      <w:sz w:val="22"/>
                    </w:rPr>
                    <w:t>。</w:t>
                  </w:r>
                </w:p>
                <w:p>
                  <w:pPr>
                    <w:pStyle w:val="null3"/>
                    <w:jc w:val="left"/>
                  </w:pPr>
                  <w:r>
                    <w:rPr>
                      <w:rFonts w:ascii="宋体" w:hAnsi="宋体" w:cs="宋体" w:eastAsia="宋体"/>
                      <w:color w:val="000000"/>
                      <w:sz w:val="22"/>
                    </w:rPr>
                    <w:t>10</w:t>
                  </w:r>
                  <w:r>
                    <w:rPr>
                      <w:rFonts w:ascii="宋体" w:hAnsi="宋体" w:cs="宋体" w:eastAsia="宋体"/>
                      <w:color w:val="000000"/>
                      <w:sz w:val="22"/>
                    </w:rPr>
                    <w:t>、</w:t>
                  </w:r>
                  <w:r>
                    <w:rPr>
                      <w:rFonts w:ascii="宋体" w:hAnsi="宋体" w:cs="宋体" w:eastAsia="宋体"/>
                      <w:color w:val="000000"/>
                      <w:sz w:val="22"/>
                    </w:rPr>
                    <w:t>自由模式：支持控制电视墙管理平台设置屏幕自由组合模式，可以对单个屏幕自由开窗、放缩、漫游功能</w:t>
                  </w:r>
                  <w:r>
                    <w:rPr>
                      <w:rFonts w:ascii="宋体" w:hAnsi="宋体" w:cs="宋体" w:eastAsia="宋体"/>
                      <w:color w:val="000000"/>
                      <w:sz w:val="22"/>
                    </w:rPr>
                    <w:t>。</w:t>
                  </w:r>
                </w:p>
                <w:p>
                  <w:pPr>
                    <w:pStyle w:val="null3"/>
                    <w:jc w:val="left"/>
                  </w:pPr>
                  <w:r>
                    <w:rPr>
                      <w:rFonts w:ascii="宋体" w:hAnsi="宋体" w:cs="宋体" w:eastAsia="宋体"/>
                      <w:color w:val="000000"/>
                      <w:sz w:val="22"/>
                    </w:rPr>
                    <w:t>11</w:t>
                  </w:r>
                  <w:r>
                    <w:rPr>
                      <w:rFonts w:ascii="宋体" w:hAnsi="宋体" w:cs="宋体" w:eastAsia="宋体"/>
                      <w:color w:val="000000"/>
                      <w:sz w:val="22"/>
                    </w:rPr>
                    <w:t>、</w:t>
                  </w:r>
                  <w:r>
                    <w:rPr>
                      <w:rFonts w:ascii="宋体" w:hAnsi="宋体" w:cs="宋体" w:eastAsia="宋体"/>
                      <w:color w:val="000000"/>
                      <w:sz w:val="22"/>
                    </w:rPr>
                    <w:t>一对一模式：支持控制器电视墙管理平台一键启用屏幕映射功能，可以把多个屏幕映射到窗口进行上墙控制，此模式下窗口为全屏显示</w:t>
                  </w:r>
                  <w:r>
                    <w:rPr>
                      <w:rFonts w:ascii="宋体" w:hAnsi="宋体" w:cs="宋体" w:eastAsia="宋体"/>
                      <w:color w:val="000000"/>
                      <w:sz w:val="22"/>
                    </w:rPr>
                    <w:t>。</w:t>
                  </w:r>
                </w:p>
                <w:p>
                  <w:pPr>
                    <w:pStyle w:val="null3"/>
                    <w:jc w:val="left"/>
                  </w:pPr>
                  <w:r>
                    <w:rPr>
                      <w:rFonts w:ascii="宋体" w:hAnsi="宋体" w:cs="宋体" w:eastAsia="宋体"/>
                      <w:color w:val="000000"/>
                      <w:sz w:val="22"/>
                    </w:rPr>
                    <w:t>12</w:t>
                  </w:r>
                  <w:r>
                    <w:rPr>
                      <w:rFonts w:ascii="宋体" w:hAnsi="宋体" w:cs="宋体" w:eastAsia="宋体"/>
                      <w:color w:val="000000"/>
                      <w:sz w:val="22"/>
                    </w:rPr>
                    <w:t>、</w:t>
                  </w:r>
                  <w:r>
                    <w:rPr>
                      <w:rFonts w:ascii="宋体" w:hAnsi="宋体" w:cs="宋体" w:eastAsia="宋体"/>
                      <w:color w:val="000000"/>
                      <w:sz w:val="22"/>
                    </w:rPr>
                    <w:t>加载列表：通过辅助工具生成历史数据，对此数据可以进行手动导入</w:t>
                  </w:r>
                  <w:r>
                    <w:rPr>
                      <w:rFonts w:ascii="宋体" w:hAnsi="宋体" w:cs="宋体" w:eastAsia="宋体"/>
                      <w:color w:val="000000"/>
                      <w:sz w:val="22"/>
                    </w:rPr>
                    <w:t>。</w:t>
                  </w:r>
                </w:p>
                <w:p>
                  <w:pPr>
                    <w:pStyle w:val="null3"/>
                    <w:jc w:val="left"/>
                  </w:pPr>
                  <w:r>
                    <w:rPr>
                      <w:rFonts w:ascii="宋体" w:hAnsi="宋体" w:cs="宋体" w:eastAsia="宋体"/>
                      <w:color w:val="000000"/>
                      <w:sz w:val="22"/>
                    </w:rPr>
                    <w:t>13</w:t>
                  </w:r>
                  <w:r>
                    <w:rPr>
                      <w:rFonts w:ascii="宋体" w:hAnsi="宋体" w:cs="宋体" w:eastAsia="宋体"/>
                      <w:color w:val="000000"/>
                      <w:sz w:val="22"/>
                    </w:rPr>
                    <w:t>、</w:t>
                  </w:r>
                  <w:r>
                    <w:rPr>
                      <w:rFonts w:ascii="宋体" w:hAnsi="宋体" w:cs="宋体" w:eastAsia="宋体"/>
                      <w:color w:val="000000"/>
                      <w:sz w:val="22"/>
                    </w:rPr>
                    <w:t>搜索功能：对历史刷新以及导入的列表可以进行模糊搜索、精确定位</w:t>
                  </w:r>
                  <w:r>
                    <w:rPr>
                      <w:rFonts w:ascii="宋体" w:hAnsi="宋体" w:cs="宋体" w:eastAsia="宋体"/>
                      <w:color w:val="000000"/>
                      <w:sz w:val="22"/>
                    </w:rPr>
                    <w:t>。</w:t>
                  </w:r>
                </w:p>
                <w:p>
                  <w:pPr>
                    <w:pStyle w:val="null3"/>
                    <w:jc w:val="left"/>
                  </w:pPr>
                  <w:r>
                    <w:rPr>
                      <w:rFonts w:ascii="宋体" w:hAnsi="宋体" w:cs="宋体" w:eastAsia="宋体"/>
                      <w:color w:val="000000"/>
                      <w:sz w:val="22"/>
                    </w:rPr>
                    <w:t>14</w:t>
                  </w:r>
                  <w:r>
                    <w:rPr>
                      <w:rFonts w:ascii="宋体" w:hAnsi="宋体" w:cs="宋体" w:eastAsia="宋体"/>
                      <w:color w:val="000000"/>
                      <w:sz w:val="22"/>
                    </w:rPr>
                    <w:t>、</w:t>
                  </w:r>
                  <w:r>
                    <w:rPr>
                      <w:rFonts w:ascii="宋体" w:hAnsi="宋体" w:cs="宋体" w:eastAsia="宋体"/>
                      <w:color w:val="000000"/>
                      <w:sz w:val="22"/>
                    </w:rPr>
                    <w:t>订制列表：支持手动自定义巡查列表，启用该列表可以进行获取轮巡上墙操作</w:t>
                  </w:r>
                  <w:r>
                    <w:rPr>
                      <w:rFonts w:ascii="宋体" w:hAnsi="宋体" w:cs="宋体" w:eastAsia="宋体"/>
                      <w:color w:val="000000"/>
                      <w:sz w:val="22"/>
                    </w:rPr>
                    <w:t>。</w:t>
                  </w:r>
                </w:p>
                <w:p>
                  <w:pPr>
                    <w:pStyle w:val="null3"/>
                    <w:jc w:val="left"/>
                  </w:pPr>
                  <w:r>
                    <w:rPr>
                      <w:rFonts w:ascii="宋体" w:hAnsi="宋体" w:cs="宋体" w:eastAsia="宋体"/>
                      <w:color w:val="000000"/>
                      <w:sz w:val="22"/>
                    </w:rPr>
                    <w:t>15</w:t>
                  </w:r>
                  <w:r>
                    <w:rPr>
                      <w:rFonts w:ascii="宋体" w:hAnsi="宋体" w:cs="宋体" w:eastAsia="宋体"/>
                      <w:color w:val="000000"/>
                      <w:sz w:val="22"/>
                    </w:rPr>
                    <w:t>、</w:t>
                  </w:r>
                  <w:r>
                    <w:rPr>
                      <w:rFonts w:ascii="宋体" w:hAnsi="宋体" w:cs="宋体" w:eastAsia="宋体"/>
                      <w:color w:val="000000"/>
                      <w:sz w:val="22"/>
                    </w:rPr>
                    <w:t>视频预览功能：通过双击列表通道进行单路视频预览功能</w:t>
                  </w:r>
                  <w:r>
                    <w:rPr>
                      <w:rFonts w:ascii="宋体" w:hAnsi="宋体" w:cs="宋体" w:eastAsia="宋体"/>
                      <w:color w:val="000000"/>
                      <w:sz w:val="22"/>
                    </w:rPr>
                    <w:t>。</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2</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台</w:t>
                  </w:r>
                </w:p>
              </w:tc>
            </w:tr>
          </w:tbl>
          <w:p/>
        </w:tc>
      </w:tr>
    </w:tbl>
    <w:p>
      <w:pPr>
        <w:pStyle w:val="null3"/>
        <w:outlineLvl w:val="2"/>
      </w:pPr>
      <w:r>
        <w:rPr>
          <w:b/>
          <w:sz w:val="28"/>
        </w:rPr>
        <w:t>3.4商务要求</w:t>
      </w:r>
    </w:p>
    <w:p>
      <w:pPr>
        <w:pStyle w:val="null3"/>
        <w:outlineLvl w:val="3"/>
      </w:pPr>
      <w:r>
        <w:rPr>
          <w:b/>
          <w:sz w:val="24"/>
        </w:rPr>
        <w:t>3.4.1交货时间</w:t>
      </w:r>
    </w:p>
    <w:p>
      <w:pPr>
        <w:pStyle w:val="null3"/>
      </w:pPr>
    </w:p>
    <w:p>
      <w:pPr>
        <w:pStyle w:val="null3"/>
      </w:pPr>
    </w:p>
    <w:p>
      <w:pPr>
        <w:pStyle w:val="null3"/>
      </w:pPr>
    </w:p>
    <w:p>
      <w:pPr>
        <w:pStyle w:val="null3"/>
      </w:pPr>
      <w:r>
        <w:rPr/>
        <w:t>采购包1：</w:t>
      </w:r>
    </w:p>
    <w:p>
      <w:pPr>
        <w:pStyle w:val="null3"/>
      </w:pPr>
      <w:r>
        <w:rPr/>
        <w:t xml:space="preserve"> 自合同签订之日起30日</w:t>
      </w:r>
    </w:p>
    <w:p>
      <w:pPr>
        <w:pStyle w:val="null3"/>
        <w:outlineLvl w:val="3"/>
      </w:pPr>
      <w:r>
        <w:rPr>
          <w:b/>
          <w:sz w:val="24"/>
        </w:rPr>
        <w:t>3.4.2交货地点</w:t>
      </w:r>
    </w:p>
    <w:p>
      <w:pPr>
        <w:pStyle w:val="null3"/>
      </w:pPr>
    </w:p>
    <w:p>
      <w:pPr>
        <w:pStyle w:val="null3"/>
      </w:pPr>
    </w:p>
    <w:p>
      <w:pPr>
        <w:pStyle w:val="null3"/>
      </w:pPr>
    </w:p>
    <w:p>
      <w:pPr>
        <w:pStyle w:val="null3"/>
      </w:pPr>
      <w:r>
        <w:rPr/>
        <w:t>采购包1：</w:t>
      </w:r>
    </w:p>
    <w:p>
      <w:pPr>
        <w:pStyle w:val="null3"/>
      </w:pPr>
      <w:r>
        <w:rPr/>
        <w:t>采购人指定地点</w:t>
      </w:r>
    </w:p>
    <w:p>
      <w:pPr>
        <w:pStyle w:val="null3"/>
        <w:outlineLvl w:val="3"/>
      </w:pPr>
      <w:r>
        <w:rPr>
          <w:b/>
          <w:sz w:val="24"/>
        </w:rPr>
        <w:t>3.4.3支付方式</w:t>
      </w:r>
    </w:p>
    <w:p>
      <w:pPr>
        <w:pStyle w:val="null3"/>
      </w:pPr>
    </w:p>
    <w:p>
      <w:pPr>
        <w:pStyle w:val="null3"/>
      </w:pPr>
    </w:p>
    <w:p>
      <w:pPr>
        <w:pStyle w:val="null3"/>
      </w:pPr>
    </w:p>
    <w:p>
      <w:pPr>
        <w:pStyle w:val="null3"/>
      </w:pPr>
      <w:r>
        <w:rPr/>
        <w:t>采购包1：</w:t>
      </w:r>
    </w:p>
    <w:p>
      <w:pPr>
        <w:pStyle w:val="null3"/>
      </w:pPr>
      <w:r>
        <w:rPr/>
        <w:t>一次付清</w:t>
      </w:r>
    </w:p>
    <w:p>
      <w:pPr>
        <w:pStyle w:val="null3"/>
        <w:outlineLvl w:val="3"/>
      </w:pPr>
      <w:r>
        <w:rPr>
          <w:b/>
          <w:sz w:val="24"/>
        </w:rPr>
        <w:t>3.4.4支付约定</w:t>
      </w:r>
    </w:p>
    <w:p>
      <w:pPr>
        <w:pStyle w:val="null3"/>
      </w:pPr>
    </w:p>
    <w:p>
      <w:pPr>
        <w:pStyle w:val="null3"/>
      </w:pPr>
    </w:p>
    <w:p>
      <w:pPr>
        <w:pStyle w:val="null3"/>
      </w:pPr>
    </w:p>
    <w:p>
      <w:pPr>
        <w:pStyle w:val="null3"/>
      </w:pPr>
      <w:r>
        <w:rPr/>
        <w:t>采购包1：</w:t>
      </w:r>
      <w:r>
        <w:rPr/>
        <w:t xml:space="preserve"> 付款条件说明： </w:t>
      </w:r>
      <w:r>
        <w:rPr/>
        <w:t>项目验收合格并出具验收合格报告之日起</w:t>
      </w:r>
      <w:r>
        <w:rPr/>
        <w:t xml:space="preserve"> ，达到付款条件起 </w:t>
      </w:r>
      <w:r>
        <w:rPr/>
        <w:t>30</w:t>
      </w:r>
      <w:r>
        <w:rPr/>
        <w:t xml:space="preserve"> 日内，支付合同总金额的 </w:t>
      </w:r>
      <w:r>
        <w:rPr/>
        <w:t>100.00</w:t>
      </w:r>
      <w:r>
        <w:rPr/>
        <w:t>%。</w:t>
      </w:r>
    </w:p>
    <w:p>
      <w:pPr>
        <w:pStyle w:val="null3"/>
        <w:outlineLvl w:val="3"/>
      </w:pPr>
      <w:r>
        <w:rPr>
          <w:b/>
          <w:sz w:val="24"/>
        </w:rPr>
        <w:t>3.4.5验收标准和方法</w:t>
      </w:r>
    </w:p>
    <w:p>
      <w:pPr>
        <w:pStyle w:val="null3"/>
      </w:pPr>
    </w:p>
    <w:p>
      <w:pPr>
        <w:pStyle w:val="null3"/>
      </w:pPr>
    </w:p>
    <w:p>
      <w:pPr>
        <w:pStyle w:val="null3"/>
      </w:pPr>
    </w:p>
    <w:p>
      <w:pPr>
        <w:pStyle w:val="null3"/>
      </w:pPr>
      <w:r>
        <w:rPr/>
        <w:t>采购包1：</w:t>
      </w:r>
    </w:p>
    <w:p>
      <w:pPr>
        <w:pStyle w:val="null3"/>
      </w:pPr>
      <w:r>
        <w:rPr/>
        <w:t>1、验收标准：依据谈判文件以及经评审后供应商的响应文件中的规格，技术指标响应承诺以及商务等承诺为标准进行验收。货到时，验收检查，如不合格，拒收货物，并要求供货方于 7 日内调换产品，经检验还不合格，取消合同，产生的所有后果由供货方承担。 2、验收方法：成交供应商与采购人应严格按照《财政部关于进一步加强政府采购需求和履约验收管理的指导意见》（财库〔2016〕205号）和《关于沿用＜乐山市政府采购项目需求论证和履约验收管理实施细则＞的通知》（乐市财政采〔2021〕8号）、财政部关于印发《政府采购需求管理办法》的通知（财库〔2021〕22号）等的要求进行验收。</w:t>
      </w:r>
    </w:p>
    <w:p>
      <w:pPr>
        <w:pStyle w:val="null3"/>
        <w:outlineLvl w:val="3"/>
      </w:pPr>
      <w:r>
        <w:rPr>
          <w:b/>
          <w:sz w:val="24"/>
        </w:rPr>
        <w:t>3.4.6包装方式及运输</w:t>
      </w:r>
    </w:p>
    <w:p>
      <w:pPr>
        <w:pStyle w:val="null3"/>
      </w:pPr>
    </w:p>
    <w:p>
      <w:pPr>
        <w:pStyle w:val="null3"/>
      </w:pPr>
    </w:p>
    <w:p>
      <w:pPr>
        <w:pStyle w:val="null3"/>
      </w:pP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b/>
          <w:sz w:val="24"/>
        </w:rPr>
        <w:t>3.4.7质量保修范围和保修期</w:t>
      </w:r>
    </w:p>
    <w:p>
      <w:pPr>
        <w:pStyle w:val="null3"/>
      </w:pPr>
    </w:p>
    <w:p>
      <w:pPr>
        <w:pStyle w:val="null3"/>
      </w:pPr>
    </w:p>
    <w:p>
      <w:pPr>
        <w:pStyle w:val="null3"/>
      </w:pPr>
    </w:p>
    <w:p>
      <w:pPr>
        <w:pStyle w:val="null3"/>
      </w:pPr>
      <w:r>
        <w:rPr/>
        <w:t>采购包1：</w:t>
      </w:r>
    </w:p>
    <w:p>
      <w:pPr>
        <w:pStyle w:val="null3"/>
      </w:pPr>
      <w:r>
        <w:rPr/>
        <w:t>1、质保期（实质性要求）： ①整体项目质保期为三年。 ②质保期内成交供应商应免费负责设备维修及抢修。 2、质量要求（实质性要求） : ①供应商须提供全新的货物(含零部件、配件、使用说明书等)，表面无划伤、无碰撞 痕迹，且权属清楚，不得侵害他人的知识产权。 ②货物必须符合或优于国家标准，以及本项目文件及技术协议的质量要求和技术指标与出厂标准。 ③货物质量出现问题，供应商应负责三包(包修、包换、包退)，费用由供应商负担。 ④具有严格的质量管理制度及保障措施。 ⑤应保证所供货物完全符合行业规定的质量、规格和性能的要求。 ⑥若本项目采购产品涉及3C认证的， 成交供应商应当在签订采购合同后交付货物前向采购人提交相关产品的3C认证证书复印件盖供应商公章。</w:t>
      </w:r>
    </w:p>
    <w:p>
      <w:pPr>
        <w:pStyle w:val="null3"/>
        <w:outlineLvl w:val="3"/>
      </w:pPr>
      <w:r>
        <w:rPr>
          <w:b/>
          <w:sz w:val="24"/>
        </w:rPr>
        <w:t>3.4.8违约责任与解决争议的方法</w:t>
      </w:r>
    </w:p>
    <w:p>
      <w:pPr>
        <w:pStyle w:val="null3"/>
      </w:pPr>
    </w:p>
    <w:p>
      <w:pPr>
        <w:pStyle w:val="null3"/>
      </w:pPr>
    </w:p>
    <w:p>
      <w:pPr>
        <w:pStyle w:val="null3"/>
      </w:pPr>
    </w:p>
    <w:p>
      <w:pPr>
        <w:pStyle w:val="null3"/>
      </w:pPr>
      <w:r>
        <w:rPr/>
        <w:t>采购包1：</w:t>
      </w:r>
    </w:p>
    <w:p>
      <w:pPr>
        <w:pStyle w:val="null3"/>
      </w:pPr>
      <w:r>
        <w:rPr/>
        <w:t>1、违约责任: ①供应商必须遵守采购合同并执行合同中的各项规定，保证采购合同的正常履行。 ②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③有下列情形之一的，当事人可以解除合同： a.因不可抗力致使不能实现合同目的(由于非供应商或采购人原因，致使合同实质性条 款无法实现的)； b.当事人一方迟延履行主要债务，经催告后在合理期限内仍未履行； c.当事人一方迟延履行债务或者有其他违约行为致使不能实现合同目的； d.法律规定的其他情形。 2、解决争议的方法: ①因货物的质量问题发生争议，由采购人或其指定的第三方机构进行质量鉴定。货物符合 标准的，鉴定费由采购人承担；货物不符合质量标准的，鉴定费由中标人承担。 ②合同履行期间，若双方发生争议，可协商或由有关部门调解解决，协商或调解不成的， 向项目所在地人民法院提起诉讼。 ③人民法院判决应为最终决定，并对双方具有约束力。 ④除另有判决外，诉讼费应由败诉方负担。 ⑤在判决期间，除正在进行判决部分外，合同其他部分继续执行</w:t>
      </w:r>
    </w:p>
    <w:p>
      <w:pPr>
        <w:pStyle w:val="null3"/>
        <w:jc w:val="left"/>
        <w:outlineLvl w:val="3"/>
      </w:pPr>
      <w:r>
        <w:rPr>
          <w:b/>
          <w:sz w:val="24"/>
        </w:rPr>
        <w:t>3.5其他要求</w:t>
      </w:r>
    </w:p>
    <w:p>
      <w:pPr>
        <w:pStyle w:val="null3"/>
      </w:pPr>
    </w:p>
    <w:p>
      <w:pPr>
        <w:pStyle w:val="null3"/>
      </w:pPr>
    </w:p>
    <w:p>
      <w:pPr>
        <w:pStyle w:val="null3"/>
      </w:pPr>
      <w:r>
        <w:rPr/>
        <w:t>1、安装调试及验收（实质性要求）: ① 成交供应商负责设备安装、调试、培训。 ②货物到达现场后，成交供应商接到采购人通知后7日内到达现场组织安装、调试，达到正常运行要求，保证采购人正常使用，然后进行项目正式验收。 ③成交供应商应就设备的安装、调试、操作、维修、保养等对采购人维修技术人员进行培训。设备安装调试完毕后，成交供应商应对采购人操作人员进行现场培训，直至采购人的技术人员能独立操作，同时能完成一般常见故障的维修工作。 2、报价要求（实质性要求）: 供应商报价应是包括货物、材料（包含辅助、配套材料）、制造、包装、运输（包含装卸车费、人工运输费）、安装、调试、培训、检测等验收合格交付使用之前及保修服务与备用物件等所有其他有关各项的含税费用。 3、售后服务（实质性要求） : ①供应商应有完善的技术支持与服务体系，专人负责与采购人联系售后服务事宜。 ②质保期内供应商负责所有因货物质量问题而产生的费用，所有服务免费。保修期满前一个月，供应商免费负责一次全面的检查、维护，并出具正式报告，如发现潜在问题，应负责排除不收取任何费用。 ③质保期内，由于产品本身的质量原因造成的损失，由成交供应商无条件赔偿；设备免费维修，不收取任何费用；软件免费升级。质保期满后，需要维修、更换时，成交供应商只收取材料成本费，不收取上门费；为满足学校教学需求，货期较长的需提供替代产品。 ④质保期内出现质量问题，接通知后，成交供应商在接到通知后30分钟内给予明确答复，若现场需要，4小时内到达现场（自然气候原因及不可抗力因素除外），12小时内解决问题，2个工作日故障不能排除应提供同等值的备用设备供采购人使用。 ⑤软件及产品需合法取得，任何涉及知识产权和设备非法获得的纠纷，均由成交供应商承担，与采购人无关。 ⑥为保证售后服务质量、产品系统升级需求，保证所建平台与采购人原有的标准化网上巡查系统对接成功，要求报价供应商提供如下承诺函： a.三年免费升级承诺函； b.承诺与采购人原有的标准化网上巡查系统对接成功的承诺函。 成交后供应商必须按承诺函提供免费升级服务并保证提供的系统与采购人原有的标准化网上巡查系统对接成功，若虚假响应，采购人有权终止合同并要求供应商承担赔偿责任。 4、其他相关事宜（实质性要求） : ①成交供应商在项目履约过程中投入的设备、材料及安装过程中的措施、办法涉及到国家节能、环保方面的政策要求的，按国家节能、环保现行政策要求执行。 ②本项目不允许成交供应商分包履约； ③本项目严禁成交供应商任何形式的转包； ④成交供应商在履约过程中，如若涉及国家相关强制管理制度、许可制度等强制方面的规定及要求的，应当符合其规定及要求。</w:t>
      </w:r>
    </w:p>
    <w:p>
      <w:pPr>
        <w:pStyle w:val="null3"/>
      </w:pPr>
    </w:p>
    <w:p>
      <w:pPr>
        <w:pStyle w:val="null3"/>
      </w:pPr>
      <w:r>
        <w:rPr/>
        <w:t xml:space="preserve"> </w:t>
      </w:r>
    </w:p>
    <w:p>
      <w:pPr>
        <w:pStyle w:val="null3"/>
        <w:outlineLvl w:val="1"/>
      </w:pPr>
      <w:r>
        <w:rPr>
          <w:b/>
          <w:sz w:val="36"/>
        </w:rPr>
        <w:t>第四章 询价方法</w:t>
      </w:r>
    </w:p>
    <w:p>
      <w:pPr>
        <w:pStyle w:val="null3"/>
        <w:outlineLvl w:val="2"/>
      </w:pPr>
      <w:r>
        <w:rPr>
          <w:b/>
          <w:sz w:val="28"/>
        </w:rPr>
        <w:t>4.1总则</w:t>
      </w:r>
    </w:p>
    <w:p>
      <w:pPr>
        <w:pStyle w:val="null3"/>
        <w:ind w:firstLine="480"/>
      </w:pPr>
      <w:r>
        <w:rPr/>
        <w:t xml:space="preserve"> 一、根据《中华人民共和国政府采购法》《中华人民共和国政府采购法实施条例》《政府采购非招标采购方式管理办法》《四川省政府采购评审工作规程（修订）》等法律规章，结合采购项目特点制定本办法。</w:t>
      </w:r>
    </w:p>
    <w:p>
      <w:pPr>
        <w:pStyle w:val="null3"/>
        <w:ind w:firstLine="480"/>
      </w:pPr>
      <w:r>
        <w:rPr/>
        <w:t xml:space="preserve"> 二、评审工作由代理机构负责组织，具体评审事务由采购人和代理机构依法组建的询价小组负责。询价小组由采购人代表和评审专家组成。</w:t>
      </w:r>
    </w:p>
    <w:p>
      <w:pPr>
        <w:pStyle w:val="null3"/>
        <w:ind w:firstLine="480"/>
      </w:pPr>
      <w:r>
        <w:rPr/>
        <w:t>三、评审工作应遵循公平、公正、科学及择优的原则，并以相同的评审程序和标准对待所有的供应商。</w:t>
      </w:r>
    </w:p>
    <w:p>
      <w:pPr>
        <w:pStyle w:val="null3"/>
        <w:ind w:firstLine="480"/>
      </w:pPr>
      <w:r>
        <w:rPr/>
        <w:t xml:space="preserve"> 四、本项目采取电子评审，通过项目电子化交易系统完成评审工作。询价小组成员和供应商应当按照本采购文件规定和项目电子化交易系统操作要求开展或者参加评审活动。</w:t>
      </w:r>
    </w:p>
    <w:p>
      <w:pPr>
        <w:pStyle w:val="null3"/>
        <w:ind w:firstLine="480"/>
      </w:pPr>
      <w:r>
        <w:rPr/>
        <w:t xml:space="preserve"> 五、评审过程中的书面材料往来均通过项目电子化交易系统传递，供应商通过互认的证书及签章加盖其电子印章后生效。出现无法在线签章的特殊情况，询价小组成员可以线下签署协商报告，由代理机构对原件扫描后以附件形式上传。</w:t>
      </w:r>
    </w:p>
    <w:p>
      <w:pPr>
        <w:pStyle w:val="null3"/>
        <w:ind w:firstLine="480"/>
      </w:pPr>
      <w:r>
        <w:rPr/>
        <w:t>六、询价小组按照询价通知书规定的询价采购活动程序进行评审，并在采购活动中应当履行下列职责：</w:t>
      </w:r>
    </w:p>
    <w:p>
      <w:pPr>
        <w:pStyle w:val="null3"/>
        <w:ind w:firstLine="480"/>
      </w:pPr>
      <w:r>
        <w:rPr/>
        <w:t>（一）熟悉和理解询价通知书；</w:t>
      </w:r>
    </w:p>
    <w:p>
      <w:pPr>
        <w:pStyle w:val="null3"/>
        <w:ind w:firstLine="480"/>
      </w:pPr>
      <w:r>
        <w:rPr/>
        <w:t>（二）审查供应商响应文件等是否满足询价通知书要求，并作出评价；</w:t>
      </w:r>
    </w:p>
    <w:p>
      <w:pPr>
        <w:pStyle w:val="null3"/>
        <w:ind w:firstLine="480"/>
      </w:pPr>
      <w:r>
        <w:rPr/>
        <w:t xml:space="preserve"> （三）根据需要要求采购组织单位对询价通知书作出解释；根据需要要求供应商对响应文件有关事项作出澄清、说明或者更正；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ind w:firstLine="480"/>
      </w:pPr>
      <w:r>
        <w:rPr/>
        <w:t>七、评审过程独立、保密。供应商非法干预评审过程的行为将导致其响应文件作为无效处理。</w:t>
      </w:r>
    </w:p>
    <w:p>
      <w:pPr>
        <w:pStyle w:val="null3"/>
        <w:ind w:firstLine="480"/>
      </w:pPr>
      <w:r>
        <w:rPr/>
        <w:t xml:space="preserve"> 八、询价小组决定响应文件的响应性依据响应文件本身的内容，而不寻求外部的证据，询价通知书有明确约定的除外。</w:t>
      </w:r>
    </w:p>
    <w:p>
      <w:pPr>
        <w:pStyle w:val="null3"/>
        <w:ind w:firstLine="480"/>
      </w:pPr>
      <w:r>
        <w:rPr/>
        <w:t>九、询价小组发现询价通知书表述不明确或需要说明的事项，可提请采购人和代理机构书面解释说明。</w:t>
      </w:r>
    </w:p>
    <w:p>
      <w:pPr>
        <w:pStyle w:val="null3"/>
        <w:outlineLvl w:val="2"/>
      </w:pPr>
      <w:r>
        <w:rPr>
          <w:b/>
          <w:sz w:val="28"/>
        </w:rPr>
        <w:t>4.2询价小组组建</w:t>
      </w:r>
    </w:p>
    <w:p>
      <w:pPr>
        <w:pStyle w:val="null3"/>
        <w:ind w:firstLine="480"/>
      </w:pPr>
      <w:r>
        <w:rPr/>
        <w:t xml:space="preserve"> 本项目询价小组成员人数应为三人以上单数，其中评审专家不得少于成员总数的三分之二。采购预算金额达到公开招标数额标准的货物和服务采购项目，或者达到招标规模标准的政府采购工程，询价小组成员人数应为五人以上单数。评审专家是采取随机方式在采购一体化平台的专家库系统（以下简称专家库系统）抽取。技术复杂、专业性较强的采购项目，评审专家中应当包含1名法律专家。</w:t>
      </w:r>
    </w:p>
    <w:p>
      <w:pPr>
        <w:pStyle w:val="null3"/>
        <w:outlineLvl w:val="2"/>
      </w:pPr>
      <w:r>
        <w:rPr>
          <w:b/>
          <w:sz w:val="28"/>
        </w:rPr>
        <w:t>4.3评审程序</w:t>
      </w:r>
    </w:p>
    <w:p>
      <w:pPr>
        <w:pStyle w:val="null3"/>
        <w:ind w:firstLine="480"/>
      </w:pPr>
      <w:r>
        <w:rPr/>
        <w:t>（一）熟悉和理解询价通知书和停止评审。</w:t>
      </w:r>
    </w:p>
    <w:p>
      <w:pPr>
        <w:pStyle w:val="null3"/>
        <w:ind w:firstLine="480"/>
      </w:pPr>
      <w:r>
        <w:rPr/>
        <w:t xml:space="preserve"> 1.询价小组正式评审前，应当对询价通知书进行熟悉和理解，内容主要包括询价通知书中供应商的采购项目技术、服务和商务要求、评审方法和标准以及可能涉及签订政府采购合同的内容等。</w:t>
      </w:r>
    </w:p>
    <w:p>
      <w:pPr>
        <w:pStyle w:val="null3"/>
        <w:ind w:firstLine="480"/>
      </w:pPr>
      <w:r>
        <w:rPr/>
        <w:t xml:space="preserve"> 2.询价小组熟悉和理解询价通知书以及评审过程中，发现本询价通知书有下列情形之一的，询价小组应当停止评审：</w:t>
      </w:r>
    </w:p>
    <w:p>
      <w:pPr>
        <w:pStyle w:val="null3"/>
        <w:ind w:firstLine="480"/>
      </w:pPr>
      <w:r>
        <w:rPr/>
        <w:t>（一）询价通知书的规定存在歧义、重大缺陷的；</w:t>
      </w:r>
    </w:p>
    <w:p>
      <w:pPr>
        <w:pStyle w:val="null3"/>
        <w:ind w:firstLine="480"/>
      </w:pPr>
      <w:r>
        <w:rPr/>
        <w:t>（二）询价通知书明显以不合理条件对供应商实行差别待遇或者歧视待遇的；</w:t>
      </w:r>
    </w:p>
    <w:p>
      <w:pPr>
        <w:pStyle w:val="null3"/>
        <w:ind w:firstLine="480"/>
      </w:pPr>
      <w:r>
        <w:rPr/>
        <w:t>（三）采购项目属于国家规定的优先、强制采购范围，但是询价通知书未依法体现优先、强制采购相关规定的；</w:t>
      </w:r>
    </w:p>
    <w:p>
      <w:pPr>
        <w:pStyle w:val="null3"/>
        <w:ind w:firstLine="480"/>
      </w:pPr>
      <w:r>
        <w:rPr/>
        <w:t xml:space="preserve"> （四）采购项目属于政府采购促进中小企业发展的范围，但是询价通知书未依法体现促进中小企业发展相关规定的；</w:t>
      </w:r>
    </w:p>
    <w:p>
      <w:pPr>
        <w:pStyle w:val="null3"/>
        <w:ind w:firstLine="480"/>
      </w:pPr>
      <w:r>
        <w:rPr/>
        <w:t>（五）询价通知书将供应商的资格条件列为评分因素的；</w:t>
      </w:r>
    </w:p>
    <w:p>
      <w:pPr>
        <w:pStyle w:val="null3"/>
        <w:ind w:firstLine="480"/>
      </w:pPr>
      <w:r>
        <w:rPr/>
        <w:t>（六）询价通知书载明的成交原则不合法的；</w:t>
      </w:r>
    </w:p>
    <w:p>
      <w:pPr>
        <w:pStyle w:val="null3"/>
        <w:ind w:firstLine="480"/>
      </w:pPr>
      <w:r>
        <w:rPr/>
        <w:t>（七）询价通知书有违反国家其他有关强制性规定的情形。</w:t>
      </w:r>
    </w:p>
    <w:p>
      <w:pPr>
        <w:pStyle w:val="null3"/>
        <w:ind w:firstLine="480"/>
        <w:jc w:val="left"/>
      </w:pPr>
      <w:r>
        <w:rPr/>
        <w:t xml:space="preserve"> 出现上述应当停止评审情形的，询价小组应当通过项目电子化交易系统向采购组织单位提交相关说明材料，说明停止评审的情形和具体理由。除上述情形外，询价小组不得以任何方式和理由停止评审。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四川政府采购网公告。采购组织单位认为询价小组不应当停止评审的，可以通过项目电子化交易系统书面报告采购项目同级财政部门依法处理，并提供相关证明材料。</w:t>
      </w:r>
    </w:p>
    <w:p>
      <w:pPr>
        <w:pStyle w:val="null3"/>
        <w:outlineLvl w:val="3"/>
      </w:pPr>
      <w:r>
        <w:rPr>
          <w:b/>
          <w:sz w:val="24"/>
        </w:rPr>
        <w:t>4.3.1资格审查</w:t>
      </w:r>
    </w:p>
    <w:p>
      <w:pPr>
        <w:pStyle w:val="null3"/>
      </w:pPr>
    </w:p>
    <w:p>
      <w:pPr>
        <w:pStyle w:val="null3"/>
      </w:pPr>
    </w:p>
    <w:p>
      <w:pPr>
        <w:pStyle w:val="null3"/>
        <w:ind w:firstLine="480"/>
      </w:pPr>
      <w:r>
        <w:rPr/>
        <w:t xml:space="preserve"> 响应文件提交截止时间结束后，由询价小组依据法律法规和询价通知书的规定，对响应文件中的资格证明等进行审查，以确定被邀请参加询价采购活动的供应商名单并出具资格审查报告。</w:t>
      </w:r>
    </w:p>
    <w:p>
      <w:pPr>
        <w:pStyle w:val="null3"/>
        <w:outlineLvl w:val="3"/>
      </w:pPr>
      <w:r>
        <w:rPr>
          <w:b/>
          <w:sz w:val="24"/>
        </w:rPr>
        <w:t>4.3.1.1一般资格审查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具有独立承担民事责任的能力。</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响应文件封面 投标（响应）函</w:t>
            </w:r>
          </w:p>
        </w:tc>
      </w:tr>
      <w:tr>
        <w:tc>
          <w:tcPr>
            <w:tcW w:type="dxa" w:w="831"/>
          </w:tcPr>
          <w:p>
            <w:pPr>
              <w:pStyle w:val="null3"/>
            </w:pPr>
            <w:r>
              <w:rPr/>
              <w:t>2</w:t>
            </w:r>
          </w:p>
        </w:tc>
        <w:tc>
          <w:tcPr>
            <w:tcW w:type="dxa" w:w="2492"/>
          </w:tcPr>
          <w:p>
            <w:pPr>
              <w:pStyle w:val="null3"/>
            </w:pPr>
            <w:r>
              <w:rPr/>
              <w:t>具有良好的商业信誉</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3</w:t>
            </w:r>
          </w:p>
        </w:tc>
        <w:tc>
          <w:tcPr>
            <w:tcW w:type="dxa" w:w="2492"/>
          </w:tcPr>
          <w:p>
            <w:pPr>
              <w:pStyle w:val="null3"/>
            </w:pPr>
            <w:r>
              <w:rPr/>
              <w:t>具有健全的财务会计制度。</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供应商应提交的相关资格证明材料 投标（响应）函</w:t>
            </w:r>
          </w:p>
        </w:tc>
      </w:tr>
      <w:tr>
        <w:tc>
          <w:tcPr>
            <w:tcW w:type="dxa" w:w="831"/>
          </w:tcPr>
          <w:p>
            <w:pPr>
              <w:pStyle w:val="null3"/>
            </w:pPr>
            <w:r>
              <w:rPr/>
              <w:t>4</w:t>
            </w:r>
          </w:p>
        </w:tc>
        <w:tc>
          <w:tcPr>
            <w:tcW w:type="dxa" w:w="2492"/>
          </w:tcPr>
          <w:p>
            <w:pPr>
              <w:pStyle w:val="null3"/>
            </w:pPr>
            <w:r>
              <w:rPr/>
              <w:t>具有履行合同所必需的设备和专业技术能力。</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供应商应提交的相关资格证明材料 投标（响应）函</w:t>
            </w:r>
          </w:p>
        </w:tc>
      </w:tr>
      <w:tr>
        <w:tc>
          <w:tcPr>
            <w:tcW w:type="dxa" w:w="831"/>
          </w:tcPr>
          <w:p>
            <w:pPr>
              <w:pStyle w:val="null3"/>
            </w:pPr>
            <w:r>
              <w:rPr/>
              <w:t>5</w:t>
            </w:r>
          </w:p>
        </w:tc>
        <w:tc>
          <w:tcPr>
            <w:tcW w:type="dxa" w:w="2492"/>
          </w:tcPr>
          <w:p>
            <w:pPr>
              <w:pStyle w:val="null3"/>
            </w:pPr>
            <w:r>
              <w:rPr/>
              <w:t>有依法缴纳税收和社会保障资金的良好记录。</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6</w:t>
            </w:r>
          </w:p>
        </w:tc>
        <w:tc>
          <w:tcPr>
            <w:tcW w:type="dxa" w:w="2492"/>
          </w:tcPr>
          <w:p>
            <w:pPr>
              <w:pStyle w:val="null3"/>
            </w:pPr>
            <w:r>
              <w:rPr/>
              <w:t>参加政府采购活动前三年内，在经营活动中没有重大违法记录。</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7</w:t>
            </w:r>
          </w:p>
        </w:tc>
        <w:tc>
          <w:tcPr>
            <w:tcW w:type="dxa" w:w="2492"/>
          </w:tcPr>
          <w:p>
            <w:pPr>
              <w:pStyle w:val="null3"/>
            </w:pPr>
            <w:r>
              <w:rPr/>
              <w:t>不存在与单位负责人为同一人或者存在直接控股、管理关系的其他供应商参与同一合同项下的政府采购活动的行为。</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8</w:t>
            </w:r>
          </w:p>
        </w:tc>
        <w:tc>
          <w:tcPr>
            <w:tcW w:type="dxa" w:w="2492"/>
          </w:tcPr>
          <w:p>
            <w:pPr>
              <w:pStyle w:val="null3"/>
            </w:pPr>
            <w:r>
              <w:rPr/>
              <w:t>不属于为本项目提供整体设计、规范编制或者项目管理、监理、检测等服务的供应商。</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bl>
    <w:p>
      <w:pPr>
        <w:pStyle w:val="null3"/>
        <w:outlineLvl w:val="3"/>
      </w:pPr>
      <w:r>
        <w:rPr>
          <w:b/>
          <w:sz w:val="24"/>
        </w:rPr>
        <w:t>4.3.1.2特殊资格审查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outlineLvl w:val="3"/>
      </w:pPr>
      <w:r>
        <w:rPr>
          <w:b/>
          <w:sz w:val="24"/>
        </w:rPr>
        <w:t>4.3.1.3落实政府采购政策资格审查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outlineLvl w:val="3"/>
      </w:pPr>
      <w:r>
        <w:rPr>
          <w:b/>
          <w:sz w:val="24"/>
        </w:rPr>
        <w:t>4.3.2符合性审查</w:t>
      </w:r>
    </w:p>
    <w:p>
      <w:pPr>
        <w:pStyle w:val="null3"/>
        <w:ind w:firstLine="480"/>
      </w:pPr>
      <w:r>
        <w:rPr/>
        <w:t xml:space="preserve"> 询价小组依据本询价通知书的实质性要求，对符合资格的询价通知书进行审查，以确定其是否满足本询价通知书的实质性要求。本项目符合性审查事项，必须以本询价通知书的明确规定的实质性要求作为依据。在符合性审查过程中，如果出现询价小组成员意见不一致的情况，按照少数服从多数的原则作出结论，但不得违背政府采购基本原则和询价通知书规定。</w:t>
      </w:r>
    </w:p>
    <w:p>
      <w:pPr>
        <w:pStyle w:val="null3"/>
        <w:ind w:firstLine="480"/>
      </w:pPr>
      <w:r>
        <w:rPr/>
        <w:t>符合性审查标准见下表（按以下顺序审查）：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审过程中，询价小组认为供应商报价明显低于其他通过符合性审查供应商的报价，有可能影响产品质量或者不能诚信履约的，询价小组应当要求其在合理的时间内通过项目电子化交易系统进行书面说明，必要时提交相关证明材料。供应商提交的书面说明，应当加盖供应商公章，在询价小组要求的时间内通过项目电子化交易系统进行提交，否则视为不能证明其响应报价合理性。供应商不能证明其响应报价合理性的，询价小组应当将其响应文件作为无效处理。（注：供应商报价低于最高限价50%或者低于其他有效供应商报价算术平均价40%的，询价小组可以认为该供应商“报价明显低于其他实质性响应的供应商报价”。）</w:t>
            </w:r>
          </w:p>
        </w:tc>
        <w:tc>
          <w:tcPr>
            <w:tcW w:type="dxa" w:w="1661"/>
          </w:tcPr>
          <w:p>
            <w:pPr>
              <w:pStyle w:val="null3"/>
            </w:pPr>
            <w:r>
              <w:rPr/>
              <w:t>分项报价表 分项报价明细表 报价表</w:t>
            </w:r>
          </w:p>
        </w:tc>
      </w:tr>
      <w:tr>
        <w:tc>
          <w:tcPr>
            <w:tcW w:type="dxa" w:w="831"/>
          </w:tcPr>
          <w:p>
            <w:pPr>
              <w:pStyle w:val="null3"/>
            </w:pPr>
            <w:r>
              <w:rPr/>
              <w:t>2</w:t>
            </w:r>
          </w:p>
        </w:tc>
        <w:tc>
          <w:tcPr>
            <w:tcW w:type="dxa" w:w="2492"/>
          </w:tcPr>
          <w:p>
            <w:pPr>
              <w:pStyle w:val="null3"/>
            </w:pPr>
            <w:r>
              <w:rPr/>
              <w:t>技术参数及要求响应</w:t>
            </w:r>
          </w:p>
        </w:tc>
        <w:tc>
          <w:tcPr>
            <w:tcW w:type="dxa" w:w="3322"/>
          </w:tcPr>
          <w:p>
            <w:pPr>
              <w:pStyle w:val="null3"/>
            </w:pPr>
            <w:r>
              <w:rPr/>
              <w:t>1、投标人须对招标文件第三章“3.3技术要求”的全部内容按顺序对应列入此表进行应答。 2、标注有“★”或“实质性要求”的条款为本项目实质性要求，不满足或有负偏离的作无效处理；3、招标文件要求提供证明材料的，可作为应答表附件附后；4、若无法列入此表的，由投标人自拟格式响应。 5、投标文件及相关的证明材料须加盖供应商电子印章。</w:t>
            </w:r>
          </w:p>
        </w:tc>
        <w:tc>
          <w:tcPr>
            <w:tcW w:type="dxa" w:w="1661"/>
          </w:tcPr>
          <w:p>
            <w:pPr>
              <w:pStyle w:val="null3"/>
            </w:pPr>
            <w:r>
              <w:rPr/>
              <w:t>产品技术参数响应表</w:t>
            </w:r>
          </w:p>
        </w:tc>
      </w:tr>
      <w:tr>
        <w:tc>
          <w:tcPr>
            <w:tcW w:type="dxa" w:w="831"/>
          </w:tcPr>
          <w:p>
            <w:pPr>
              <w:pStyle w:val="null3"/>
            </w:pPr>
            <w:r>
              <w:rPr/>
              <w:t>3</w:t>
            </w:r>
          </w:p>
        </w:tc>
        <w:tc>
          <w:tcPr>
            <w:tcW w:type="dxa" w:w="2492"/>
          </w:tcPr>
          <w:p>
            <w:pPr>
              <w:pStyle w:val="null3"/>
            </w:pPr>
            <w:r>
              <w:rPr/>
              <w:t>商务要求响应</w:t>
            </w:r>
          </w:p>
        </w:tc>
        <w:tc>
          <w:tcPr>
            <w:tcW w:type="dxa" w:w="3322"/>
          </w:tcPr>
          <w:p>
            <w:pPr>
              <w:pStyle w:val="null3"/>
            </w:pPr>
            <w:r>
              <w:rPr/>
              <w:t>1、投标人须对招标文件第三章“3.4商务要求”及“3.5其他要求”的全部内容逐条进行响应。标注有“实质性要求”的内容为招标文件实质性要求，不满足或有负偏离的作无效处理，招标文件要求提供证明材料的，可作为应答表附件附后。 2、若无法列入此表的，由投标人自拟格式响应。 3、投标文件及相关的证明材料须加盖供应商电子印章。</w:t>
            </w:r>
          </w:p>
        </w:tc>
        <w:tc>
          <w:tcPr>
            <w:tcW w:type="dxa" w:w="1661"/>
          </w:tcPr>
          <w:p>
            <w:pPr>
              <w:pStyle w:val="null3"/>
            </w:pPr>
            <w:r>
              <w:rPr/>
              <w:t>商务应答表</w:t>
            </w:r>
          </w:p>
        </w:tc>
      </w:tr>
      <w:tr>
        <w:tc>
          <w:tcPr>
            <w:tcW w:type="dxa" w:w="831"/>
          </w:tcPr>
          <w:p>
            <w:pPr>
              <w:pStyle w:val="null3"/>
            </w:pPr>
            <w:r>
              <w:rPr/>
              <w:t>4</w:t>
            </w:r>
          </w:p>
        </w:tc>
        <w:tc>
          <w:tcPr>
            <w:tcW w:type="dxa" w:w="2492"/>
          </w:tcPr>
          <w:p>
            <w:pPr>
              <w:pStyle w:val="null3"/>
            </w:pPr>
            <w:r>
              <w:rPr/>
              <w:t>对其他实质性要求响应的审查</w:t>
            </w:r>
          </w:p>
        </w:tc>
        <w:tc>
          <w:tcPr>
            <w:tcW w:type="dxa" w:w="3322"/>
          </w:tcPr>
          <w:p>
            <w:pPr>
              <w:pStyle w:val="null3"/>
            </w:pPr>
            <w:r>
              <w:rPr/>
              <w:t>响应文件有下列情形之一的，询价小组应当对其响应文件按无效处理： 1、响应文件编制、签署、盖章、语言、计量单位、报价货币、知识产权、报价有效期等不符合采购文件规定影响询价小组评判的； 2、报价实质性漏项、数量有错或者报价组成不符合项目要求的； 3、未响应采购文件其他实质性要求的；</w:t>
            </w:r>
          </w:p>
        </w:tc>
        <w:tc>
          <w:tcPr>
            <w:tcW w:type="dxa" w:w="1661"/>
          </w:tcPr>
          <w:p>
            <w:pPr>
              <w:pStyle w:val="null3"/>
            </w:pPr>
            <w:r>
              <w:rPr/>
              <w:t>分项报价表 产品技术参数响应表 商务应答表 报价表 分项报价明细表 投标（响应）函</w:t>
            </w:r>
          </w:p>
        </w:tc>
      </w:tr>
      <w:tr>
        <w:tc>
          <w:tcPr>
            <w:tcW w:type="dxa" w:w="831"/>
          </w:tcPr>
          <w:p>
            <w:pPr>
              <w:pStyle w:val="null3"/>
            </w:pPr>
            <w:r>
              <w:rPr/>
              <w:t>5</w:t>
            </w:r>
          </w:p>
        </w:tc>
        <w:tc>
          <w:tcPr>
            <w:tcW w:type="dxa" w:w="2492"/>
          </w:tcPr>
          <w:p>
            <w:pPr>
              <w:pStyle w:val="null3"/>
            </w:pPr>
            <w:r>
              <w:rPr/>
              <w:t>强制、优先采购环境标志产品要求</w:t>
            </w:r>
          </w:p>
        </w:tc>
        <w:tc>
          <w:tcPr>
            <w:tcW w:type="dxa" w:w="3322"/>
          </w:tcPr>
          <w:p>
            <w:pPr>
              <w:pStyle w:val="null3"/>
            </w:pPr>
            <w:r>
              <w:rPr/>
              <w:t>按询价通知书第二章、第三章要求响应，投标文件及相关的证明材料须加盖供应商电子印章。</w:t>
            </w:r>
          </w:p>
        </w:tc>
        <w:tc>
          <w:tcPr>
            <w:tcW w:type="dxa" w:w="1661"/>
          </w:tcPr>
          <w:p>
            <w:pPr>
              <w:pStyle w:val="null3"/>
            </w:pPr>
            <w:r>
              <w:rPr/>
              <w:t>强制、优先采购产品承诺函 供应商提交的节能、环保证明材料</w:t>
            </w:r>
          </w:p>
        </w:tc>
      </w:tr>
    </w:tbl>
    <w:p>
      <w:pPr>
        <w:pStyle w:val="null3"/>
        <w:outlineLvl w:val="3"/>
      </w:pPr>
      <w:r>
        <w:rPr>
          <w:b/>
          <w:sz w:val="24"/>
        </w:rPr>
        <w:t>4.3.3价格扣除</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20.00%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20%的扣除，用扣除后的价格参加评审。承接本项目的供应商符合相应条件时，给予20%的价格扣除，即：评标价=最后报价×（1-20%）;监狱企业与残疾人福利性单位视同小型、微型企业，享受同等价格扣除，当企业属性重复时，不重复价格扣除</w:t>
            </w:r>
          </w:p>
        </w:tc>
        <w:tc>
          <w:tcPr>
            <w:tcW w:type="dxa" w:w="1661"/>
          </w:tcPr>
          <w:p>
            <w:pPr>
              <w:pStyle w:val="null3"/>
            </w:pPr>
            <w:r>
              <w:rPr/>
              <w:t>分项报价表 中小企业声明函 残疾人福利性单位声明函 报价表 监狱企业的证明文件</w:t>
            </w:r>
          </w:p>
        </w:tc>
      </w:tr>
    </w:tbl>
    <w:p>
      <w:pPr>
        <w:pStyle w:val="null3"/>
        <w:outlineLvl w:val="3"/>
      </w:pPr>
      <w:r>
        <w:rPr>
          <w:b/>
          <w:sz w:val="24"/>
        </w:rPr>
        <w:t>4.3.4解释、澄清、说明的有关问题</w:t>
      </w:r>
    </w:p>
    <w:p>
      <w:pPr>
        <w:pStyle w:val="null3"/>
        <w:ind w:firstLine="480"/>
      </w:pPr>
      <w:r>
        <w:rPr/>
        <w:t xml:space="preserve"> 一、评审过程中，询价小组认为询价通知书有关事项表述不明确或需要说明的，可以提请代理机构书面解释。代理机构的解释不得改变询价通知书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询价小组应当要求供应商作出必要的澄清、说明或更正，并给予供应商必要的反馈时间。供应商应当按询价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询价通知书变为响应询价通知书的条件。下列内容不得澄清：</w:t>
      </w:r>
    </w:p>
    <w:p>
      <w:pPr>
        <w:pStyle w:val="null3"/>
        <w:ind w:firstLine="480"/>
      </w:pPr>
      <w:r>
        <w:rPr/>
        <w:t>（一）供应商响应文件中不响应询价通知书规定的技术参数指标和商务应答；</w:t>
      </w:r>
    </w:p>
    <w:p>
      <w:pPr>
        <w:pStyle w:val="null3"/>
        <w:ind w:firstLine="480"/>
      </w:pPr>
      <w:r>
        <w:rPr/>
        <w:t>（二）供应商响应文件中未提供的证明其是否符合询价通知书资格、符合性规定要求的相关材料。</w:t>
      </w:r>
    </w:p>
    <w:p>
      <w:pPr>
        <w:pStyle w:val="null3"/>
        <w:ind w:firstLine="480"/>
      </w:pPr>
      <w:r>
        <w:rPr/>
        <w:t>（三）供应商响应文件中的材料因印刷、影印等不清晰而难以辨认的。</w:t>
      </w:r>
    </w:p>
    <w:p>
      <w:pPr>
        <w:pStyle w:val="null3"/>
        <w:ind w:firstLine="480"/>
      </w:pPr>
      <w:r>
        <w:rPr/>
        <w:t>四、报价出现下列情况的，按以下原则处理：</w:t>
      </w:r>
    </w:p>
    <w:p>
      <w:pPr>
        <w:pStyle w:val="null3"/>
        <w:ind w:firstLine="480"/>
      </w:pPr>
      <w:r>
        <w:rPr/>
        <w:t>（一）大写金额和小写金额不一致的，以大写金额为准，但大写金额出现文字错误，导致金额无法判断的除外；</w:t>
      </w:r>
    </w:p>
    <w:p>
      <w:pPr>
        <w:pStyle w:val="null3"/>
        <w:ind w:firstLine="480"/>
      </w:pPr>
      <w:r>
        <w:rPr/>
        <w:t>（二）单价金额小数点或者百分比有明显错位的，以开启一览表总价为准，并修改单价；</w:t>
      </w:r>
    </w:p>
    <w:p>
      <w:pPr>
        <w:pStyle w:val="null3"/>
        <w:ind w:firstLine="480"/>
      </w:pPr>
      <w:r>
        <w:rPr/>
        <w:t>（三）总价金额与按单价汇总金额不一致的，以单价金额计算结果为准。</w:t>
      </w:r>
    </w:p>
    <w:p>
      <w:pPr>
        <w:pStyle w:val="null3"/>
        <w:ind w:firstLine="480"/>
      </w:pPr>
      <w:r>
        <w:rPr/>
        <w:t xml:space="preserve"> 同时出现两种以上不一致的，按照前款规定的顺序修正。修正后的报价经供应商确认后产生约束力，供应商不确认的，其响应无效。</w:t>
      </w:r>
    </w:p>
    <w:p>
      <w:pPr>
        <w:pStyle w:val="null3"/>
        <w:ind w:firstLine="480"/>
      </w:pPr>
      <w:r>
        <w:rPr/>
        <w:t xml:space="preserve"> 五、代理机构宣布评审结束前，供应商应通过项目电子化交易系统随时关注评审消息提示，及时响应询价小组发出的澄清、说明或更正要求。供应商未能及时响应的，自行承担不利后果。</w:t>
      </w:r>
    </w:p>
    <w:p>
      <w:pPr>
        <w:pStyle w:val="null3"/>
        <w:ind w:firstLine="480"/>
      </w:pPr>
      <w:r>
        <w:rPr/>
        <w:t>六、询价小组应当积极履行澄清、说明或者更正的职责，不得滥用权力。</w:t>
      </w:r>
    </w:p>
    <w:p>
      <w:pPr>
        <w:pStyle w:val="null3"/>
        <w:outlineLvl w:val="3"/>
      </w:pPr>
      <w:r>
        <w:rPr>
          <w:b/>
          <w:sz w:val="24"/>
        </w:rPr>
        <w:t>4.3.5复核</w:t>
      </w:r>
    </w:p>
    <w:p>
      <w:pPr>
        <w:pStyle w:val="null3"/>
        <w:ind w:firstLine="480"/>
      </w:pPr>
      <w:r>
        <w:rPr/>
        <w:t xml:space="preserve"> 一、评审结束后，询价小组应当进行复核，特别要对拟推荐为成交候选供应商的、报价最低的、响应文件被认定为无效的进行重点复核。</w:t>
      </w:r>
    </w:p>
    <w:p>
      <w:pPr>
        <w:pStyle w:val="null3"/>
        <w:ind w:firstLine="480"/>
      </w:pPr>
      <w:r>
        <w:rPr/>
        <w:t xml:space="preserve"> 二、评审结果汇总完成后，询价小组拟出具评审报告前，代理机构应当组织2名以上的工作人员，在采购现场监督人员的监督之下，依据有关的法律制度和询价通知书对评审结果进行复核，出具复核报告。代理机构复核过程中，询价小组成员不得离开评审现场。</w:t>
      </w:r>
    </w:p>
    <w:p>
      <w:pPr>
        <w:pStyle w:val="null3"/>
        <w:ind w:firstLine="480"/>
      </w:pPr>
      <w:r>
        <w:rPr/>
        <w:t xml:space="preserve"> 三、除资格审查认定错误和价格计算错误外，采购人或者采购代理机构不得以任何理由组织重新评审。采购人、采购代理机构发现询价小组未按照询价通知书规定的评审标准进行评审的，应当重新开展采购活动，并同时书面报告本级财政部门。</w:t>
      </w:r>
    </w:p>
    <w:p>
      <w:pPr>
        <w:pStyle w:val="null3"/>
        <w:outlineLvl w:val="3"/>
      </w:pPr>
      <w:r>
        <w:rPr>
          <w:b/>
          <w:sz w:val="24"/>
        </w:rPr>
        <w:t>4.3.6推荐成交候选供应商</w:t>
      </w:r>
    </w:p>
    <w:p>
      <w:pPr>
        <w:pStyle w:val="null3"/>
      </w:pPr>
    </w:p>
    <w:p>
      <w:pPr>
        <w:pStyle w:val="null3"/>
      </w:pPr>
    </w:p>
    <w:p>
      <w:pPr>
        <w:pStyle w:val="null3"/>
      </w:pPr>
      <w:r>
        <w:rPr/>
        <w:t>采购包1：</w:t>
      </w:r>
      <w:r>
        <w:rPr/>
        <w:t>确定3家供应商为成交候选人。</w:t>
      </w:r>
    </w:p>
    <w:p>
      <w:pPr>
        <w:pStyle w:val="null3"/>
        <w:ind w:firstLine="480"/>
        <w:jc w:val="left"/>
      </w:pPr>
      <w:r>
        <w:rPr/>
        <w:t xml:space="preserve"> “本项目”询价小组应当按经评审的报价由低到高排序，推荐成交候选供应商，并编写询价报告。报价相同的，按供应商提供的优先采购产品认证有效证书数量由多到少顺序推荐。报价且提供的优先采购产品认证有效证书数量相同的，成交候选供应商并列。</w:t>
      </w:r>
    </w:p>
    <w:p>
      <w:pPr>
        <w:pStyle w:val="null3"/>
        <w:ind w:firstLine="480"/>
        <w:jc w:val="left"/>
      </w:pPr>
      <w:r>
        <w:rPr/>
        <w:t>经评审的报价是指对供应商报价完成价格修正和落实政府采购政策进行的价格扣除后的报价。</w:t>
      </w:r>
    </w:p>
    <w:p>
      <w:pPr>
        <w:pStyle w:val="null3"/>
        <w:outlineLvl w:val="3"/>
      </w:pPr>
      <w:r>
        <w:rPr>
          <w:b/>
          <w:sz w:val="24"/>
        </w:rPr>
        <w:t>4.3.7编写询价报告</w:t>
      </w:r>
    </w:p>
    <w:p>
      <w:pPr>
        <w:pStyle w:val="null3"/>
        <w:ind w:firstLine="480"/>
      </w:pPr>
      <w:r>
        <w:rPr/>
        <w:t>询价小组项目在电子化交易系统中编制评审情况，生成询价报告。</w:t>
      </w:r>
    </w:p>
    <w:p>
      <w:pPr>
        <w:pStyle w:val="null3"/>
        <w:ind w:firstLine="480"/>
      </w:pPr>
      <w:r>
        <w:rPr/>
        <w:t>询价报告是询价小组根据全体成员签字的原始评审记录和评审结果编写的报告，其主要内容包括：</w:t>
      </w:r>
    </w:p>
    <w:p>
      <w:pPr>
        <w:pStyle w:val="null3"/>
        <w:ind w:firstLine="480"/>
      </w:pPr>
      <w:r>
        <w:rPr/>
        <w:t>一、邀请供应商参加采购活动的具体方式和相关情况，以及参加采购活动的供应商名单；</w:t>
      </w:r>
    </w:p>
    <w:p>
      <w:pPr>
        <w:pStyle w:val="null3"/>
        <w:ind w:firstLine="480"/>
      </w:pPr>
      <w:r>
        <w:rPr/>
        <w:t>二、响应文件开启日期和地点，询价小组成员名单；</w:t>
      </w:r>
    </w:p>
    <w:p>
      <w:pPr>
        <w:pStyle w:val="null3"/>
        <w:ind w:firstLine="480"/>
      </w:pPr>
      <w:r>
        <w:rPr/>
        <w:t>三、提交报价的供应商名单及报价情况，获取询价通知书但未提交报价的供应商名单；</w:t>
      </w:r>
    </w:p>
    <w:p>
      <w:pPr>
        <w:pStyle w:val="null3"/>
        <w:ind w:firstLine="480"/>
      </w:pPr>
      <w:r>
        <w:rPr/>
        <w:t xml:space="preserve"> 四、评审情况记录和说明，包括对供应商的资格审查情况、供应商响应文件评审情况、询价采购活动情况、报价情况等；</w:t>
      </w:r>
    </w:p>
    <w:p>
      <w:pPr>
        <w:pStyle w:val="null3"/>
        <w:ind w:firstLine="480"/>
      </w:pPr>
      <w:r>
        <w:rPr/>
        <w:t>五、提出的成交候选供应商的排序名单及理由。</w:t>
      </w:r>
    </w:p>
    <w:p>
      <w:pPr>
        <w:pStyle w:val="null3"/>
        <w:ind w:firstLine="480"/>
      </w:pPr>
      <w:r>
        <w:rPr/>
        <w:t xml:space="preserve"> 询价报告应当由询价小组全体人员签字或加盖电子签章认可。询价小组成员对询价报告有异议的，询价小组按照少数服从多数的原则推荐成交候选供应商，采购程序继续进行。对询价报告有异议的询价小组成员，应当在报告上签署不同意见并说明理由，由询价小组记录相关情况。询价小组成员拒绝在评审报告上签字或加盖电子签章又不说明其不同意见和理由的，视为同意评审报告。</w:t>
      </w:r>
    </w:p>
    <w:p>
      <w:pPr>
        <w:pStyle w:val="null3"/>
        <w:outlineLvl w:val="2"/>
      </w:pPr>
      <w:r>
        <w:rPr>
          <w:b/>
          <w:sz w:val="28"/>
        </w:rPr>
        <w:t>4.4争议处理规则</w:t>
      </w:r>
    </w:p>
    <w:p>
      <w:pPr>
        <w:pStyle w:val="null3"/>
        <w:ind w:firstLine="480"/>
      </w:pPr>
      <w:r>
        <w:rPr/>
        <w:t xml:space="preserve"> 在评审过程中，询价小组成员对响应文件是否符合询价通知书规定存在争议的，应当以少数服从多数的原则处理，但不得违背询价通知书规定。有不同意见的询价小组成员认为认定过程和结果不符合法律法规或者询价通知书规定的，应当在评审报告中予以反映。</w:t>
      </w:r>
    </w:p>
    <w:p>
      <w:pPr>
        <w:pStyle w:val="null3"/>
        <w:outlineLvl w:val="2"/>
      </w:pPr>
      <w:r>
        <w:rPr>
          <w:b/>
          <w:sz w:val="28"/>
        </w:rPr>
        <w:t>4.5终止采购活动</w:t>
      </w:r>
    </w:p>
    <w:p>
      <w:pPr>
        <w:pStyle w:val="null3"/>
        <w:ind w:firstLine="480"/>
      </w:pPr>
      <w:r>
        <w:rPr/>
        <w:t>出现下列情形之一的，终止询价采购活动：</w:t>
      </w:r>
    </w:p>
    <w:p>
      <w:pPr>
        <w:pStyle w:val="null3"/>
        <w:ind w:firstLine="480"/>
      </w:pPr>
      <w:r>
        <w:rPr/>
        <w:t>一、因情况变化，不再符合规定的询价采购方式适用情形的；</w:t>
      </w:r>
    </w:p>
    <w:p>
      <w:pPr>
        <w:pStyle w:val="null3"/>
        <w:ind w:firstLine="480"/>
      </w:pPr>
      <w:r>
        <w:rPr/>
        <w:t>二、出现影响采购公正的违法、违规行为的；</w:t>
      </w:r>
    </w:p>
    <w:p>
      <w:pPr>
        <w:pStyle w:val="null3"/>
        <w:ind w:firstLine="480"/>
      </w:pPr>
      <w:r>
        <w:rPr/>
        <w:t>三、在采购过程中符合竞争要求的供应商或者报价未超过采购预算的供应商不足3家的。</w:t>
      </w:r>
    </w:p>
    <w:p>
      <w:pPr>
        <w:pStyle w:val="null3"/>
        <w:outlineLvl w:val="2"/>
      </w:pPr>
      <w:r>
        <w:rPr>
          <w:b/>
          <w:sz w:val="28"/>
        </w:rPr>
        <w:t>4.6确定成交供应商</w:t>
      </w:r>
    </w:p>
    <w:p>
      <w:pPr>
        <w:pStyle w:val="null3"/>
      </w:pPr>
    </w:p>
    <w:p>
      <w:pPr>
        <w:pStyle w:val="null3"/>
      </w:pPr>
    </w:p>
    <w:p>
      <w:pPr>
        <w:pStyle w:val="null3"/>
      </w:pPr>
      <w:r>
        <w:rPr/>
        <w:t>本项目授权询价小组直接确认成交供应商，确认后代理机构在四川政府采购网上发布成交结果公告，同时向成交供应商发出成交通知书。</w:t>
      </w:r>
    </w:p>
    <w:p>
      <w:pPr>
        <w:pStyle w:val="null3"/>
        <w:outlineLvl w:val="2"/>
      </w:pPr>
      <w:r>
        <w:rPr>
          <w:b/>
          <w:sz w:val="28"/>
        </w:rPr>
        <w:t>4.7询价小组成员义务</w:t>
      </w:r>
    </w:p>
    <w:p>
      <w:pPr>
        <w:pStyle w:val="null3"/>
        <w:ind w:firstLine="480"/>
      </w:pPr>
      <w:r>
        <w:rPr/>
        <w:t>询价小组成员在政府采购活动中承担以下义务：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4.8询价采购活动纪律</w:t>
      </w:r>
    </w:p>
    <w:p>
      <w:pPr>
        <w:pStyle w:val="null3"/>
        <w:ind w:firstLine="480"/>
      </w:pPr>
      <w:r>
        <w:rPr/>
        <w:t>询价小组成员在政府采购活动中应当遵守以下工作纪律：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 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p>
    <w:p>
      <w:pPr>
        <w:pStyle w:val="null3"/>
      </w:pPr>
      <w:r>
        <w:rPr/>
        <w:t xml:space="preserve"> </w:t>
      </w:r>
    </w:p>
    <w:p>
      <w:pPr>
        <w:pStyle w:val="null3"/>
        <w:outlineLvl w:val="1"/>
      </w:pPr>
      <w:r>
        <w:rPr>
          <w:b/>
          <w:sz w:val="36"/>
        </w:rPr>
        <w:t>第五章 响应文件格式</w:t>
      </w:r>
    </w:p>
    <w:p>
      <w:pPr>
        <w:pStyle w:val="null3"/>
      </w:pPr>
    </w:p>
    <w:p>
      <w:pPr>
        <w:pStyle w:val="null3"/>
      </w:pPr>
    </w:p>
    <w:p>
      <w:pPr>
        <w:pStyle w:val="null3"/>
      </w:pP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详见附件：投标（响应）函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详见附件：供应商应提交的相关资格证明材料</w:t>
      </w:r>
    </w:p>
    <w:p>
      <w:pPr>
        <w:pStyle w:val="null3"/>
        <w:ind w:firstLine="960"/>
      </w:pPr>
      <w:r>
        <w:rPr/>
        <w:t>详见附件：产品技术参数响应表</w:t>
      </w:r>
    </w:p>
    <w:p>
      <w:pPr>
        <w:pStyle w:val="null3"/>
        <w:ind w:firstLine="960"/>
      </w:pPr>
      <w:r>
        <w:rPr/>
        <w:t>详见附件：商务应答表</w:t>
      </w:r>
    </w:p>
    <w:p>
      <w:pPr>
        <w:pStyle w:val="null3"/>
        <w:ind w:firstLine="960"/>
      </w:pPr>
      <w:r>
        <w:rPr/>
        <w:t>详见附件：报价表</w:t>
      </w:r>
    </w:p>
    <w:p>
      <w:pPr>
        <w:pStyle w:val="null3"/>
        <w:ind w:firstLine="960"/>
      </w:pPr>
      <w:r>
        <w:rPr/>
        <w:t>详见附件：分项报价表</w:t>
      </w:r>
    </w:p>
    <w:p>
      <w:pPr>
        <w:pStyle w:val="null3"/>
        <w:ind w:firstLine="960"/>
      </w:pPr>
      <w:r>
        <w:rPr/>
        <w:t>详见附件：供应商提交的节能、环保证明材料</w:t>
      </w:r>
    </w:p>
    <w:p>
      <w:pPr>
        <w:pStyle w:val="null3"/>
        <w:ind w:firstLine="960"/>
      </w:pPr>
      <w:r>
        <w:rPr/>
        <w:t>详见附件：强制、优先采购产品承诺函</w:t>
      </w:r>
    </w:p>
    <w:p>
      <w:pPr>
        <w:pStyle w:val="null3"/>
        <w:ind w:firstLine="960"/>
      </w:pPr>
      <w:r>
        <w:rPr/>
        <w:t>详见附件：分项报价明细表</w:t>
      </w:r>
    </w:p>
    <w:p>
      <w:pPr>
        <w:pStyle w:val="null3"/>
      </w:pPr>
    </w:p>
    <w:p>
      <w:pPr>
        <w:pStyle w:val="null3"/>
      </w:pPr>
      <w:r>
        <w:rPr/>
        <w:t xml:space="preserve"> </w:t>
      </w:r>
    </w:p>
    <w:p>
      <w:pPr>
        <w:pStyle w:val="null3"/>
        <w:outlineLvl w:val="1"/>
      </w:pPr>
      <w:r>
        <w:rPr>
          <w:b/>
          <w:sz w:val="36"/>
        </w:rPr>
        <w:t>第六章 拟签订的合同文本</w:t>
      </w:r>
    </w:p>
    <w:p>
      <w:pPr>
        <w:pStyle w:val="null3"/>
      </w:pPr>
    </w:p>
    <w:p>
      <w:pPr>
        <w:pStyle w:val="null3"/>
      </w:pPr>
    </w:p>
    <w:p>
      <w:pPr>
        <w:pStyle w:val="null3"/>
      </w:pPr>
    </w:p>
    <w:p>
      <w:pPr>
        <w:pStyle w:val="null3"/>
      </w:pPr>
    </w:p>
    <w:p>
      <w:pPr>
        <w:pStyle w:val="null3"/>
      </w:pPr>
    </w:p>
    <w:p>
      <w:pPr>
        <w:pStyle w:val="null3"/>
        <w:jc w:val="center"/>
        <w:outlineLvl w:val="0"/>
      </w:pPr>
      <w:r>
        <w:rPr>
          <w:b/>
          <w:sz w:val="48"/>
        </w:rPr>
        <w:t xml:space="preserve"> 政府采购合同（货物类）</w:t>
      </w:r>
      <w:r>
        <w:br/>
      </w:r>
    </w:p>
    <w:p>
      <w:pPr>
        <w:pStyle w:val="null3"/>
      </w:pPr>
      <w:r>
        <w:rPr/>
        <w:t xml:space="preserve"> 政府采购合同编号：__________________</w:t>
      </w:r>
    </w:p>
    <w:p>
      <w:pPr>
        <w:pStyle w:val="null3"/>
      </w:pPr>
      <w:r>
        <w:rPr/>
        <w:t xml:space="preserve"> 履约地点： __________________</w:t>
      </w:r>
    </w:p>
    <w:p>
      <w:pPr>
        <w:pStyle w:val="null3"/>
      </w:pPr>
      <w:r>
        <w:rPr/>
        <w:t xml:space="preserve"> 签订地点：__________________</w:t>
      </w:r>
    </w:p>
    <w:p>
      <w:pPr>
        <w:pStyle w:val="null3"/>
      </w:pPr>
      <w:r>
        <w:rPr/>
        <w:t xml:space="preserve"> 签订日期：20___年___月___日</w:t>
      </w:r>
    </w:p>
    <w:p>
      <w:pPr>
        <w:pStyle w:val="null3"/>
      </w:pPr>
      <w:r>
        <w:rPr/>
        <w:t xml:space="preserve"> 采购人（甲方）：__________________</w:t>
      </w:r>
    </w:p>
    <w:p>
      <w:pPr>
        <w:pStyle w:val="null3"/>
      </w:pPr>
      <w:r>
        <w:rPr/>
        <w:t xml:space="preserve"> 地址：__________________</w:t>
      </w:r>
    </w:p>
    <w:p>
      <w:pPr>
        <w:pStyle w:val="null3"/>
      </w:pPr>
      <w:r>
        <w:rPr/>
        <w:t xml:space="preserve"> 供应商(乙方)：__________________</w:t>
      </w:r>
    </w:p>
    <w:p>
      <w:pPr>
        <w:pStyle w:val="null3"/>
      </w:pPr>
      <w:r>
        <w:rPr/>
        <w:t xml:space="preserve"> 地址：__________________</w:t>
      </w:r>
    </w:p>
    <w:p>
      <w:pPr>
        <w:pStyle w:val="null3"/>
      </w:pPr>
      <w:r>
        <w:rPr/>
        <w:t xml:space="preserve"> 依据《中华人民共和国民法典》 《中华人民共和国政府采购法》与项目行业有关的法律法规，以及XXX采购项目的 </w:t>
      </w:r>
      <w:r>
        <w:rPr/>
        <w:t>《询价文件》</w:t>
      </w:r>
      <w:r>
        <w:rPr/>
        <w:t xml:space="preserve"> ，乙方的《投标（响应）文件》及《中标（成交）通知书》，甲乙双方同意签订本合同。具体情况及要求如下：</w:t>
      </w:r>
    </w:p>
    <w:p>
      <w:pPr>
        <w:pStyle w:val="null3"/>
        <w:outlineLvl w:val="3"/>
      </w:pPr>
      <w:r>
        <w:rPr>
          <w:b/>
          <w:sz w:val="24"/>
        </w:rPr>
        <w:t xml:space="preserve"> 一、标的信息</w:t>
      </w:r>
      <w:r>
        <w:br/>
      </w:r>
    </w:p>
    <w:p>
      <w:pPr>
        <w:pStyle w:val="null3"/>
        <w:outlineLvl w:val="3"/>
      </w:pPr>
      <w:r>
        <w:rPr>
          <w:b/>
          <w:sz w:val="24"/>
        </w:rPr>
        <w:t xml:space="preserve"> 二、货物要求</w:t>
      </w:r>
    </w:p>
    <w:p>
      <w:pPr>
        <w:pStyle w:val="null3"/>
      </w:pPr>
    </w:p>
    <w:p>
      <w:pPr>
        <w:pStyle w:val="null3"/>
      </w:pPr>
      <w:r>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pStyle w:val="null3"/>
      </w:pPr>
      <w:r>
        <w:rPr/>
        <w:t>2.包装方式</w:t>
      </w:r>
    </w:p>
    <w:p>
      <w:pPr>
        <w:pStyle w:val="null3"/>
      </w:pPr>
      <w:r>
        <w:rPr/>
        <w:t>3.质量保修范围和保修期</w:t>
      </w:r>
    </w:p>
    <w:p>
      <w:pPr>
        <w:pStyle w:val="null3"/>
      </w:pPr>
      <w:r>
        <w:rPr/>
        <w:t>4. 其他要求</w:t>
      </w:r>
    </w:p>
    <w:p>
      <w:pPr>
        <w:pStyle w:val="null3"/>
        <w:outlineLvl w:val="3"/>
      </w:pPr>
      <w:r>
        <w:rPr>
          <w:b/>
          <w:sz w:val="24"/>
        </w:rPr>
        <w:t xml:space="preserve"> 三、合同定价方式、付款进度和支付方式</w:t>
      </w:r>
      <w:r>
        <w:br/>
      </w:r>
    </w:p>
    <w:p>
      <w:pPr>
        <w:pStyle w:val="null3"/>
        <w:outlineLvl w:val="3"/>
      </w:pPr>
      <w:r>
        <w:rPr>
          <w:b/>
          <w:sz w:val="24"/>
        </w:rPr>
        <w:t xml:space="preserve"> 四、交货时间、地点和方式</w:t>
      </w:r>
      <w:r>
        <w:br/>
      </w:r>
    </w:p>
    <w:p>
      <w:pPr>
        <w:pStyle w:val="null3"/>
        <w:outlineLvl w:val="3"/>
      </w:pPr>
      <w:r>
        <w:rPr>
          <w:b/>
          <w:sz w:val="24"/>
        </w:rPr>
        <w:t xml:space="preserve"> 五、履约保证金</w:t>
      </w:r>
      <w:r>
        <w:br/>
      </w:r>
    </w:p>
    <w:p>
      <w:pPr>
        <w:pStyle w:val="null3"/>
        <w:outlineLvl w:val="3"/>
      </w:pPr>
      <w:r>
        <w:rPr>
          <w:b/>
          <w:sz w:val="24"/>
        </w:rPr>
        <w:t xml:space="preserve"> 六、验收标准和方法</w:t>
      </w:r>
      <w:r>
        <w:br/>
      </w:r>
    </w:p>
    <w:p>
      <w:pPr>
        <w:pStyle w:val="null3"/>
        <w:outlineLvl w:val="3"/>
      </w:pPr>
      <w:r>
        <w:rPr>
          <w:b/>
          <w:sz w:val="24"/>
        </w:rPr>
        <w:t xml:space="preserve"> 七、甲方的权利和义务</w:t>
      </w:r>
    </w:p>
    <w:p>
      <w:pPr>
        <w:pStyle w:val="null3"/>
      </w:pPr>
    </w:p>
    <w:p>
      <w:pPr>
        <w:pStyle w:val="null3"/>
      </w:pPr>
      <w:r>
        <w:rPr/>
        <w:t>1.甲方有权依据双方签订的合同对乙方提供的货物进行验收。当验收结果未达到标准时，有权依据合同约定对乙方......</w:t>
      </w:r>
    </w:p>
    <w:p>
      <w:pPr>
        <w:pStyle w:val="null3"/>
      </w:pPr>
      <w:r>
        <w:rPr/>
        <w:t>2.根据本合同规定，按时向乙方支付应付货物费用。</w:t>
      </w:r>
    </w:p>
    <w:p>
      <w:pPr>
        <w:pStyle w:val="null3"/>
      </w:pPr>
      <w:r>
        <w:rPr/>
        <w:t>3.国家法律、法规所规定由甲方承担的其它责任。</w:t>
      </w:r>
    </w:p>
    <w:p>
      <w:pPr>
        <w:pStyle w:val="null3"/>
        <w:outlineLvl w:val="3"/>
      </w:pPr>
      <w:r>
        <w:rPr>
          <w:b/>
          <w:sz w:val="24"/>
        </w:rPr>
        <w:t xml:space="preserve"> 八、乙方的权利和义务</w:t>
      </w:r>
    </w:p>
    <w:p>
      <w:pPr>
        <w:pStyle w:val="null3"/>
      </w:pPr>
    </w:p>
    <w:p>
      <w:pPr>
        <w:pStyle w:val="null3"/>
      </w:pPr>
      <w:r>
        <w:rPr/>
        <w:t>1.根据本合同的规定向甲方收取相关货物费用。</w:t>
      </w:r>
    </w:p>
    <w:p>
      <w:pPr>
        <w:pStyle w:val="null3"/>
      </w:pPr>
      <w:r>
        <w:rPr/>
        <w:t>2.接受项目行业管理部门及政府有关部门的指导，接受甲方的监督。</w:t>
      </w:r>
    </w:p>
    <w:p>
      <w:pPr>
        <w:pStyle w:val="null3"/>
      </w:pPr>
      <w:r>
        <w:rPr/>
        <w:t>3.国家法律、法规所规定由乙方承担的其它责任。</w:t>
      </w:r>
    </w:p>
    <w:p>
      <w:pPr>
        <w:pStyle w:val="null3"/>
        <w:outlineLvl w:val="3"/>
      </w:pPr>
      <w:r>
        <w:rPr>
          <w:b/>
          <w:sz w:val="24"/>
        </w:rPr>
        <w:t xml:space="preserve"> 九、违约责任</w:t>
      </w:r>
    </w:p>
    <w:p>
      <w:pPr>
        <w:pStyle w:val="null3"/>
      </w:pPr>
    </w:p>
    <w:p>
      <w:pPr>
        <w:pStyle w:val="null3"/>
      </w:pPr>
      <w:r>
        <w:rPr/>
        <w:t>1.若甲方未按照合同约定逾期向乙方支付货物费用，每逾期一天，按应支付金额的X‰作为违约金支付给乙方，直至实际支付之日</w:t>
      </w:r>
    </w:p>
    <w:p>
      <w:pPr>
        <w:pStyle w:val="null3"/>
      </w:pPr>
      <w:r>
        <w:rPr/>
        <w:t>2.因甲方原因导致变更、中止或者终止政府采购合同的，应对乙方受到的损失予以赔偿或者补偿。</w:t>
      </w:r>
    </w:p>
    <w:p>
      <w:pPr>
        <w:pStyle w:val="null3"/>
        <w:outlineLvl w:val="3"/>
      </w:pPr>
      <w:r>
        <w:rPr>
          <w:b/>
          <w:sz w:val="24"/>
        </w:rPr>
        <w:t xml:space="preserve"> 十、不可抗事件处理</w:t>
      </w:r>
    </w:p>
    <w:p>
      <w:pPr>
        <w:pStyle w:val="null3"/>
      </w:pPr>
    </w:p>
    <w:p>
      <w:pPr>
        <w:pStyle w:val="null3"/>
      </w:pPr>
      <w:r>
        <w:rPr/>
        <w:t>1.在合同有效期内，任何一方因不可抗事件导致不能履行合同，则合同履行期可延长，其延长期与不可抗影响期相同。</w:t>
      </w:r>
    </w:p>
    <w:p>
      <w:pPr>
        <w:pStyle w:val="null3"/>
      </w:pPr>
      <w:r>
        <w:rPr/>
        <w:t>2.受阻一方应在不可抗事件发生后尽快用电话通知对方并于事故发生后XX天内将有关部门出具的证明文件等用特快专递或挂号信寄给对方审阅确认。</w:t>
      </w:r>
    </w:p>
    <w:p>
      <w:pPr>
        <w:pStyle w:val="null3"/>
      </w:pPr>
      <w:r>
        <w:rPr/>
        <w:t>3.不可抗事件延续XX天以上，双方应通过友好协商，确定是否继续履行合同。</w:t>
      </w:r>
    </w:p>
    <w:p>
      <w:pPr>
        <w:pStyle w:val="null3"/>
        <w:outlineLvl w:val="3"/>
      </w:pPr>
      <w:r>
        <w:rPr>
          <w:b/>
          <w:sz w:val="24"/>
        </w:rPr>
        <w:t xml:space="preserve"> 十一、解决合同纠纷的方式</w:t>
      </w:r>
      <w:r>
        <w:br/>
      </w:r>
    </w:p>
    <w:p>
      <w:pPr>
        <w:pStyle w:val="null3"/>
        <w:outlineLvl w:val="3"/>
      </w:pPr>
      <w:r>
        <w:rPr>
          <w:b/>
          <w:sz w:val="24"/>
        </w:rPr>
        <w:t xml:space="preserve"> 十二、合同生效及其他</w:t>
      </w:r>
    </w:p>
    <w:p>
      <w:pPr>
        <w:pStyle w:val="null3"/>
      </w:pPr>
    </w:p>
    <w:p>
      <w:pPr>
        <w:pStyle w:val="null3"/>
      </w:pPr>
      <w:r>
        <w:rPr/>
        <w:t>1.合同经双方法定代表人（或主要负责人）或授权委托代理人签字并加盖公章后生效。</w:t>
      </w:r>
    </w:p>
    <w:p>
      <w:pPr>
        <w:pStyle w:val="null3"/>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pPr>
      <w:r>
        <w:rPr/>
        <w:t>3.本合同一式3份，自双方签章之日起生效。甲方持有1份，乙方持有1份，同级财政部门备案1份，具有同等法律效力。</w:t>
      </w:r>
    </w:p>
    <w:p>
      <w:pPr>
        <w:pStyle w:val="null3"/>
      </w:pPr>
      <w:r>
        <w:br/>
      </w:r>
      <w:r>
        <w:br/>
      </w:r>
      <w:r>
        <w:br/>
      </w:r>
      <w:r>
        <w:br/>
      </w:r>
      <w:r>
        <w:br/>
      </w:r>
    </w:p>
    <w:p>
      <w:pPr>
        <w:pStyle w:val="null3"/>
      </w:pPr>
    </w:p>
    <w:p>
      <w:pPr>
        <w:pStyle w:val="null3"/>
      </w:pPr>
    </w:p>
    <w:p>
      <w:pPr>
        <w:pStyle w:val="null3"/>
      </w:pPr>
      <w:r>
        <w:rPr/>
        <w:t xml:space="preserve"> 甲方： （盖章）</w:t>
      </w:r>
    </w:p>
    <w:p>
      <w:pPr>
        <w:pStyle w:val="null3"/>
      </w:pPr>
      <w:r>
        <w:rPr/>
        <w:t xml:space="preserve"> 法定（授权）代表人：</w:t>
      </w:r>
    </w:p>
    <w:p>
      <w:pPr>
        <w:pStyle w:val="null3"/>
      </w:pPr>
      <w:r>
        <w:rPr/>
        <w:t xml:space="preserve"> 地 址：</w:t>
      </w:r>
    </w:p>
    <w:p>
      <w:pPr>
        <w:pStyle w:val="null3"/>
      </w:pPr>
      <w:r>
        <w:rPr/>
        <w:t xml:space="preserve"> 开户银行：</w:t>
      </w:r>
    </w:p>
    <w:p>
      <w:pPr>
        <w:pStyle w:val="null3"/>
      </w:pPr>
      <w:r>
        <w:rPr/>
        <w:t xml:space="preserve"> 账号：</w:t>
      </w:r>
    </w:p>
    <w:p>
      <w:pPr>
        <w:pStyle w:val="null3"/>
      </w:pPr>
      <w:r>
        <w:rPr/>
        <w:t xml:space="preserve"> 签订日期： 年 月 日</w:t>
      </w:r>
    </w:p>
    <w:p>
      <w:pPr>
        <w:pStyle w:val="null3"/>
      </w:pPr>
    </w:p>
    <w:p>
      <w:pPr>
        <w:pStyle w:val="null3"/>
        <w:spacing w:after="375"/>
      </w:pPr>
    </w:p>
    <w:p>
      <w:pPr>
        <w:pStyle w:val="null3"/>
      </w:pPr>
      <w:r>
        <w:rPr/>
        <w:t xml:space="preserve"> 乙方：(盖章）</w:t>
      </w:r>
    </w:p>
    <w:p>
      <w:pPr>
        <w:pStyle w:val="null3"/>
      </w:pPr>
      <w:r>
        <w:rPr/>
        <w:t xml:space="preserve"> 法定（授权）代表人：</w:t>
      </w:r>
    </w:p>
    <w:p>
      <w:pPr>
        <w:pStyle w:val="null3"/>
      </w:pPr>
      <w:r>
        <w:rPr/>
        <w:t xml:space="preserve"> 地 址：</w:t>
      </w:r>
    </w:p>
    <w:p>
      <w:pPr>
        <w:pStyle w:val="null3"/>
      </w:pPr>
      <w:r>
        <w:rPr/>
        <w:t xml:space="preserve"> 开户银行：</w:t>
      </w:r>
    </w:p>
    <w:p>
      <w:pPr>
        <w:pStyle w:val="null3"/>
      </w:pPr>
      <w:r>
        <w:rPr/>
        <w:t xml:space="preserve"> 账号：</w:t>
      </w:r>
    </w:p>
    <w:p>
      <w:pPr>
        <w:pStyle w:val="null3"/>
      </w:pPr>
      <w:r>
        <w:rPr/>
        <w:t xml:space="preserve"> 签订日期： 年 月 日</w:t>
      </w:r>
    </w:p>
    <w:p>
      <w:pPr>
        <w:pStyle w:val="null3"/>
      </w:pPr>
    </w:p>
    <w:p>
      <w:pPr>
        <w:pStyle w:val="null3"/>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