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p>
    <w:p>
      <w:pPr>
        <w:pStyle w:val="null3"/>
      </w:pPr>
      <w:r>
        <w:br/>
      </w:r>
      <w:r>
        <w:br/>
      </w:r>
      <w:r>
        <w:br/>
      </w:r>
      <w:r>
        <w:br/>
      </w:r>
      <w:r>
        <w:br/>
      </w:r>
    </w:p>
    <w:p>
      <w:pPr>
        <w:pStyle w:val="null3"/>
        <w:jc w:val="center"/>
        <w:outlineLvl w:val="0"/>
      </w:pPr>
      <w:r>
        <w:rPr>
          <w:b/>
          <w:sz w:val="48"/>
        </w:rPr>
        <w:t>竞 争 性 谈 判 文 件</w:t>
      </w:r>
      <w:r>
        <w:br/>
      </w:r>
      <w:r>
        <w:br/>
      </w:r>
      <w:r>
        <w:br/>
      </w:r>
    </w:p>
    <w:p>
      <w:pPr>
        <w:pStyle w:val="null3"/>
        <w:jc w:val="center"/>
        <w:outlineLvl w:val="1"/>
      </w:pPr>
      <w:r>
        <w:rPr>
          <w:b/>
          <w:sz w:val="36"/>
        </w:rPr>
        <w:t>（货物类）</w:t>
      </w:r>
      <w:r>
        <w:br/>
      </w:r>
      <w:r>
        <w:br/>
      </w:r>
      <w:r>
        <w:br/>
      </w:r>
      <w:r>
        <w:br/>
      </w:r>
      <w:r>
        <w:br/>
      </w:r>
      <w:r>
        <w:br/>
      </w:r>
      <w:r>
        <w:br/>
      </w:r>
      <w:r>
        <w:br/>
      </w:r>
      <w:r>
        <w:br/>
      </w:r>
      <w:r>
        <w:br/>
      </w:r>
      <w:r>
        <w:br/>
      </w:r>
    </w:p>
    <w:p>
      <w:pPr>
        <w:pStyle w:val="null3"/>
        <w:jc w:val="center"/>
        <w:outlineLvl w:val="2"/>
      </w:pPr>
      <w:r>
        <w:rPr>
          <w:b/>
          <w:sz w:val="28"/>
        </w:rPr>
        <w:t>采购项目名称：</w:t>
      </w:r>
      <w:r>
        <w:rPr>
          <w:b/>
          <w:sz w:val="28"/>
        </w:rPr>
        <w:t>和平城区第三期交通技术监控设备建设项目</w:t>
      </w:r>
    </w:p>
    <w:p>
      <w:pPr>
        <w:pStyle w:val="null3"/>
        <w:jc w:val="center"/>
        <w:outlineLvl w:val="2"/>
      </w:pPr>
      <w:r>
        <w:rPr>
          <w:b/>
          <w:sz w:val="28"/>
        </w:rPr>
        <w:t>采购项目编号：</w:t>
      </w:r>
      <w:r>
        <w:rPr>
          <w:b/>
          <w:sz w:val="28"/>
        </w:rPr>
        <w:t>N5111132024000014</w:t>
      </w:r>
      <w:r>
        <w:br/>
      </w:r>
      <w:r>
        <w:br/>
      </w:r>
      <w:r>
        <w:br/>
      </w:r>
    </w:p>
    <w:p>
      <w:pPr>
        <w:pStyle w:val="null3"/>
        <w:jc w:val="center"/>
        <w:outlineLvl w:val="2"/>
      </w:pPr>
      <w:r>
        <w:rPr>
          <w:b/>
          <w:sz w:val="28"/>
        </w:rPr>
        <w:t>乐山市公安局金口河区分局交通警察大队</w:t>
      </w:r>
    </w:p>
    <w:p>
      <w:pPr>
        <w:pStyle w:val="null3"/>
        <w:jc w:val="center"/>
        <w:outlineLvl w:val="2"/>
      </w:pPr>
      <w:r>
        <w:rPr>
          <w:b/>
          <w:sz w:val="28"/>
        </w:rPr>
        <w:t>乐山市金口河区政府采购中心</w:t>
      </w:r>
      <w:r>
        <w:rPr>
          <w:b/>
          <w:sz w:val="28"/>
        </w:rPr>
        <w:t>共同编制</w:t>
      </w:r>
    </w:p>
    <w:p>
      <w:pPr>
        <w:pStyle w:val="null3"/>
        <w:jc w:val="center"/>
        <w:outlineLvl w:val="2"/>
      </w:pPr>
      <w:r>
        <w:rPr>
          <w:b/>
          <w:sz w:val="28"/>
        </w:rPr>
        <w:t>2024年05月17日</w:t>
      </w:r>
    </w:p>
    <w:p>
      <w:pPr>
        <w:pStyle w:val="null3"/>
        <w:jc w:val="center"/>
        <w:outlineLvl w:val="1"/>
      </w:pPr>
      <w:r>
        <w:rPr>
          <w:b/>
          <w:sz w:val="36"/>
        </w:rPr>
        <w:t>第一章 竞争性谈判邀请</w:t>
      </w:r>
    </w:p>
    <w:p>
      <w:pPr>
        <w:pStyle w:val="null3"/>
        <w:ind w:firstLine="480"/>
      </w:pPr>
      <w:r>
        <w:rPr/>
        <w:t>乐山市金口河区政府采购中心</w:t>
      </w:r>
      <w:r>
        <w:rPr/>
        <w:t>（以下简称“代理机构”）受</w:t>
      </w:r>
      <w:r>
        <w:rPr/>
        <w:t>乐山市公安局金口河区分局交通警察大队</w:t>
      </w:r>
      <w:r>
        <w:rPr/>
        <w:t>委托，拟对</w:t>
      </w:r>
      <w:r>
        <w:rPr/>
        <w:t>和平城区第三期交通技术监控设备建设项目</w:t>
      </w:r>
      <w:r>
        <w:rPr/>
        <w:t>采用竞争性谈判采购方式进行采购，兹邀请供应商参加本项目的竞争性谈判。</w:t>
      </w:r>
    </w:p>
    <w:p>
      <w:pPr>
        <w:pStyle w:val="null3"/>
        <w:outlineLvl w:val="2"/>
      </w:pPr>
      <w:r>
        <w:rPr>
          <w:b/>
          <w:sz w:val="28"/>
        </w:rPr>
        <w:t>一、项目编号：</w:t>
      </w:r>
      <w:r>
        <w:rPr>
          <w:b/>
          <w:sz w:val="28"/>
        </w:rPr>
        <w:t>N5111132024000014</w:t>
      </w:r>
    </w:p>
    <w:p>
      <w:pPr>
        <w:pStyle w:val="null3"/>
        <w:outlineLvl w:val="2"/>
      </w:pPr>
      <w:r>
        <w:rPr>
          <w:b/>
          <w:sz w:val="28"/>
        </w:rPr>
        <w:t>二、项目名称：</w:t>
      </w:r>
      <w:r>
        <w:rPr>
          <w:b/>
          <w:sz w:val="28"/>
        </w:rPr>
        <w:t>和平城区第三期交通技术监控设备建设项目</w:t>
      </w:r>
    </w:p>
    <w:p>
      <w:pPr>
        <w:pStyle w:val="null3"/>
        <w:outlineLvl w:val="2"/>
      </w:pPr>
      <w:r>
        <w:rPr>
          <w:b/>
          <w:sz w:val="28"/>
        </w:rPr>
        <w:t>三、谈判项目简介：</w:t>
      </w:r>
    </w:p>
    <w:p>
      <w:pPr>
        <w:pStyle w:val="null3"/>
        <w:ind w:firstLine="480"/>
      </w:pPr>
      <w:r>
        <w:rPr/>
        <w:t>拟在静雅路、橘园街等次干道、支路的重点路口新建12套违法停车抓拍设备。同时将数据上传到乐山市公安局金口河区分局交通警察大队交通管控指挥中心，再将违法数据上传到乐山市公安交通集成指挥平台。 其中违停抓拍系统使用高清违停抓拍球机，交通管控指挥中心交通管控平台进行升级接入，为前端抓拍系统配置对应存储。 系统网络采用原有已建视频专网扩容建设实现： 1、建设12套违法停车点位，对违法停车情况进行自动抓拍取证, 并上传乐山市公安交通集成指挥平台。 2、新建12套点位专线网络，直接通过新建线路专网接入交通管控指挥中心平台。 3、新建1套存储设备，以保证存储时间为6个月。 4、系统平台升级扩容，以保证新建点位无缝接入原有交警系统平台 5、可视频监控覆盖点位进行任意查看，实时了解道路交通状况。 6、可调取视频监控覆盖点位的视频图像，保证突发事件及重大保障任务的视频图像需求。 7、12处点位明细：①春和路区水务局②春和路荣升苑③新市街区交通运输局门口④橘园街31号⑤环山路42号⑥静雅路46号⑦和平路7号⑧祥和路1号⑨祥和路55号⑩育贤路区幼儿园区门口⑪罗回街131号⑫罗回街240号</w:t>
      </w:r>
    </w:p>
    <w:p>
      <w:pPr>
        <w:pStyle w:val="null3"/>
        <w:outlineLvl w:val="2"/>
      </w:pPr>
      <w:r>
        <w:rPr>
          <w:b/>
          <w:sz w:val="28"/>
        </w:rPr>
        <w:t>四、邀请供应商：</w:t>
      </w:r>
    </w:p>
    <w:p>
      <w:pPr>
        <w:pStyle w:val="null3"/>
      </w:pPr>
    </w:p>
    <w:p>
      <w:pPr>
        <w:pStyle w:val="null3"/>
      </w:pPr>
    </w:p>
    <w:p>
      <w:pPr>
        <w:pStyle w:val="null3"/>
      </w:pPr>
      <w:r>
        <w:rPr/>
        <w:t>本次采购采取公告征集邀请谈判的供应商。</w:t>
      </w:r>
    </w:p>
    <w:p>
      <w:pPr>
        <w:pStyle w:val="null3"/>
      </w:pPr>
      <w:r>
        <w:rPr/>
        <w:t xml:space="preserve"> 公告征集：本次竞争性谈判邀请在四川政府采购网（www.ccgp-sichuan.gov.cn）上以公告形式发布，公告期限自公告发布之日起3个工作日。</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p>
    <w:p>
      <w:pPr>
        <w:pStyle w:val="null3"/>
      </w:pPr>
    </w:p>
    <w:p>
      <w:pPr>
        <w:pStyle w:val="null3"/>
      </w:pPr>
      <w:r>
        <w:rPr/>
        <w:t>本项目所有采购包不专门面向中小企业。</w:t>
      </w:r>
    </w:p>
    <w:p>
      <w:pPr>
        <w:pStyle w:val="null3"/>
        <w:ind w:firstLine="480"/>
      </w:pPr>
      <w:r>
        <w:rPr/>
        <w:t>注：监狱企业和残疾人福利性单位视同小微企业，符合中小企业划分标准的个体工商户视同中小企业。</w:t>
      </w:r>
    </w:p>
    <w:p>
      <w:pPr>
        <w:pStyle w:val="null3"/>
        <w:ind w:firstLine="480"/>
      </w:pPr>
      <w:r>
        <w:rPr/>
        <w:t>（三）本项目的特定资格要求：</w:t>
      </w:r>
    </w:p>
    <w:p>
      <w:pPr>
        <w:pStyle w:val="null3"/>
      </w:pPr>
    </w:p>
    <w:p>
      <w:pPr>
        <w:pStyle w:val="null3"/>
      </w:pPr>
    </w:p>
    <w:p>
      <w:pPr>
        <w:pStyle w:val="null3"/>
      </w:pPr>
    </w:p>
    <w:p>
      <w:pPr>
        <w:pStyle w:val="null3"/>
      </w:pPr>
      <w:r>
        <w:rPr/>
        <w:t>采购包1：</w:t>
      </w:r>
    </w:p>
    <w:p>
      <w:pPr>
        <w:pStyle w:val="null3"/>
      </w:pPr>
      <w:r>
        <w:rPr/>
        <w:t xml:space="preserve"> 无</w:t>
      </w:r>
    </w:p>
    <w:p>
      <w:pPr>
        <w:pStyle w:val="null3"/>
        <w:outlineLvl w:val="2"/>
      </w:pPr>
      <w:r>
        <w:rPr>
          <w:b/>
          <w:sz w:val="28"/>
        </w:rPr>
        <w:t>六、电子化采购相关事项</w:t>
      </w:r>
    </w:p>
    <w:p>
      <w:pPr>
        <w:pStyle w:val="null3"/>
        <w:ind w:firstLine="480"/>
      </w:pPr>
      <w:r>
        <w:rPr/>
        <w:t xml:space="preserve"> 本项目实行电子化采购，使用的电子化交易系统为：四川省政府采购一体化平台（以下简称“采购一体化平台”）的项目电子化交易系统（以下简称项目电子化交易系统），登录方式及地址：通过四川政府采购网（www.ccgp-sichuan.gov.cn）首页供应商用户登录采购一体化平台，进入项目电子化交易系统。供应商应当按照以下要求，参与本次电子化采购活动。</w:t>
      </w:r>
    </w:p>
    <w:p>
      <w:pPr>
        <w:pStyle w:val="null3"/>
        <w:ind w:firstLine="480"/>
      </w:pPr>
      <w:r>
        <w:rPr/>
        <w:t xml:space="preserve"> （一）供应商应当自行在四川政府采购网-办事指南查看相应的系统操作指南，并严格按照操作指南要求进行系统操作。在登录、使用采购一体化平台前，应当按照要求完成供应商注册和信息完善，加入采购一体化平台供应商库。</w:t>
      </w:r>
    </w:p>
    <w:p>
      <w:pPr>
        <w:pStyle w:val="null3"/>
        <w:ind w:firstLine="480"/>
      </w:pPr>
      <w:r>
        <w:rPr/>
        <w:t xml:space="preserve"> （二）供应商应当使用纳入全国公共资源交易平台（四川省）数字证书互认范围的数字证书及签章（以下简称“互认的证书及签章”）进行系统操作。供应商使用互认的证书及签章登录采购一体化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四川政府采购网-办事指南。</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（三）供应商应当自行准备电子化采购所需的计算机终端、软硬件及网络环境，承担因准备不足产生的不利后果。</w:t>
      </w:r>
    </w:p>
    <w:p>
      <w:pPr>
        <w:pStyle w:val="null3"/>
        <w:ind w:firstLine="480"/>
      </w:pPr>
      <w:r>
        <w:rPr/>
        <w:t>（四）采购一体化平台技术支持：</w:t>
      </w:r>
    </w:p>
    <w:p>
      <w:pPr>
        <w:pStyle w:val="null3"/>
        <w:ind w:firstLine="480"/>
      </w:pPr>
      <w:r>
        <w:rPr/>
        <w:t>在线客服：通过四川政府采购网-在线客服进行咨询</w:t>
      </w:r>
    </w:p>
    <w:p>
      <w:pPr>
        <w:pStyle w:val="null3"/>
        <w:ind w:firstLine="480"/>
      </w:pPr>
      <w:r>
        <w:rPr/>
        <w:t>400服务电话：4001600900</w:t>
      </w:r>
    </w:p>
    <w:p>
      <w:pPr>
        <w:pStyle w:val="null3"/>
        <w:ind w:firstLine="480"/>
      </w:pPr>
      <w:r>
        <w:rPr/>
        <w:t>CA及签章服务：通过四川政府采购网-办事指南进行查询</w:t>
      </w:r>
    </w:p>
    <w:p>
      <w:pPr>
        <w:pStyle w:val="null3"/>
        <w:outlineLvl w:val="2"/>
      </w:pPr>
      <w:r>
        <w:rPr>
          <w:b/>
          <w:sz w:val="28"/>
        </w:rPr>
        <w:t>七、竞争性谈判文件获取时间、方式及地址</w:t>
      </w:r>
    </w:p>
    <w:p>
      <w:pPr>
        <w:pStyle w:val="null3"/>
        <w:ind w:firstLine="480"/>
      </w:pPr>
      <w:r>
        <w:rPr/>
        <w:t>（一）谈判文件获取时间：详见采购公告或邀请书</w:t>
      </w:r>
    </w:p>
    <w:p>
      <w:pPr>
        <w:pStyle w:val="null3"/>
        <w:ind w:firstLine="480"/>
      </w:pPr>
      <w:r>
        <w:rPr/>
        <w:t xml:space="preserve"> （二）在谈判文件获取开始时间前，采购人或代理机构将本项目谈判文件上传至项目电子化交易系统，免费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供应商未重新获取谈判文件或者未按照澄清或者修改后的谈判文件编制响应文件进行响应的，自行承担不利后果。</w:t>
      </w:r>
    </w:p>
    <w:p>
      <w:pPr>
        <w:pStyle w:val="null3"/>
        <w:jc w:val="left"/>
      </w:pPr>
      <w:r>
        <w:rPr/>
        <w:t>注：获取的谈判文件主体格式包括pdf、word两种格式版本，其中以pdf格式为准。</w:t>
      </w:r>
    </w:p>
    <w:p>
      <w:pPr>
        <w:pStyle w:val="null3"/>
        <w:outlineLvl w:val="2"/>
      </w:pPr>
      <w:r>
        <w:rPr>
          <w:b/>
          <w:sz w:val="28"/>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九、谈判方式</w:t>
      </w:r>
    </w:p>
    <w:p>
      <w:pPr>
        <w:pStyle w:val="null3"/>
        <w:ind w:firstLine="480"/>
      </w:pPr>
      <w:r>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四川省财政厅关于推进四川省政府釆购供应商信用融资工作的通知》（川财采﹝2018﹞123号）文件，为助力解决政府采购成交供应商资金不足、融资难、融资贵的困难，促进供应商依法诚信参加政府采购活动，有融资需求的供应商可登录四川政府釆购网—金融服务平台，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乐山市公安局金口河区分局交通警察大队</w:t>
      </w:r>
    </w:p>
    <w:p>
      <w:pPr>
        <w:pStyle w:val="null3"/>
      </w:pPr>
    </w:p>
    <w:p>
      <w:pPr>
        <w:pStyle w:val="null3"/>
      </w:pPr>
    </w:p>
    <w:p>
      <w:pPr>
        <w:pStyle w:val="null3"/>
      </w:pPr>
      <w:r>
        <w:rPr/>
        <w:t xml:space="preserve"> 地址： </w:t>
      </w:r>
      <w:r>
        <w:rPr/>
        <w:t>乐山市金口河区滨河路三段51号</w:t>
      </w:r>
    </w:p>
    <w:p>
      <w:pPr>
        <w:pStyle w:val="null3"/>
      </w:pPr>
      <w:r>
        <w:rPr/>
        <w:t xml:space="preserve"> 邮编： </w:t>
      </w:r>
      <w:r>
        <w:rPr/>
        <w:t>614700</w:t>
      </w:r>
    </w:p>
    <w:p>
      <w:pPr>
        <w:pStyle w:val="null3"/>
      </w:pPr>
      <w:r>
        <w:rPr/>
        <w:t xml:space="preserve"> 联系人： </w:t>
      </w:r>
      <w:r>
        <w:rPr/>
        <w:t>段晓宇</w:t>
      </w:r>
    </w:p>
    <w:p>
      <w:pPr>
        <w:pStyle w:val="null3"/>
      </w:pPr>
      <w:r>
        <w:rPr/>
        <w:t xml:space="preserve"> 联系电话： </w:t>
      </w:r>
      <w:r>
        <w:rPr/>
        <w:t>13547731740</w:t>
      </w:r>
    </w:p>
    <w:p>
      <w:pPr>
        <w:pStyle w:val="null3"/>
        <w:outlineLvl w:val="3"/>
      </w:pPr>
      <w:r>
        <w:rPr>
          <w:b/>
          <w:sz w:val="24"/>
        </w:rPr>
        <w:t>代理机构：</w:t>
      </w:r>
      <w:r>
        <w:rPr>
          <w:b/>
          <w:sz w:val="24"/>
        </w:rPr>
        <w:t>乐山市金口河区政府采购中心</w:t>
      </w:r>
    </w:p>
    <w:p>
      <w:pPr>
        <w:pStyle w:val="null3"/>
      </w:pPr>
    </w:p>
    <w:p>
      <w:pPr>
        <w:pStyle w:val="null3"/>
      </w:pPr>
    </w:p>
    <w:p>
      <w:pPr>
        <w:pStyle w:val="null3"/>
      </w:pPr>
      <w:r>
        <w:rPr/>
        <w:t xml:space="preserve"> 地址： </w:t>
      </w:r>
      <w:r>
        <w:rPr/>
        <w:t>四川省乐山市金口河区滨河路三段153号</w:t>
      </w:r>
    </w:p>
    <w:p>
      <w:pPr>
        <w:pStyle w:val="null3"/>
      </w:pPr>
      <w:r>
        <w:rPr/>
        <w:t xml:space="preserve"> 邮编： </w:t>
      </w:r>
      <w:r>
        <w:rPr/>
        <w:t>614700</w:t>
      </w:r>
    </w:p>
    <w:p>
      <w:pPr>
        <w:pStyle w:val="null3"/>
      </w:pPr>
      <w:r>
        <w:rPr/>
        <w:t xml:space="preserve"> 联系人： </w:t>
      </w:r>
      <w:r>
        <w:rPr/>
        <w:t>李老师</w:t>
      </w:r>
    </w:p>
    <w:p>
      <w:pPr>
        <w:pStyle w:val="null3"/>
      </w:pPr>
      <w:r>
        <w:rPr/>
        <w:t xml:space="preserve"> 联系电话： </w:t>
      </w:r>
      <w:r>
        <w:rPr/>
        <w:t>0833-2713780</w:t>
      </w:r>
    </w:p>
    <w:p>
      <w:pPr>
        <w:pStyle w:val="null3"/>
      </w:pP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p>
          <w:p>
            <w:pPr>
              <w:pStyle w:val="null3"/>
            </w:pPr>
          </w:p>
          <w:p>
            <w:pPr>
              <w:pStyle w:val="null3"/>
            </w:pPr>
            <w:r>
              <w:rPr/>
              <w:t>采购包1：608,200.00元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最低评标价法(详见第五章)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p>
          <w:p>
            <w:pPr>
              <w:pStyle w:val="null3"/>
            </w:pPr>
            <w:r>
              <w:rPr/>
              <w:t>采购包1：不接受联合体</w:t>
            </w:r>
          </w:p>
        </w:tc>
      </w:tr>
      <w:tr>
        <w:tc>
          <w:tcPr>
            <w:tcW w:type="dxa" w:w="1051"/>
          </w:tcPr>
          <w:p>
            <w:pPr>
              <w:pStyle w:val="null3"/>
            </w:pPr>
            <w:r>
              <w:rPr/>
              <w:t>5</w:t>
            </w:r>
          </w:p>
        </w:tc>
        <w:tc>
          <w:tcPr>
            <w:tcW w:type="dxa" w:w="2252"/>
          </w:tcPr>
          <w:p>
            <w:pPr>
              <w:pStyle w:val="null3"/>
            </w:pPr>
            <w:r>
              <w:rPr/>
              <w:t>落实节能、环保、无线局域网</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 xml:space="preserve"> 产品属于节能产品政府采购品目清单中应强制采购的产品范围，供应商应当提供国家确定的认证机构出具的、处于有效期之内的节能产品认证证书，否则作无效响应处理。</w:t>
            </w:r>
          </w:p>
          <w:p>
            <w:pPr>
              <w:pStyle w:val="null3"/>
            </w:pPr>
            <w:r>
              <w:rPr/>
              <w:t>3.本项目采购</w:t>
            </w:r>
            <w:r>
              <w:rPr/>
              <w:t>无</w:t>
            </w:r>
            <w:r>
              <w:rPr/>
              <w:t>产品属于节能产品政府采购品目清单中应优先采购的产品范围，本项目采购</w:t>
            </w:r>
            <w:r>
              <w:rPr/>
              <w:t>无</w:t>
            </w:r>
            <w:r>
              <w:rPr/>
              <w:t>产品属于环境标志产品政府采购品目清单中应优先采购的产品范围，响应报价相同的，按供应商提供的优先采购产品认证证书数量由多到少顺序排列。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国家发展改革委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p>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注：供应商报价低于最高限价50%或者低于其他有效供应商报价算术平均价40%的，谈判小组可以认为该供应商“报价明显低于其他实质性响应的供应商报价”。）</w:t>
            </w:r>
          </w:p>
        </w:tc>
      </w:tr>
      <w:tr>
        <w:tc>
          <w:tcPr>
            <w:tcW w:type="dxa" w:w="1051"/>
          </w:tcPr>
          <w:p>
            <w:pPr>
              <w:pStyle w:val="null3"/>
            </w:pPr>
            <w:r>
              <w:rPr/>
              <w:t>9</w:t>
            </w:r>
          </w:p>
        </w:tc>
        <w:tc>
          <w:tcPr>
            <w:tcW w:type="dxa" w:w="2252"/>
          </w:tcPr>
          <w:p>
            <w:pPr>
              <w:pStyle w:val="null3"/>
            </w:pPr>
            <w:r>
              <w:rPr/>
              <w:t>谈判保证金</w:t>
            </w:r>
          </w:p>
        </w:tc>
        <w:tc>
          <w:tcPr>
            <w:tcW w:type="dxa" w:w="5004"/>
          </w:tcPr>
          <w:p>
            <w:pPr>
              <w:pStyle w:val="null3"/>
            </w:pPr>
            <w:r>
              <w:rPr/>
              <w:t>本项目不收取谈判保证金。</w:t>
            </w:r>
          </w:p>
        </w:tc>
      </w:tr>
      <w:tr>
        <w:tc>
          <w:tcPr>
            <w:tcW w:type="dxa" w:w="1051"/>
          </w:tcPr>
          <w:p>
            <w:pPr>
              <w:pStyle w:val="null3"/>
            </w:pPr>
            <w:r>
              <w:rPr/>
              <w:t>10</w:t>
            </w:r>
          </w:p>
        </w:tc>
        <w:tc>
          <w:tcPr>
            <w:tcW w:type="dxa" w:w="2252"/>
          </w:tcPr>
          <w:p>
            <w:pPr>
              <w:pStyle w:val="null3"/>
            </w:pPr>
            <w:r>
              <w:rPr/>
              <w:t>履约保证金（实质性要求）</w:t>
            </w:r>
          </w:p>
        </w:tc>
        <w:tc>
          <w:tcPr>
            <w:tcW w:type="dxa" w:w="5004"/>
          </w:tcPr>
          <w:p>
            <w:pPr>
              <w:pStyle w:val="null3"/>
            </w:pPr>
          </w:p>
          <w:p>
            <w:pPr>
              <w:pStyle w:val="null3"/>
            </w:pPr>
          </w:p>
          <w:p>
            <w:pPr>
              <w:pStyle w:val="null3"/>
            </w:pPr>
            <w:r>
              <w:rPr/>
              <w:t>采购包1：不收取</w:t>
            </w:r>
          </w:p>
        </w:tc>
      </w:tr>
      <w:tr>
        <w:tc>
          <w:tcPr>
            <w:tcW w:type="dxa" w:w="1051"/>
          </w:tcPr>
          <w:p>
            <w:pPr>
              <w:pStyle w:val="null3"/>
            </w:pPr>
            <w:r>
              <w:rPr/>
              <w:t>11</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12</w:t>
            </w:r>
          </w:p>
        </w:tc>
        <w:tc>
          <w:tcPr>
            <w:tcW w:type="dxa" w:w="2252"/>
          </w:tcPr>
          <w:p>
            <w:pPr>
              <w:pStyle w:val="null3"/>
            </w:pPr>
            <w:r>
              <w:rPr/>
              <w:t>代理服务费（实质性要求）</w:t>
            </w:r>
          </w:p>
        </w:tc>
        <w:tc>
          <w:tcPr>
            <w:tcW w:type="dxa" w:w="5004"/>
          </w:tcPr>
          <w:p>
            <w:pPr>
              <w:pStyle w:val="null3"/>
            </w:pPr>
          </w:p>
          <w:p>
            <w:pPr>
              <w:pStyle w:val="null3"/>
            </w:pPr>
            <w:r>
              <w:rPr/>
              <w:t>本项目不收取代理服务费</w:t>
            </w:r>
          </w:p>
        </w:tc>
      </w:tr>
      <w:tr>
        <w:tc>
          <w:tcPr>
            <w:tcW w:type="dxa" w:w="1051"/>
          </w:tcPr>
          <w:p>
            <w:pPr>
              <w:pStyle w:val="null3"/>
            </w:pPr>
            <w:r>
              <w:rPr/>
              <w:t>13</w:t>
            </w:r>
          </w:p>
        </w:tc>
        <w:tc>
          <w:tcPr>
            <w:tcW w:type="dxa" w:w="2252"/>
          </w:tcPr>
          <w:p>
            <w:pPr>
              <w:pStyle w:val="null3"/>
            </w:pPr>
            <w:r>
              <w:rPr/>
              <w:t>采购结果公告</w:t>
            </w:r>
          </w:p>
        </w:tc>
        <w:tc>
          <w:tcPr>
            <w:tcW w:type="dxa" w:w="5004"/>
          </w:tcPr>
          <w:p>
            <w:pPr>
              <w:pStyle w:val="null3"/>
            </w:pPr>
            <w:r>
              <w:rPr/>
              <w:t>采购结果将在四川政府采购网予以公告。</w:t>
            </w:r>
          </w:p>
        </w:tc>
      </w:tr>
      <w:tr>
        <w:tc>
          <w:tcPr>
            <w:tcW w:type="dxa" w:w="1051"/>
          </w:tcPr>
          <w:p>
            <w:pPr>
              <w:pStyle w:val="null3"/>
            </w:pPr>
            <w:r>
              <w:rPr/>
              <w:t>14</w:t>
            </w:r>
          </w:p>
        </w:tc>
        <w:tc>
          <w:tcPr>
            <w:tcW w:type="dxa" w:w="2252"/>
          </w:tcPr>
          <w:p>
            <w:pPr>
              <w:pStyle w:val="null3"/>
            </w:pPr>
            <w:r>
              <w:rPr/>
              <w:t>成交通知书领取</w:t>
            </w:r>
          </w:p>
        </w:tc>
        <w:tc>
          <w:tcPr>
            <w:tcW w:type="dxa" w:w="5004"/>
          </w:tcPr>
          <w:p>
            <w:pPr>
              <w:pStyle w:val="null3"/>
            </w:pPr>
            <w:r>
              <w:rPr/>
              <w:t xml:space="preserve"> 采购结果公告后，采购人或代理机构通过项目电子化交易系统向成交供应商发出成交通知书；成交供应商通过项目电子化交易系统获取成交通知书。</w:t>
            </w:r>
          </w:p>
        </w:tc>
      </w:tr>
      <w:tr>
        <w:tc>
          <w:tcPr>
            <w:tcW w:type="dxa" w:w="1051"/>
          </w:tcPr>
          <w:p>
            <w:pPr>
              <w:pStyle w:val="null3"/>
            </w:pPr>
            <w:r>
              <w:rPr/>
              <w:t>15</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政府采购合同签订之日起2个工作日内，采购人将政府采购合同在四川政府采购网予以公告；政府采购合同签订之日起7个工作日内，采购人将政府采购合同报本级财政部门备案。</w:t>
            </w:r>
          </w:p>
        </w:tc>
      </w:tr>
      <w:tr>
        <w:tc>
          <w:tcPr>
            <w:tcW w:type="dxa" w:w="1051"/>
          </w:tcPr>
          <w:p>
            <w:pPr>
              <w:pStyle w:val="null3"/>
            </w:pPr>
            <w:r>
              <w:rPr/>
              <w:t>16</w:t>
            </w:r>
          </w:p>
        </w:tc>
        <w:tc>
          <w:tcPr>
            <w:tcW w:type="dxa" w:w="2252"/>
          </w:tcPr>
          <w:p>
            <w:pPr>
              <w:pStyle w:val="null3"/>
            </w:pPr>
            <w:r>
              <w:rPr/>
              <w:t>进口产品</w:t>
            </w:r>
          </w:p>
        </w:tc>
        <w:tc>
          <w:tcPr>
            <w:tcW w:type="dxa" w:w="5004"/>
          </w:tcPr>
          <w:p>
            <w:pPr>
              <w:pStyle w:val="null3"/>
            </w:pPr>
          </w:p>
          <w:p>
            <w:pPr>
              <w:pStyle w:val="null3"/>
            </w:pPr>
            <w:r>
              <w:rPr/>
              <w:t>不允许（实质性要求）</w:t>
            </w:r>
          </w:p>
        </w:tc>
      </w:tr>
      <w:tr>
        <w:tc>
          <w:tcPr>
            <w:tcW w:type="dxa" w:w="1051"/>
          </w:tcPr>
          <w:p>
            <w:pPr>
              <w:pStyle w:val="null3"/>
            </w:pPr>
            <w:r>
              <w:rPr/>
              <w:t>17</w:t>
            </w:r>
          </w:p>
        </w:tc>
        <w:tc>
          <w:tcPr>
            <w:tcW w:type="dxa" w:w="2252"/>
          </w:tcPr>
          <w:p>
            <w:pPr>
              <w:pStyle w:val="null3"/>
            </w:pPr>
            <w:r>
              <w:rPr/>
              <w:t>是否组织潜在供应商现场考察</w:t>
            </w:r>
          </w:p>
        </w:tc>
        <w:tc>
          <w:tcPr>
            <w:tcW w:type="dxa" w:w="5004"/>
          </w:tcPr>
          <w:p>
            <w:pPr>
              <w:pStyle w:val="null3"/>
            </w:pPr>
          </w:p>
          <w:p>
            <w:pPr>
              <w:pStyle w:val="null3"/>
            </w:pPr>
          </w:p>
          <w:p>
            <w:pPr>
              <w:pStyle w:val="null3"/>
            </w:pPr>
            <w:r>
              <w:rPr/>
              <w:t>采购包1：否</w:t>
            </w:r>
          </w:p>
        </w:tc>
      </w:tr>
      <w:tr>
        <w:tc>
          <w:tcPr>
            <w:tcW w:type="dxa" w:w="1051"/>
          </w:tcPr>
          <w:p>
            <w:pPr>
              <w:pStyle w:val="null3"/>
            </w:pPr>
            <w:r>
              <w:rPr/>
              <w:t>18</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t>19</w:t>
            </w:r>
          </w:p>
        </w:tc>
        <w:tc>
          <w:tcPr>
            <w:tcW w:type="dxa" w:w="2252"/>
          </w:tcPr>
          <w:p>
            <w:pPr>
              <w:pStyle w:val="null3"/>
            </w:pPr>
            <w:r>
              <w:rPr/>
              <w:t>报价/分值精确度</w:t>
            </w:r>
          </w:p>
        </w:tc>
        <w:tc>
          <w:tcPr>
            <w:tcW w:type="dxa" w:w="5004"/>
          </w:tcPr>
          <w:p>
            <w:pPr>
              <w:pStyle w:val="null3"/>
            </w:pPr>
            <w:r>
              <w:rPr/>
              <w:t xml:space="preserve"> 报价/分值精确度仅保留“所有数据项默认最多可输入/展示至小数点后2位，超出小数点位的数值采用四舍五入的方式进行精确”。</w:t>
            </w:r>
          </w:p>
        </w:tc>
      </w:tr>
    </w:tbl>
    <w:p>
      <w:pPr>
        <w:pStyle w:val="null3"/>
        <w:outlineLvl w:val="2"/>
      </w:pPr>
      <w:r>
        <w:rPr>
          <w:b/>
          <w:sz w:val="28"/>
        </w:rPr>
        <w:t>2.2、总则</w:t>
      </w:r>
    </w:p>
    <w:p>
      <w:pPr>
        <w:pStyle w:val="null3"/>
        <w:ind w:firstLine="480"/>
      </w:pPr>
      <w:r>
        <w:rPr/>
        <w:t>（一）适用范围</w:t>
      </w:r>
    </w:p>
    <w:p>
      <w:pPr>
        <w:pStyle w:val="null3"/>
        <w:ind w:firstLine="480"/>
      </w:pPr>
      <w:r>
        <w:rPr/>
        <w:t>1.本竞争性谈判文件仅适用于本次竞争性谈判采购项目。</w:t>
      </w:r>
    </w:p>
    <w:p>
      <w:pPr>
        <w:pStyle w:val="null3"/>
        <w:ind w:firstLine="480"/>
      </w:pPr>
      <w:r>
        <w:rPr/>
        <w:t xml:space="preserve"> 2.本竞争性谈判文件的最终解释权由</w:t>
      </w:r>
      <w:r>
        <w:rPr/>
        <w:t>乐山市公安局金口河区分局交通警察大队</w:t>
      </w:r>
      <w:r>
        <w:rPr/>
        <w:t>和</w:t>
      </w:r>
      <w:r>
        <w:rPr/>
        <w:t>乐山市金口河区政府采购中心</w:t>
      </w:r>
      <w:r>
        <w:rPr/>
        <w:t>享有。竞争性谈判文件中供应商参加本次政府采购活动应当具备的条件、技术清单、参数、商务及其他要求由</w:t>
      </w:r>
      <w:r>
        <w:rPr/>
        <w:t>乐山市公安局金口河区分局交通警察大队</w:t>
      </w:r>
      <w:r>
        <w:rPr/>
        <w:t>负责解释。除上述竞争性谈判文件内容，其他内容由</w:t>
      </w:r>
      <w:r>
        <w:rPr/>
        <w:t>乐山市金口河区政府采购中心</w:t>
      </w:r>
      <w:r>
        <w:rPr/>
        <w:t>负责解释。</w:t>
      </w:r>
    </w:p>
    <w:p>
      <w:pPr>
        <w:pStyle w:val="null3"/>
        <w:ind w:firstLine="480"/>
      </w:pPr>
      <w:r>
        <w:rPr/>
        <w:t>（二）有关定义</w:t>
      </w:r>
    </w:p>
    <w:p>
      <w:pPr>
        <w:pStyle w:val="null3"/>
        <w:ind w:firstLine="480"/>
      </w:pPr>
      <w:r>
        <w:rPr/>
        <w:t xml:space="preserve"> 1.“采购人”是指依法进行政府采购的各级国家机关、事业单位、团体组织。本次谈判的采购人是</w:t>
      </w:r>
      <w:r>
        <w:rPr/>
        <w:t>乐山市公安局金口河区分局交通警察大队</w:t>
      </w:r>
      <w:r>
        <w:rPr/>
        <w:t>。</w:t>
      </w:r>
    </w:p>
    <w:p>
      <w:pPr>
        <w:pStyle w:val="null3"/>
        <w:ind w:firstLine="480"/>
      </w:pPr>
      <w:r>
        <w:rPr/>
        <w:t xml:space="preserve"> 2.“供应商”是指在按照采购公告规定获取谈判文件，拟参加响应和向采购人提供货物的法人、其他组织或自然人。</w:t>
      </w:r>
    </w:p>
    <w:p>
      <w:pPr>
        <w:pStyle w:val="null3"/>
        <w:ind w:firstLine="480"/>
      </w:pPr>
      <w:r>
        <w:rPr/>
        <w:t xml:space="preserve"> 3.“代理机构”是指集中采购机构和集中采购机构以外的代理机构。本项目的代理机构是</w:t>
      </w:r>
      <w:r>
        <w:rPr/>
        <w:t>乐山市金口河区政府采购中心</w:t>
      </w:r>
    </w:p>
    <w:p>
      <w:pPr>
        <w:pStyle w:val="null3"/>
        <w:ind w:firstLine="480"/>
      </w:pPr>
      <w:r>
        <w:rPr/>
        <w:t xml:space="preserve"> 4.“网上开启”是指供应商通过项目电子化交易系统在线完成签到、响应文件解密后，采购人或者采购代理机构通过项目电子化交易系统在线完成已解密响应文件的开启工作。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5.“电子评审”是指通过项目电子化交易系统在线完成谈判小组组建，开展资格和符合性审查、出具谈判报告、推荐成交候选供应商等活动。</w:t>
      </w:r>
    </w:p>
    <w:p>
      <w:pPr>
        <w:pStyle w:val="null3"/>
        <w:outlineLvl w:val="2"/>
      </w:pPr>
      <w:r>
        <w:rPr>
          <w:b/>
          <w:sz w:val="28"/>
        </w:rPr>
        <w:t>2.3、竞争性谈判文件</w:t>
      </w:r>
    </w:p>
    <w:p>
      <w:pPr>
        <w:pStyle w:val="null3"/>
        <w:outlineLvl w:val="3"/>
      </w:pPr>
      <w:r>
        <w:rPr>
          <w:b/>
          <w:sz w:val="24"/>
        </w:rPr>
        <w:t xml:space="preserve"> 2.3.1竞争性谈判文件的构成</w:t>
      </w:r>
    </w:p>
    <w:p>
      <w:pPr>
        <w:pStyle w:val="null3"/>
        <w:ind w:firstLine="480"/>
      </w:pPr>
      <w:r>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t>（一）竞争性谈判邀请；</w:t>
      </w:r>
    </w:p>
    <w:p>
      <w:pPr>
        <w:pStyle w:val="null3"/>
        <w:ind w:firstLine="480"/>
      </w:pPr>
      <w:r>
        <w:rPr/>
        <w:t>（二）供应商须知；</w:t>
      </w:r>
    </w:p>
    <w:p>
      <w:pPr>
        <w:pStyle w:val="null3"/>
        <w:ind w:firstLine="480"/>
      </w:pPr>
      <w:r>
        <w:rPr/>
        <w:t>（三）谈判项目技术、服务、商务及其他要求；</w:t>
      </w:r>
    </w:p>
    <w:p>
      <w:pPr>
        <w:pStyle w:val="null3"/>
        <w:ind w:firstLine="480"/>
      </w:pPr>
      <w:r>
        <w:rPr/>
        <w:t>（四）谈判过程中可实质性变动的内容；</w:t>
      </w:r>
    </w:p>
    <w:p>
      <w:pPr>
        <w:pStyle w:val="null3"/>
        <w:ind w:firstLine="480"/>
      </w:pPr>
      <w:r>
        <w:rPr/>
        <w:t>（五）谈判办法；</w:t>
      </w:r>
    </w:p>
    <w:p>
      <w:pPr>
        <w:pStyle w:val="null3"/>
        <w:ind w:firstLine="480"/>
      </w:pPr>
      <w:r>
        <w:rPr/>
        <w:t>（六）响应文件格式；</w:t>
      </w:r>
    </w:p>
    <w:p>
      <w:pPr>
        <w:pStyle w:val="null3"/>
        <w:ind w:firstLine="480"/>
      </w:pPr>
      <w:r>
        <w:rPr/>
        <w:t>（七）拟签订采购合同文本。</w:t>
      </w:r>
    </w:p>
    <w:p>
      <w:pPr>
        <w:pStyle w:val="null3"/>
        <w:ind w:firstLine="480"/>
      </w:pPr>
      <w:r>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b/>
          <w:sz w:val="24"/>
        </w:rPr>
        <w:t xml:space="preserve"> 2.3.2竞争性谈判文件的澄清和修改</w:t>
      </w:r>
    </w:p>
    <w:p>
      <w:pPr>
        <w:pStyle w:val="null3"/>
        <w:ind w:firstLine="480"/>
      </w:pPr>
      <w:r>
        <w:rPr/>
        <w:t>一、在提交首次响应文件截止时间前，采购人或者代理机构可以对已发出的谈判文件进行必要的澄清或者修改。</w:t>
      </w:r>
    </w:p>
    <w:p>
      <w:pPr>
        <w:pStyle w:val="null3"/>
        <w:ind w:firstLine="480"/>
        <w:jc w:val="left"/>
      </w:pPr>
      <w:r>
        <w:rPr/>
        <w:t xml:space="preserve"> 二、澄清或者修改的内容为谈判文件的组成部分，采购人或者代理机构将在四川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2.4.1响应文件的语言（实质性要求）</w:t>
      </w:r>
    </w:p>
    <w:p>
      <w:pPr>
        <w:pStyle w:val="null3"/>
        <w:ind w:firstLine="480"/>
      </w:pPr>
      <w:r>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2.4.2计量单位（实质性要求）</w:t>
      </w:r>
    </w:p>
    <w:p>
      <w:pPr>
        <w:pStyle w:val="null3"/>
        <w:ind w:firstLine="480"/>
      </w:pPr>
      <w:r>
        <w:rPr/>
        <w:t>除谈判文件中另有规定外，本项目均采用国家法定的计量单位。</w:t>
      </w:r>
    </w:p>
    <w:p>
      <w:pPr>
        <w:pStyle w:val="null3"/>
        <w:outlineLvl w:val="3"/>
      </w:pPr>
      <w:r>
        <w:rPr>
          <w:b/>
          <w:sz w:val="24"/>
        </w:rPr>
        <w:t>2.4.3响应货币（实质性要求）</w:t>
      </w:r>
    </w:p>
    <w:p>
      <w:pPr>
        <w:pStyle w:val="null3"/>
        <w:ind w:firstLine="480"/>
      </w:pPr>
      <w:r>
        <w:rPr/>
        <w:t>本次项目均以人民币报价。</w:t>
      </w:r>
    </w:p>
    <w:p>
      <w:pPr>
        <w:pStyle w:val="null3"/>
        <w:outlineLvl w:val="3"/>
      </w:pPr>
      <w:r>
        <w:rPr>
          <w:b/>
          <w:sz w:val="24"/>
        </w:rPr>
        <w:t xml:space="preserve"> 2.4.4知识产权（实质性要求）</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outlineLvl w:val="3"/>
      </w:pPr>
      <w:r>
        <w:rPr>
          <w:b/>
          <w:sz w:val="24"/>
        </w:rPr>
        <w:t>2.4.5响应文件的组成（实质性要求）</w:t>
      </w:r>
    </w:p>
    <w:p>
      <w:pPr>
        <w:pStyle w:val="null3"/>
        <w:ind w:firstLine="480"/>
      </w:pPr>
      <w:r>
        <w:rPr/>
        <w:t>供应商应按照谈判文件的规定和要求编制响应文件。</w:t>
      </w:r>
    </w:p>
    <w:p>
      <w:pPr>
        <w:pStyle w:val="null3"/>
        <w:ind w:firstLine="480"/>
        <w:jc w:val="left"/>
      </w:pPr>
      <w:r>
        <w:rPr/>
        <w:t>响应文件具体内容详见第六章。</w:t>
      </w:r>
    </w:p>
    <w:p>
      <w:pPr>
        <w:pStyle w:val="null3"/>
        <w:outlineLvl w:val="3"/>
      </w:pPr>
      <w:r>
        <w:rPr>
          <w:b/>
          <w:sz w:val="24"/>
        </w:rPr>
        <w:t>2.4.6响应文件格式</w:t>
      </w:r>
    </w:p>
    <w:p>
      <w:pPr>
        <w:pStyle w:val="null3"/>
        <w:ind w:firstLine="480"/>
      </w:pPr>
      <w:r>
        <w:rPr/>
        <w:t>1.供应商应按照谈判文件第六章中提供的“响应文件格式”填写相关内容。</w:t>
      </w:r>
    </w:p>
    <w:p>
      <w:pPr>
        <w:pStyle w:val="null3"/>
        <w:ind w:firstLine="480"/>
      </w:pPr>
      <w:r>
        <w:rPr/>
        <w:t>2.对于没有格式要求的响应文件由供应商自行编写。</w:t>
      </w:r>
    </w:p>
    <w:p>
      <w:pPr>
        <w:pStyle w:val="null3"/>
        <w:outlineLvl w:val="3"/>
      </w:pPr>
      <w:r>
        <w:rPr>
          <w:b/>
          <w:sz w:val="24"/>
        </w:rPr>
        <w:t>2.4.7响应报价（实质性要求）</w:t>
      </w:r>
    </w:p>
    <w:p>
      <w:pPr>
        <w:pStyle w:val="null3"/>
        <w:ind w:firstLine="480"/>
      </w:pPr>
      <w:r>
        <w:rPr/>
        <w:t xml:space="preserve"> 一、供应商的报价是供应商响应谈判项目要求的全部工作内容的价格体现，包括供应商完成本项目所需的一切费用。</w:t>
      </w:r>
    </w:p>
    <w:p>
      <w:pPr>
        <w:pStyle w:val="null3"/>
        <w:ind w:firstLine="480"/>
      </w:pPr>
      <w:r>
        <w:rPr/>
        <w:t xml:space="preserve"> 二、响应文件报价出现前后不一致的，按照谈判文件第五章谈判办法规定予以修正，修正后的报价经供应商以书面形式通过项目电子化交易系统进行确认，并加盖供应商（法定名称）电子印章，供应商逾时确认的，其响应无效。</w:t>
      </w:r>
    </w:p>
    <w:p>
      <w:pPr>
        <w:pStyle w:val="null3"/>
        <w:outlineLvl w:val="3"/>
      </w:pPr>
      <w:r>
        <w:rPr>
          <w:b/>
          <w:sz w:val="24"/>
        </w:rPr>
        <w:t>2.4.8响应文件有效期</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2.4.9响应文件的制作、签章和加密（实质性要求）</w:t>
      </w:r>
    </w:p>
    <w:p>
      <w:pPr>
        <w:pStyle w:val="null3"/>
        <w:ind w:firstLine="480"/>
      </w:pPr>
      <w:r>
        <w:rPr/>
        <w:t xml:space="preserve"> 一、响应文件应当根据谈判通知书进行编制。供应商应通过四川政府采购网-办事指南下载响应客户端，使用客户端编制响应文件。</w:t>
      </w:r>
    </w:p>
    <w:p>
      <w:pPr>
        <w:pStyle w:val="null3"/>
        <w:ind w:firstLine="480"/>
      </w:pPr>
      <w:r>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2.4.11响应文件的补充、修改和撤回（实质性要求）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2.5、开启、资格审查、谈判和确定成交供应商</w:t>
      </w:r>
    </w:p>
    <w:p>
      <w:pPr>
        <w:pStyle w:val="null3"/>
        <w:outlineLvl w:val="3"/>
      </w:pPr>
      <w:r>
        <w:rPr>
          <w:b/>
          <w:sz w:val="24"/>
        </w:rPr>
        <w:t>2.5.1谈判开启程序</w:t>
      </w:r>
    </w:p>
    <w:p>
      <w:pPr>
        <w:pStyle w:val="null3"/>
        <w:ind w:firstLine="480"/>
      </w:pPr>
      <w:r>
        <w:rPr/>
        <w:t xml:space="preserve"> 一、本项目为竞争性谈判项目。网上开启的开始时间为响应文件提交截止时间。成功提交或成功提交和解密电子响应文件的供应商不足3家的，不予开启，采购人或代理机构将终止采购活动。</w:t>
      </w:r>
    </w:p>
    <w:p>
      <w:pPr>
        <w:pStyle w:val="null3"/>
        <w:ind w:firstLine="480"/>
      </w:pPr>
      <w:r>
        <w:rPr/>
        <w:t>二、谈判开启准备工作</w:t>
      </w:r>
    </w:p>
    <w:p>
      <w:pPr>
        <w:pStyle w:val="null3"/>
        <w:ind w:firstLine="480"/>
      </w:pPr>
      <w:r>
        <w:rPr/>
        <w:t>响应文件开启时间前，供应商登录项目电子化交易系统-“开标/开启大厅”，等待代理机构开启谈判。</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详见谈判文件第四章。</w:t>
      </w:r>
    </w:p>
    <w:p>
      <w:pPr>
        <w:pStyle w:val="null3"/>
        <w:outlineLvl w:val="3"/>
      </w:pPr>
      <w:r>
        <w:rPr>
          <w:b/>
          <w:sz w:val="24"/>
        </w:rPr>
        <w:t>2.5.4谈判</w:t>
      </w:r>
    </w:p>
    <w:p>
      <w:pPr>
        <w:pStyle w:val="null3"/>
        <w:ind w:firstLine="480"/>
      </w:pPr>
      <w:r>
        <w:rPr/>
        <w:t>详见谈判文件第五章。</w:t>
      </w:r>
    </w:p>
    <w:p>
      <w:pPr>
        <w:pStyle w:val="null3"/>
        <w:outlineLvl w:val="3"/>
      </w:pPr>
      <w:r>
        <w:rPr>
          <w:b/>
          <w:sz w:val="24"/>
        </w:rPr>
        <w:t>2.5.5、成交通知书</w:t>
      </w:r>
    </w:p>
    <w:p>
      <w:pPr>
        <w:pStyle w:val="null3"/>
        <w:ind w:firstLine="480"/>
      </w:pPr>
      <w:r>
        <w:rPr/>
        <w:t xml:space="preserve"> 一、采购人或者谈判小组确认成交供应商后，代理机构在四川政府采购网发布成交结果公告、通过项目电子化交易系统发出成交通知书，成交供应商通过项目电子化交易系统获取成交通知书。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二、采购人和成交供应商签订的采购合同不得对谈判文件确定的事项以及成交供应商的响应文件作实质性修改。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p>
    <w:p>
      <w:pPr>
        <w:pStyle w:val="null3"/>
      </w:pPr>
    </w:p>
    <w:p>
      <w:pPr>
        <w:pStyle w:val="null3"/>
      </w:pP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一、严禁成交供应商将本项目转包。本项目所称转包，是指将本项目转给他人或者将本项目全部肢解以后以分包的名义分别转给他人的行为。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outlineLvl w:val="3"/>
      </w:pPr>
      <w:r>
        <w:rPr>
          <w:b/>
          <w:sz w:val="24"/>
        </w:rPr>
        <w:t>2.6.3采购人增加合同标的的权利</w:t>
      </w:r>
    </w:p>
    <w:p>
      <w:pPr>
        <w:pStyle w:val="null3"/>
        <w:ind w:firstLine="480"/>
      </w:pPr>
      <w:r>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2"/>
      </w:pPr>
      <w:r>
        <w:rPr>
          <w:b/>
          <w:sz w:val="28"/>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2"/>
      </w:pPr>
      <w:r>
        <w:rPr>
          <w:b/>
          <w:sz w:val="28"/>
        </w:rPr>
        <w:t>2.6.5履约验收方案</w:t>
      </w:r>
    </w:p>
    <w:p>
      <w:pPr>
        <w:pStyle w:val="null3"/>
      </w:pPr>
    </w:p>
    <w:p>
      <w:pPr>
        <w:pStyle w:val="null3"/>
      </w:pPr>
    </w:p>
    <w:p>
      <w:pPr>
        <w:pStyle w:val="null3"/>
      </w:pPr>
    </w:p>
    <w:p>
      <w:pPr>
        <w:pStyle w:val="null3"/>
      </w:pPr>
      <w:r>
        <w:rPr/>
        <w:t>采购包1：</w:t>
      </w:r>
    </w:p>
    <w:p>
      <w:pPr>
        <w:pStyle w:val="null3"/>
        <w:ind w:firstLine="840"/>
      </w:pPr>
      <w:r>
        <w:rPr/>
        <w:t>1）验收组织方式：</w:t>
      </w:r>
      <w:r>
        <w:rPr/>
        <w:t>自行验收</w:t>
      </w:r>
    </w:p>
    <w:p>
      <w:pPr>
        <w:pStyle w:val="null3"/>
        <w:ind w:firstLine="840"/>
      </w:pPr>
      <w:r>
        <w:rPr/>
        <w:t>2）是否邀请本项目的其他供应商：</w:t>
      </w:r>
      <w:r>
        <w:rPr/>
        <w:t>否</w:t>
      </w:r>
    </w:p>
    <w:p>
      <w:pPr>
        <w:pStyle w:val="null3"/>
        <w:ind w:firstLine="840"/>
      </w:pPr>
      <w:r>
        <w:rPr/>
        <w:t>3）是否邀请专家：</w:t>
      </w:r>
      <w:r>
        <w:rPr/>
        <w:t>否</w:t>
      </w:r>
    </w:p>
    <w:p>
      <w:pPr>
        <w:pStyle w:val="null3"/>
        <w:ind w:firstLine="840"/>
      </w:pPr>
      <w:r>
        <w:rPr/>
        <w:t>4）是否邀请服务对象：</w:t>
      </w:r>
      <w:r>
        <w:rPr/>
        <w:t>否</w:t>
      </w:r>
    </w:p>
    <w:p>
      <w:pPr>
        <w:pStyle w:val="null3"/>
        <w:ind w:firstLine="840"/>
      </w:pPr>
      <w:r>
        <w:rPr/>
        <w:t>5）是否邀请第三方检测机构：</w:t>
      </w:r>
      <w:r>
        <w:rPr/>
        <w:t>否</w:t>
      </w:r>
    </w:p>
    <w:p>
      <w:pPr>
        <w:pStyle w:val="null3"/>
        <w:ind w:firstLine="840"/>
      </w:pPr>
      <w:r>
        <w:rPr/>
        <w:t>6）履约验收程序：</w:t>
      </w:r>
      <w:r>
        <w:rPr/>
        <w:t>一次性验收</w:t>
      </w:r>
    </w:p>
    <w:p>
      <w:pPr>
        <w:pStyle w:val="null3"/>
        <w:ind w:firstLine="840"/>
      </w:pPr>
      <w:r>
        <w:rPr/>
        <w:t>7）履约验收时间：</w:t>
      </w:r>
    </w:p>
    <w:p>
      <w:pPr>
        <w:pStyle w:val="null3"/>
      </w:pPr>
    </w:p>
    <w:p>
      <w:pPr>
        <w:pStyle w:val="null3"/>
        <w:ind w:firstLine="1200"/>
      </w:pPr>
      <w:r>
        <w:rPr/>
        <w:t>供应商提出验收申请之日起</w:t>
      </w:r>
      <w:r>
        <w:rPr/>
        <w:t>30</w:t>
      </w:r>
      <w:r>
        <w:rPr/>
        <w:t>日内组织验收</w:t>
      </w:r>
    </w:p>
    <w:p>
      <w:pPr>
        <w:pStyle w:val="null3"/>
        <w:ind w:firstLine="840"/>
      </w:pPr>
      <w:r>
        <w:rPr/>
        <w:t>8）验收组织的其他事项：</w:t>
      </w:r>
      <w:r>
        <w:rPr/>
        <w:t>按国家有关规定以及采购人采购文件的质量要求和技术指标、成交供应商的响应文件及承诺与本项目合同约定标准进行验收。 其他未尽事宜，严格按照《财政部关于进一步加强政府采购需求和履约验收管理的指导意见》(财库〔2016〕205 号)和《乐山市财政局关于沿用乐山市政府采购项目需求论证和履约验收管理实施细则的通知》（乐市财政采〔2021〕8号）的要求及国家行业主管部门规定的标准、方法和内容进行验收。</w:t>
      </w:r>
    </w:p>
    <w:p>
      <w:pPr>
        <w:pStyle w:val="null3"/>
        <w:ind w:firstLine="840"/>
      </w:pPr>
      <w:r>
        <w:rPr/>
        <w:t>9）技术履约验收内容：</w:t>
      </w:r>
      <w:r>
        <w:rPr/>
        <w:t>按国家有关规定以及采购人采购文件的质量要求和技术指标、成交供应商的响应文件及承诺与本项目合同约定标准进行验收。</w:t>
      </w:r>
    </w:p>
    <w:p>
      <w:pPr>
        <w:pStyle w:val="null3"/>
        <w:ind w:firstLine="840"/>
      </w:pPr>
      <w:r>
        <w:rPr/>
        <w:t>10）商务履约验收内容：</w:t>
      </w:r>
      <w:r>
        <w:rPr/>
        <w:t>自合同签订之日起60日内完成项目建设、平台联网、调试运行及设备备案。</w:t>
      </w:r>
    </w:p>
    <w:p>
      <w:pPr>
        <w:pStyle w:val="null3"/>
        <w:ind w:firstLine="840"/>
      </w:pPr>
      <w:r>
        <w:rPr/>
        <w:t>11）履约验收标准：</w:t>
      </w:r>
    </w:p>
    <w:p>
      <w:pPr>
        <w:pStyle w:val="null3"/>
      </w:pPr>
    </w:p>
    <w:p>
      <w:pPr>
        <w:pStyle w:val="null3"/>
        <w:ind w:firstLine="1200"/>
      </w:pPr>
      <w:r>
        <w:rPr/>
        <w:t>严格按照国家现行有关行业规定、质量和技术指标要求、谈判文件的质量要求和技术指标、成交供应商的谈判响应文件及承诺与采购合同约定标准进行验收。其他未尽事宜应严格按照《财政部关于进一步加强政府采购需求和履约验收管理的指导意见》（财库〔2016〕205号）、乐市财政采【2021】8号关于沿用《乐山市政府采购项目需求论证和履约验收管理实施细则》的要求进行。</w:t>
      </w:r>
    </w:p>
    <w:p>
      <w:pPr>
        <w:pStyle w:val="null3"/>
        <w:ind w:firstLine="840"/>
      </w:pPr>
      <w:r>
        <w:rPr/>
        <w:t>12）履约验收其他事项：</w:t>
      </w:r>
      <w:r>
        <w:rPr/>
        <w:t>1、本项目核心产品为终端管理设备。 2、本项目需求内容若涉及节能产品政府采购品目清单中政府强制采购产品的，供应商应提供国家确定的认证机构出具的、处于有效期之内的节能产品认证证书复印件加盖供应商公章。 3、本项目需求内容若涉及节能产品、环境标志产品的，严格按照《财政部 发展改革委 生态环境部 市场监管总局 关于调整优化节能产品、环境标志产品政府采购执行机制的通知》(财库[2019]9 号)、《财政部 发展改革委文件 关于 印发节能产品政府采购品目清单的通知》(财库〔2019〕19 号)、《关于印发环 境标志产品政府采购品目清单的通知》(财库〔2019〕19号)、《市场监管总局关于发布参与实施政府采购节能产品、环境标志产品认证机构名录的公告(2019 年第16号)》等文件执行。 4、产品的技术参数描述如与特定品牌或者型号相匹配，仅作为技术参考，不代表特定产品。技术参数值为固定值的，可以理解为等于或优于该参数要求。 5、采购标的技术参数要求表中各项技术参数要求，均为实质性要求。供应商响应若为不满足或负偏离的，均做符合性审查不通过处理。</w:t>
      </w:r>
    </w:p>
    <w:p>
      <w:pPr>
        <w:pStyle w:val="null3"/>
        <w:outlineLvl w:val="2"/>
      </w:pPr>
      <w:r>
        <w:rPr>
          <w:b/>
          <w:sz w:val="28"/>
        </w:rPr>
        <w:t>2.6.6资金支付</w:t>
      </w:r>
    </w:p>
    <w:p>
      <w:pPr>
        <w:pStyle w:val="null3"/>
        <w:ind w:firstLine="480"/>
      </w:pPr>
      <w:r>
        <w:rPr/>
        <w:t>采购人按财政部门的相关规定及采购合同的约定进行支付。</w:t>
      </w:r>
    </w:p>
    <w:p>
      <w:pPr>
        <w:pStyle w:val="null3"/>
        <w:outlineLvl w:val="2"/>
      </w:pPr>
      <w:r>
        <w:rPr>
          <w:b/>
          <w:sz w:val="28"/>
        </w:rPr>
        <w:t>2.7、竞争性谈判工作纪律及要求</w:t>
      </w:r>
    </w:p>
    <w:p>
      <w:pPr>
        <w:pStyle w:val="null3"/>
        <w:outlineLvl w:val="3"/>
      </w:pPr>
      <w:r>
        <w:rPr>
          <w:b/>
          <w:sz w:val="24"/>
        </w:rPr>
        <w:t>2.7.1谈判活动纪律要求</w:t>
      </w:r>
    </w:p>
    <w:p>
      <w:pPr>
        <w:pStyle w:val="null3"/>
        <w:ind w:firstLine="480"/>
      </w:pPr>
      <w:r>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t>对各供应商的商业秘密，谈判小组成员应予以保密，不得泄露给其他供应商。</w:t>
      </w:r>
    </w:p>
    <w:p>
      <w:pPr>
        <w:pStyle w:val="null3"/>
        <w:outlineLvl w:val="3"/>
      </w:pPr>
      <w:r>
        <w:rPr>
          <w:b/>
          <w:sz w:val="24"/>
        </w:rPr>
        <w:t>2.7.2供应商不得具有的情形（实质性要求）</w:t>
      </w:r>
    </w:p>
    <w:p>
      <w:pPr>
        <w:pStyle w:val="null3"/>
        <w:ind w:firstLine="480"/>
      </w:pPr>
      <w:r>
        <w:rPr/>
        <w:t>供应商参加谈判不得有下列情形：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（二）不同供应商委托同一单位或者个人办理谈判事宜；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五、向采购人或代理机构、谈判小组成员行贿或者提供其他不正当利益；</w:t>
      </w:r>
    </w:p>
    <w:p>
      <w:pPr>
        <w:pStyle w:val="null3"/>
        <w:ind w:firstLine="480"/>
      </w:pPr>
      <w:r>
        <w:rPr/>
        <w:t>六、在谈判过程中与采购人或代理机构进行协商谈判；</w:t>
      </w:r>
    </w:p>
    <w:p>
      <w:pPr>
        <w:pStyle w:val="null3"/>
        <w:ind w:firstLine="480"/>
      </w:pPr>
      <w:r>
        <w:rPr/>
        <w:t>七、成交后无正当理由拒不与采购人签订政府采购合同；</w:t>
      </w:r>
    </w:p>
    <w:p>
      <w:pPr>
        <w:pStyle w:val="null3"/>
        <w:ind w:firstLine="480"/>
      </w:pPr>
      <w:r>
        <w:rPr/>
        <w:t>八、未按照谈判文件确定的事项签订政府采购合同；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乐山市公安局金口河区分局交通警察大队</w:t>
      </w:r>
      <w:r>
        <w:rPr/>
        <w:t xml:space="preserve"> 负责答复；供应商对除采购需求外的采购文件的询问、质疑由</w:t>
      </w:r>
      <w:r>
        <w:rPr/>
        <w:t>乐山市金口河区政府采购中心</w:t>
      </w:r>
      <w:r>
        <w:rPr/>
        <w:t xml:space="preserve"> 负责答复；供应商对采购过程、采购结果的询问、质疑由 </w:t>
      </w:r>
      <w:r>
        <w:rPr/>
        <w:t>乐山市金口河区政府采购中心</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（五）针对质疑事项必要的证明材料（针对谈判文件提出的质疑，需提交从项目电子化交易系统获取的谈判文件回执单）。</w:t>
      </w:r>
    </w:p>
    <w:p>
      <w:pPr>
        <w:pStyle w:val="null3"/>
      </w:pPr>
    </w:p>
    <w:p>
      <w:pPr>
        <w:pStyle w:val="null3"/>
      </w:pPr>
    </w:p>
    <w:p>
      <w:pPr>
        <w:pStyle w:val="null3"/>
      </w:pPr>
      <w:r>
        <w:rPr/>
        <w:t>答复主体：代理机构</w:t>
      </w:r>
    </w:p>
    <w:p>
      <w:pPr>
        <w:pStyle w:val="null3"/>
      </w:pPr>
      <w:r>
        <w:rPr/>
        <w:t>联系人：李老师</w:t>
      </w:r>
    </w:p>
    <w:p>
      <w:pPr>
        <w:pStyle w:val="null3"/>
      </w:pPr>
      <w:r>
        <w:rPr/>
        <w:t>联系电话：08332713780</w:t>
      </w:r>
    </w:p>
    <w:p>
      <w:pPr>
        <w:pStyle w:val="null3"/>
      </w:pPr>
      <w:r>
        <w:rPr/>
        <w:t>地址：乐山市金口河区滨河路三段153号</w:t>
      </w:r>
    </w:p>
    <w:p>
      <w:pPr>
        <w:pStyle w:val="null3"/>
      </w:pPr>
      <w:r>
        <w:rPr/>
        <w:t>邮编：614700</w:t>
      </w:r>
    </w:p>
    <w:p>
      <w:pPr>
        <w:pStyle w:val="null3"/>
      </w:pPr>
      <w:r>
        <w:rPr/>
        <w:t>答复主体：采购单位</w:t>
      </w:r>
    </w:p>
    <w:p>
      <w:pPr>
        <w:pStyle w:val="null3"/>
      </w:pPr>
      <w:r>
        <w:rPr/>
        <w:t>联系人：段晓宇</w:t>
      </w:r>
    </w:p>
    <w:p>
      <w:pPr>
        <w:pStyle w:val="null3"/>
      </w:pPr>
      <w:r>
        <w:rPr/>
        <w:t>联系电话：13547731740</w:t>
      </w:r>
    </w:p>
    <w:p>
      <w:pPr>
        <w:pStyle w:val="null3"/>
      </w:pPr>
      <w:r>
        <w:rPr/>
        <w:t>地址：乐山市金口河区滨河路三段51号</w:t>
      </w:r>
    </w:p>
    <w:p>
      <w:pPr>
        <w:pStyle w:val="null3"/>
      </w:pPr>
      <w:r>
        <w:rPr/>
        <w:t>邮编：614700</w:t>
      </w:r>
    </w:p>
    <w:p>
      <w:pPr>
        <w:pStyle w:val="null3"/>
        <w:ind w:firstLine="480"/>
      </w:pPr>
      <w:r>
        <w:rPr/>
        <w:t>注：根据《中华人民共和国政府采购法》的规定，供应商质疑不得超出谈判文件、采购过程、采购结果的范围。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p>
    <w:p>
      <w:pPr>
        <w:pStyle w:val="null3"/>
      </w:pPr>
      <w:r>
        <w:rPr/>
        <w:t xml:space="preserve"> </w:t>
      </w:r>
    </w:p>
    <w:p>
      <w:pPr>
        <w:pStyle w:val="null3"/>
        <w:jc w:val="center"/>
        <w:outlineLvl w:val="1"/>
      </w:pPr>
      <w:r>
        <w:rPr>
          <w:b/>
          <w:sz w:val="36"/>
        </w:rPr>
        <w:t>第三章 谈判项目技术、服务、商务及其他要求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w:t>
      </w:r>
    </w:p>
    <w:p>
      <w:pPr>
        <w:pStyle w:val="null3"/>
        <w:outlineLvl w:val="2"/>
      </w:pPr>
      <w:r>
        <w:rPr>
          <w:b/>
          <w:sz w:val="28"/>
        </w:rPr>
        <w:t>3.1、采购项目概况</w:t>
      </w:r>
    </w:p>
    <w:p>
      <w:pPr>
        <w:pStyle w:val="null3"/>
        <w:ind w:firstLine="480"/>
      </w:pPr>
    </w:p>
    <w:p>
      <w:pPr>
        <w:pStyle w:val="null3"/>
      </w:pPr>
    </w:p>
    <w:p>
      <w:pPr>
        <w:pStyle w:val="null3"/>
      </w:pPr>
      <w:r>
        <w:rPr/>
        <w:t>拟在静雅路、橘园街等次干道、支路的重点路口新建12套违法停车抓拍设备。同时将数据上传到乐山市公安局金口河区分局交通警察大队交通管控指挥中心，再将违法数据上传到乐山市公安交通集成指挥平台。 其中违停抓拍系统使用高清违停抓拍球机，交通管控指挥中心交通管控平台进行升级接入，为前端抓拍系统配置对应存储。 系统网络采用原有已建视频专网扩容建设实现： 1、建设12套违法停车点位，对违法停车情况进行自动抓拍取证, 并上传乐山市公安交通集成指挥平台。 2、新建12套点位专线网络，直接通过新建线路专网接入交通管控指挥中心平台。 3、新建1套存储设备，以保证存储时间为6个月。 4、系统平台升级扩容，以保证新建点位无缝接入原有交警系统平台 5、可视频监控覆盖点位进行任意查看，实时了解道路交通状况。 6、可调取视频监控覆盖点位的视频图像，保证突发事件及重大保障任务的视频图像需求。 7、12处点位明细：①春和路区水务局②春和路荣升苑③新市街区交通运输局门口④橘园街31号⑤环山路42号⑥静雅路46号⑦和平路7号⑧祥和路1号⑨祥和路55号⑩育贤路区幼儿园区门口⑪罗回街131号⑫罗回街240号</w:t>
      </w:r>
    </w:p>
    <w:p>
      <w:pPr>
        <w:pStyle w:val="null3"/>
        <w:outlineLvl w:val="2"/>
      </w:pPr>
      <w:r>
        <w:rPr>
          <w:b/>
          <w:sz w:val="28"/>
        </w:rPr>
        <w:t>3.2、采购内容</w:t>
      </w:r>
    </w:p>
    <w:p>
      <w:pPr>
        <w:pStyle w:val="null3"/>
        <w:outlineLvl w:val="3"/>
      </w:pPr>
      <w:r>
        <w:rPr>
          <w:b/>
          <w:sz w:val="24"/>
        </w:rPr>
        <w:t>3.2.1标的清单</w:t>
      </w:r>
    </w:p>
    <w:p>
      <w:pPr>
        <w:pStyle w:val="null3"/>
      </w:pPr>
    </w:p>
    <w:p>
      <w:pPr>
        <w:pStyle w:val="null3"/>
      </w:pPr>
    </w:p>
    <w:p>
      <w:pPr>
        <w:pStyle w:val="null3"/>
      </w:pPr>
      <w:r>
        <w:rPr/>
        <w:t>采购包1：</w:t>
      </w:r>
    </w:p>
    <w:p>
      <w:pPr>
        <w:pStyle w:val="null3"/>
      </w:pPr>
      <w:r>
        <w:rPr/>
        <w:t>采购包预算金额（元）: 608,200.00</w:t>
      </w:r>
    </w:p>
    <w:p>
      <w:pPr>
        <w:pStyle w:val="null3"/>
      </w:pPr>
      <w:r>
        <w:rPr/>
        <w:t>采购包最高限价（元）: 608,200.00</w:t>
      </w:r>
    </w:p>
    <w:tbl>
      <w:tblPr>
        <w:tblW w:w="0" w:type="auto"/>
        <w:tblBorders>
          <w:top w:val="single"/>
          <w:left w:val="single"/>
          <w:bottom w:val="single"/>
          <w:right w:val="single"/>
          <w:insideH w:val="single"/>
          <w:insideV w:val="single"/>
        </w:tblBorders>
      </w:tblPr>
      <w:tblGrid>
        <w:gridCol w:w="678"/>
        <w:gridCol w:w="1271"/>
        <w:gridCol w:w="848"/>
        <w:gridCol w:w="1356"/>
        <w:gridCol w:w="678"/>
        <w:gridCol w:w="678"/>
        <w:gridCol w:w="593"/>
        <w:gridCol w:w="678"/>
        <w:gridCol w:w="678"/>
        <w:gridCol w:w="848"/>
      </w:tblGrid>
      <w:tr>
        <w:tc>
          <w:tcPr>
            <w:tcW w:type="dxa" w:w="678"/>
          </w:tcPr>
          <w:p>
            <w:pPr>
              <w:pStyle w:val="null3"/>
            </w:pPr>
            <w:r>
              <w:rPr/>
              <w:t>序号</w:t>
            </w:r>
          </w:p>
        </w:tc>
        <w:tc>
          <w:tcPr>
            <w:tcW w:type="dxa" w:w="1271"/>
          </w:tcPr>
          <w:p>
            <w:pPr>
              <w:pStyle w:val="null3"/>
            </w:pPr>
            <w:r>
              <w:rPr/>
              <w:t>标的名称</w:t>
            </w:r>
          </w:p>
        </w:tc>
        <w:tc>
          <w:tcPr>
            <w:tcW w:type="dxa" w:w="848"/>
          </w:tcPr>
          <w:p>
            <w:pPr>
              <w:pStyle w:val="null3"/>
            </w:pPr>
            <w:r>
              <w:rPr/>
              <w:t>数量</w:t>
            </w:r>
          </w:p>
        </w:tc>
        <w:tc>
          <w:tcPr>
            <w:tcW w:type="dxa" w:w="1356"/>
          </w:tcPr>
          <w:p>
            <w:pPr>
              <w:pStyle w:val="null3"/>
            </w:pPr>
            <w:r>
              <w:rPr/>
              <w:t>标的金额 （元）</w:t>
            </w:r>
          </w:p>
        </w:tc>
        <w:tc>
          <w:tcPr>
            <w:tcW w:type="dxa" w:w="678"/>
          </w:tcPr>
          <w:p>
            <w:pPr>
              <w:pStyle w:val="null3"/>
            </w:pPr>
            <w:r>
              <w:rPr/>
              <w:t>计量单位</w:t>
            </w:r>
          </w:p>
        </w:tc>
        <w:tc>
          <w:tcPr>
            <w:tcW w:type="dxa" w:w="678"/>
          </w:tcPr>
          <w:p>
            <w:pPr>
              <w:pStyle w:val="null3"/>
            </w:pPr>
            <w:r>
              <w:rPr/>
              <w:t>所属行业</w:t>
            </w:r>
          </w:p>
        </w:tc>
        <w:tc>
          <w:tcPr>
            <w:tcW w:type="dxa" w:w="593"/>
          </w:tcPr>
          <w:p>
            <w:pPr>
              <w:pStyle w:val="null3"/>
            </w:pPr>
            <w:r>
              <w:rPr/>
              <w:t>是否涉及核心产品</w:t>
            </w:r>
          </w:p>
        </w:tc>
        <w:tc>
          <w:tcPr>
            <w:tcW w:type="dxa" w:w="678"/>
          </w:tcPr>
          <w:p>
            <w:pPr>
              <w:pStyle w:val="null3"/>
            </w:pPr>
            <w:r>
              <w:rPr/>
              <w:t>是否涉及采购进口产品</w:t>
            </w:r>
          </w:p>
        </w:tc>
        <w:tc>
          <w:tcPr>
            <w:tcW w:type="dxa" w:w="678"/>
          </w:tcPr>
          <w:p>
            <w:pPr>
              <w:pStyle w:val="null3"/>
            </w:pPr>
            <w:r>
              <w:rPr/>
              <w:t>是否涉及采购节能产品</w:t>
            </w:r>
          </w:p>
        </w:tc>
        <w:tc>
          <w:tcPr>
            <w:tcW w:type="dxa" w:w="848"/>
          </w:tcPr>
          <w:p>
            <w:pPr>
              <w:pStyle w:val="null3"/>
            </w:pPr>
            <w:r>
              <w:rPr/>
              <w:t>是否涉及采购环境标志产品</w:t>
            </w:r>
          </w:p>
        </w:tc>
      </w:tr>
      <w:tr>
        <w:tc>
          <w:tcPr>
            <w:tcW w:type="dxa" w:w="678"/>
          </w:tcPr>
          <w:p>
            <w:pPr>
              <w:pStyle w:val="null3"/>
            </w:pPr>
            <w:r>
              <w:rPr/>
              <w:t>1</w:t>
            </w:r>
          </w:p>
        </w:tc>
        <w:tc>
          <w:tcPr>
            <w:tcW w:type="dxa" w:w="1271"/>
          </w:tcPr>
          <w:p>
            <w:pPr>
              <w:pStyle w:val="null3"/>
            </w:pPr>
            <w:r>
              <w:rPr/>
              <w:t>和平城区第三期交通技术监控设备建设项目</w:t>
            </w:r>
          </w:p>
        </w:tc>
        <w:tc>
          <w:tcPr>
            <w:tcW w:type="dxa" w:w="848"/>
          </w:tcPr>
          <w:p>
            <w:pPr>
              <w:pStyle w:val="null3"/>
              <w:jc w:val="right"/>
            </w:pPr>
            <w:r>
              <w:rPr/>
              <w:t>1.00</w:t>
            </w:r>
          </w:p>
        </w:tc>
        <w:tc>
          <w:tcPr>
            <w:tcW w:type="dxa" w:w="1356"/>
          </w:tcPr>
          <w:p>
            <w:pPr>
              <w:pStyle w:val="null3"/>
              <w:jc w:val="right"/>
            </w:pPr>
            <w:r>
              <w:rPr/>
              <w:t>608,200.00</w:t>
            </w:r>
          </w:p>
        </w:tc>
        <w:tc>
          <w:tcPr>
            <w:tcW w:type="dxa" w:w="678"/>
          </w:tcPr>
          <w:p>
            <w:pPr>
              <w:pStyle w:val="null3"/>
            </w:pPr>
            <w:r>
              <w:rPr/>
              <w:t>项</w:t>
            </w:r>
          </w:p>
        </w:tc>
        <w:tc>
          <w:tcPr>
            <w:tcW w:type="dxa" w:w="678"/>
          </w:tcPr>
          <w:p>
            <w:pPr>
              <w:pStyle w:val="null3"/>
            </w:pPr>
            <w:r>
              <w:rPr/>
              <w:t>工业</w:t>
            </w:r>
          </w:p>
        </w:tc>
        <w:tc>
          <w:tcPr>
            <w:tcW w:type="dxa" w:w="593"/>
          </w:tcPr>
          <w:p>
            <w:pPr>
              <w:pStyle w:val="null3"/>
            </w:pPr>
            <w:r>
              <w:rPr/>
              <w:t>是</w:t>
            </w:r>
          </w:p>
        </w:tc>
        <w:tc>
          <w:tcPr>
            <w:tcW w:type="dxa" w:w="678"/>
          </w:tcPr>
          <w:p>
            <w:pPr>
              <w:pStyle w:val="null3"/>
            </w:pPr>
            <w:r>
              <w:rPr/>
              <w:t>否</w:t>
            </w:r>
          </w:p>
        </w:tc>
        <w:tc>
          <w:tcPr>
            <w:tcW w:type="dxa" w:w="678"/>
          </w:tcPr>
          <w:p>
            <w:pPr>
              <w:pStyle w:val="null3"/>
            </w:pPr>
            <w:r>
              <w:rPr/>
              <w:t>否</w:t>
            </w:r>
          </w:p>
        </w:tc>
        <w:tc>
          <w:tcPr>
            <w:tcW w:type="dxa" w:w="848"/>
          </w:tcPr>
          <w:p>
            <w:pPr>
              <w:pStyle w:val="null3"/>
            </w:pPr>
            <w:r>
              <w:rPr/>
              <w:t>否</w:t>
            </w:r>
          </w:p>
        </w:tc>
      </w:tr>
    </w:tbl>
    <w:p>
      <w:pPr>
        <w:pStyle w:val="null3"/>
        <w:outlineLvl w:val="2"/>
      </w:pPr>
      <w:r>
        <w:rPr>
          <w:b/>
          <w:sz w:val="28"/>
        </w:rPr>
        <w:t>3.3、技术参数及要求</w:t>
      </w:r>
    </w:p>
    <w:p>
      <w:pPr>
        <w:pStyle w:val="null3"/>
      </w:pPr>
    </w:p>
    <w:p>
      <w:pPr>
        <w:pStyle w:val="null3"/>
      </w:pPr>
    </w:p>
    <w:p>
      <w:pPr>
        <w:pStyle w:val="null3"/>
      </w:pPr>
    </w:p>
    <w:p>
      <w:pPr>
        <w:pStyle w:val="null3"/>
      </w:pPr>
      <w:r>
        <w:rPr/>
        <w:t>采购包1：</w:t>
      </w:r>
    </w:p>
    <w:p>
      <w:pPr>
        <w:pStyle w:val="null3"/>
      </w:pPr>
    </w:p>
    <w:p>
      <w:pPr>
        <w:pStyle w:val="null3"/>
      </w:pPr>
      <w:r>
        <w:rPr/>
        <w:t>标的名称：和平城区第三期交通技术监控设备建设项目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272"/>
              <w:gridCol w:w="567"/>
              <w:gridCol w:w="2354"/>
              <w:gridCol w:w="286"/>
              <w:gridCol w:w="338"/>
            </w:tblGrid>
            <w:tr>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b/>
                      <w:color w:val="0D0D0D"/>
                      <w:sz w:val="20"/>
                    </w:rPr>
                    <w:t>序号</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b/>
                      <w:color w:val="0D0D0D"/>
                      <w:sz w:val="20"/>
                    </w:rPr>
                    <w:t>设备名称</w:t>
                  </w:r>
                </w:p>
              </w:tc>
              <w:tc>
                <w:tcPr>
                  <w:tcW w:type="dxa" w:w="2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b/>
                      <w:color w:val="0D0D0D"/>
                      <w:sz w:val="20"/>
                    </w:rPr>
                    <w:t>参数</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b/>
                      <w:color w:val="0D0D0D"/>
                      <w:sz w:val="20"/>
                    </w:rPr>
                    <w:t>数量</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b/>
                      <w:color w:val="0D0D0D"/>
                      <w:sz w:val="20"/>
                    </w:rPr>
                    <w:t>单位</w:t>
                  </w:r>
                </w:p>
              </w:tc>
            </w:tr>
            <w:tr>
              <w:tc>
                <w:tcPr>
                  <w:tcW w:type="dxa" w:w="381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宋体" w:hAnsi="宋体" w:cs="宋体" w:eastAsia="宋体"/>
                      <w:b/>
                      <w:color w:val="0D0D0D"/>
                      <w:sz w:val="24"/>
                    </w:rPr>
                    <w:t>一、和平城区第三期交通技术监控前端设备</w:t>
                  </w:r>
                  <w:r>
                    <w:rPr>
                      <w:rFonts w:ascii="宋体" w:hAnsi="宋体" w:cs="宋体" w:eastAsia="宋体"/>
                      <w:b/>
                      <w:color w:val="0D0D0D"/>
                      <w:sz w:val="24"/>
                    </w:rPr>
                    <w:t>\违法停车抓拍部份</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400万像素智能违停球机</w:t>
                  </w:r>
                </w:p>
              </w:tc>
              <w:tc>
                <w:tcPr>
                  <w:tcW w:type="dxa" w:w="2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18"/>
                    </w:rPr>
                    <w:t>1.</w:t>
                  </w:r>
                  <w:r>
                    <w:rPr>
                      <w:rFonts w:ascii="&quot;times new roman&quot;" w:hAnsi="&quot;times new roman&quot;" w:cs="&quot;times new roman&quot;" w:eastAsia="&quot;times new roman&quot;"/>
                      <w:color w:val="0D0D0D"/>
                      <w:sz w:val="21"/>
                    </w:rPr>
                    <w:t xml:space="preserve"> </w:t>
                  </w:r>
                  <w:r>
                    <w:rPr>
                      <w:rFonts w:ascii="仿宋_gb2312" w:hAnsi="仿宋_gb2312" w:cs="仿宋_gb2312" w:eastAsia="仿宋_gb2312"/>
                      <w:color w:val="0D0D0D"/>
                      <w:sz w:val="18"/>
                    </w:rPr>
                    <w:t>支持违法停车、压白线、压黄线、逆行、违法变道、车辆加塞、有车占道、黄牌占道、不按车道行驶、超速、欠速、不系安全带、违法掉头、违法倒车、未礼让行人、不按导向箭头行驶等道路违法事件的抓拍</w:t>
                  </w:r>
                  <w:r>
                    <w:br/>
                  </w:r>
                  <w:r>
                    <w:rPr>
                      <w:rFonts w:ascii="仿宋_gb2312" w:hAnsi="仿宋_gb2312" w:cs="仿宋_gb2312" w:eastAsia="仿宋_gb2312"/>
                      <w:color w:val="0D0D0D"/>
                      <w:sz w:val="18"/>
                    </w:rPr>
                    <w:t>2.</w:t>
                  </w:r>
                  <w:r>
                    <w:rPr>
                      <w:rFonts w:ascii="&quot;times new roman&quot;" w:hAnsi="&quot;times new roman&quot;" w:cs="&quot;times new roman&quot;" w:eastAsia="&quot;times new roman&quot;"/>
                      <w:color w:val="0D0D0D"/>
                      <w:sz w:val="21"/>
                    </w:rPr>
                    <w:t xml:space="preserve"> </w:t>
                  </w:r>
                  <w:r>
                    <w:rPr>
                      <w:rFonts w:ascii="仿宋_gb2312" w:hAnsi="仿宋_gb2312" w:cs="仿宋_gb2312" w:eastAsia="仿宋_gb2312"/>
                      <w:color w:val="0D0D0D"/>
                      <w:sz w:val="18"/>
                    </w:rPr>
                    <w:t>支持车牌、车牌颜色、车身颜色、车辆类型、车标、车系、车速、年检标志、纸巾盒、香水盒、挂件、安全带状态、遮阳板状态、人脸抠图、主驾驶抽烟状态、主驾驶打电话状态等车辆结构化信息提取</w:t>
                  </w:r>
                  <w:r>
                    <w:br/>
                  </w:r>
                  <w:r>
                    <w:rPr>
                      <w:rFonts w:ascii="仿宋_gb2312" w:hAnsi="仿宋_gb2312" w:cs="仿宋_gb2312" w:eastAsia="仿宋_gb2312"/>
                      <w:color w:val="0D0D0D"/>
                      <w:sz w:val="18"/>
                    </w:rPr>
                    <w:t>3.</w:t>
                  </w:r>
                  <w:r>
                    <w:rPr>
                      <w:rFonts w:ascii="&quot;times new roman&quot;" w:hAnsi="&quot;times new roman&quot;" w:cs="&quot;times new roman&quot;" w:eastAsia="&quot;times new roman&quot;"/>
                      <w:color w:val="0D0D0D"/>
                      <w:sz w:val="21"/>
                    </w:rPr>
                    <w:t xml:space="preserve"> </w:t>
                  </w:r>
                  <w:r>
                    <w:rPr>
                      <w:rFonts w:ascii="仿宋_gb2312" w:hAnsi="仿宋_gb2312" w:cs="仿宋_gb2312" w:eastAsia="仿宋_gb2312"/>
                      <w:color w:val="0D0D0D"/>
                      <w:sz w:val="18"/>
                    </w:rPr>
                    <w:t>采用不小于</w:t>
                  </w:r>
                  <w:r>
                    <w:rPr>
                      <w:rFonts w:ascii="仿宋_gb2312" w:hAnsi="仿宋_gb2312" w:cs="仿宋_gb2312" w:eastAsia="仿宋_gb2312"/>
                      <w:color w:val="0D0D0D"/>
                      <w:sz w:val="18"/>
                    </w:rPr>
                    <w:t>400万像素1/1.8英寸CMOS 传感器</w:t>
                  </w:r>
                  <w:r>
                    <w:br/>
                  </w:r>
                  <w:r>
                    <w:rPr>
                      <w:rFonts w:ascii="仿宋_gb2312" w:hAnsi="仿宋_gb2312" w:cs="仿宋_gb2312" w:eastAsia="仿宋_gb2312"/>
                      <w:color w:val="0D0D0D"/>
                      <w:sz w:val="18"/>
                    </w:rPr>
                    <w:t>4.</w:t>
                  </w:r>
                  <w:r>
                    <w:rPr>
                      <w:rFonts w:ascii="&quot;times new roman&quot;" w:hAnsi="&quot;times new roman&quot;" w:cs="&quot;times new roman&quot;" w:eastAsia="&quot;times new roman&quot;"/>
                      <w:color w:val="0D0D0D"/>
                      <w:sz w:val="21"/>
                    </w:rPr>
                    <w:t xml:space="preserve"> </w:t>
                  </w:r>
                  <w:r>
                    <w:rPr>
                      <w:rFonts w:ascii="仿宋_gb2312" w:hAnsi="仿宋_gb2312" w:cs="仿宋_gb2312" w:eastAsia="仿宋_gb2312"/>
                      <w:color w:val="0D0D0D"/>
                      <w:sz w:val="18"/>
                    </w:rPr>
                    <w:t>支持</w:t>
                  </w:r>
                  <w:r>
                    <w:rPr>
                      <w:rFonts w:ascii="仿宋_gb2312" w:hAnsi="仿宋_gb2312" w:cs="仿宋_gb2312" w:eastAsia="仿宋_gb2312"/>
                      <w:color w:val="0D0D0D"/>
                      <w:sz w:val="18"/>
                    </w:rPr>
                    <w:t>40倍光学变倍，16倍数字变倍；支持H.265编码，实现超低码流传输</w:t>
                  </w:r>
                  <w:r>
                    <w:br/>
                  </w:r>
                  <w:r>
                    <w:rPr>
                      <w:rFonts w:ascii="仿宋_gb2312" w:hAnsi="仿宋_gb2312" w:cs="仿宋_gb2312" w:eastAsia="仿宋_gb2312"/>
                      <w:color w:val="0D0D0D"/>
                      <w:sz w:val="18"/>
                    </w:rPr>
                    <w:t>5.</w:t>
                  </w:r>
                  <w:r>
                    <w:rPr>
                      <w:rFonts w:ascii="&quot;times new roman&quot;" w:hAnsi="&quot;times new roman&quot;" w:cs="&quot;times new roman&quot;" w:eastAsia="&quot;times new roman&quot;"/>
                      <w:color w:val="0D0D0D"/>
                      <w:sz w:val="21"/>
                    </w:rPr>
                    <w:t xml:space="preserve"> </w:t>
                  </w:r>
                  <w:r>
                    <w:rPr>
                      <w:rFonts w:ascii="仿宋_gb2312" w:hAnsi="仿宋_gb2312" w:cs="仿宋_gb2312" w:eastAsia="仿宋_gb2312"/>
                      <w:color w:val="0D0D0D"/>
                      <w:sz w:val="18"/>
                    </w:rPr>
                    <w:t>内置</w:t>
                  </w:r>
                  <w:r>
                    <w:rPr>
                      <w:rFonts w:ascii="仿宋_gb2312" w:hAnsi="仿宋_gb2312" w:cs="仿宋_gb2312" w:eastAsia="仿宋_gb2312"/>
                      <w:color w:val="0D0D0D"/>
                      <w:sz w:val="18"/>
                    </w:rPr>
                    <w:t>250米红外灯补光，采用倍率与红外灯功率匹配算法，补光效果更均匀</w:t>
                  </w:r>
                  <w:r>
                    <w:br/>
                  </w:r>
                  <w:r>
                    <w:rPr>
                      <w:rFonts w:ascii="仿宋_gb2312" w:hAnsi="仿宋_gb2312" w:cs="仿宋_gb2312" w:eastAsia="仿宋_gb2312"/>
                      <w:color w:val="0D0D0D"/>
                      <w:sz w:val="18"/>
                    </w:rPr>
                    <w:t>6.</w:t>
                  </w:r>
                  <w:r>
                    <w:rPr>
                      <w:rFonts w:ascii="&quot;times new roman&quot;" w:hAnsi="&quot;times new roman&quot;" w:cs="&quot;times new roman&quot;" w:eastAsia="&quot;times new roman&quot;"/>
                      <w:color w:val="0D0D0D"/>
                      <w:sz w:val="21"/>
                    </w:rPr>
                    <w:t xml:space="preserve"> </w:t>
                  </w:r>
                  <w:r>
                    <w:rPr>
                      <w:rFonts w:ascii="仿宋_gb2312" w:hAnsi="仿宋_gb2312" w:cs="仿宋_gb2312" w:eastAsia="仿宋_gb2312"/>
                      <w:color w:val="0D0D0D"/>
                      <w:sz w:val="18"/>
                    </w:rPr>
                    <w:t>水平方向</w:t>
                  </w:r>
                  <w:r>
                    <w:rPr>
                      <w:rFonts w:ascii="仿宋_gb2312" w:hAnsi="仿宋_gb2312" w:cs="仿宋_gb2312" w:eastAsia="仿宋_gb2312"/>
                      <w:color w:val="0D0D0D"/>
                      <w:sz w:val="18"/>
                    </w:rPr>
                    <w:t>360°连续旋转，垂直方向-30°～90°自动翻转180°后连续监视，无监视盲区；支持300个预置位，8条巡航路径，5条巡迹路径</w:t>
                  </w:r>
                  <w:r>
                    <w:br/>
                  </w:r>
                  <w:r>
                    <w:rPr>
                      <w:rFonts w:ascii="仿宋_gb2312" w:hAnsi="仿宋_gb2312" w:cs="仿宋_gb2312" w:eastAsia="仿宋_gb2312"/>
                      <w:color w:val="0D0D0D"/>
                      <w:sz w:val="18"/>
                    </w:rPr>
                    <w:t>7.</w:t>
                  </w:r>
                  <w:r>
                    <w:rPr>
                      <w:rFonts w:ascii="&quot;times new roman&quot;" w:hAnsi="&quot;times new roman&quot;" w:cs="&quot;times new roman&quot;" w:eastAsia="&quot;times new roman&quot;"/>
                      <w:color w:val="0D0D0D"/>
                      <w:sz w:val="21"/>
                    </w:rPr>
                    <w:t xml:space="preserve"> </w:t>
                  </w:r>
                  <w:r>
                    <w:rPr>
                      <w:rFonts w:ascii="仿宋_gb2312" w:hAnsi="仿宋_gb2312" w:cs="仿宋_gb2312" w:eastAsia="仿宋_gb2312"/>
                      <w:color w:val="0D0D0D"/>
                      <w:sz w:val="18"/>
                    </w:rPr>
                    <w:t>多场景巡航功能检验</w:t>
                  </w:r>
                  <w:r>
                    <w:rPr>
                      <w:rFonts w:ascii="仿宋_gb2312" w:hAnsi="仿宋_gb2312" w:cs="仿宋_gb2312" w:eastAsia="仿宋_gb2312"/>
                      <w:color w:val="0D0D0D"/>
                      <w:sz w:val="18"/>
                    </w:rPr>
                    <w:t>:多场景分别配置不同智能后,可进行多场景智能巡航,进行不同智能功能的分时复用。切换码流可继续支持原来的智能,支持跟踪抓拍。</w:t>
                  </w:r>
                  <w:r>
                    <w:br/>
                  </w:r>
                  <w:r>
                    <w:rPr>
                      <w:rFonts w:ascii="仿宋_gb2312" w:hAnsi="仿宋_gb2312" w:cs="仿宋_gb2312" w:eastAsia="仿宋_gb2312"/>
                      <w:color w:val="0D0D0D"/>
                      <w:sz w:val="18"/>
                    </w:rPr>
                    <w:t>8.</w:t>
                  </w:r>
                  <w:r>
                    <w:rPr>
                      <w:rFonts w:ascii="&quot;times new roman&quot;" w:hAnsi="&quot;times new roman&quot;" w:cs="&quot;times new roman&quot;" w:eastAsia="&quot;times new roman&quot;"/>
                      <w:color w:val="0D0D0D"/>
                      <w:sz w:val="21"/>
                    </w:rPr>
                    <w:t xml:space="preserve"> </w:t>
                  </w:r>
                  <w:r>
                    <w:rPr>
                      <w:rFonts w:ascii="仿宋_gb2312" w:hAnsi="仿宋_gb2312" w:cs="仿宋_gb2312" w:eastAsia="仿宋_gb2312"/>
                      <w:color w:val="0D0D0D"/>
                      <w:sz w:val="18"/>
                    </w:rPr>
                    <w:t>违法取证功能检验：可准确抓拍车辆压白线、逆行、欠速、超速、不按车道行驶、压黄线、违法变道、加塞、黄牌车辆占道、机动车占非机动车道等可体现违章过程图片，当预置点场景内有违法规则被触发时，设备可联动报警输出和上传图片。</w:t>
                  </w:r>
                  <w:r>
                    <w:br/>
                  </w:r>
                  <w:r>
                    <w:rPr>
                      <w:rFonts w:ascii="仿宋_gb2312" w:hAnsi="仿宋_gb2312" w:cs="仿宋_gb2312" w:eastAsia="仿宋_gb2312"/>
                      <w:color w:val="0D0D0D"/>
                      <w:sz w:val="18"/>
                    </w:rPr>
                    <w:t>9.</w:t>
                  </w:r>
                  <w:r>
                    <w:rPr>
                      <w:rFonts w:ascii="&quot;times new roman&quot;" w:hAnsi="&quot;times new roman&quot;" w:cs="&quot;times new roman&quot;" w:eastAsia="&quot;times new roman&quot;"/>
                      <w:color w:val="0D0D0D"/>
                      <w:sz w:val="21"/>
                    </w:rPr>
                    <w:t xml:space="preserve"> </w:t>
                  </w:r>
                  <w:r>
                    <w:rPr>
                      <w:rFonts w:ascii="仿宋_gb2312" w:hAnsi="仿宋_gb2312" w:cs="仿宋_gb2312" w:eastAsia="仿宋_gb2312"/>
                      <w:color w:val="0D0D0D"/>
                      <w:sz w:val="18"/>
                    </w:rPr>
                    <w:t>可识别正向和反向通过观测画面中的</w:t>
                  </w:r>
                  <w:r>
                    <w:rPr>
                      <w:rFonts w:ascii="仿宋_gb2312" w:hAnsi="仿宋_gb2312" w:cs="仿宋_gb2312" w:eastAsia="仿宋_gb2312"/>
                      <w:color w:val="0D0D0D"/>
                      <w:sz w:val="18"/>
                    </w:rPr>
                    <w:t>28种机动车车型；支持15种车身颜色识别；支持不小于12种车牌类型识别；机动车子品牌及对应年款不少于5000种。</w:t>
                  </w:r>
                  <w:r>
                    <w:br/>
                  </w:r>
                  <w:r>
                    <w:rPr>
                      <w:rFonts w:ascii="仿宋_gb2312" w:hAnsi="仿宋_gb2312" w:cs="仿宋_gb2312" w:eastAsia="仿宋_gb2312"/>
                      <w:color w:val="0D0D0D"/>
                      <w:sz w:val="18"/>
                    </w:rPr>
                    <w:t>10.</w:t>
                  </w:r>
                  <w:r>
                    <w:rPr>
                      <w:rFonts w:ascii="&quot;times new roman&quot;" w:hAnsi="&quot;times new roman&quot;" w:cs="&quot;times new roman&quot;" w:eastAsia="&quot;times new roman&quot;"/>
                      <w:color w:val="0D0D0D"/>
                      <w:sz w:val="21"/>
                    </w:rPr>
                    <w:t xml:space="preserve"> </w:t>
                  </w:r>
                  <w:r>
                    <w:rPr>
                      <w:rFonts w:ascii="仿宋_gb2312" w:hAnsi="仿宋_gb2312" w:cs="仿宋_gb2312" w:eastAsia="仿宋_gb2312"/>
                      <w:color w:val="0D0D0D"/>
                      <w:sz w:val="18"/>
                    </w:rPr>
                    <w:t>支持</w:t>
                  </w:r>
                  <w:r>
                    <w:rPr>
                      <w:rFonts w:ascii="仿宋_gb2312" w:hAnsi="仿宋_gb2312" w:cs="仿宋_gb2312" w:eastAsia="仿宋_gb2312"/>
                      <w:color w:val="0D0D0D"/>
                      <w:sz w:val="18"/>
                    </w:rPr>
                    <w:t>1路音频输入和1路音频输出；内置7路报警输入和2路报警输出，支持报警联动功能</w:t>
                  </w:r>
                  <w:r>
                    <w:br/>
                  </w:r>
                  <w:r>
                    <w:rPr>
                      <w:rFonts w:ascii="仿宋_gb2312" w:hAnsi="仿宋_gb2312" w:cs="仿宋_gb2312" w:eastAsia="仿宋_gb2312"/>
                      <w:color w:val="0D0D0D"/>
                      <w:sz w:val="18"/>
                    </w:rPr>
                    <w:t>11.</w:t>
                  </w:r>
                  <w:r>
                    <w:rPr>
                      <w:rFonts w:ascii="&quot;times new roman&quot;" w:hAnsi="&quot;times new roman&quot;" w:cs="&quot;times new roman&quot;" w:eastAsia="&quot;times new roman&quot;"/>
                      <w:color w:val="0D0D0D"/>
                      <w:sz w:val="21"/>
                    </w:rPr>
                    <w:t xml:space="preserve"> </w:t>
                  </w:r>
                  <w:r>
                    <w:rPr>
                      <w:rFonts w:ascii="仿宋_gb2312" w:hAnsi="仿宋_gb2312" w:cs="仿宋_gb2312" w:eastAsia="仿宋_gb2312"/>
                      <w:color w:val="0D0D0D"/>
                      <w:sz w:val="18"/>
                    </w:rPr>
                    <w:t>支持</w:t>
                  </w:r>
                  <w:r>
                    <w:rPr>
                      <w:rFonts w:ascii="仿宋_gb2312" w:hAnsi="仿宋_gb2312" w:cs="仿宋_gb2312" w:eastAsia="仿宋_gb2312"/>
                      <w:color w:val="0D0D0D"/>
                      <w:sz w:val="18"/>
                    </w:rPr>
                    <w:t>IP67防护等级，8000V防雷、防浪涌和防突波保护；支持AC24V±25%宽电压输入</w:t>
                  </w:r>
                  <w:r>
                    <w:br/>
                  </w:r>
                  <w:r>
                    <w:rPr>
                      <w:rFonts w:ascii="仿宋_gb2312" w:hAnsi="仿宋_gb2312" w:cs="仿宋_gb2312" w:eastAsia="仿宋_gb2312"/>
                      <w:color w:val="0D0D0D"/>
                      <w:sz w:val="18"/>
                    </w:rPr>
                    <w:t>12.</w:t>
                  </w:r>
                  <w:r>
                    <w:rPr>
                      <w:rFonts w:ascii="&quot;times new roman&quot;" w:hAnsi="&quot;times new roman&quot;" w:cs="&quot;times new roman&quot;" w:eastAsia="&quot;times new roman&quot;"/>
                      <w:color w:val="0D0D0D"/>
                      <w:sz w:val="21"/>
                    </w:rPr>
                    <w:t xml:space="preserve"> </w:t>
                  </w:r>
                  <w:r>
                    <w:rPr>
                      <w:rFonts w:ascii="仿宋_gb2312" w:hAnsi="仿宋_gb2312" w:cs="仿宋_gb2312" w:eastAsia="仿宋_gb2312"/>
                      <w:color w:val="0D0D0D"/>
                      <w:sz w:val="18"/>
                    </w:rPr>
                    <w:t>支持国密算法</w:t>
                  </w:r>
                  <w:r>
                    <w:rPr>
                      <w:rFonts w:ascii="仿宋_gb2312" w:hAnsi="仿宋_gb2312" w:cs="仿宋_gb2312" w:eastAsia="仿宋_gb2312"/>
                      <w:color w:val="0D0D0D"/>
                      <w:sz w:val="18"/>
                    </w:rPr>
                    <w:t>SM1、SM2、SM3、SM4，支持GB35114 A级。</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12</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2</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监控立杆</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18"/>
                    </w:rPr>
                    <w:t>杆件材质：</w:t>
                  </w:r>
                  <w:r>
                    <w:rPr>
                      <w:rFonts w:ascii="仿宋_gb2312" w:hAnsi="仿宋_gb2312" w:cs="仿宋_gb2312" w:eastAsia="仿宋_gb2312"/>
                      <w:color w:val="0D0D0D"/>
                      <w:sz w:val="18"/>
                    </w:rPr>
                    <w:t xml:space="preserve">Q235优质钢材制作；                                               </w:t>
                  </w:r>
                  <w:r>
                    <w:br/>
                  </w:r>
                  <w:r>
                    <w:rPr>
                      <w:rFonts w:ascii="仿宋_gb2312" w:hAnsi="仿宋_gb2312" w:cs="仿宋_gb2312" w:eastAsia="仿宋_gb2312"/>
                      <w:color w:val="0D0D0D"/>
                      <w:sz w:val="18"/>
                    </w:rPr>
                    <w:t xml:space="preserve">2、杆件造型：圆锥杆；                                                          </w:t>
                  </w:r>
                  <w:r>
                    <w:br/>
                  </w:r>
                  <w:r>
                    <w:rPr>
                      <w:rFonts w:ascii="仿宋_gb2312" w:hAnsi="仿宋_gb2312" w:cs="仿宋_gb2312" w:eastAsia="仿宋_gb2312"/>
                      <w:color w:val="0D0D0D"/>
                      <w:sz w:val="18"/>
                    </w:rPr>
                    <w:t xml:space="preserve">3、主杆技术参数：上口80，下口146，厚度3.0mm,高大于6000。       </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套</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3</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支臂</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21"/>
                    </w:rPr>
                    <w:t>横臂技术参数：</w:t>
                  </w:r>
                  <w:r>
                    <w:rPr>
                      <w:rFonts w:ascii="仿宋_gb2312" w:hAnsi="仿宋_gb2312" w:cs="仿宋_gb2312" w:eastAsia="仿宋_gb2312"/>
                      <w:color w:val="0D0D0D"/>
                      <w:sz w:val="21"/>
                    </w:rPr>
                    <w:t>Ф</w:t>
                  </w:r>
                  <w:r>
                    <w:rPr>
                      <w:rFonts w:ascii="仿宋_gb2312" w:hAnsi="仿宋_gb2312" w:cs="仿宋_gb2312" w:eastAsia="仿宋_gb2312"/>
                      <w:color w:val="0D0D0D"/>
                      <w:sz w:val="21"/>
                    </w:rPr>
                    <w:t>60，厚度3.0mm,根据现场订制不小于2000</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套</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4</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机箱</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21"/>
                    </w:rPr>
                    <w:t>350mm×300mm×300mm（±5mm）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套</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5</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基础</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21"/>
                    </w:rPr>
                    <w:t>开挖</w:t>
                  </w:r>
                  <w:r>
                    <w:rPr>
                      <w:rFonts w:ascii="仿宋_gb2312" w:hAnsi="仿宋_gb2312" w:cs="仿宋_gb2312" w:eastAsia="仿宋_gb2312"/>
                      <w:color w:val="0D0D0D"/>
                      <w:sz w:val="21"/>
                    </w:rPr>
                    <w:t>600mm×600mm×8000mm（±5mm）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套</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6</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地笼</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21"/>
                    </w:rPr>
                    <w:t>400mm×400mm×600mm（±5mm）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套</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7</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网线</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18"/>
                    </w:rPr>
                    <w:t>RJ45 超五类</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箱</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8</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电源线</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18"/>
                    </w:rPr>
                    <w:t>RVV2*1.0</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360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米</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9</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20"/>
                    </w:rPr>
                    <w:t>插座</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18"/>
                    </w:rPr>
                    <w:t>多孔</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10</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20"/>
                    </w:rPr>
                    <w:t>前端电源线</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18"/>
                    </w:rPr>
                    <w:t>RJV2*1.5</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1440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米</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20"/>
                    </w:rPr>
                    <w:t>水晶头</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18"/>
                    </w:rPr>
                    <w:t>超五类</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盒</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12</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20"/>
                    </w:rPr>
                    <w:t>万向头</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18"/>
                    </w:rPr>
                    <w:t>材质</w:t>
                  </w:r>
                  <w:r>
                    <w:rPr>
                      <w:rFonts w:ascii="仿宋_gb2312" w:hAnsi="仿宋_gb2312" w:cs="仿宋_gb2312" w:eastAsia="仿宋_gb2312"/>
                      <w:color w:val="0D0D0D"/>
                      <w:sz w:val="18"/>
                    </w:rPr>
                    <w:t>:不锈钢厚度:1.0MM高度:35MM 长宽:78MMx50MM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13</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20"/>
                    </w:rPr>
                    <w:t>抱筘</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18"/>
                    </w:rPr>
                    <w:t>材质</w:t>
                  </w:r>
                  <w:r>
                    <w:rPr>
                      <w:rFonts w:ascii="仿宋_gb2312" w:hAnsi="仿宋_gb2312" w:cs="仿宋_gb2312" w:eastAsia="仿宋_gb2312"/>
                      <w:color w:val="0D0D0D"/>
                      <w:sz w:val="18"/>
                    </w:rPr>
                    <w:t>:不锈钢厚度:1.0MM高度:不小于20CM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14</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20"/>
                    </w:rPr>
                    <w:t>空开</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18"/>
                    </w:rPr>
                    <w:t>16A</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15</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20"/>
                    </w:rPr>
                    <w:t>取电施工</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21"/>
                    </w:rPr>
                    <w:t>开挖</w:t>
                  </w:r>
                  <w:r>
                    <w:rPr>
                      <w:rFonts w:ascii="仿宋_gb2312" w:hAnsi="仿宋_gb2312" w:cs="仿宋_gb2312" w:eastAsia="仿宋_gb2312"/>
                      <w:color w:val="0D0D0D"/>
                      <w:sz w:val="21"/>
                    </w:rPr>
                    <w:t>200mm，不小于300mm，埋PVC管,开挖米数</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1440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米</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16</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20"/>
                    </w:rPr>
                    <w:t>禁停标识牌</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18"/>
                    </w:rPr>
                    <w:t>禁停标识，（含立杆，标识牌，施工等）</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套</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17</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辅材</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18"/>
                    </w:rPr>
                    <w:t>扎带，胶布，水泥，现场焊接、融接光接头等，现场环境恢复</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批</w:t>
                  </w:r>
                </w:p>
              </w:tc>
            </w:tr>
            <w:tr>
              <w:tc>
                <w:tcPr>
                  <w:tcW w:type="dxa" w:w="381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宋体" w:hAnsi="宋体" w:cs="宋体" w:eastAsia="宋体"/>
                      <w:b/>
                      <w:color w:val="0D0D0D"/>
                      <w:sz w:val="24"/>
                    </w:rPr>
                    <w:t>二、和平城区第三期交通技术监控设备后端部份</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00000"/>
                      <w:sz w:val="18"/>
                    </w:rPr>
                    <w:t>后端配套设备</w:t>
                  </w:r>
                </w:p>
              </w:tc>
              <w:tc>
                <w:tcPr>
                  <w:tcW w:type="dxa" w:w="2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18"/>
                    </w:rPr>
                    <w:t>1. 最大支持320路（640Mbps）前端接入、存储、转发，32路（64Mbps）网络回放</w:t>
                  </w:r>
                  <w:r>
                    <w:br/>
                  </w:r>
                  <w:r>
                    <w:rPr>
                      <w:rFonts w:ascii="仿宋_gb2312" w:hAnsi="仿宋_gb2312" w:cs="仿宋_gb2312" w:eastAsia="仿宋_gb2312"/>
                      <w:color w:val="0D0D0D"/>
                      <w:sz w:val="18"/>
                    </w:rPr>
                    <w:t>2. 支持单盘，RAID0、1、5、6、JBOD、Hot-Spare（热备）、SRAID；</w:t>
                  </w:r>
                  <w:r>
                    <w:br/>
                  </w:r>
                  <w:r>
                    <w:rPr>
                      <w:rFonts w:ascii="仿宋_gb2312" w:hAnsi="仿宋_gb2312" w:cs="仿宋_gb2312" w:eastAsia="仿宋_gb2312"/>
                      <w:color w:val="0D0D0D"/>
                      <w:sz w:val="18"/>
                    </w:rPr>
                    <w:t>3. 支持RAID误操作恢复功能，防止磁盘被误操作导致数据丢失，增加数据安全性；</w:t>
                  </w:r>
                  <w:r>
                    <w:br/>
                  </w:r>
                  <w:r>
                    <w:rPr>
                      <w:rFonts w:ascii="仿宋_gb2312" w:hAnsi="仿宋_gb2312" w:cs="仿宋_gb2312" w:eastAsia="仿宋_gb2312"/>
                      <w:color w:val="0D0D0D"/>
                      <w:sz w:val="18"/>
                    </w:rPr>
                    <w:t>4. 支持同个存储服务器和不同存储服务器间的磁盘漫游，保证磁盘中的数据不丢失；</w:t>
                  </w:r>
                  <w:r>
                    <w:br/>
                  </w:r>
                  <w:r>
                    <w:rPr>
                      <w:rFonts w:ascii="仿宋_gb2312" w:hAnsi="仿宋_gb2312" w:cs="仿宋_gb2312" w:eastAsia="仿宋_gb2312"/>
                      <w:color w:val="0D0D0D"/>
                      <w:sz w:val="18"/>
                    </w:rPr>
                    <w:t xml:space="preserve">5. 自动识别磁盘的剩余空间容量，根据用户的数据存储需求，可划分多个容量不同的数据存储空间； </w:t>
                  </w:r>
                  <w:r>
                    <w:br/>
                  </w:r>
                  <w:r>
                    <w:rPr>
                      <w:rFonts w:ascii="仿宋_gb2312" w:hAnsi="仿宋_gb2312" w:cs="仿宋_gb2312" w:eastAsia="仿宋_gb2312"/>
                      <w:color w:val="0D0D0D"/>
                      <w:sz w:val="18"/>
                    </w:rPr>
                    <w:t>6. 支持对视音频、图片、智能分析录像的混合直存，无需存储服务器和图片服务器参与；可支持通过浏览器进行视频浏览、回放和下载；并可支持多画面同时段录像同时回放，或不同时段录像同时回放；网络下载录像速度不低于90MBps。</w:t>
                  </w:r>
                  <w:r>
                    <w:br/>
                  </w:r>
                  <w:r>
                    <w:rPr>
                      <w:rFonts w:ascii="仿宋_gb2312" w:hAnsi="仿宋_gb2312" w:cs="仿宋_gb2312" w:eastAsia="仿宋_gb2312"/>
                      <w:color w:val="0D0D0D"/>
                      <w:sz w:val="18"/>
                    </w:rPr>
                    <w:t>7. 采用LINUX操作系统，1个64位四核处理器，4G内存，可扩展128G高速缓存；具有2个RJ45网络数据接口、1个RS232接口、16个盘位、1个Mini SAS接口、1个eSATA/USB2.0复用接口、1个USB3.0接口。</w:t>
                  </w:r>
                  <w:r>
                    <w:br/>
                  </w:r>
                  <w:r>
                    <w:rPr>
                      <w:rFonts w:ascii="仿宋_gb2312" w:hAnsi="仿宋_gb2312" w:cs="仿宋_gb2312" w:eastAsia="仿宋_gb2312"/>
                      <w:color w:val="0D0D0D"/>
                      <w:sz w:val="18"/>
                    </w:rPr>
                    <w:t>8. IPSAN工作模式下，直写模式：600Mbps；回写模式：900Mbps；支持NAS服务，提供大容量快速存储的功能；支持N+M集群，确保整个集群环境的稳定；</w:t>
                  </w:r>
                  <w:r>
                    <w:br/>
                  </w:r>
                  <w:r>
                    <w:rPr>
                      <w:rFonts w:ascii="仿宋_gb2312" w:hAnsi="仿宋_gb2312" w:cs="仿宋_gb2312" w:eastAsia="仿宋_gb2312"/>
                      <w:color w:val="0D0D0D"/>
                      <w:sz w:val="18"/>
                    </w:rPr>
                    <w:t>9. 支持视频流直存功能，减少流媒体服务器的成本；支持标准iSCSI协议存储。</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台</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2</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18"/>
                    </w:rPr>
                    <w:t>终端管理设备</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18"/>
                    </w:rPr>
                    <w:t>1. 支持违章图片普通合成和新国标六合一合成功能，合成顺序自定义；支持数据防篡改，录像、图片文件无法直接删除</w:t>
                  </w:r>
                  <w:r>
                    <w:br/>
                  </w:r>
                  <w:r>
                    <w:rPr>
                      <w:rFonts w:ascii="仿宋_gb2312" w:hAnsi="仿宋_gb2312" w:cs="仿宋_gb2312" w:eastAsia="仿宋_gb2312"/>
                      <w:color w:val="0D0D0D"/>
                      <w:sz w:val="18"/>
                    </w:rPr>
                    <w:t>2. 支持断网续传，当设备与平台断开，重连后设备将断开时间段的图片继续传给平台</w:t>
                  </w:r>
                  <w:r>
                    <w:br/>
                  </w:r>
                  <w:r>
                    <w:rPr>
                      <w:rFonts w:ascii="仿宋_gb2312" w:hAnsi="仿宋_gb2312" w:cs="仿宋_gb2312" w:eastAsia="仿宋_gb2312"/>
                      <w:color w:val="0D0D0D"/>
                      <w:sz w:val="18"/>
                    </w:rPr>
                    <w:t>3. 嵌入式Linux实时操作系统；支持WEB方式、VGA/HDMI显示；支持1路音频输入，1路音频输出；支持12路网络压缩高清视频输入，4路模拟视频输入</w:t>
                  </w:r>
                  <w:r>
                    <w:br/>
                  </w:r>
                  <w:r>
                    <w:rPr>
                      <w:rFonts w:ascii="仿宋_gb2312" w:hAnsi="仿宋_gb2312" w:cs="仿宋_gb2312" w:eastAsia="仿宋_gb2312"/>
                      <w:color w:val="0D0D0D"/>
                      <w:sz w:val="18"/>
                    </w:rPr>
                    <w:t>4. 支持4路报警输入，4路报警输出；支持4个SATA接口硬盘，兼容3.5”硬盘/2.5”大小的硬盘；支持1个eSATA接口，2个RS232串口，4个RS485接口，2个USB接口</w:t>
                  </w:r>
                  <w:r>
                    <w:br/>
                  </w:r>
                  <w:r>
                    <w:rPr>
                      <w:rFonts w:ascii="仿宋_gb2312" w:hAnsi="仿宋_gb2312" w:cs="仿宋_gb2312" w:eastAsia="仿宋_gb2312"/>
                      <w:color w:val="0D0D0D"/>
                      <w:sz w:val="18"/>
                    </w:rPr>
                    <w:t>5. 支持8个RJ4510M/100M自适应以太网口，2个RJ451000M接口，其中一个为1000M可光电转换SFP接口</w:t>
                  </w:r>
                  <w:r>
                    <w:br/>
                  </w:r>
                  <w:r>
                    <w:rPr>
                      <w:rFonts w:ascii="仿宋_gb2312" w:hAnsi="仿宋_gb2312" w:cs="仿宋_gb2312" w:eastAsia="仿宋_gb2312"/>
                      <w:color w:val="0D0D0D"/>
                      <w:sz w:val="18"/>
                    </w:rPr>
                    <w:t>6. 支持12路图片、16路录像实时预览及存储；支持断网续传功能，当设备与平台断开并重连后，可将断开时间内的抓拍图片上传给平台；支持对网络接入和转发流量监控统计；支持硬盘smart自检，显示硬盘状态、故障提示；</w:t>
                  </w:r>
                  <w:r>
                    <w:br/>
                  </w:r>
                  <w:r>
                    <w:rPr>
                      <w:rFonts w:ascii="仿宋_gb2312" w:hAnsi="仿宋_gb2312" w:cs="仿宋_gb2312" w:eastAsia="仿宋_gb2312"/>
                      <w:color w:val="0D0D0D"/>
                      <w:sz w:val="18"/>
                    </w:rPr>
                    <w:t>7. 支持白名单自动过滤，支持车牌模糊查询；支持自适应接入H.264、H.265、MPEG4、MJPEG编码格式的视频图像并解码显示；支持视频中叠加通道信息、日期时间信息，支持在图片上叠加车牌、车道、违章类型等信息；支持LCD显示及设置系统时间，显示设备IP、硬盘个数及故障硬盘提示；</w:t>
                  </w:r>
                  <w:r>
                    <w:br/>
                  </w:r>
                  <w:r>
                    <w:rPr>
                      <w:rFonts w:ascii="仿宋_gb2312" w:hAnsi="仿宋_gb2312" w:cs="仿宋_gb2312" w:eastAsia="仿宋_gb2312"/>
                      <w:color w:val="0D0D0D"/>
                      <w:sz w:val="18"/>
                    </w:rPr>
                    <w:t>8. 支持选择合成图片的分辨率、支持区分通道分别设置合成图片的大小、支持根据选择的原始图序号进行特写放大、支持根据实际场景分别设置大车和小车的合成特写图片的放大倍数、支持前后套牌抓拍，合成抓拍车头和车尾的卡口图片、支持匹配前端卡口和电警，实现违章与卡口合成，合成方式四合一、六合一可选。</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套</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3</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18"/>
                    </w:rPr>
                    <w:t>硬盘</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18"/>
                    </w:rPr>
                    <w:t>8T；5400RPM；256M；SATA</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块</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4</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18"/>
                    </w:rPr>
                    <w:t>系统平台扩容</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18"/>
                    </w:rPr>
                    <w:t>接入原有系统，系统进行划线，标注，调试，测试，运行，</w:t>
                  </w:r>
                  <w:r>
                    <w:rPr>
                      <w:rFonts w:ascii="仿宋_gb2312" w:hAnsi="仿宋_gb2312" w:cs="仿宋_gb2312" w:eastAsia="仿宋_gb2312"/>
                      <w:color w:val="0D0D0D"/>
                      <w:sz w:val="18"/>
                    </w:rPr>
                    <w:t>LICENSE购买等</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套</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5</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18"/>
                    </w:rPr>
                    <w:t>网络接入、设备调试、备案</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18"/>
                    </w:rPr>
                    <w:t>接入乐山市公安交通集成指挥平台，设备调试，达到公安网络信息安全标准，完成执法设备备案等</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12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18"/>
                    </w:rPr>
                    <w:t>套</w:t>
                  </w:r>
                </w:p>
              </w:tc>
            </w:tr>
            <w:tr>
              <w:tc>
                <w:tcPr>
                  <w:tcW w:type="dxa" w:w="381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宋体" w:hAnsi="宋体" w:cs="宋体" w:eastAsia="宋体"/>
                      <w:b/>
                      <w:color w:val="0D0D0D"/>
                      <w:sz w:val="20"/>
                    </w:rPr>
                    <w:t>三、和平城区第三期交通技术监控设备公安视频网络线路租用及电费及运维部份</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20"/>
                    </w:rPr>
                    <w:t>1</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20"/>
                    </w:rPr>
                    <w:t>线路租用费</w:t>
                  </w:r>
                </w:p>
              </w:tc>
              <w:tc>
                <w:tcPr>
                  <w:tcW w:type="dxa" w:w="2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18"/>
                    </w:rPr>
                    <w:t>36个月计算，每条线路带宽全满足传输需求，不小于50M带宽（公安专用视频网络，PON结构）</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20"/>
                    </w:rPr>
                    <w:t>12</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20"/>
                    </w:rPr>
                    <w:t>条</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20"/>
                    </w:rPr>
                    <w:t>2</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20"/>
                    </w:rPr>
                    <w:t>电费</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18"/>
                    </w:rPr>
                    <w:t>36个月电费计算（违停球机40W/小时，光猫12W/小时）共计52W/小时，开户费（电表 400元/点）</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20"/>
                    </w:rPr>
                    <w:t>12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20"/>
                    </w:rPr>
                    <w:t>点</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20"/>
                    </w:rPr>
                    <w:t>3</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20"/>
                    </w:rPr>
                    <w:t>运维</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rFonts w:ascii="仿宋_gb2312" w:hAnsi="仿宋_gb2312" w:cs="仿宋_gb2312" w:eastAsia="仿宋_gb2312"/>
                      <w:color w:val="0D0D0D"/>
                      <w:sz w:val="18"/>
                    </w:rPr>
                    <w:t>1、36个月实际运维费用（每点每月150元）</w:t>
                  </w:r>
                </w:p>
                <w:p>
                  <w:pPr>
                    <w:pStyle w:val="null3"/>
                    <w:ind w:left="105"/>
                    <w:jc w:val="left"/>
                  </w:pPr>
                  <w:r>
                    <w:rPr>
                      <w:rFonts w:ascii="仿宋_gb2312" w:hAnsi="仿宋_gb2312" w:cs="仿宋_gb2312" w:eastAsia="仿宋_gb2312"/>
                      <w:color w:val="0D0D0D"/>
                      <w:sz w:val="18"/>
                    </w:rPr>
                    <w:t>2.要求7*24小时运维服务，故障0.5小时响应，4小时到场服务排除故障，24小时解决（特殊情况除外）</w:t>
                  </w:r>
                </w:p>
                <w:p>
                  <w:pPr>
                    <w:pStyle w:val="null3"/>
                    <w:ind w:left="105"/>
                    <w:jc w:val="left"/>
                  </w:pPr>
                  <w:r>
                    <w:rPr>
                      <w:rFonts w:ascii="仿宋_gb2312" w:hAnsi="仿宋_gb2312" w:cs="仿宋_gb2312" w:eastAsia="仿宋_gb2312"/>
                      <w:color w:val="0D0D0D"/>
                      <w:sz w:val="18"/>
                    </w:rPr>
                    <w:t>3.系统平台要求4小时内全部恢复。</w:t>
                  </w:r>
                </w:p>
                <w:p>
                  <w:pPr>
                    <w:pStyle w:val="null3"/>
                    <w:ind w:left="105"/>
                    <w:jc w:val="left"/>
                  </w:pPr>
                  <w:r>
                    <w:rPr>
                      <w:rFonts w:ascii="仿宋_gb2312" w:hAnsi="仿宋_gb2312" w:cs="仿宋_gb2312" w:eastAsia="仿宋_gb2312"/>
                      <w:color w:val="0D0D0D"/>
                      <w:sz w:val="18"/>
                    </w:rPr>
                    <w:t>4、相关备品备件准备</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20"/>
                    </w:rPr>
                    <w:t>12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color w:val="0D0D0D"/>
                      <w:sz w:val="20"/>
                    </w:rPr>
                    <w:t>套</w:t>
                  </w:r>
                </w:p>
              </w:tc>
            </w:tr>
          </w:tbl>
          <w:p>
            <w:pPr>
              <w:pStyle w:val="null3"/>
            </w:pPr>
            <w:r>
              <w:rPr/>
              <w:t xml:space="preserve">本项目核心产品为终端管理设备 </w:t>
            </w:r>
          </w:p>
        </w:tc>
      </w:tr>
    </w:tbl>
    <w:p>
      <w:pPr>
        <w:pStyle w:val="null3"/>
        <w:outlineLvl w:val="2"/>
      </w:pPr>
      <w:r>
        <w:rPr>
          <w:b/>
          <w:sz w:val="28"/>
        </w:rPr>
        <w:t>3.4、商务要求</w:t>
      </w:r>
    </w:p>
    <w:p>
      <w:pPr>
        <w:pStyle w:val="null3"/>
        <w:outlineLvl w:val="3"/>
      </w:pPr>
      <w:r>
        <w:rPr>
          <w:b/>
          <w:sz w:val="24"/>
        </w:rPr>
        <w:t>3.4.1交货时间</w:t>
      </w:r>
    </w:p>
    <w:p>
      <w:pPr>
        <w:pStyle w:val="null3"/>
      </w:pPr>
    </w:p>
    <w:p>
      <w:pPr>
        <w:pStyle w:val="null3"/>
      </w:pPr>
    </w:p>
    <w:p>
      <w:pPr>
        <w:pStyle w:val="null3"/>
      </w:pPr>
    </w:p>
    <w:p>
      <w:pPr>
        <w:pStyle w:val="null3"/>
      </w:pPr>
      <w:r>
        <w:rPr/>
        <w:t>采购包1：</w:t>
      </w:r>
    </w:p>
    <w:p>
      <w:pPr>
        <w:pStyle w:val="null3"/>
      </w:pPr>
      <w:r>
        <w:rPr/>
        <w:t xml:space="preserve"> 自合同签订之日起60日</w:t>
      </w:r>
    </w:p>
    <w:p>
      <w:pPr>
        <w:pStyle w:val="null3"/>
        <w:outlineLvl w:val="3"/>
      </w:pPr>
      <w:r>
        <w:rPr>
          <w:b/>
          <w:sz w:val="24"/>
        </w:rPr>
        <w:t>3.4.2交货地点和方式</w:t>
      </w:r>
    </w:p>
    <w:p>
      <w:pPr>
        <w:pStyle w:val="null3"/>
      </w:pPr>
    </w:p>
    <w:p>
      <w:pPr>
        <w:pStyle w:val="null3"/>
      </w:pPr>
    </w:p>
    <w:p>
      <w:pPr>
        <w:pStyle w:val="null3"/>
      </w:pPr>
    </w:p>
    <w:p>
      <w:pPr>
        <w:pStyle w:val="null3"/>
      </w:pPr>
      <w:r>
        <w:rPr/>
        <w:t>采购包1：</w:t>
      </w:r>
    </w:p>
    <w:p>
      <w:pPr>
        <w:pStyle w:val="null3"/>
      </w:pPr>
      <w:r>
        <w:rPr/>
        <w:t>（实质性要求）1、自合同签订之日起60日内完成项目建设、平台联网、调试运行及设备备案。 2、交货地点：四川省乐山市金口河区。 3、现场运维服务时间 ：设备进场安装调试完成并验收合格后三年时间。</w:t>
      </w:r>
    </w:p>
    <w:p>
      <w:pPr>
        <w:pStyle w:val="null3"/>
        <w:outlineLvl w:val="3"/>
      </w:pPr>
      <w:r>
        <w:rPr>
          <w:b/>
          <w:sz w:val="24"/>
        </w:rPr>
        <w:t>3.4.3支付方式</w:t>
      </w:r>
    </w:p>
    <w:p>
      <w:pPr>
        <w:pStyle w:val="null3"/>
      </w:pPr>
    </w:p>
    <w:p>
      <w:pPr>
        <w:pStyle w:val="null3"/>
      </w:pPr>
    </w:p>
    <w:p>
      <w:pPr>
        <w:pStyle w:val="null3"/>
      </w:pPr>
    </w:p>
    <w:p>
      <w:pPr>
        <w:pStyle w:val="null3"/>
      </w:pPr>
      <w:r>
        <w:rPr/>
        <w:t>采购包1：</w:t>
      </w:r>
    </w:p>
    <w:p>
      <w:pPr>
        <w:pStyle w:val="null3"/>
      </w:pPr>
      <w:r>
        <w:rPr/>
        <w:t>分期付款</w:t>
      </w:r>
    </w:p>
    <w:p>
      <w:pPr>
        <w:pStyle w:val="null3"/>
        <w:outlineLvl w:val="3"/>
      </w:pPr>
      <w:r>
        <w:rPr>
          <w:b/>
          <w:sz w:val="24"/>
        </w:rPr>
        <w:t>3.4.4支付约定</w:t>
      </w:r>
    </w:p>
    <w:p>
      <w:pPr>
        <w:pStyle w:val="null3"/>
      </w:pPr>
    </w:p>
    <w:p>
      <w:pPr>
        <w:pStyle w:val="null3"/>
      </w:pPr>
    </w:p>
    <w:p>
      <w:pPr>
        <w:pStyle w:val="null3"/>
      </w:pPr>
    </w:p>
    <w:p>
      <w:pPr>
        <w:pStyle w:val="null3"/>
      </w:pPr>
      <w:r>
        <w:rPr/>
        <w:t>采购包1：</w:t>
      </w:r>
      <w:r>
        <w:rPr/>
        <w:t xml:space="preserve"> 付款条件说明： </w:t>
      </w:r>
      <w:r>
        <w:rPr/>
        <w:t>签订政府采购合同后，设备进场安装调试完成并验收合格后</w:t>
      </w:r>
      <w:r>
        <w:rPr/>
        <w:t xml:space="preserve"> ，达到付款条件起 </w:t>
      </w:r>
      <w:r>
        <w:rPr/>
        <w:t>90</w:t>
      </w:r>
      <w:r>
        <w:rPr/>
        <w:t xml:space="preserve"> 日内，支付合同总金额的 </w:t>
      </w:r>
      <w:r>
        <w:rPr/>
        <w:t>70.00</w:t>
      </w:r>
      <w:r>
        <w:rPr/>
        <w:t>%。</w:t>
      </w:r>
    </w:p>
    <w:p>
      <w:pPr>
        <w:pStyle w:val="null3"/>
      </w:pPr>
      <w:r>
        <w:rPr/>
        <w:t>采购包1：</w:t>
      </w:r>
      <w:r>
        <w:rPr/>
        <w:t xml:space="preserve"> 付款条件说明： </w:t>
      </w:r>
      <w:r>
        <w:rPr/>
        <w:t xml:space="preserve"> 现场运维服务时间满一年后</w:t>
      </w:r>
      <w:r>
        <w:rPr/>
        <w:t xml:space="preserve"> ，达到付款条件起 </w:t>
      </w:r>
      <w:r>
        <w:rPr/>
        <w:t>90</w:t>
      </w:r>
      <w:r>
        <w:rPr/>
        <w:t xml:space="preserve"> 日内，支付合同总金额的 </w:t>
      </w:r>
      <w:r>
        <w:rPr/>
        <w:t>10.00</w:t>
      </w:r>
      <w:r>
        <w:rPr/>
        <w:t>%。</w:t>
      </w:r>
    </w:p>
    <w:p>
      <w:pPr>
        <w:pStyle w:val="null3"/>
      </w:pPr>
      <w:r>
        <w:rPr/>
        <w:t>采购包1：</w:t>
      </w:r>
      <w:r>
        <w:rPr/>
        <w:t xml:space="preserve"> 付款条件说明： </w:t>
      </w:r>
      <w:r>
        <w:rPr/>
        <w:t xml:space="preserve"> 现场运维服务时间满二年后</w:t>
      </w:r>
      <w:r>
        <w:rPr/>
        <w:t xml:space="preserve"> ，达到付款条件起 </w:t>
      </w:r>
      <w:r>
        <w:rPr/>
        <w:t>90</w:t>
      </w:r>
      <w:r>
        <w:rPr/>
        <w:t xml:space="preserve"> 日内，支付合同总金额的 </w:t>
      </w:r>
      <w:r>
        <w:rPr/>
        <w:t>10.00</w:t>
      </w:r>
      <w:r>
        <w:rPr/>
        <w:t>%。</w:t>
      </w:r>
    </w:p>
    <w:p>
      <w:pPr>
        <w:pStyle w:val="null3"/>
      </w:pPr>
      <w:r>
        <w:rPr/>
        <w:t>采购包1：</w:t>
      </w:r>
      <w:r>
        <w:rPr/>
        <w:t xml:space="preserve"> 付款条件说明： </w:t>
      </w:r>
      <w:r>
        <w:rPr/>
        <w:t>现场运维服务时间满三年后</w:t>
      </w:r>
      <w:r>
        <w:rPr/>
        <w:t xml:space="preserve"> ，达到付款条件起 </w:t>
      </w:r>
      <w:r>
        <w:rPr/>
        <w:t>90</w:t>
      </w:r>
      <w:r>
        <w:rPr/>
        <w:t xml:space="preserve"> 日内，支付合同总金额的 </w:t>
      </w:r>
      <w:r>
        <w:rPr/>
        <w:t>10.00</w:t>
      </w:r>
      <w:r>
        <w:rPr/>
        <w:t>%。</w:t>
      </w:r>
    </w:p>
    <w:p>
      <w:pPr>
        <w:pStyle w:val="null3"/>
        <w:outlineLvl w:val="3"/>
      </w:pPr>
      <w:r>
        <w:rPr>
          <w:b/>
          <w:sz w:val="24"/>
        </w:rPr>
        <w:t>3.4.5验收标准和方法</w:t>
      </w:r>
    </w:p>
    <w:p>
      <w:pPr>
        <w:pStyle w:val="null3"/>
      </w:pPr>
    </w:p>
    <w:p>
      <w:pPr>
        <w:pStyle w:val="null3"/>
      </w:pPr>
    </w:p>
    <w:p>
      <w:pPr>
        <w:pStyle w:val="null3"/>
      </w:pPr>
    </w:p>
    <w:p>
      <w:pPr>
        <w:pStyle w:val="null3"/>
      </w:pPr>
      <w:r>
        <w:rPr/>
        <w:t>采购包1：</w:t>
      </w:r>
    </w:p>
    <w:p>
      <w:pPr>
        <w:pStyle w:val="null3"/>
      </w:pPr>
      <w:r>
        <w:rPr/>
        <w:t>（1）履约验收主体：采购人。 （2）履约验收时间：供应商提出验收申请之日起30日内组织验收。 （3）履约验收程序：设备一次性验收；运营维护分期考评验收。 （4）验收组织方式：采购人组织验收。 （5）验收标准：按国家有关规定以及采购人采购文件的质量要求和技术指标、成交供应商的响应文件及承诺与本项目合同约定标准进行验收。 （6）其他未尽事宜，严格按照《财政部关于进一步加强政府采购需求和履约验收管理的指导意见》(财库〔2016〕205 号)和《乐山市财政局关于沿用乐山市政府采购项目需求论证和履约验收管理实施细则的通知》（乐市财政采〔2021〕8号）的要求及国家行业主管部门规定的标准、方法和内容进行验收。（7）若乙方日常运维服务质量，未达到现场运维服务要求，不能满足公安交管业务工作需求的，甲方将依据对乙方季度考评的平均分值核算支付当年应付款项。具体付款进度以财政拨款到位时间为准。</w:t>
      </w:r>
    </w:p>
    <w:p>
      <w:pPr>
        <w:pStyle w:val="null3"/>
        <w:outlineLvl w:val="3"/>
      </w:pPr>
      <w:r>
        <w:rPr>
          <w:b/>
          <w:sz w:val="24"/>
        </w:rPr>
        <w:t>3.4.6包装方式及运输</w:t>
      </w:r>
    </w:p>
    <w:p>
      <w:pPr>
        <w:pStyle w:val="null3"/>
      </w:pPr>
    </w:p>
    <w:p>
      <w:pPr>
        <w:pStyle w:val="null3"/>
      </w:pPr>
    </w:p>
    <w:p>
      <w:pPr>
        <w:pStyle w:val="null3"/>
      </w:pP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b/>
          <w:sz w:val="24"/>
        </w:rPr>
        <w:t>3.4.7质量保修范围和保修期</w:t>
      </w:r>
    </w:p>
    <w:p>
      <w:pPr>
        <w:pStyle w:val="null3"/>
      </w:pPr>
    </w:p>
    <w:p>
      <w:pPr>
        <w:pStyle w:val="null3"/>
      </w:pPr>
    </w:p>
    <w:p>
      <w:pPr>
        <w:pStyle w:val="null3"/>
      </w:pPr>
    </w:p>
    <w:p>
      <w:pPr>
        <w:pStyle w:val="null3"/>
      </w:pPr>
      <w:r>
        <w:rPr/>
        <w:t>采购包1：</w:t>
      </w:r>
    </w:p>
    <w:p>
      <w:pPr>
        <w:pStyle w:val="null3"/>
      </w:pPr>
      <w:r>
        <w:rPr/>
        <w:t>（实质性要求）本项目所有硬件设备质保期为验收合格之日起12个月。 （1）项目验收合格后进入现场运维期（36个个月）。 成交供应商需设置24小时值班应急电话，落实前端和中心平台维护人员队伍及总负责人员名单和手机联系方式，并报备采购单位。其中总负责人员不少于1名，如有人员变动的要第一时间主动向采购单位重新提交人员名单和联系方式。在质保期内，所涉及的前端、网络、软硬件等故障、维护和参数设置等采购单位只与成交供应商所提供的总负责人联系，再由总负责人负责运维服务过程中的总协调及其他相关工作。 （2）维护响应要求 成交供应商接到电话后2小时内必须响应（响应包括：2小时内通过电话和邮件向采购方报告落实的人员、处理方案、预计恢复的时间等），需要到场处理的4小时内必须到场进行处理，一般性故障必须在12小时内恢复（由于停电、线路检修或道路施工挖断电缆和光缆等客观因素造成的除外），涉及设备更换的必须24小时内进行更换。 （3）视频质量保证 质保期内，要求视频传输网络、电源供应正常，图像、视频流畅不卡顿。每季度至少进行一次对所有前端监控点位的除尘、树枝和树叶清理或前端参数修改等常规维护；每季度中标单位进行前端清理时应至少提前一天通知采购单位，向采购单位报告清理计划，包括清理开始时间、结束时间、每天清理的任务数量及点位位置等。清理情况要求反映于当月或当季度运维工作报表中。 质保期内，如存在影响前端拍摄效果的，由采购单位通知中标单位进行上杆清理、除尘或前端参数的优化或修改等。成交供应商必须按照采购单位要求对需要清理的点位在24小时内进行清理（地震或雷雨天气等客观因素影响不能进行户外作业的除外），并将清理情况反馈采购方，同时反映于当月或当季度报告中。 （4）施工及维护过程安全要求 前期施工和后期维护期间，户外或室内施工作业须做好安全保障措施，设立施工安全警示，如拉警戒线、警示标志等，因施工和维护期间发生的任何纠纷和安全责任事故等均由成交供应商全权负责和处理。 （5）中心平台运维服务要求 质保期内，成交供应商须配合采购单位保障中心平台（市级平台和乡镇级平台以及村级平台）的上下实时对接在线和畅通运行。平台掉线时，采购单位通知成交供应商，成交供应商按照第2条维护响应要求进行响应。 单个平台所有图像均无法正常运行调用的，须在12小时内排除故障。若出现多个平台所有图像均无法正常运行调用的，须在12小时排除故障。 中心平台功能模块（包括村、镇/乡、市级平台应用模块等功能模块）不能正常运行，须在12小时排除故障。 涉及平台硬件更换的，必须24小时内更换。 （5）特殊任务要求 采购单位有应急保障、大型活动或节假日等保障任务，需要成交供应商配合的，提前通知成交供应商，根据安保任务重要级别，采购单位通知成交供应商是否到场进行协助。成交供应商接到采购单位通知，根据采购单位提供的安保范围，成交供应商须对范围内的前端监控进行检查，保障正常运行，同时须对平台进行检查，必要时（根据采购单位要求）须派人进行现场驻守直到任务结束。 （6）网络服务要求 网络通信中断故障（包括监控中心平台网络设备故障、监控前端、前端至中心平台网络设备之间等网络故障）须在12小时以内排除故障（由于市政施工光缆被挖断所引起的客观因素除外）。 成交供应商主动发现问题或故障时，成交供应商应及时整改或对故障进行处理，并向采购单位报告处理进度和情况。</w:t>
      </w:r>
    </w:p>
    <w:p>
      <w:pPr>
        <w:pStyle w:val="null3"/>
        <w:outlineLvl w:val="3"/>
      </w:pPr>
      <w:r>
        <w:rPr>
          <w:b/>
          <w:sz w:val="24"/>
        </w:rPr>
        <w:t>3.4.8违约责任及解决争议的方法</w:t>
      </w:r>
    </w:p>
    <w:p>
      <w:pPr>
        <w:pStyle w:val="null3"/>
      </w:pPr>
    </w:p>
    <w:p>
      <w:pPr>
        <w:pStyle w:val="null3"/>
      </w:pPr>
    </w:p>
    <w:p>
      <w:pPr>
        <w:pStyle w:val="null3"/>
      </w:pPr>
    </w:p>
    <w:p>
      <w:pPr>
        <w:pStyle w:val="null3"/>
      </w:pPr>
      <w:r>
        <w:rPr/>
        <w:t>采购包1：</w:t>
      </w:r>
    </w:p>
    <w:p>
      <w:pPr>
        <w:pStyle w:val="null3"/>
      </w:pPr>
      <w:r>
        <w:rPr/>
        <w:t>（1）甲乙双方必须遵守本合同并执行合同中的各项规定，保证本合同的正常履行。 （2）如因成交供应商的工作人员在履行职务过程中的的疏忽、失职、过错等故意或者过失原因给采购单位造成损失或侵害，包括但不限于采购单位本身的财产损失、由此而导致的采购单位对任何第三方的法律责任等，成交供应商对此均应承担全部的赔偿责任。 （3）如因成交供应商在提供服务过程中出现违规、违约等情形，采购单位有权单方终止合同。</w:t>
      </w:r>
    </w:p>
    <w:p>
      <w:pPr>
        <w:pStyle w:val="null3"/>
        <w:jc w:val="left"/>
        <w:outlineLvl w:val="3"/>
      </w:pPr>
      <w:r>
        <w:rPr>
          <w:b/>
          <w:sz w:val="24"/>
        </w:rPr>
        <w:t>3.5其他要求</w:t>
      </w:r>
    </w:p>
    <w:p>
      <w:pPr>
        <w:pStyle w:val="null3"/>
      </w:pPr>
    </w:p>
    <w:p>
      <w:pPr>
        <w:pStyle w:val="null3"/>
      </w:pPr>
    </w:p>
    <w:p>
      <w:pPr>
        <w:pStyle w:val="null3"/>
      </w:pPr>
    </w:p>
    <w:p>
      <w:pPr>
        <w:pStyle w:val="null3"/>
      </w:pPr>
      <w:r>
        <w:rPr/>
        <w:t>采购包1：</w:t>
      </w:r>
    </w:p>
    <w:p>
      <w:pPr>
        <w:pStyle w:val="null3"/>
      </w:pPr>
      <w:r>
        <w:rPr/>
        <w:t>（实质性要求）1、本项目核心产品为终端管理设备。 2、本项目需求内容若涉及节能产品政府采购品目清单中政府强制采购产品的，供应商应提供国家确定的认证机构出具的、处于有效期之内的节能产品认证证书复印件加盖供应商公章。 3、本项目需求内容若涉及节能产品、环境标志产品的，严格按照《财政部 发展改革委 生态环境部 市场监管总局 关于调整优化节能产品、环境标志产品政府采购执行机制的通知》(财库[2019]9 号)、《财政部 发展改革委文件 关于 印发节能产品政府采购品目清单的通知》(财库〔2019〕19 号)、《关于印发环 境标志产品政府采购品目清单的通知》(财库〔2019〕19号)、《市场监管总局关于发布参与实施政府采购节能产品、环境标志产品认证机构名录的公告(2019 年第16号)》等文件执行。 4、产品的技术参数描述如与特定品牌或者型号相匹配，仅作为技术参考，不代表特定产品。技术参数值为固定值的，可以理解为等于或优于该参数要求。 5、采购标的技术参数要求表中各项技术参数要求，均为实质性要求。供应商响应若为不满足或负偏离的，均做符合性审查不通过处理。6、报价要求：本次报价采用人民币报价，报价为总价包干，包括完成本项目所需的设备（含硬件、软件）、材料费（包含辅助、配套材料）、人工费、包装费、运杂费（包含装卸车费、人工运输费）、安装费、调试费、相关税费、现场运维服务费用等直至验收合格交付使用的一切费用及质保期内的日常维保费用，以及由于原材料工本或其它条件的价格浮动而导致的全部额外费用。因成交人自身原因造成漏报、少报皆由其自行承担责任，采购人不再补偿。7、知识产权：（1）供应商应保证所提供的服务或其任何一部分均不会侵犯任何第三方的专利权、商标权或著作权。 （2）知识产权属于采购人，工作结束后，所有的数据成果归采购人所有。 （3）此项目实施过程中涉及的图纸、表格、文字等及相关内容等所有工作内容，供应商均应承担保密义务，不得将资料及文件擅自修改、复制或向第三人转让或用于损害国家社会的利益和本合同项目外使用 （4）供应商应保证在本项目使用的任何产品和服务（包括部分使用）时，不会产生因第三方提出侵犯其专利权、商标权或其它知识产权而引起的法律和经济纠纷，如因专利权、商标权或其它知识产权而引起法律和经济纠纷，由供应商承担所有相关责任。 8、其他要求：（1）系统总体架构符合《四川省公安视频图像信息联网与共享总体技术方案》，《GB/T28181-2022安全防范视频监控联网系统信息传输、交换、控制技术要求》国标要求，遵循《GB/T25724-2017安全防范监控数字视音频编解码技术要求》标准。服务期内所有功能模块无条件升级至提供商最新版本，各业务应用模块根据采购单位要求可部署于市级平台。 （2）采购文件中的技术参数及要求为最低要求，成交供应商需对项目进行深化设计，并对清单中的缺项自行完善，确保所有技术要求的实现，中标方根据项目现场实际情况进行深化设计，所有视频监控点位由中标方按照一点位一勘察一方案进行深化设计，拟定深化设计方案需采购单位同意通过后中标方才能进行施工。所有深化设计费用均含在本次报价中。 （3）成交供应商需签保密承诺书，涉及本项目的相关人员需签保密协议。 （4）所有存储介质在质保期内维修过程中换下的存储介质交由采购单位保存，不再退还中标单位。 （5）所有软件在质保期内免费升级。 （6）项目在开工前成交供应商应主动为施工人员购买意外伤害保险。所有安全责任由中标单位全权负责，保险费用含在本次中标价格中，不再单独计算。本项目实施必须满足国家相关法规、规范和技术、安全标准，满足消防、环保等行业要求。</w:t>
      </w:r>
    </w:p>
    <w:p>
      <w:pPr>
        <w:pStyle w:val="null3"/>
      </w:pPr>
    </w:p>
    <w:p>
      <w:pPr>
        <w:pStyle w:val="null3"/>
      </w:pPr>
      <w:r>
        <w:rPr/>
        <w:t xml:space="preserve"> </w:t>
      </w:r>
    </w:p>
    <w:p>
      <w:pPr>
        <w:pStyle w:val="null3"/>
        <w:jc w:val="center"/>
        <w:outlineLvl w:val="1"/>
      </w:pPr>
      <w:r>
        <w:rPr>
          <w:b/>
          <w:sz w:val="36"/>
        </w:rPr>
        <w:t>第四章 谈判过程中可实质性变动的内容</w:t>
      </w:r>
    </w:p>
    <w:p>
      <w:pPr>
        <w:pStyle w:val="null3"/>
        <w:ind w:firstLine="480"/>
      </w:pPr>
      <w:r>
        <w:rPr/>
        <w:t xml:space="preserve"> 谈判小组可以根据谈判文件和谈判情况实质性变动第三章“谈判项目技术、服务、商务及其他要求”、第七章“拟签订采购合同文本”，但不得变动谈判文件中的其他内容。实质性变动的内容，须经采购人代表确认。</w:t>
      </w:r>
    </w:p>
    <w:p>
      <w:pPr>
        <w:pStyle w:val="null3"/>
      </w:pPr>
    </w:p>
    <w:p>
      <w:pPr>
        <w:pStyle w:val="null3"/>
      </w:pPr>
      <w:r>
        <w:rPr/>
        <w:t xml:space="preserve"> </w:t>
      </w:r>
    </w:p>
    <w:p>
      <w:pPr>
        <w:pStyle w:val="null3"/>
        <w:jc w:val="center"/>
        <w:outlineLvl w:val="1"/>
      </w:pPr>
      <w:r>
        <w:rPr>
          <w:b/>
          <w:sz w:val="36"/>
        </w:rPr>
        <w:t>第五章 谈判办法</w:t>
      </w:r>
    </w:p>
    <w:p>
      <w:pPr>
        <w:pStyle w:val="null3"/>
        <w:outlineLvl w:val="2"/>
      </w:pPr>
      <w:r>
        <w:rPr>
          <w:b/>
          <w:sz w:val="28"/>
        </w:rPr>
        <w:t>5.1、总则</w:t>
      </w:r>
    </w:p>
    <w:p>
      <w:pPr>
        <w:pStyle w:val="null3"/>
        <w:ind w:firstLine="480"/>
      </w:pPr>
      <w:r>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t>二、评审工作由代理机构组织，具体评审事务由依法组建的谈判小组负责。</w:t>
      </w:r>
    </w:p>
    <w:p>
      <w:pPr>
        <w:pStyle w:val="null3"/>
        <w:ind w:firstLine="480"/>
      </w:pPr>
      <w:r>
        <w:rPr/>
        <w:t>三、评审工作应遵循客观、公正、审慎的原则，并以相同的谈判程序和标准对待所有的供应商。</w:t>
      </w:r>
    </w:p>
    <w:p>
      <w:pPr>
        <w:pStyle w:val="null3"/>
        <w:ind w:firstLine="480"/>
      </w:pPr>
      <w:r>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5.2、谈判小组</w:t>
      </w:r>
    </w:p>
    <w:p>
      <w:pPr>
        <w:pStyle w:val="null3"/>
        <w:ind w:firstLine="480"/>
      </w:pPr>
      <w:r>
        <w:rPr/>
        <w:t xml:space="preserve"> 一、本项目谈判小组成员人数应为三人以上单数，其中评审专家不得少于成员总数的三分之二。采购预算金额达到公开招标数额标准的货物和服务采购项目，或者达到招标规模标准的政府采购工程，谈判小组成员人数应为五人以上单数。评审专家是采取随机方式在采购一体化平台的专家库系统（以下简称专家库系统）抽取。技术复杂、专业性较强的采购项目，评审专家中应当包含1名法律专家。</w:t>
      </w:r>
    </w:p>
    <w:p>
      <w:pPr>
        <w:pStyle w:val="null3"/>
        <w:ind w:firstLine="480"/>
      </w:pPr>
      <w:r>
        <w:rPr/>
        <w:t xml:space="preserve"> 二、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t xml:space="preserve"> 三、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t>四、谈判小组按照谈判文件规定的谈判程序、评审方法和标准进行评审，并独立履行下列职责：</w:t>
      </w:r>
    </w:p>
    <w:p>
      <w:pPr>
        <w:pStyle w:val="null3"/>
        <w:ind w:firstLine="480"/>
      </w:pPr>
      <w:r>
        <w:rPr/>
        <w:t>（一）熟悉和理解谈判文件；</w:t>
      </w:r>
    </w:p>
    <w:p>
      <w:pPr>
        <w:pStyle w:val="null3"/>
        <w:ind w:firstLine="480"/>
      </w:pPr>
      <w:r>
        <w:rPr/>
        <w:t>（二）审查供应商响应文件等是否满足谈判文件要求，并作出评价；</w:t>
      </w:r>
    </w:p>
    <w:p>
      <w:pPr>
        <w:pStyle w:val="null3"/>
        <w:ind w:firstLine="480"/>
      </w:pPr>
      <w:r>
        <w:rPr/>
        <w:t xml:space="preserve"> （三）根据需要要求采购组织单位对谈判文件作出解释；根据需要要求供应商对响应文件有关事项作出澄清、说明或者更正；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5.3评审程序</w:t>
      </w:r>
    </w:p>
    <w:p>
      <w:pPr>
        <w:pStyle w:val="null3"/>
        <w:outlineLvl w:val="3"/>
      </w:pPr>
      <w:r>
        <w:rPr>
          <w:b/>
          <w:sz w:val="24"/>
        </w:rPr>
        <w:t xml:space="preserve"> 5.3.1审查谈判文件和停止评审</w:t>
      </w:r>
    </w:p>
    <w:p>
      <w:pPr>
        <w:pStyle w:val="null3"/>
        <w:ind w:firstLine="480"/>
      </w:pPr>
      <w:r>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t>二、本谈判文件有下列情形之一的，谈判小组应当停止评审：</w:t>
      </w:r>
    </w:p>
    <w:p>
      <w:pPr>
        <w:pStyle w:val="null3"/>
        <w:ind w:firstLine="480"/>
      </w:pPr>
      <w:r>
        <w:rPr/>
        <w:t>（一）谈判文件的规定存在歧义、重大缺陷的；</w:t>
      </w:r>
    </w:p>
    <w:p>
      <w:pPr>
        <w:pStyle w:val="null3"/>
        <w:ind w:firstLine="480"/>
      </w:pPr>
      <w:r>
        <w:rPr/>
        <w:t>（二）谈判文件明显以不合理条件对供应商实行差别待遇或者歧视待遇的；</w:t>
      </w:r>
    </w:p>
    <w:p>
      <w:pPr>
        <w:pStyle w:val="null3"/>
        <w:ind w:firstLine="480"/>
      </w:pPr>
      <w:r>
        <w:rPr/>
        <w:t>（三）采购项目属于国家规定的优先、强制采购范围，但是谈判文件未依法体现优先、强制采购相关规定的；</w:t>
      </w:r>
    </w:p>
    <w:p>
      <w:pPr>
        <w:pStyle w:val="null3"/>
        <w:ind w:firstLine="480"/>
      </w:pPr>
      <w:r>
        <w:rPr/>
        <w:t>（四）采购项目属于政府采购促进中小企业发展的范围，但是谈判文件未依法体现促进中小企业发展相关规定的；</w:t>
      </w:r>
    </w:p>
    <w:p>
      <w:pPr>
        <w:pStyle w:val="null3"/>
        <w:ind w:firstLine="480"/>
      </w:pPr>
      <w:r>
        <w:rPr/>
        <w:t>（五）谈判文件将供应商的资格条件列为评分因素的；</w:t>
      </w:r>
    </w:p>
    <w:p>
      <w:pPr>
        <w:pStyle w:val="null3"/>
        <w:ind w:firstLine="480"/>
      </w:pPr>
      <w:r>
        <w:rPr/>
        <w:t>（六）谈判文件载明的成交原则不合法的；</w:t>
      </w:r>
    </w:p>
    <w:p>
      <w:pPr>
        <w:pStyle w:val="null3"/>
        <w:ind w:firstLine="480"/>
        <w:jc w:val="left"/>
      </w:pPr>
      <w:r>
        <w:rPr/>
        <w:t>（七）谈判文件有违反国家其他有关强制性规定的情形。</w:t>
      </w:r>
    </w:p>
    <w:p>
      <w:pPr>
        <w:pStyle w:val="null3"/>
        <w:ind w:firstLine="480"/>
      </w:pPr>
      <w:r>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四川政府采购网公告。采购组织单位认为谈判小组不应当停止评审的的，可以书面报告采购项目同级财政部门依法处理，并提供相关证明材料。</w:t>
      </w:r>
    </w:p>
    <w:p>
      <w:pPr>
        <w:pStyle w:val="null3"/>
        <w:outlineLvl w:val="3"/>
      </w:pPr>
      <w:r>
        <w:rPr>
          <w:b/>
          <w:sz w:val="24"/>
        </w:rPr>
        <w:t>5.3.2资格审查</w:t>
      </w:r>
    </w:p>
    <w:p>
      <w:pPr>
        <w:pStyle w:val="null3"/>
      </w:pPr>
    </w:p>
    <w:p>
      <w:pPr>
        <w:pStyle w:val="null3"/>
      </w:pPr>
    </w:p>
    <w:p>
      <w:pPr>
        <w:pStyle w:val="null3"/>
        <w:ind w:firstLine="480"/>
      </w:pPr>
      <w:r>
        <w:rPr/>
        <w:t xml:space="preserve"> 响应文件解密完成后，由谈判小组对提交响应文件的供应商进行资格审查。谈判小组在资格审查过程中，谈判小组成员对供应商资格是否符合规定存在争议的，应当以少数服从多数的原则处理，但不得违反政府采购法和竞争性谈判文件规定。</w:t>
      </w:r>
    </w:p>
    <w:p>
      <w:pPr>
        <w:pStyle w:val="null3"/>
        <w:outlineLvl w:val="3"/>
      </w:pPr>
      <w:r>
        <w:rPr>
          <w:b/>
          <w:sz w:val="24"/>
        </w:rPr>
        <w:t>一般资格审查：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具有独立承担民事责任的能力。</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响应文件封面 投标（响应）函</w:t>
            </w:r>
          </w:p>
        </w:tc>
      </w:tr>
      <w:tr>
        <w:tc>
          <w:tcPr>
            <w:tcW w:type="dxa" w:w="831"/>
          </w:tcPr>
          <w:p>
            <w:pPr>
              <w:pStyle w:val="null3"/>
            </w:pPr>
            <w:r>
              <w:rPr/>
              <w:t>2</w:t>
            </w:r>
          </w:p>
        </w:tc>
        <w:tc>
          <w:tcPr>
            <w:tcW w:type="dxa" w:w="2492"/>
          </w:tcPr>
          <w:p>
            <w:pPr>
              <w:pStyle w:val="null3"/>
            </w:pPr>
            <w:r>
              <w:rPr/>
              <w:t>具有良好的商业信誉</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3</w:t>
            </w:r>
          </w:p>
        </w:tc>
        <w:tc>
          <w:tcPr>
            <w:tcW w:type="dxa" w:w="2492"/>
          </w:tcPr>
          <w:p>
            <w:pPr>
              <w:pStyle w:val="null3"/>
            </w:pPr>
            <w:r>
              <w:rPr/>
              <w:t>具有健全的财务会计制度。</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4</w:t>
            </w:r>
          </w:p>
        </w:tc>
        <w:tc>
          <w:tcPr>
            <w:tcW w:type="dxa" w:w="2492"/>
          </w:tcPr>
          <w:p>
            <w:pPr>
              <w:pStyle w:val="null3"/>
            </w:pPr>
            <w:r>
              <w:rPr/>
              <w:t>具有履行合同所必需的设备和专业技术能力。</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5</w:t>
            </w:r>
          </w:p>
        </w:tc>
        <w:tc>
          <w:tcPr>
            <w:tcW w:type="dxa" w:w="2492"/>
          </w:tcPr>
          <w:p>
            <w:pPr>
              <w:pStyle w:val="null3"/>
            </w:pPr>
            <w:r>
              <w:rPr/>
              <w:t>有依法缴纳税收和社会保障资金的良好记录。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6</w:t>
            </w:r>
          </w:p>
        </w:tc>
        <w:tc>
          <w:tcPr>
            <w:tcW w:type="dxa" w:w="2492"/>
          </w:tcPr>
          <w:p>
            <w:pPr>
              <w:pStyle w:val="null3"/>
            </w:pPr>
            <w:r>
              <w:rPr/>
              <w:t>参加政府采购活动前三年内，在经营活动中没有重大违法记录。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7</w:t>
            </w:r>
          </w:p>
        </w:tc>
        <w:tc>
          <w:tcPr>
            <w:tcW w:type="dxa" w:w="2492"/>
          </w:tcPr>
          <w:p>
            <w:pPr>
              <w:pStyle w:val="null3"/>
            </w:pPr>
            <w:r>
              <w:rPr/>
              <w:t>不存在与单位负责人为同一人或者存在直接控股、管理关系的其他供应商参与同一合同项下的政府采购活动的行为。</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8</w:t>
            </w:r>
          </w:p>
        </w:tc>
        <w:tc>
          <w:tcPr>
            <w:tcW w:type="dxa" w:w="2492"/>
          </w:tcPr>
          <w:p>
            <w:pPr>
              <w:pStyle w:val="null3"/>
            </w:pPr>
            <w:r>
              <w:rPr/>
              <w:t>不属于为本项目提供整体设计、规范编制或者项目管理、监理、检测等服务的供应商。</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bl>
    <w:p>
      <w:pPr>
        <w:pStyle w:val="null3"/>
        <w:outlineLvl w:val="3"/>
      </w:pPr>
      <w:r>
        <w:rPr>
          <w:b/>
          <w:sz w:val="24"/>
        </w:rPr>
        <w:t>特殊资格审查：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b/>
          <w:sz w:val="24"/>
        </w:rPr>
        <w:t>落实政府采购政策资格审查：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p>
    <w:p>
      <w:pPr>
        <w:pStyle w:val="null3"/>
      </w:pPr>
      <w:r>
        <w:rPr/>
        <w:t xml:space="preserve"> </w:t>
      </w:r>
    </w:p>
    <w:p>
      <w:pPr>
        <w:pStyle w:val="null3"/>
        <w:outlineLvl w:val="3"/>
      </w:pPr>
      <w:r>
        <w:rPr>
          <w:b/>
          <w:sz w:val="24"/>
        </w:rPr>
        <w:t>5.3.3符合性审查</w:t>
      </w:r>
    </w:p>
    <w:p>
      <w:pPr>
        <w:pStyle w:val="null3"/>
        <w:ind w:firstLine="480"/>
      </w:pPr>
      <w:r>
        <w:rPr/>
        <w:t xml:space="preserve"> 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t xml:space="preserve"> 在符合性审查过程中，如果出现谈判小组成员意见不一致的情况，按照少数服从多数的原则确定，但不得违背政府采购基本原则和谈判文件规定。</w:t>
      </w:r>
    </w:p>
    <w:p>
      <w:pPr>
        <w:pStyle w:val="null3"/>
        <w:ind w:firstLine="480"/>
      </w:pPr>
      <w:r>
        <w:rPr/>
        <w:t>符合性审查标准见下表：</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注：投标人投标报价低于最高限价50%或者低于其他有效投标人投标报价算术平均价40%的，评标委员会可以认为该投标人“投标报价明显低于其他通过符合性审查投标人的投标报价”）。 2、填写《分项报价表》时：（1）表中“规格型号、品牌、产地、制造商名称”以核心产品“终端管理设备”信息填写。 3、填写《报价明细表》时：“标的名称、计量单位、数量、单价限价”须按招标文件第三章“3.3技术要求”中“一、采购清单”表中对应数据填写，且投标单价不得超过单价限价，否则按无效处理。</w:t>
            </w:r>
          </w:p>
        </w:tc>
        <w:tc>
          <w:tcPr>
            <w:tcW w:type="dxa" w:w="1661"/>
          </w:tcPr>
          <w:p>
            <w:pPr>
              <w:pStyle w:val="null3"/>
            </w:pPr>
            <w:r>
              <w:rPr/>
              <w:t>分项报价表 报价明细表 报价表</w:t>
            </w:r>
          </w:p>
        </w:tc>
      </w:tr>
      <w:tr>
        <w:tc>
          <w:tcPr>
            <w:tcW w:type="dxa" w:w="831"/>
          </w:tcPr>
          <w:p>
            <w:pPr>
              <w:pStyle w:val="null3"/>
            </w:pPr>
            <w:r>
              <w:rPr/>
              <w:t>2</w:t>
            </w:r>
          </w:p>
        </w:tc>
        <w:tc>
          <w:tcPr>
            <w:tcW w:type="dxa" w:w="2492"/>
          </w:tcPr>
          <w:p>
            <w:pPr>
              <w:pStyle w:val="null3"/>
            </w:pPr>
            <w:r>
              <w:rPr/>
              <w:t>技术参数要求应答</w:t>
            </w:r>
          </w:p>
        </w:tc>
        <w:tc>
          <w:tcPr>
            <w:tcW w:type="dxa" w:w="3322"/>
          </w:tcPr>
          <w:p>
            <w:pPr>
              <w:pStyle w:val="null3"/>
            </w:pPr>
            <w:r>
              <w:rPr/>
              <w:t>1、供应商须对采购文件第三章“3.3技术参数及要求”中的全部内容按顺序对应列入此表进行应答。标注有“实质性要求”的内容为本项目实质性要求，不满足或有负偏离的作无效处理。 2、谈判文件要求提供证明材料或者供应商认为需要提供证明材料的，证明材料作为本表的附件附后，格式自拟。3、供应商须进行电子签章。</w:t>
            </w:r>
          </w:p>
        </w:tc>
        <w:tc>
          <w:tcPr>
            <w:tcW w:type="dxa" w:w="1661"/>
          </w:tcPr>
          <w:p>
            <w:pPr>
              <w:pStyle w:val="null3"/>
            </w:pPr>
            <w:r>
              <w:rPr/>
              <w:t>产品技术参数响应表</w:t>
            </w:r>
          </w:p>
        </w:tc>
      </w:tr>
      <w:tr>
        <w:tc>
          <w:tcPr>
            <w:tcW w:type="dxa" w:w="831"/>
          </w:tcPr>
          <w:p>
            <w:pPr>
              <w:pStyle w:val="null3"/>
            </w:pPr>
            <w:r>
              <w:rPr/>
              <w:t>3</w:t>
            </w:r>
          </w:p>
        </w:tc>
        <w:tc>
          <w:tcPr>
            <w:tcW w:type="dxa" w:w="2492"/>
          </w:tcPr>
          <w:p>
            <w:pPr>
              <w:pStyle w:val="null3"/>
            </w:pPr>
            <w:r>
              <w:rPr/>
              <w:t xml:space="preserve"> 商务要求应答</w:t>
            </w:r>
          </w:p>
        </w:tc>
        <w:tc>
          <w:tcPr>
            <w:tcW w:type="dxa" w:w="3322"/>
          </w:tcPr>
          <w:p>
            <w:pPr>
              <w:pStyle w:val="null3"/>
            </w:pPr>
            <w:r>
              <w:rPr/>
              <w:t>1、供应商必须把谈判文件第3章“3.4、商务要求”和“3.5、其他要求”的全部要求列入此表进行应答。标注有“实质性要求”的内容为本项目实质性要求，不满足或有负偏离的作无效处理。 2、谈判文件要求提供证明材料或者供应商认为需要提供证明材料的，证明材料作为本表的附件附后，格式自拟。3、供应商须进行电子签章。</w:t>
            </w:r>
          </w:p>
        </w:tc>
        <w:tc>
          <w:tcPr>
            <w:tcW w:type="dxa" w:w="1661"/>
          </w:tcPr>
          <w:p>
            <w:pPr>
              <w:pStyle w:val="null3"/>
            </w:pPr>
            <w:r>
              <w:rPr/>
              <w:t>商务应答表</w:t>
            </w:r>
          </w:p>
        </w:tc>
      </w:tr>
    </w:tbl>
    <w:p>
      <w:pPr>
        <w:pStyle w:val="null3"/>
        <w:outlineLvl w:val="3"/>
      </w:pPr>
      <w:r>
        <w:rPr>
          <w:b/>
          <w:sz w:val="24"/>
        </w:rPr>
        <w:t>5.3.4谈判</w:t>
      </w:r>
    </w:p>
    <w:p>
      <w:pPr>
        <w:pStyle w:val="null3"/>
        <w:ind w:firstLine="480"/>
      </w:pPr>
      <w:r>
        <w:rPr/>
        <w:t>一、谈判小组按照谈判文件的规定与邀请参加谈判的供应商分别进行谈判，谈判顺序由谈判小组确定。</w:t>
      </w:r>
    </w:p>
    <w:p>
      <w:pPr>
        <w:pStyle w:val="null3"/>
        <w:ind w:firstLine="480"/>
      </w:pPr>
      <w:r>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t>六、经最终谈判后，响应文件仍有下列情况之一的，应按照无效响应处理：</w:t>
      </w:r>
    </w:p>
    <w:p>
      <w:pPr>
        <w:pStyle w:val="null3"/>
        <w:ind w:firstLine="480"/>
      </w:pPr>
      <w:r>
        <w:rPr/>
        <w:t>（一）响应文件仍不能实质响应谈判文件可实质性变动的实质性要求的；</w:t>
      </w:r>
    </w:p>
    <w:p>
      <w:pPr>
        <w:pStyle w:val="null3"/>
        <w:ind w:firstLine="480"/>
      </w:pPr>
      <w:r>
        <w:rPr/>
        <w:t>（二）响应文件中仍有谈判文件规定的其他无效响应情形的。</w:t>
      </w:r>
    </w:p>
    <w:p>
      <w:pPr>
        <w:pStyle w:val="null3"/>
        <w:ind w:firstLine="480"/>
      </w:pPr>
      <w:r>
        <w:rPr/>
        <w:t>七、谈判过程中，谈判的任何一方不得透露与谈判有关的其他供应商的技术资料、价格和其他信息。</w:t>
      </w:r>
    </w:p>
    <w:p>
      <w:pPr>
        <w:pStyle w:val="null3"/>
        <w:ind w:firstLine="480"/>
      </w:pPr>
      <w:r>
        <w:rPr/>
        <w:t xml:space="preserve"> 八、谈判过程中，谈判小组发现或者知晓供应商存在违法行为的，应当谈判报告中予以记录，并向本级财政部门报告，依法应将该供应商响应文件作无效处理的，应当作无效处理。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b/>
          <w:sz w:val="24"/>
        </w:rPr>
        <w:t>5.3.5最后报价</w:t>
      </w:r>
    </w:p>
    <w:p>
      <w:pPr>
        <w:pStyle w:val="null3"/>
        <w:ind w:firstLine="480"/>
      </w:pPr>
      <w:r>
        <w:rPr/>
        <w:t>一、方案评审</w:t>
      </w:r>
    </w:p>
    <w:p>
      <w:pPr>
        <w:pStyle w:val="null3"/>
      </w:pPr>
    </w:p>
    <w:p>
      <w:pPr>
        <w:pStyle w:val="null3"/>
      </w:pPr>
    </w:p>
    <w:p>
      <w:pPr>
        <w:pStyle w:val="null3"/>
      </w:pPr>
      <w:r>
        <w:rPr/>
        <w:t>采购包1：谈判结束后，谈判小组可以根据谈判情况要求所有实质性响应的供应商在规定时间内进行最后报价。提交最后报价的供应商不得少于3家。有效最后报价的供应商不足的，本次采购活动终止，并发布终止公告。</w:t>
      </w:r>
    </w:p>
    <w:p>
      <w:pPr>
        <w:pStyle w:val="null3"/>
        <w:ind w:firstLine="480"/>
      </w:pPr>
      <w:r>
        <w:rPr/>
        <w:t xml:space="preserve"> 二、谈判小组开启报价后，供应商应随时关注项目电子化交易系统信息提醒，登录项目电子化交易系统，通过“等候大厅”进行报价并签章后提交。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t xml:space="preserve"> 四、供应商未在响应文件提交截止时间内提交报价或未按要求进行报价的，视为无效响应，由供应商自行承担不利后果。</w:t>
      </w:r>
    </w:p>
    <w:p>
      <w:pPr>
        <w:pStyle w:val="null3"/>
        <w:ind w:firstLine="480"/>
      </w:pPr>
      <w:r>
        <w:rPr/>
        <w:t>五、供应商未按谈判小组要求在规定时间内提交最后报价的，视为其退出谈判。</w:t>
      </w:r>
    </w:p>
    <w:p>
      <w:pPr>
        <w:pStyle w:val="null3"/>
        <w:ind w:firstLine="480"/>
      </w:pPr>
      <w:r>
        <w:rPr/>
        <w:t>六、最后报价一旦提交后，供应商不得以任何理由撤回。</w:t>
      </w:r>
    </w:p>
    <w:p>
      <w:pPr>
        <w:pStyle w:val="null3"/>
        <w:ind w:firstLine="480"/>
        <w:jc w:val="left"/>
      </w:pPr>
      <w:r>
        <w:rPr/>
        <w:t>七、最后报价为有效报价应符合下列条件：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（三）供应商的最后报价应符合谈判文件的要求。</w:t>
      </w:r>
    </w:p>
    <w:p>
      <w:pPr>
        <w:pStyle w:val="null3"/>
        <w:ind w:firstLine="480"/>
      </w:pPr>
      <w:r>
        <w:rPr/>
        <w:t>（四）最后报价唯一，且不高于最高限价。</w:t>
      </w:r>
    </w:p>
    <w:p>
      <w:pPr>
        <w:pStyle w:val="null3"/>
        <w:ind w:firstLine="480"/>
      </w:pPr>
      <w:r>
        <w:rPr/>
        <w:t>八、最后报价出现下列情况的，不需要供应商澄清，按以下原则处理：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5.3.6价格扣除</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20.00%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分项报价表 中小企业声明函 残疾人福利性单位声明函 报价明细表 报价表 监狱企业的证明文件</w:t>
            </w:r>
          </w:p>
        </w:tc>
      </w:tr>
    </w:tbl>
    <w:p>
      <w:pPr>
        <w:pStyle w:val="null3"/>
        <w:outlineLvl w:val="3"/>
      </w:pPr>
      <w:r>
        <w:rPr>
          <w:b/>
          <w:sz w:val="24"/>
        </w:rPr>
        <w:t>5.3.7解释、澄清、说明的有关问题</w:t>
      </w:r>
    </w:p>
    <w:p>
      <w:pPr>
        <w:pStyle w:val="null3"/>
        <w:ind w:firstLine="480"/>
      </w:pPr>
      <w:r>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t>四、谈判小组应当积极履行澄清、说明或者更正的职责，不得滥用权力。</w:t>
      </w:r>
    </w:p>
    <w:p>
      <w:pPr>
        <w:pStyle w:val="null3"/>
        <w:outlineLvl w:val="3"/>
      </w:pPr>
      <w:r>
        <w:rPr>
          <w:b/>
          <w:sz w:val="24"/>
        </w:rPr>
        <w:t>5.3.8复核</w:t>
      </w:r>
    </w:p>
    <w:p>
      <w:pPr>
        <w:pStyle w:val="null3"/>
        <w:ind w:firstLine="480"/>
      </w:pPr>
      <w:r>
        <w:rPr/>
        <w:t xml:space="preserve"> 一、评审结束后，谈判小组应当进行复核，特别要对拟推荐为成交供应商的、报价最低的、响应文件被认定为无效的进行重点复核。</w:t>
      </w:r>
    </w:p>
    <w:p>
      <w:pPr>
        <w:pStyle w:val="null3"/>
        <w:ind w:firstLine="480"/>
      </w:pPr>
      <w:r>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b/>
          <w:sz w:val="24"/>
        </w:rPr>
        <w:t>5.3.9推荐成交候选供应商</w:t>
      </w:r>
    </w:p>
    <w:p>
      <w:pPr>
        <w:pStyle w:val="null3"/>
      </w:pPr>
    </w:p>
    <w:p>
      <w:pPr>
        <w:pStyle w:val="null3"/>
      </w:pPr>
    </w:p>
    <w:p>
      <w:pPr>
        <w:pStyle w:val="null3"/>
      </w:pPr>
      <w:r>
        <w:rPr/>
        <w:t>采购包1：</w:t>
      </w:r>
      <w:r>
        <w:rPr/>
        <w:t>确定3家供应商为成交候选人。</w:t>
      </w:r>
    </w:p>
    <w:p>
      <w:pPr>
        <w:pStyle w:val="null3"/>
        <w:ind w:firstLine="480"/>
        <w:jc w:val="left"/>
      </w:pPr>
      <w:r>
        <w:rPr/>
        <w:t>“本项目”按供应商经评审的最终报价从低到高顺序排列，确定成交候选供应商。最终报价相同的，按供应商提供的优先采购产品认证证书数量由多到少顺序排列；最终报价且提供的优先采购产品认证证书数量相同的并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t>响应文件满足谈判文件全部实质性要求且最终报价最低的供应商为排名第一的成交候选供应商。</w:t>
      </w:r>
    </w:p>
    <w:p>
      <w:pPr>
        <w:pStyle w:val="null3"/>
        <w:ind w:firstLine="480"/>
        <w:jc w:val="left"/>
      </w:pPr>
      <w:r>
        <w:rPr/>
        <w:t>经评审的最终报价是指对供应商最后报价完成价格修正和落实政府采购政策进行的价格扣除后的报价。</w:t>
      </w:r>
    </w:p>
    <w:p>
      <w:pPr>
        <w:pStyle w:val="null3"/>
        <w:outlineLvl w:val="3"/>
      </w:pPr>
      <w:r>
        <w:rPr>
          <w:b/>
          <w:sz w:val="24"/>
        </w:rPr>
        <w:t>5.3.10编写谈判报告</w:t>
      </w:r>
    </w:p>
    <w:p>
      <w:pPr>
        <w:pStyle w:val="null3"/>
        <w:ind w:firstLine="480"/>
      </w:pPr>
      <w:r>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t>一、邀请供应商参加采购活动的具体方式和相关情况，以及参加采购活动的供应商名单；</w:t>
      </w:r>
    </w:p>
    <w:p>
      <w:pPr>
        <w:pStyle w:val="null3"/>
        <w:ind w:firstLine="480"/>
      </w:pPr>
      <w:r>
        <w:rPr/>
        <w:t>二、谈判日期和地点，评审委员会成员名单；</w:t>
      </w:r>
    </w:p>
    <w:p>
      <w:pPr>
        <w:pStyle w:val="null3"/>
        <w:ind w:firstLine="480"/>
      </w:pPr>
      <w:r>
        <w:rPr/>
        <w:t>三、参加报价的供应商名单及报价情况和未参加报价的供应商名单及原因；</w:t>
      </w:r>
    </w:p>
    <w:p>
      <w:pPr>
        <w:pStyle w:val="null3"/>
        <w:ind w:firstLine="480"/>
      </w:pPr>
      <w:r>
        <w:rPr/>
        <w:t>四、变动谈判文件实质性内容的有关资料及记录；</w:t>
      </w:r>
    </w:p>
    <w:p>
      <w:pPr>
        <w:pStyle w:val="null3"/>
        <w:ind w:firstLine="480"/>
      </w:pPr>
      <w:r>
        <w:rPr/>
        <w:t>五、供应商响应文件响应谈判文件实质性要求情况及供应商变动响应文件有关资料及记录；</w:t>
      </w:r>
    </w:p>
    <w:p>
      <w:pPr>
        <w:pStyle w:val="null3"/>
        <w:ind w:firstLine="480"/>
      </w:pPr>
      <w:r>
        <w:rPr/>
        <w:t>六、谈判情况记录和说明，包括对供应商的资格审查情况、供应商响应文件谈判情况等；</w:t>
      </w:r>
    </w:p>
    <w:p>
      <w:pPr>
        <w:pStyle w:val="null3"/>
        <w:ind w:firstLine="480"/>
      </w:pPr>
      <w:r>
        <w:rPr/>
        <w:t>七、推荐的成交候选供应商名单及理由。</w:t>
      </w:r>
    </w:p>
    <w:p>
      <w:pPr>
        <w:pStyle w:val="null3"/>
        <w:ind w:firstLine="480"/>
      </w:pPr>
      <w:r>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b/>
          <w:sz w:val="24"/>
        </w:rPr>
        <w:t>5.3.11谈判异议处理规则</w:t>
      </w:r>
    </w:p>
    <w:p>
      <w:pPr>
        <w:pStyle w:val="null3"/>
        <w:ind w:firstLine="480"/>
      </w:pPr>
      <w:r>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b/>
          <w:sz w:val="28"/>
        </w:rPr>
        <w:t>5.4、终止采购活动情形</w:t>
      </w:r>
    </w:p>
    <w:p>
      <w:pPr>
        <w:pStyle w:val="null3"/>
        <w:ind w:firstLine="480"/>
      </w:pPr>
      <w:r>
        <w:rPr/>
        <w:t>有下列情形之一的，本项目终止采购活动：</w:t>
      </w:r>
    </w:p>
    <w:p>
      <w:pPr>
        <w:pStyle w:val="null3"/>
        <w:ind w:firstLine="480"/>
      </w:pPr>
      <w:r>
        <w:rPr/>
        <w:t>（一）因情况变化，不再符合规定的竞争性谈判采购方式适用情形的；</w:t>
      </w:r>
    </w:p>
    <w:p>
      <w:pPr>
        <w:pStyle w:val="null3"/>
        <w:ind w:firstLine="480"/>
      </w:pPr>
      <w:r>
        <w:rPr/>
        <w:t>（二）出现影响采购公正的违法、违规行为的；</w:t>
      </w:r>
    </w:p>
    <w:p>
      <w:pPr>
        <w:pStyle w:val="null3"/>
        <w:ind w:firstLine="480"/>
      </w:pPr>
      <w:r>
        <w:rPr/>
        <w:t>（三）提交首次响应文件的供应商不足三家的；</w:t>
      </w:r>
    </w:p>
    <w:p>
      <w:pPr>
        <w:pStyle w:val="null3"/>
        <w:ind w:firstLine="480"/>
      </w:pPr>
      <w:r>
        <w:rPr/>
        <w:t>（四）通过资格审查的供应商不足三家的；</w:t>
      </w:r>
    </w:p>
    <w:p>
      <w:pPr>
        <w:pStyle w:val="null3"/>
        <w:ind w:firstLine="480"/>
      </w:pPr>
      <w:r>
        <w:rPr/>
        <w:t>（五）通过符合性审查的供应商不足三家的；</w:t>
      </w:r>
    </w:p>
    <w:p>
      <w:pPr>
        <w:pStyle w:val="null3"/>
        <w:ind w:firstLine="480"/>
      </w:pPr>
      <w:r>
        <w:rPr/>
        <w:t>（六）提交最后报价的供应商不足三家的；</w:t>
      </w:r>
    </w:p>
    <w:p>
      <w:pPr>
        <w:pStyle w:val="null3"/>
        <w:ind w:firstLine="480"/>
      </w:pPr>
      <w:r>
        <w:rPr/>
        <w:t>（七）通过最后报价审查的供应商不足三家的。</w:t>
      </w:r>
    </w:p>
    <w:p>
      <w:pPr>
        <w:pStyle w:val="null3"/>
        <w:ind w:firstLine="480"/>
      </w:pPr>
      <w:r>
        <w:rPr/>
        <w:t>注：公开招标转竞争性谈判只有两家供应商参与的情形除外。</w:t>
      </w:r>
    </w:p>
    <w:p>
      <w:pPr>
        <w:pStyle w:val="null3"/>
        <w:outlineLvl w:val="2"/>
      </w:pPr>
      <w:r>
        <w:rPr>
          <w:b/>
          <w:sz w:val="28"/>
        </w:rPr>
        <w:t>5.5、确定成交供应商</w:t>
      </w:r>
    </w:p>
    <w:p>
      <w:pPr>
        <w:pStyle w:val="null3"/>
      </w:pPr>
    </w:p>
    <w:p>
      <w:pPr>
        <w:pStyle w:val="null3"/>
      </w:pPr>
    </w:p>
    <w:p>
      <w:pPr>
        <w:pStyle w:val="null3"/>
      </w:pPr>
      <w:r>
        <w:rPr/>
        <w:t>一、评审结束后，代理机构在评审结束之日起2个工作日内将谈判报告及有关资料送交采购人确定成交供应商。</w:t>
      </w:r>
    </w:p>
    <w:p>
      <w:pPr>
        <w:pStyle w:val="null3"/>
      </w:pPr>
      <w:r>
        <w:rPr/>
        <w:t>二、采购人在收到评审报告后5个工作日内，在评审报告确定的成交候选供应商名单中按顺序确定1名成交供应商。成交候选供应商并列的，由采购人按照谈判文件规定的方式确定成交供应商；招标文件未规定的，采取随机抽取的方式确定。</w:t>
      </w:r>
    </w:p>
    <w:p>
      <w:pPr>
        <w:pStyle w:val="null3"/>
      </w:pPr>
      <w:r>
        <w:rPr/>
        <w:t>三、采购人逾期未确定成交供应商且不提出异议的，视为确定评审报告提出的排序第一的供应商为成交供应商。</w:t>
      </w:r>
    </w:p>
    <w:p>
      <w:pPr>
        <w:pStyle w:val="null3"/>
      </w:pPr>
      <w:r>
        <w:rPr/>
        <w:t>四、根据采购人确定的成交供应商，代理机构在四川政府采购网上发布成交结果公告，同时向成交供应商发出成交通知书。</w:t>
      </w:r>
    </w:p>
    <w:p>
      <w:pPr>
        <w:pStyle w:val="null3"/>
        <w:outlineLvl w:val="2"/>
      </w:pPr>
      <w:r>
        <w:rPr>
          <w:b/>
          <w:sz w:val="28"/>
        </w:rPr>
        <w:t>5.6、谈判小组成员义务</w:t>
      </w:r>
    </w:p>
    <w:p>
      <w:pPr>
        <w:pStyle w:val="null3"/>
        <w:ind w:firstLine="480"/>
      </w:pPr>
      <w:r>
        <w:rPr/>
        <w:t>（一）遵守评审工作纪律；</w:t>
      </w:r>
    </w:p>
    <w:p>
      <w:pPr>
        <w:pStyle w:val="null3"/>
        <w:ind w:firstLine="480"/>
      </w:pPr>
      <w:r>
        <w:rPr/>
        <w:t>（二）按照客观、公正、审慎的原则，根据竞争性谈判文件规定的评审程序、评审方法和评审标准进行独立评审；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5.7、谈判纪律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 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p>
    <w:p>
      <w:pPr>
        <w:pStyle w:val="null3"/>
      </w:pPr>
      <w:r>
        <w:rPr/>
        <w:t xml:space="preserve"> </w:t>
      </w:r>
    </w:p>
    <w:p>
      <w:pPr>
        <w:pStyle w:val="null3"/>
        <w:jc w:val="center"/>
        <w:outlineLvl w:val="1"/>
      </w:pPr>
      <w:r>
        <w:rPr>
          <w:b/>
          <w:sz w:val="36"/>
        </w:rPr>
        <w:t>第六章 响应文件格式</w:t>
      </w:r>
    </w:p>
    <w:p>
      <w:pPr>
        <w:pStyle w:val="null3"/>
      </w:pPr>
    </w:p>
    <w:p>
      <w:pPr>
        <w:pStyle w:val="null3"/>
      </w:pPr>
    </w:p>
    <w:p>
      <w:pPr>
        <w:pStyle w:val="null3"/>
      </w:pP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详见附件：投标（响应）函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详见附件：产品技术参数响应表</w:t>
      </w:r>
    </w:p>
    <w:p>
      <w:pPr>
        <w:pStyle w:val="null3"/>
        <w:ind w:firstLine="960"/>
      </w:pPr>
      <w:r>
        <w:rPr/>
        <w:t>详见附件：商务应答表</w:t>
      </w:r>
    </w:p>
    <w:p>
      <w:pPr>
        <w:pStyle w:val="null3"/>
        <w:ind w:firstLine="960"/>
      </w:pPr>
      <w:r>
        <w:rPr/>
        <w:t>详见附件：报价表</w:t>
      </w:r>
    </w:p>
    <w:p>
      <w:pPr>
        <w:pStyle w:val="null3"/>
        <w:ind w:firstLine="960"/>
      </w:pPr>
      <w:r>
        <w:rPr/>
        <w:t>详见附件：分项报价表</w:t>
      </w:r>
    </w:p>
    <w:p>
      <w:pPr>
        <w:pStyle w:val="null3"/>
        <w:ind w:firstLine="960"/>
      </w:pPr>
      <w:r>
        <w:rPr/>
        <w:t>详见附件：报价明细表</w:t>
      </w:r>
    </w:p>
    <w:p>
      <w:pPr>
        <w:pStyle w:val="null3"/>
      </w:pPr>
    </w:p>
    <w:p>
      <w:pPr>
        <w:pStyle w:val="null3"/>
      </w:pPr>
      <w:r>
        <w:rPr/>
        <w:t xml:space="preserve"> </w:t>
      </w:r>
    </w:p>
    <w:p>
      <w:pPr>
        <w:pStyle w:val="null3"/>
        <w:jc w:val="center"/>
        <w:outlineLvl w:val="1"/>
      </w:pPr>
      <w:r>
        <w:rPr>
          <w:b/>
          <w:sz w:val="36"/>
        </w:rPr>
        <w:t>第七章 拟签订采购合同文本</w:t>
      </w:r>
    </w:p>
    <w:p>
      <w:pPr>
        <w:pStyle w:val="null3"/>
      </w:pPr>
    </w:p>
    <w:p>
      <w:pPr>
        <w:pStyle w:val="null3"/>
      </w:pPr>
    </w:p>
    <w:p>
      <w:pPr>
        <w:pStyle w:val="null3"/>
      </w:pPr>
      <w:r>
        <w:rPr/>
        <w:t>详见附件：政府采购合同(草案).docx</w:t>
      </w:r>
    </w:p>
    <w:p>
      <w:pPr>
        <w:pStyle w:val="null3"/>
      </w:pP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