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outlineLvl w:val="0"/>
      </w:pPr>
      <w:r>
        <w:rPr>
          <w:rFonts w:hint="eastAsia" w:ascii="方正小标宋_GBK" w:hAnsi="方正小标宋_GBK" w:eastAsia="方正小标宋_GBK" w:cs="方正小标宋_GBK"/>
          <w:b w:val="0"/>
          <w:bCs/>
          <w:sz w:val="48"/>
        </w:rPr>
        <w:t xml:space="preserve"> 政府采购合同（货物类）</w:t>
      </w:r>
      <w:r>
        <w:br w:type="textWrapping"/>
      </w:r>
    </w:p>
    <w:p>
      <w:pPr>
        <w:pStyle w:val="7"/>
      </w:pPr>
    </w:p>
    <w:p>
      <w:pPr>
        <w:pStyle w:val="7"/>
        <w:rPr>
          <w:rFonts w:hint="eastAsia" w:ascii="仿宋_GB2312" w:hAnsi="仿宋_GB2312" w:eastAsia="仿宋_GB2312" w:cs="仿宋_GB2312"/>
          <w:sz w:val="28"/>
          <w:szCs w:val="28"/>
        </w:rPr>
      </w:pPr>
      <w:r>
        <w:rPr>
          <w:sz w:val="28"/>
          <w:szCs w:val="28"/>
        </w:rPr>
        <w:t xml:space="preserve"> </w:t>
      </w:r>
      <w:r>
        <w:rPr>
          <w:rFonts w:hint="eastAsia" w:ascii="仿宋_GB2312" w:hAnsi="仿宋_GB2312" w:eastAsia="仿宋_GB2312" w:cs="仿宋_GB2312"/>
          <w:sz w:val="28"/>
          <w:szCs w:val="28"/>
        </w:rPr>
        <w:t>政府采购合同编号：__________________</w:t>
      </w:r>
    </w:p>
    <w:p>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履约地点： __________________</w:t>
      </w:r>
    </w:p>
    <w:p>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签订地点：__________________</w:t>
      </w:r>
    </w:p>
    <w:p>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签订日期：20___年___月___日</w:t>
      </w:r>
    </w:p>
    <w:p>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甲方</w:t>
      </w:r>
      <w:r>
        <w:rPr>
          <w:rFonts w:hint="eastAsia" w:ascii="仿宋_GB2312" w:hAnsi="仿宋_GB2312" w:eastAsia="仿宋_GB2312" w:cs="仿宋_GB2312"/>
          <w:sz w:val="28"/>
          <w:szCs w:val="28"/>
        </w:rPr>
        <w:t>（甲方）：__________________</w:t>
      </w:r>
    </w:p>
    <w:p>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地址：__________________</w:t>
      </w:r>
    </w:p>
    <w:p>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乙方</w:t>
      </w:r>
      <w:r>
        <w:rPr>
          <w:rFonts w:hint="eastAsia" w:ascii="仿宋_GB2312" w:hAnsi="仿宋_GB2312" w:eastAsia="仿宋_GB2312" w:cs="仿宋_GB2312"/>
          <w:sz w:val="28"/>
          <w:szCs w:val="28"/>
        </w:rPr>
        <w:t>(乙方)：__________________</w:t>
      </w:r>
    </w:p>
    <w:p>
      <w:pPr>
        <w:pStyle w:val="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地址：__________________</w:t>
      </w:r>
    </w:p>
    <w:p>
      <w:pPr>
        <w:pStyle w:val="7"/>
        <w:keepNext w:val="0"/>
        <w:keepLines w:val="0"/>
        <w:pageBreakBefore w:val="0"/>
        <w:widowControl/>
        <w:kinsoku/>
        <w:wordWrap/>
        <w:overflowPunct/>
        <w:topLinePunct w:val="0"/>
        <w:autoSpaceDE/>
        <w:autoSpaceDN/>
        <w:bidi w:val="0"/>
        <w:spacing w:line="500" w:lineRule="exact"/>
        <w:ind w:left="0" w:firstLine="400" w:firstLineChars="200"/>
      </w:pPr>
      <w:r>
        <w:t xml:space="preserve"> </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依据《中华人民共和国民法典》 《中华人民共和国政府采购法》与项目行业有关的法律法规，以及和平城区第三期交通技术监控设备建设项目采购项目的《谈判文件》，乙方的《投标（响应）文件》及《中标（成交）通知书》，甲乙双方同意签订本合同。具体情况及要求如下：</w:t>
      </w:r>
    </w:p>
    <w:p>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left="0" w:firstLine="560" w:firstLineChars="200"/>
        <w:textAlignment w:val="baseline"/>
        <w:rPr>
          <w:b/>
          <w:sz w:val="28"/>
          <w:szCs w:val="28"/>
        </w:rPr>
      </w:pPr>
      <w:r>
        <w:rPr>
          <w:rFonts w:hint="eastAsia" w:ascii="黑体" w:hAnsi="黑体" w:eastAsia="黑体" w:cs="黑体"/>
          <w:b w:val="0"/>
          <w:bCs/>
          <w:sz w:val="28"/>
          <w:szCs w:val="28"/>
        </w:rPr>
        <w:t>一、标的信息</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1.项目名称：</w:t>
      </w:r>
      <w:r>
        <w:rPr>
          <w:rFonts w:hint="eastAsia" w:ascii="仿宋_GB2312" w:hAnsi="仿宋_GB2312" w:eastAsia="仿宋_GB2312" w:cs="仿宋_GB2312"/>
          <w:sz w:val="28"/>
          <w:szCs w:val="28"/>
          <w:lang w:val="en-US" w:eastAsia="zh-Hans"/>
        </w:rPr>
        <w:t>和平城区第三期交通技术监控设备建设项目</w:t>
      </w:r>
      <w:r>
        <w:rPr>
          <w:rFonts w:hint="eastAsia" w:ascii="仿宋_GB2312" w:hAnsi="仿宋_GB2312" w:eastAsia="仿宋_GB2312" w:cs="仿宋_GB2312"/>
          <w:sz w:val="28"/>
          <w:szCs w:val="28"/>
          <w:lang w:val="en-US" w:eastAsia="zh-CN"/>
        </w:rPr>
        <w:t>。包括</w:t>
      </w:r>
      <w:r>
        <w:rPr>
          <w:rFonts w:hint="eastAsia" w:ascii="仿宋_GB2312" w:hAnsi="仿宋_GB2312" w:eastAsia="仿宋_GB2312" w:cs="仿宋_GB2312"/>
          <w:sz w:val="28"/>
          <w:szCs w:val="28"/>
          <w:lang w:val="en-US" w:eastAsia="zh-Hans"/>
        </w:rPr>
        <w:t>新建12套违法停车抓拍设备</w:t>
      </w:r>
      <w:r>
        <w:rPr>
          <w:rFonts w:hint="eastAsia" w:ascii="仿宋_GB2312" w:hAnsi="仿宋_GB2312" w:eastAsia="仿宋_GB2312" w:cs="仿宋_GB2312"/>
          <w:sz w:val="28"/>
          <w:szCs w:val="28"/>
          <w:lang w:val="en-US" w:eastAsia="zh-CN"/>
        </w:rPr>
        <w:t>,以及</w:t>
      </w:r>
      <w:r>
        <w:rPr>
          <w:rFonts w:hint="eastAsia" w:ascii="仿宋_GB2312" w:hAnsi="仿宋_GB2312" w:eastAsia="仿宋_GB2312" w:cs="仿宋_GB2312"/>
          <w:sz w:val="28"/>
          <w:szCs w:val="28"/>
          <w:lang w:val="en-US" w:eastAsia="zh-Hans"/>
        </w:rPr>
        <w:t>后端配套设备和36个月运营维护。</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2.项目地点：乐山市金口河区和平城区。</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3.合同标的：人民币大写           （</w:t>
      </w:r>
      <w:r>
        <w:rPr>
          <w:rFonts w:hint="default"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val="en-US" w:eastAsia="zh-CN"/>
        </w:rPr>
        <w:t xml:space="preserve">          元）。</w:t>
      </w:r>
    </w:p>
    <w:p>
      <w:pPr>
        <w:pStyle w:val="7"/>
        <w:keepNext w:val="0"/>
        <w:keepLines w:val="0"/>
        <w:pageBreakBefore w:val="0"/>
        <w:widowControl/>
        <w:kinsoku/>
        <w:wordWrap/>
        <w:overflowPunct/>
        <w:topLinePunct w:val="0"/>
        <w:autoSpaceDE/>
        <w:autoSpaceDN/>
        <w:bidi w:val="0"/>
        <w:spacing w:line="500" w:lineRule="exact"/>
        <w:ind w:left="0" w:firstLine="560" w:firstLineChars="200"/>
        <w:outlineLvl w:val="3"/>
        <w:rPr>
          <w:rFonts w:hint="eastAsia" w:ascii="黑体" w:hAnsi="黑体" w:eastAsia="黑体" w:cs="黑体"/>
          <w:b w:val="0"/>
          <w:bCs/>
          <w:kern w:val="2"/>
          <w:sz w:val="28"/>
          <w:szCs w:val="28"/>
          <w:lang w:val="en-US" w:eastAsia="zh-CN" w:bidi="ar-SA"/>
        </w:rPr>
      </w:pPr>
      <w:r>
        <w:rPr>
          <w:rFonts w:hint="eastAsia" w:ascii="黑体" w:hAnsi="黑体" w:eastAsia="黑体" w:cs="黑体"/>
          <w:b w:val="0"/>
          <w:bCs/>
          <w:kern w:val="2"/>
          <w:sz w:val="28"/>
          <w:szCs w:val="28"/>
          <w:lang w:val="en-US" w:eastAsia="zh-CN" w:bidi="ar-SA"/>
        </w:rPr>
        <w:t>二、货物要求</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1.</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为本项目提供的</w:t>
      </w:r>
      <w:r>
        <w:rPr>
          <w:rFonts w:hint="eastAsia" w:ascii="仿宋_GB2312" w:hAnsi="仿宋_GB2312" w:eastAsia="仿宋_GB2312" w:cs="仿宋_GB2312"/>
          <w:sz w:val="28"/>
          <w:szCs w:val="28"/>
          <w:lang w:val="en-US" w:eastAsia="zh-CN"/>
        </w:rPr>
        <w:t>设备</w:t>
      </w:r>
      <w:r>
        <w:rPr>
          <w:rFonts w:hint="eastAsia" w:ascii="仿宋_GB2312" w:hAnsi="仿宋_GB2312" w:eastAsia="仿宋_GB2312" w:cs="仿宋_GB2312"/>
          <w:sz w:val="28"/>
          <w:szCs w:val="28"/>
          <w:lang w:val="en-US" w:eastAsia="zh-Hans"/>
        </w:rPr>
        <w:t>、辅材</w:t>
      </w:r>
      <w:r>
        <w:rPr>
          <w:rFonts w:hint="eastAsia" w:ascii="仿宋_GB2312" w:hAnsi="仿宋_GB2312" w:eastAsia="仿宋_GB2312" w:cs="仿宋_GB2312"/>
          <w:sz w:val="28"/>
          <w:szCs w:val="28"/>
          <w:lang w:val="en-US" w:eastAsia="zh-CN"/>
        </w:rPr>
        <w:t>等，</w:t>
      </w:r>
      <w:r>
        <w:rPr>
          <w:rFonts w:hint="eastAsia" w:ascii="仿宋_GB2312" w:hAnsi="仿宋_GB2312" w:eastAsia="仿宋_GB2312" w:cs="仿宋_GB2312"/>
          <w:sz w:val="28"/>
          <w:szCs w:val="28"/>
          <w:lang w:val="en-US" w:eastAsia="zh-Hans"/>
        </w:rPr>
        <w:t>符合现行的强制性国家相关标准</w:t>
      </w:r>
      <w:r>
        <w:rPr>
          <w:rFonts w:hint="eastAsia" w:ascii="仿宋_GB2312" w:hAnsi="仿宋_GB2312" w:eastAsia="仿宋_GB2312" w:cs="仿宋_GB2312"/>
          <w:sz w:val="28"/>
          <w:szCs w:val="28"/>
          <w:lang w:val="en-US" w:eastAsia="zh-CN"/>
        </w:rPr>
        <w:t>和</w:t>
      </w:r>
      <w:r>
        <w:rPr>
          <w:rFonts w:hint="eastAsia" w:ascii="仿宋_GB2312" w:hAnsi="仿宋_GB2312" w:eastAsia="仿宋_GB2312" w:cs="仿宋_GB2312"/>
          <w:sz w:val="28"/>
          <w:szCs w:val="28"/>
          <w:lang w:val="en-US" w:eastAsia="zh-Hans"/>
        </w:rPr>
        <w:t>公共安全行业标准</w:t>
      </w:r>
      <w:r>
        <w:rPr>
          <w:rFonts w:hint="eastAsia" w:ascii="仿宋_GB2312" w:hAnsi="仿宋_GB2312" w:eastAsia="仿宋_GB2312" w:cs="仿宋_GB2312"/>
          <w:sz w:val="28"/>
          <w:szCs w:val="28"/>
          <w:lang w:val="en-US" w:eastAsia="zh-CN"/>
        </w:rPr>
        <w:t>、采购文件</w:t>
      </w:r>
      <w:r>
        <w:rPr>
          <w:rFonts w:hint="eastAsia" w:ascii="仿宋_GB2312" w:hAnsi="仿宋_GB2312" w:eastAsia="仿宋_GB2312" w:cs="仿宋_GB2312"/>
          <w:sz w:val="28"/>
          <w:szCs w:val="28"/>
          <w:lang w:val="en-US" w:eastAsia="zh-Hans"/>
        </w:rPr>
        <w:t>要求。</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val="en-US" w:eastAsia="zh-Hans"/>
        </w:rPr>
        <w:t>.质量保修范围和保修期</w:t>
      </w:r>
    </w:p>
    <w:p>
      <w:pPr>
        <w:keepNext w:val="0"/>
        <w:keepLines w:val="0"/>
        <w:pageBreakBefore w:val="0"/>
        <w:widowControl/>
        <w:kinsoku/>
        <w:wordWrap/>
        <w:overflowPunct/>
        <w:topLinePunct w:val="0"/>
        <w:autoSpaceDE/>
        <w:autoSpaceDN/>
        <w:bidi w:val="0"/>
        <w:adjustRightInd w:val="0"/>
        <w:snapToGrid w:val="0"/>
        <w:spacing w:line="600" w:lineRule="exact"/>
        <w:ind w:left="0" w:leftChars="0" w:firstLine="560" w:firstLineChars="200"/>
        <w:outlineLvl w:val="2"/>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（1）质量保修范围：乙方</w:t>
      </w:r>
      <w:r>
        <w:rPr>
          <w:rFonts w:hint="eastAsia" w:ascii="仿宋_GB2312" w:hAnsi="仿宋_GB2312" w:eastAsia="仿宋_GB2312" w:cs="仿宋_GB2312"/>
          <w:sz w:val="28"/>
          <w:szCs w:val="28"/>
          <w:lang w:val="en-US" w:eastAsia="zh-Hans"/>
        </w:rPr>
        <w:t>为本项目</w:t>
      </w:r>
      <w:r>
        <w:rPr>
          <w:rFonts w:hint="eastAsia" w:ascii="仿宋_GB2312" w:hAnsi="仿宋_GB2312" w:eastAsia="仿宋_GB2312" w:cs="仿宋_GB2312"/>
          <w:sz w:val="28"/>
          <w:szCs w:val="28"/>
          <w:lang w:val="en-US" w:eastAsia="zh-CN"/>
        </w:rPr>
        <w:t>所有</w:t>
      </w:r>
      <w:r>
        <w:rPr>
          <w:rFonts w:hint="eastAsia" w:ascii="仿宋_GB2312" w:hAnsi="仿宋_GB2312" w:eastAsia="仿宋_GB2312" w:cs="仿宋_GB2312"/>
          <w:sz w:val="28"/>
          <w:szCs w:val="28"/>
          <w:lang w:val="en-US" w:eastAsia="zh-Hans"/>
        </w:rPr>
        <w:t>的</w:t>
      </w:r>
      <w:r>
        <w:rPr>
          <w:rFonts w:hint="eastAsia" w:ascii="仿宋_GB2312" w:hAnsi="仿宋_GB2312" w:eastAsia="仿宋_GB2312" w:cs="仿宋_GB2312"/>
          <w:sz w:val="28"/>
          <w:szCs w:val="28"/>
          <w:lang w:val="en-US" w:eastAsia="zh-CN"/>
        </w:rPr>
        <w:t>设备（含软件）、辅材等。</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（2）质保期：</w:t>
      </w:r>
      <w:r>
        <w:rPr>
          <w:rFonts w:hint="eastAsia" w:ascii="仿宋_GB2312" w:hAnsi="仿宋_GB2312" w:eastAsia="仿宋_GB2312" w:cs="仿宋_GB2312"/>
          <w:sz w:val="28"/>
          <w:szCs w:val="28"/>
          <w:lang w:val="en-US" w:eastAsia="zh-Hans"/>
        </w:rPr>
        <w:t>设备进场安装调试</w:t>
      </w:r>
      <w:r>
        <w:rPr>
          <w:rFonts w:hint="eastAsia" w:ascii="仿宋_GB2312" w:hAnsi="仿宋_GB2312" w:eastAsia="仿宋_GB2312" w:cs="仿宋_GB2312"/>
          <w:sz w:val="28"/>
          <w:szCs w:val="28"/>
          <w:lang w:val="en-US" w:eastAsia="zh-CN"/>
        </w:rPr>
        <w:t>完成</w:t>
      </w:r>
      <w:r>
        <w:rPr>
          <w:rFonts w:hint="eastAsia" w:ascii="仿宋_GB2312" w:hAnsi="仿宋_GB2312" w:eastAsia="仿宋_GB2312" w:cs="仿宋_GB2312"/>
          <w:sz w:val="28"/>
          <w:szCs w:val="28"/>
          <w:lang w:val="en-US" w:eastAsia="zh-Hans"/>
        </w:rPr>
        <w:t>并验收合格后</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val="en-US" w:eastAsia="zh-Hans"/>
        </w:rPr>
        <w:t>年时间</w:t>
      </w:r>
      <w:r>
        <w:rPr>
          <w:rFonts w:hint="eastAsia" w:ascii="仿宋_GB2312" w:hAnsi="仿宋_GB2312" w:eastAsia="仿宋_GB2312" w:cs="仿宋_GB2312"/>
          <w:sz w:val="28"/>
          <w:szCs w:val="28"/>
          <w:lang w:val="en-US" w:eastAsia="zh-CN"/>
        </w:rPr>
        <w:t>。</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val="en-US" w:eastAsia="zh-Hans"/>
        </w:rPr>
        <w:t>现场运维服务时间</w:t>
      </w:r>
      <w:r>
        <w:rPr>
          <w:rFonts w:hint="eastAsia" w:ascii="仿宋_GB2312" w:hAnsi="仿宋_GB2312" w:eastAsia="仿宋_GB2312" w:cs="仿宋_GB2312"/>
          <w:sz w:val="28"/>
          <w:szCs w:val="28"/>
          <w:lang w:val="en-US" w:eastAsia="zh-CN"/>
        </w:rPr>
        <w:t>：设备进场安装调试完成并验收合格后现场运维三年时间。</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Hans"/>
        </w:rPr>
        <w:t>4. 其他要求</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（1）项目验收合格后</w:t>
      </w:r>
      <w:r>
        <w:rPr>
          <w:rFonts w:hint="eastAsia" w:ascii="仿宋_GB2312" w:hAnsi="仿宋_GB2312" w:eastAsia="仿宋_GB2312" w:cs="仿宋_GB2312"/>
          <w:sz w:val="28"/>
          <w:szCs w:val="28"/>
          <w:lang w:val="en-US" w:eastAsia="zh-CN"/>
        </w:rPr>
        <w:t>之日起</w:t>
      </w:r>
      <w:r>
        <w:rPr>
          <w:rFonts w:hint="eastAsia" w:ascii="仿宋_GB2312" w:hAnsi="仿宋_GB2312" w:eastAsia="仿宋_GB2312" w:cs="仿宋_GB2312"/>
          <w:sz w:val="28"/>
          <w:szCs w:val="28"/>
          <w:lang w:val="en-US" w:eastAsia="zh-Hans"/>
        </w:rPr>
        <w:t>进入</w:t>
      </w:r>
      <w:r>
        <w:rPr>
          <w:rFonts w:hint="eastAsia" w:ascii="仿宋_GB2312" w:hAnsi="仿宋_GB2312" w:eastAsia="仿宋_GB2312" w:cs="仿宋_GB2312"/>
          <w:sz w:val="28"/>
          <w:szCs w:val="28"/>
          <w:lang w:val="en-US" w:eastAsia="zh-CN"/>
        </w:rPr>
        <w:t>现场维护</w:t>
      </w:r>
      <w:r>
        <w:rPr>
          <w:rFonts w:hint="eastAsia" w:ascii="仿宋_GB2312" w:hAnsi="仿宋_GB2312" w:eastAsia="仿宋_GB2312" w:cs="仿宋_GB2312"/>
          <w:sz w:val="28"/>
          <w:szCs w:val="28"/>
          <w:lang w:val="en-US" w:eastAsia="zh-Hans"/>
        </w:rPr>
        <w:t>期</w:t>
      </w:r>
      <w:r>
        <w:rPr>
          <w:rFonts w:hint="eastAsia" w:ascii="仿宋_GB2312" w:hAnsi="仿宋_GB2312" w:eastAsia="仿宋_GB2312" w:cs="仿宋_GB2312"/>
          <w:sz w:val="28"/>
          <w:szCs w:val="28"/>
          <w:lang w:val="en-US" w:eastAsia="zh-CN"/>
        </w:rPr>
        <w:t>（共36个月）。乙方</w:t>
      </w:r>
      <w:r>
        <w:rPr>
          <w:rFonts w:hint="eastAsia" w:ascii="仿宋_GB2312" w:hAnsi="仿宋_GB2312" w:eastAsia="仿宋_GB2312" w:cs="仿宋_GB2312"/>
          <w:sz w:val="28"/>
          <w:szCs w:val="28"/>
          <w:lang w:val="en-US" w:eastAsia="zh-Hans"/>
        </w:rPr>
        <w:t>需设置7</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lang w:val="en-US" w:eastAsia="zh-Hans"/>
        </w:rPr>
        <w:t>24小时值班应急电话，落实前端和中心平台维护人员队伍及总负责人员名单和手机联系方式，并报备采购单位。其中总负责人员不少于1名，如有人员变动的要第一时间主动向采购单位重新提交人员名单和联系方式。在质保期内，所涉及的前端、网络、软硬件等故障、维护和参数设置等采购单位只与</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所提供的总负责人联系，再由总负责人负责运维服务过程中的总协调及其他相关工作。</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（2）维护响应要求</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接到电话后2小时内必须响应（响应包括：2小时内通过电话和邮件向采购方报告落实的人员、处理方案、预计恢复的时间等），需要到场处理的4小时内必须到场进行处理，一般性故障必须在12小时内恢复（由于停电、线路检修或道路施工挖断电缆和光缆等客观因素造成的除外），涉及设备更换的必须24小时内进行更换。</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（3）视频质量保证</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视频传输网络、电源供应正常，图像、视频流畅不卡顿。</w:t>
      </w:r>
      <w:r>
        <w:rPr>
          <w:rFonts w:hint="eastAsia" w:ascii="仿宋_GB2312" w:hAnsi="仿宋_GB2312" w:eastAsia="仿宋_GB2312" w:cs="仿宋_GB2312"/>
          <w:sz w:val="28"/>
          <w:szCs w:val="28"/>
          <w:lang w:val="en-US" w:eastAsia="zh-Hans"/>
        </w:rPr>
        <w:t>每季度至少进行一次对所有前端监控点位的除尘、树枝和树叶清理或前端参数修改等常规维护；每季度中标单位进行前端清理时应至少提前一天通知采购单位，向采购单位报告清理计划，包括清理开始时间、结束时间、每天清理的任务数量及点位位置等。清理情况要求反映于当月或当季度</w:t>
      </w:r>
      <w:r>
        <w:rPr>
          <w:rFonts w:hint="eastAsia" w:ascii="仿宋_GB2312" w:hAnsi="仿宋_GB2312" w:eastAsia="仿宋_GB2312" w:cs="仿宋_GB2312"/>
          <w:sz w:val="28"/>
          <w:szCs w:val="28"/>
          <w:lang w:val="en-US" w:eastAsia="zh-CN"/>
        </w:rPr>
        <w:t>运维工作</w:t>
      </w:r>
      <w:r>
        <w:rPr>
          <w:rFonts w:hint="eastAsia" w:ascii="仿宋_GB2312" w:hAnsi="仿宋_GB2312" w:eastAsia="仿宋_GB2312" w:cs="仿宋_GB2312"/>
          <w:sz w:val="28"/>
          <w:szCs w:val="28"/>
          <w:lang w:val="en-US" w:eastAsia="zh-Hans"/>
        </w:rPr>
        <w:t>报表中。</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如存在影响前端拍摄效果的，由采购单位通知中标单位进行上杆清理、除尘或前端参数的优化或修改等。</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必须按照采购单位要求对需要清理的点位在24小时内进行清理（地震或雷雨天气等客观因素影响不能进行户外作业的除外），并将清理情况反馈采购方，同时反映于当月或当季度报告中。</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（4）施工及维护过程安全要求</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前期施工和后期维护期间，户外或室内施工作业须做好安全保障措施，设立施工安全警示，如拉警戒线、警示标志等，因施工和维护期间发生的任何纠纷和安全责任事故等均由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全权负责和处理。</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（5）中心平台运维服务要求</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须配合采购单位保障中心平台（市级平台和乡镇级平台以及村级平台）的上下实时对接在线和畅通运行。平台掉线时，采购单位通知</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按照第2条维护响应要求进行响应。单个平台所有图像均无法正常运行调用的，须在12小时内排除故障。若出现多个平台所有图像均无法正常运行调用的，须在12小时排除故障。中心平台功能模块（包括村、镇/乡、市级平台应用模块等功能模块）不能正常运行，须在12小时排除故障。涉及平台硬件更换的，必须24小时内更换。</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（5）特殊任务要求</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en-US" w:eastAsia="zh-Hans"/>
        </w:rPr>
        <w:t>有应急保障、大型活动或节假日等保障任务，需要</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配合的，提前通知</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，根据安保任务重要级别，采购单位通知</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是否到场进行协助。</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接到采购单位通知，根据采购单位提供的安保范围，</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须对范围内的前端监控进行检查，保障正常运行，同时须对平台进行检查，必要时（根据采购单位要求）须派人进行现场驻守直到任务结束。</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（6）网络服务要求</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Hans"/>
        </w:rPr>
        <w:t>网络通信中断故障（包括监控中心平台网络设备故障、监控前端、前端至中心平台网络设备之间等网络故障）须在12小时以内排除故障（由于市政施工光缆被挖断所引起的客观因素除外）。</w:t>
      </w:r>
    </w:p>
    <w:p>
      <w:pPr>
        <w:keepNext w:val="0"/>
        <w:keepLines w:val="0"/>
        <w:pageBreakBefore w:val="0"/>
        <w:widowControl w:val="0"/>
        <w:kinsoku w:val="0"/>
        <w:wordWrap/>
        <w:overflowPunct w:val="0"/>
        <w:topLinePunct w:val="0"/>
        <w:autoSpaceDE w:val="0"/>
        <w:autoSpaceDN w:val="0"/>
        <w:bidi w:val="0"/>
        <w:adjustRightInd w:val="0"/>
        <w:snapToGrid w:val="0"/>
        <w:spacing w:line="500" w:lineRule="exact"/>
        <w:ind w:left="0" w:leftChars="0" w:firstLine="560" w:firstLineChars="200"/>
        <w:jc w:val="both"/>
        <w:textAlignment w:val="auto"/>
        <w:outlineLvl w:val="2"/>
        <w:rPr>
          <w:rFonts w:hint="eastAsia" w:ascii="仿宋_GB2312" w:hAnsi="仿宋_GB2312" w:eastAsia="仿宋_GB2312" w:cs="仿宋_GB2312"/>
          <w:color w:val="000000"/>
          <w:sz w:val="32"/>
          <w:szCs w:val="32"/>
        </w:rPr>
      </w:pP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主动发现问题或故障时，</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应及时整改或对故障进行处理，并向采购单位报告处理进度和情况。</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0" w:leftChars="0" w:firstLine="560" w:firstLineChars="200"/>
        <w:outlineLvl w:val="2"/>
        <w:rPr>
          <w:rFonts w:hint="eastAsia" w:ascii="黑体" w:hAnsi="黑体" w:eastAsia="黑体" w:cs="黑体"/>
          <w:b w:val="0"/>
          <w:bCs/>
          <w:kern w:val="2"/>
          <w:sz w:val="28"/>
          <w:szCs w:val="28"/>
          <w:lang w:val="en-US" w:eastAsia="zh-CN" w:bidi="ar-SA"/>
        </w:rPr>
      </w:pPr>
      <w:r>
        <w:rPr>
          <w:rFonts w:hint="eastAsia" w:ascii="黑体" w:hAnsi="黑体" w:eastAsia="黑体" w:cs="黑体"/>
          <w:b w:val="0"/>
          <w:bCs/>
          <w:kern w:val="2"/>
          <w:sz w:val="28"/>
          <w:szCs w:val="28"/>
          <w:lang w:val="en-US" w:eastAsia="zh-CN" w:bidi="ar-SA"/>
        </w:rPr>
        <w:t>三、合同定价方式、付款进度和支付方式</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1、合同定价方式</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采用总价包干，包括完成本项目所需的设备（含硬件、软件）、材料费（包含辅助、配套材料）、人工费、包装费、运杂费（包含装卸车费、人工运输费）、安装费、调试费、相关税费、现场运维服务费用等直至验收合格交付使用的一切费用及质保期内的日常维保费用，以及由于原材料工本或其它条件的价格浮动而导致的全部额外费用。因成交人自身原因造成漏报、少报皆由其自行承担责任，甲方不再补偿。</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2、付款进度及支付方式</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签订政府采购合同后，设备进场安装调试完成并验收合格后，支付合同总金额的70%。</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现场运维服务时间满一年后，支付合同总金额的10%。</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现场运维服务时间满二年后，支付合同总金额的10%。</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现场运维服务时间满三年后，支付合同总金额的10%。</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若乙方日常运维服务质量，未达到现场运维服务要求，不能满足公安交管业务工作需求的，甲方将依据对乙方季度考评的平均分值核算支付当年应付款项。具体付款进度以财政拨款到位时间为准。</w:t>
      </w:r>
    </w:p>
    <w:p>
      <w:pPr>
        <w:keepNext w:val="0"/>
        <w:keepLines w:val="0"/>
        <w:pageBreakBefore w:val="0"/>
        <w:widowControl/>
        <w:numPr>
          <w:ilvl w:val="0"/>
          <w:numId w:val="0"/>
        </w:numPr>
        <w:kinsoku/>
        <w:wordWrap/>
        <w:overflowPunct/>
        <w:topLinePunct w:val="0"/>
        <w:autoSpaceDE/>
        <w:autoSpaceDN/>
        <w:bidi w:val="0"/>
        <w:adjustRightInd w:val="0"/>
        <w:snapToGrid w:val="0"/>
        <w:spacing w:line="500" w:lineRule="exact"/>
        <w:ind w:left="0" w:leftChars="0" w:firstLine="560" w:firstLineChars="200"/>
        <w:outlineLvl w:val="2"/>
        <w:rPr>
          <w:rFonts w:hint="eastAsia" w:ascii="黑体" w:hAnsi="黑体" w:eastAsia="黑体" w:cs="黑体"/>
          <w:b w:val="0"/>
          <w:bCs/>
          <w:kern w:val="2"/>
          <w:sz w:val="28"/>
          <w:szCs w:val="28"/>
          <w:lang w:val="en-US" w:eastAsia="zh-CN" w:bidi="ar-SA"/>
        </w:rPr>
      </w:pPr>
      <w:r>
        <w:rPr>
          <w:rFonts w:hint="eastAsia" w:ascii="黑体" w:hAnsi="黑体" w:eastAsia="黑体" w:cs="黑体"/>
          <w:b w:val="0"/>
          <w:bCs/>
          <w:kern w:val="2"/>
          <w:sz w:val="28"/>
          <w:szCs w:val="28"/>
          <w:lang w:val="en-US" w:eastAsia="zh-CN" w:bidi="ar-SA"/>
        </w:rPr>
        <w:t>四、交货时间、地点和方式</w:t>
      </w:r>
      <w:bookmarkStart w:id="0" w:name="_GoBack"/>
      <w:bookmarkEnd w:id="0"/>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1、交货（完工）时间</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在收到中标（成交）通知书后，15日内签订采购合同。自合同签订之日起60日内完成项目建设、平台联网、调试运行及设备备案。</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2、交货地点</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乐山市金口河区和平城区。</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3、交货方式</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完成项目建设、平台联网、调试运行及设备备案工作，通过甲方组织验收，验收合格投入运行。</w:t>
      </w:r>
    </w:p>
    <w:p>
      <w:pPr>
        <w:keepNext w:val="0"/>
        <w:keepLines w:val="0"/>
        <w:pageBreakBefore w:val="0"/>
        <w:widowControl/>
        <w:kinsoku/>
        <w:wordWrap/>
        <w:overflowPunct/>
        <w:topLinePunct w:val="0"/>
        <w:autoSpaceDE/>
        <w:autoSpaceDN/>
        <w:bidi w:val="0"/>
        <w:adjustRightInd w:val="0"/>
        <w:snapToGrid w:val="0"/>
        <w:spacing w:line="500" w:lineRule="exact"/>
        <w:ind w:left="0" w:leftChars="0" w:firstLine="560" w:firstLineChars="200"/>
        <w:outlineLvl w:val="2"/>
        <w:rPr>
          <w:rFonts w:hint="eastAsia" w:ascii="黑体" w:hAnsi="黑体" w:eastAsia="黑体" w:cs="黑体"/>
          <w:b w:val="0"/>
          <w:bCs/>
          <w:kern w:val="2"/>
          <w:sz w:val="28"/>
          <w:szCs w:val="28"/>
          <w:lang w:val="en-US" w:eastAsia="zh-CN" w:bidi="ar-SA"/>
        </w:rPr>
      </w:pPr>
      <w:r>
        <w:rPr>
          <w:rFonts w:hint="eastAsia" w:ascii="黑体" w:hAnsi="黑体" w:eastAsia="黑体" w:cs="黑体"/>
          <w:b w:val="0"/>
          <w:bCs/>
          <w:kern w:val="2"/>
          <w:sz w:val="28"/>
          <w:szCs w:val="28"/>
          <w:lang w:val="en-US" w:eastAsia="zh-CN" w:bidi="ar-SA"/>
        </w:rPr>
        <w:t>五、履约保证金</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Hans"/>
        </w:rPr>
        <w:t>本项目不收取履约保证金。</w:t>
      </w:r>
    </w:p>
    <w:p>
      <w:pPr>
        <w:keepNext w:val="0"/>
        <w:keepLines w:val="0"/>
        <w:pageBreakBefore w:val="0"/>
        <w:widowControl/>
        <w:kinsoku/>
        <w:wordWrap/>
        <w:overflowPunct/>
        <w:topLinePunct w:val="0"/>
        <w:autoSpaceDE/>
        <w:autoSpaceDN/>
        <w:bidi w:val="0"/>
        <w:adjustRightInd w:val="0"/>
        <w:snapToGrid w:val="0"/>
        <w:spacing w:line="500" w:lineRule="exact"/>
        <w:ind w:left="0" w:leftChars="0" w:firstLine="560" w:firstLineChars="200"/>
        <w:outlineLvl w:val="2"/>
        <w:rPr>
          <w:rFonts w:hint="eastAsia" w:ascii="黑体" w:hAnsi="黑体" w:eastAsia="黑体" w:cs="黑体"/>
          <w:b w:val="0"/>
          <w:bCs/>
          <w:kern w:val="2"/>
          <w:sz w:val="28"/>
          <w:szCs w:val="28"/>
          <w:lang w:val="en-US" w:eastAsia="zh-CN" w:bidi="ar-SA"/>
        </w:rPr>
      </w:pPr>
      <w:r>
        <w:rPr>
          <w:rFonts w:hint="eastAsia" w:ascii="黑体" w:hAnsi="黑体" w:eastAsia="黑体" w:cs="黑体"/>
          <w:b w:val="0"/>
          <w:bCs/>
          <w:kern w:val="2"/>
          <w:sz w:val="28"/>
          <w:szCs w:val="28"/>
          <w:lang w:val="en-US" w:eastAsia="zh-CN" w:bidi="ar-SA"/>
        </w:rPr>
        <w:t>六、验收标准和方法</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val="en-US" w:eastAsia="zh-Hans"/>
        </w:rPr>
        <w:t>履约验收主体：</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en-US" w:eastAsia="zh-Hans"/>
        </w:rPr>
        <w:t>。</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val="en-US" w:eastAsia="zh-Hans"/>
        </w:rPr>
        <w:t>履约验收时间：</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提出验收申请之日起30日内组织验收。</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val="en-US" w:eastAsia="zh-Hans"/>
        </w:rPr>
        <w:t>履约验收程序：</w:t>
      </w:r>
      <w:r>
        <w:rPr>
          <w:rFonts w:hint="eastAsia" w:ascii="仿宋_GB2312" w:hAnsi="仿宋_GB2312" w:eastAsia="仿宋_GB2312" w:cs="仿宋_GB2312"/>
          <w:sz w:val="28"/>
          <w:szCs w:val="28"/>
          <w:lang w:val="en-US" w:eastAsia="zh-CN"/>
        </w:rPr>
        <w:t>设备</w:t>
      </w:r>
      <w:r>
        <w:rPr>
          <w:rFonts w:hint="eastAsia" w:ascii="仿宋_GB2312" w:hAnsi="仿宋_GB2312" w:eastAsia="仿宋_GB2312" w:cs="仿宋_GB2312"/>
          <w:sz w:val="28"/>
          <w:szCs w:val="28"/>
          <w:lang w:val="en-US" w:eastAsia="zh-Hans"/>
        </w:rPr>
        <w:t>一次性验收</w:t>
      </w:r>
      <w:r>
        <w:rPr>
          <w:rFonts w:hint="eastAsia" w:ascii="仿宋_GB2312" w:hAnsi="仿宋_GB2312" w:eastAsia="仿宋_GB2312" w:cs="仿宋_GB2312"/>
          <w:sz w:val="28"/>
          <w:szCs w:val="28"/>
          <w:lang w:val="en-US" w:eastAsia="zh-CN"/>
        </w:rPr>
        <w:t>；运营维护分期考评验收</w:t>
      </w:r>
      <w:r>
        <w:rPr>
          <w:rFonts w:hint="eastAsia" w:ascii="仿宋_GB2312" w:hAnsi="仿宋_GB2312" w:eastAsia="仿宋_GB2312" w:cs="仿宋_GB2312"/>
          <w:sz w:val="28"/>
          <w:szCs w:val="28"/>
          <w:lang w:val="en-US" w:eastAsia="zh-Hans"/>
        </w:rPr>
        <w:t>。</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val="en-US" w:eastAsia="zh-Hans"/>
        </w:rPr>
        <w:t>验收组织方式：</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en-US" w:eastAsia="zh-Hans"/>
        </w:rPr>
        <w:t>组织验收。</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val="en-US" w:eastAsia="zh-Hans"/>
        </w:rPr>
        <w:t>验收标准：按国家有关规定以及</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en-US" w:eastAsia="zh-Hans"/>
        </w:rPr>
        <w:t>采购文件的质量要求和技术指标、</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en-US" w:eastAsia="zh-Hans"/>
        </w:rPr>
        <w:t>的响应文件及承诺与本项目合同约定标准进行验收。</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Hans"/>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lang w:val="en-US" w:eastAsia="zh-Hans"/>
        </w:rPr>
        <w:t>其他未尽事宜，严格按照《财政部关于进一步加强政府采购需求和履约验收管理的指导意见》(财库〔2016〕205 号)和《乐山市财政局关于沿用乐山市政府采购项目需求论证和履约验收管理实施细则的通知》（乐市财政采〔2021〕8号）的要求及国家行业主管部门规定的标准、方法和内容进行验收。</w:t>
      </w:r>
    </w:p>
    <w:p>
      <w:pPr>
        <w:pStyle w:val="7"/>
        <w:keepNext w:val="0"/>
        <w:keepLines w:val="0"/>
        <w:pageBreakBefore w:val="0"/>
        <w:widowControl/>
        <w:kinsoku/>
        <w:wordWrap/>
        <w:overflowPunct/>
        <w:topLinePunct w:val="0"/>
        <w:autoSpaceDE/>
        <w:autoSpaceDN/>
        <w:bidi w:val="0"/>
        <w:spacing w:line="500" w:lineRule="exact"/>
        <w:ind w:left="0" w:firstLine="560" w:firstLineChars="200"/>
        <w:outlineLvl w:val="3"/>
        <w:rPr>
          <w:sz w:val="28"/>
          <w:szCs w:val="28"/>
        </w:rPr>
      </w:pPr>
      <w:r>
        <w:rPr>
          <w:rFonts w:hint="eastAsia" w:ascii="黑体" w:hAnsi="黑体" w:eastAsia="黑体" w:cs="黑体"/>
          <w:b w:val="0"/>
          <w:bCs/>
          <w:kern w:val="2"/>
          <w:sz w:val="28"/>
          <w:szCs w:val="28"/>
          <w:lang w:val="en-US" w:eastAsia="zh-CN" w:bidi="ar-SA"/>
        </w:rPr>
        <w:t>七、甲方的权利和义务</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1.甲方有权依据双方签订的合同约定，对乙方提供的设备进行验收。当验收结果未达到采购项目标准和要求时，有权依据合同约定要求乙方重新安装符合公共安全相关标准和技术要求的设备。</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2.甲方对乙方日常运维服务内容、服务质量进行考核，并根据每月（或每季度）的考核结果，向乙方支付相应合同款项。</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3.国家法律、法规所规定由甲方承担的其它责任。</w:t>
      </w:r>
    </w:p>
    <w:p>
      <w:pPr>
        <w:pStyle w:val="7"/>
        <w:keepNext w:val="0"/>
        <w:keepLines w:val="0"/>
        <w:pageBreakBefore w:val="0"/>
        <w:widowControl/>
        <w:kinsoku/>
        <w:wordWrap/>
        <w:overflowPunct/>
        <w:topLinePunct w:val="0"/>
        <w:autoSpaceDE/>
        <w:autoSpaceDN/>
        <w:bidi w:val="0"/>
        <w:spacing w:line="500" w:lineRule="exact"/>
        <w:ind w:left="0" w:firstLine="560" w:firstLineChars="200"/>
        <w:outlineLvl w:val="3"/>
        <w:rPr>
          <w:rFonts w:hint="eastAsia" w:ascii="黑体" w:hAnsi="黑体" w:eastAsia="黑体" w:cs="黑体"/>
          <w:b w:val="0"/>
          <w:bCs/>
          <w:kern w:val="2"/>
          <w:sz w:val="28"/>
          <w:szCs w:val="28"/>
          <w:lang w:val="en-US" w:eastAsia="zh-CN" w:bidi="ar-SA"/>
        </w:rPr>
      </w:pPr>
      <w:r>
        <w:rPr>
          <w:rFonts w:hint="eastAsia" w:ascii="黑体" w:hAnsi="黑体" w:eastAsia="黑体" w:cs="黑体"/>
          <w:b w:val="0"/>
          <w:bCs/>
          <w:kern w:val="2"/>
          <w:sz w:val="28"/>
          <w:szCs w:val="28"/>
          <w:lang w:val="en-US" w:eastAsia="zh-CN" w:bidi="ar-SA"/>
        </w:rPr>
        <w:t>八、乙方的权利和义务</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1.根据本合同的规定和日常服务质量，向甲方收取相关合同约定款项。</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2.自觉接受公安机关及交管部门的业务指导，接受甲方的日常监督和运维服务质量考核。</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3.满足甲方公安交管业务工作需求，包括但不限于相关设备的升级更新（换）、点位迁移等工作。</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4.国家法律、法规所规定由乙方承担的其它责任。</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default" w:ascii="黑体" w:hAnsi="黑体" w:eastAsia="黑体" w:cs="黑体"/>
          <w:b w:val="0"/>
          <w:bCs/>
          <w:kern w:val="2"/>
          <w:sz w:val="28"/>
          <w:szCs w:val="28"/>
          <w:lang w:val="en-US" w:eastAsia="zh-CN" w:bidi="ar-SA"/>
        </w:rPr>
      </w:pPr>
      <w:r>
        <w:rPr>
          <w:rFonts w:hint="eastAsia" w:ascii="黑体" w:hAnsi="黑体" w:eastAsia="黑体" w:cs="黑体"/>
          <w:b w:val="0"/>
          <w:bCs/>
          <w:kern w:val="2"/>
          <w:sz w:val="28"/>
          <w:szCs w:val="28"/>
          <w:lang w:val="en-US" w:eastAsia="zh-CN" w:bidi="ar-SA"/>
        </w:rPr>
        <w:t>九、违约责任</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1.甲乙双方必须遵守本合同并执行合同中的各项约定，保证本合同的正常履行。</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如因乙方的工作人员在履行职务过程中的的疏忽、失职、过错等故意或者过失原因给采购单位造成损失或侵害，包括但不限于甲方本身的财产损失、由此而导致的甲方对任何第三方的法律责任等，乙方对此均应承担全部的赔偿责任。</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3.如因乙方在提供服务过程中出现违规、违约等情形，采购单位有权单方终止合同。</w:t>
      </w:r>
    </w:p>
    <w:p>
      <w:pPr>
        <w:pStyle w:val="7"/>
        <w:keepNext w:val="0"/>
        <w:keepLines w:val="0"/>
        <w:pageBreakBefore w:val="0"/>
        <w:widowControl/>
        <w:kinsoku/>
        <w:wordWrap/>
        <w:overflowPunct/>
        <w:topLinePunct w:val="0"/>
        <w:autoSpaceDE/>
        <w:autoSpaceDN/>
        <w:bidi w:val="0"/>
        <w:spacing w:line="500" w:lineRule="exact"/>
        <w:ind w:left="0" w:firstLine="560" w:firstLineChars="200"/>
        <w:outlineLvl w:val="3"/>
        <w:rPr>
          <w:rFonts w:hint="default" w:ascii="黑体" w:hAnsi="黑体" w:eastAsia="黑体" w:cs="黑体"/>
          <w:b w:val="0"/>
          <w:bCs/>
          <w:kern w:val="2"/>
          <w:sz w:val="28"/>
          <w:szCs w:val="28"/>
          <w:lang w:val="en-US" w:eastAsia="zh-CN" w:bidi="ar-SA"/>
        </w:rPr>
      </w:pPr>
      <w:r>
        <w:rPr>
          <w:rFonts w:hint="eastAsia" w:ascii="黑体" w:hAnsi="黑体" w:eastAsia="黑体" w:cs="黑体"/>
          <w:b w:val="0"/>
          <w:bCs/>
          <w:kern w:val="2"/>
          <w:sz w:val="28"/>
          <w:szCs w:val="28"/>
          <w:lang w:val="en-US" w:eastAsia="zh-CN" w:bidi="ar-SA"/>
        </w:rPr>
        <w:t>十、不可抗事件处理</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1.在合同有效期内，任何一方因不可抗事件导致不能履行合同，则合同履行期可延长，其延长期与不可抗影响期相同。</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2.受阻一方应在不可抗事件发生后，尽快用电话通知对方，并于事件发生后5天内将有关部门出具的证明文件等用特快专递或挂号信寄给对方审阅确认。</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3.不可抗事件延续30天以上，双方应通过友好协商，确定是否继续履行合同。</w:t>
      </w:r>
    </w:p>
    <w:p>
      <w:pPr>
        <w:keepNext w:val="0"/>
        <w:keepLines w:val="0"/>
        <w:pageBreakBefore w:val="0"/>
        <w:widowControl w:val="0"/>
        <w:kinsoku w:val="0"/>
        <w:wordWrap/>
        <w:overflowPunct w:val="0"/>
        <w:topLinePunct w:val="0"/>
        <w:autoSpaceDE w:val="0"/>
        <w:autoSpaceDN w:val="0"/>
        <w:bidi w:val="0"/>
        <w:adjustRightInd/>
        <w:snapToGrid/>
        <w:spacing w:line="500" w:lineRule="exact"/>
        <w:ind w:left="0" w:leftChars="0" w:firstLine="560" w:firstLineChars="200"/>
        <w:jc w:val="left"/>
        <w:textAlignment w:val="auto"/>
        <w:outlineLvl w:val="9"/>
        <w:rPr>
          <w:rFonts w:hint="eastAsia" w:ascii="黑体" w:hAnsi="黑体" w:eastAsia="黑体" w:cs="黑体"/>
          <w:b w:val="0"/>
          <w:bCs/>
          <w:kern w:val="2"/>
          <w:sz w:val="28"/>
          <w:szCs w:val="28"/>
          <w:lang w:val="en-US" w:eastAsia="zh-CN" w:bidi="ar-SA"/>
        </w:rPr>
      </w:pPr>
      <w:r>
        <w:rPr>
          <w:rFonts w:hint="eastAsia" w:ascii="黑体" w:hAnsi="黑体" w:eastAsia="黑体" w:cs="黑体"/>
          <w:b w:val="0"/>
          <w:bCs/>
          <w:kern w:val="2"/>
          <w:sz w:val="28"/>
          <w:szCs w:val="28"/>
          <w:lang w:val="en-US" w:eastAsia="zh-CN" w:bidi="ar-SA"/>
        </w:rPr>
        <w:t>十一、解决合同纠纷的方式</w:t>
      </w:r>
    </w:p>
    <w:p>
      <w:pPr>
        <w:keepNext w:val="0"/>
        <w:keepLines w:val="0"/>
        <w:pageBreakBefore w:val="0"/>
        <w:widowControl w:val="0"/>
        <w:kinsoku w:val="0"/>
        <w:wordWrap/>
        <w:overflowPunct w:val="0"/>
        <w:topLinePunct w:val="0"/>
        <w:autoSpaceDE w:val="0"/>
        <w:autoSpaceDN w:val="0"/>
        <w:bidi w:val="0"/>
        <w:adjustRightInd/>
        <w:snapToGrid/>
        <w:spacing w:line="500" w:lineRule="exact"/>
        <w:ind w:left="0" w:leftChars="0" w:firstLine="560" w:firstLineChars="200"/>
        <w:jc w:val="left"/>
        <w:textAlignment w:val="auto"/>
        <w:outlineLvl w:val="9"/>
        <w:rPr>
          <w:rFonts w:hint="default"/>
          <w:sz w:val="28"/>
          <w:szCs w:val="28"/>
          <w:lang w:val="en-US"/>
        </w:rPr>
      </w:pPr>
      <w:r>
        <w:rPr>
          <w:rFonts w:hint="eastAsia" w:ascii="仿宋_GB2312" w:hAnsi="仿宋_GB2312" w:eastAsia="仿宋_GB2312" w:cs="仿宋_GB2312"/>
          <w:kern w:val="0"/>
          <w:sz w:val="28"/>
          <w:szCs w:val="28"/>
          <w:lang w:val="en-US" w:eastAsia="zh-CN"/>
        </w:rPr>
        <w:t>合同履行期间,若双方发生争议，可协商或由有关部门调解解决，协商或调解不成的，由当事人依法维护其合法权益。</w:t>
      </w:r>
    </w:p>
    <w:p>
      <w:pPr>
        <w:pStyle w:val="7"/>
        <w:keepNext w:val="0"/>
        <w:keepLines w:val="0"/>
        <w:pageBreakBefore w:val="0"/>
        <w:widowControl/>
        <w:kinsoku/>
        <w:wordWrap/>
        <w:overflowPunct/>
        <w:topLinePunct w:val="0"/>
        <w:autoSpaceDE/>
        <w:autoSpaceDN/>
        <w:bidi w:val="0"/>
        <w:spacing w:line="500" w:lineRule="exact"/>
        <w:ind w:left="0" w:firstLine="560" w:firstLineChars="200"/>
        <w:outlineLvl w:val="3"/>
        <w:rPr>
          <w:sz w:val="28"/>
          <w:szCs w:val="28"/>
        </w:rPr>
      </w:pPr>
      <w:r>
        <w:rPr>
          <w:rFonts w:hint="eastAsia" w:ascii="黑体" w:hAnsi="黑体" w:eastAsia="黑体" w:cs="黑体"/>
          <w:b w:val="0"/>
          <w:bCs/>
          <w:kern w:val="2"/>
          <w:sz w:val="28"/>
          <w:szCs w:val="28"/>
          <w:lang w:val="en-US" w:eastAsia="zh-CN" w:bidi="ar-SA"/>
        </w:rPr>
        <w:t>十二、合同生效及其他</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1.合同经双方法定代表人（或主要负责人）或授权委托代理人签字并加盖公章后生效。</w:t>
      </w:r>
    </w:p>
    <w:p>
      <w:pPr>
        <w:pStyle w:val="7"/>
        <w:keepNext w:val="0"/>
        <w:keepLines w:val="0"/>
        <w:pageBreakBefore w:val="0"/>
        <w:widowControl/>
        <w:kinsoku/>
        <w:wordWrap/>
        <w:overflowPunct/>
        <w:topLinePunct w:val="0"/>
        <w:autoSpaceDE/>
        <w:autoSpaceDN/>
        <w:bidi w:val="0"/>
        <w:spacing w:line="500" w:lineRule="exact"/>
        <w:ind w:left="0"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2.本合同一式肆份，自双方签章之日起生效。甲方持有2份，乙方持有1份，同级财政部门备案1份，具有同等法律效力。</w:t>
      </w:r>
    </w:p>
    <w:p>
      <w:pPr>
        <w:pStyle w:val="7"/>
        <w:keepNext w:val="0"/>
        <w:keepLines w:val="0"/>
        <w:pageBreakBefore w:val="0"/>
        <w:widowControl/>
        <w:kinsoku/>
        <w:wordWrap/>
        <w:overflowPunct/>
        <w:topLinePunct w:val="0"/>
        <w:autoSpaceDE/>
        <w:autoSpaceDN/>
        <w:bidi w:val="0"/>
        <w:spacing w:line="500" w:lineRule="exact"/>
        <w:ind w:left="0" w:firstLine="560" w:firstLineChars="200"/>
        <w:rPr>
          <w:sz w:val="28"/>
          <w:szCs w:val="28"/>
        </w:rPr>
      </w:pPr>
      <w:r>
        <w:rPr>
          <w:sz w:val="28"/>
          <w:szCs w:val="28"/>
        </w:rPr>
        <w:br w:type="textWrapping"/>
      </w:r>
      <w:r>
        <w:rPr>
          <w:sz w:val="28"/>
          <w:szCs w:val="28"/>
        </w:rPr>
        <w:br w:type="textWrapping"/>
      </w:r>
      <w:r>
        <w:rPr>
          <w:sz w:val="28"/>
          <w:szCs w:val="28"/>
        </w:rPr>
        <w:br w:type="textWrapping"/>
      </w:r>
      <w:r>
        <w:rPr>
          <w:sz w:val="28"/>
          <w:szCs w:val="28"/>
        </w:rPr>
        <w:br w:type="textWrapping"/>
      </w:r>
      <w:r>
        <w:rPr>
          <w:sz w:val="28"/>
          <w:szCs w:val="28"/>
        </w:rPr>
        <w:br w:type="textWrapping"/>
      </w:r>
    </w:p>
    <w:p>
      <w:pPr>
        <w:pStyle w:val="7"/>
        <w:rPr>
          <w:sz w:val="28"/>
          <w:szCs w:val="28"/>
        </w:rPr>
      </w:pPr>
    </w:p>
    <w:p>
      <w:pPr>
        <w:pStyle w:val="7"/>
        <w:rPr>
          <w:sz w:val="28"/>
          <w:szCs w:val="28"/>
        </w:rPr>
      </w:pPr>
    </w:p>
    <w:p>
      <w:pPr>
        <w:pStyle w:val="7"/>
        <w:rPr>
          <w:rFonts w:hint="eastAsia" w:ascii="仿宋_GB2312" w:hAnsi="仿宋_GB2312" w:eastAsia="仿宋_GB2312" w:cs="仿宋_GB2312"/>
          <w:sz w:val="28"/>
          <w:szCs w:val="28"/>
          <w:lang w:val="en-US" w:eastAsia="zh-CN"/>
        </w:rPr>
      </w:pPr>
      <w:r>
        <w:rPr>
          <w:sz w:val="28"/>
          <w:szCs w:val="28"/>
        </w:rPr>
        <w:t xml:space="preserve"> </w:t>
      </w:r>
      <w:r>
        <w:rPr>
          <w:rFonts w:hint="eastAsia" w:ascii="仿宋_GB2312" w:hAnsi="仿宋_GB2312" w:eastAsia="仿宋_GB2312" w:cs="仿宋_GB2312"/>
          <w:sz w:val="28"/>
          <w:szCs w:val="28"/>
        </w:rPr>
        <w:t>甲方：（盖章）</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乙方：(盖章）</w:t>
      </w:r>
    </w:p>
    <w:p>
      <w:pPr>
        <w:pStyle w:val="7"/>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法定（授权）代表人：</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法定（授权）代表人：</w:t>
      </w:r>
    </w:p>
    <w:p>
      <w:pPr>
        <w:pStyle w:val="7"/>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地 址：</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地 址：</w:t>
      </w:r>
    </w:p>
    <w:p>
      <w:pPr>
        <w:pStyle w:val="7"/>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开户银行：</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开户银行：</w:t>
      </w:r>
    </w:p>
    <w:p>
      <w:pPr>
        <w:pStyle w:val="7"/>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账号：</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账号：</w:t>
      </w:r>
    </w:p>
    <w:p>
      <w:pPr>
        <w:pStyle w:val="7"/>
        <w:ind w:left="280" w:hanging="280" w:hanging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签订日期：</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年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日</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签订日期：</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月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日</w:t>
      </w:r>
    </w:p>
    <w:p>
      <w:pPr>
        <w:pStyle w:val="7"/>
        <w:rPr>
          <w:rFonts w:hint="eastAsia" w:ascii="仿宋_GB2312" w:hAnsi="仿宋_GB2312" w:eastAsia="仿宋_GB2312" w:cs="仿宋_GB2312"/>
          <w:lang w:val="en-US" w:eastAsia="zh-CN"/>
        </w:rPr>
      </w:pPr>
    </w:p>
    <w:p>
      <w:pPr>
        <w:pStyle w:val="7"/>
      </w:pP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kYmU4NzIwOTE3YzIwOTIxYzY1MTgzYmVhMDg0MjUifQ=="/>
  </w:docVars>
  <w:rsids>
    <w:rsidRoot w:val="729725B2"/>
    <w:rsid w:val="00547638"/>
    <w:rsid w:val="010B1CCC"/>
    <w:rsid w:val="01674739"/>
    <w:rsid w:val="01CF3F44"/>
    <w:rsid w:val="02AB1FD3"/>
    <w:rsid w:val="02F354DF"/>
    <w:rsid w:val="041B576A"/>
    <w:rsid w:val="068F2E51"/>
    <w:rsid w:val="06E62089"/>
    <w:rsid w:val="07D26069"/>
    <w:rsid w:val="092D1251"/>
    <w:rsid w:val="09E22201"/>
    <w:rsid w:val="09ED77F6"/>
    <w:rsid w:val="0AC44C68"/>
    <w:rsid w:val="0B8201B6"/>
    <w:rsid w:val="0C7258DD"/>
    <w:rsid w:val="0CB24E1F"/>
    <w:rsid w:val="0D974938"/>
    <w:rsid w:val="11EC01C8"/>
    <w:rsid w:val="12573091"/>
    <w:rsid w:val="142217DF"/>
    <w:rsid w:val="152C5A22"/>
    <w:rsid w:val="15793425"/>
    <w:rsid w:val="15A11073"/>
    <w:rsid w:val="15F93F5F"/>
    <w:rsid w:val="16D47FF1"/>
    <w:rsid w:val="16D8122E"/>
    <w:rsid w:val="173764E3"/>
    <w:rsid w:val="17BF0D21"/>
    <w:rsid w:val="18EB34EF"/>
    <w:rsid w:val="1A4C6BD7"/>
    <w:rsid w:val="1B4B4065"/>
    <w:rsid w:val="1CDA2465"/>
    <w:rsid w:val="1DED68D3"/>
    <w:rsid w:val="1E8A57C8"/>
    <w:rsid w:val="1E8B6868"/>
    <w:rsid w:val="1EB12647"/>
    <w:rsid w:val="1F2D0E6C"/>
    <w:rsid w:val="21D323B5"/>
    <w:rsid w:val="229059C0"/>
    <w:rsid w:val="22C56A0D"/>
    <w:rsid w:val="22F27334"/>
    <w:rsid w:val="22FC29A7"/>
    <w:rsid w:val="23716E04"/>
    <w:rsid w:val="23DA08E8"/>
    <w:rsid w:val="23E6721D"/>
    <w:rsid w:val="25C26AA7"/>
    <w:rsid w:val="26D5683E"/>
    <w:rsid w:val="273040B3"/>
    <w:rsid w:val="27651309"/>
    <w:rsid w:val="285C440B"/>
    <w:rsid w:val="289302C1"/>
    <w:rsid w:val="28C017C8"/>
    <w:rsid w:val="29110A3B"/>
    <w:rsid w:val="29171D0C"/>
    <w:rsid w:val="2949788B"/>
    <w:rsid w:val="2956714F"/>
    <w:rsid w:val="2AD32081"/>
    <w:rsid w:val="2B615446"/>
    <w:rsid w:val="2C6477B7"/>
    <w:rsid w:val="2C7820C7"/>
    <w:rsid w:val="2CA54BE0"/>
    <w:rsid w:val="2D120A58"/>
    <w:rsid w:val="2D7C4DCD"/>
    <w:rsid w:val="2F920BCE"/>
    <w:rsid w:val="3098299E"/>
    <w:rsid w:val="30CB3251"/>
    <w:rsid w:val="310F4FF2"/>
    <w:rsid w:val="33127CE1"/>
    <w:rsid w:val="34477152"/>
    <w:rsid w:val="34923A5E"/>
    <w:rsid w:val="34BE3DAD"/>
    <w:rsid w:val="350A5C41"/>
    <w:rsid w:val="362624AB"/>
    <w:rsid w:val="36B27B0A"/>
    <w:rsid w:val="36B4754F"/>
    <w:rsid w:val="36CD50A8"/>
    <w:rsid w:val="370A2A61"/>
    <w:rsid w:val="374E2215"/>
    <w:rsid w:val="38264097"/>
    <w:rsid w:val="38495B6D"/>
    <w:rsid w:val="39D96C03"/>
    <w:rsid w:val="3A1A4FF7"/>
    <w:rsid w:val="3DB02440"/>
    <w:rsid w:val="3E15274A"/>
    <w:rsid w:val="3E5D7EBF"/>
    <w:rsid w:val="3FF958DE"/>
    <w:rsid w:val="40982905"/>
    <w:rsid w:val="431D4FA2"/>
    <w:rsid w:val="44857823"/>
    <w:rsid w:val="46101393"/>
    <w:rsid w:val="46B5609B"/>
    <w:rsid w:val="481B257B"/>
    <w:rsid w:val="48592285"/>
    <w:rsid w:val="48FD0F22"/>
    <w:rsid w:val="495162C4"/>
    <w:rsid w:val="4B5E2EB0"/>
    <w:rsid w:val="4B964E25"/>
    <w:rsid w:val="4CF51C3F"/>
    <w:rsid w:val="4D5764AF"/>
    <w:rsid w:val="4ED00519"/>
    <w:rsid w:val="51E8009F"/>
    <w:rsid w:val="524918CB"/>
    <w:rsid w:val="52AF48AF"/>
    <w:rsid w:val="52CE3474"/>
    <w:rsid w:val="52DA69B6"/>
    <w:rsid w:val="54184BFA"/>
    <w:rsid w:val="547F476A"/>
    <w:rsid w:val="54C36A4D"/>
    <w:rsid w:val="575A334E"/>
    <w:rsid w:val="57C9682B"/>
    <w:rsid w:val="580D5955"/>
    <w:rsid w:val="58C31F28"/>
    <w:rsid w:val="5A7A57BD"/>
    <w:rsid w:val="5AB80635"/>
    <w:rsid w:val="5B994F8E"/>
    <w:rsid w:val="5BD34BA6"/>
    <w:rsid w:val="5E6852D4"/>
    <w:rsid w:val="5F032DEC"/>
    <w:rsid w:val="61846E9E"/>
    <w:rsid w:val="63EB2558"/>
    <w:rsid w:val="64184273"/>
    <w:rsid w:val="64C92B8F"/>
    <w:rsid w:val="6582795B"/>
    <w:rsid w:val="65D71CEE"/>
    <w:rsid w:val="65FF4A9F"/>
    <w:rsid w:val="661B386D"/>
    <w:rsid w:val="66CB5CFF"/>
    <w:rsid w:val="67A640ED"/>
    <w:rsid w:val="681C1E5B"/>
    <w:rsid w:val="68715D52"/>
    <w:rsid w:val="68C531E8"/>
    <w:rsid w:val="691C6AAB"/>
    <w:rsid w:val="69D20A2C"/>
    <w:rsid w:val="6A4B0A31"/>
    <w:rsid w:val="6C1E43B5"/>
    <w:rsid w:val="6CD4572E"/>
    <w:rsid w:val="6EDD6169"/>
    <w:rsid w:val="70603D3B"/>
    <w:rsid w:val="710B1683"/>
    <w:rsid w:val="71F40FFD"/>
    <w:rsid w:val="72124502"/>
    <w:rsid w:val="729725B2"/>
    <w:rsid w:val="729B00FD"/>
    <w:rsid w:val="73193933"/>
    <w:rsid w:val="731C27FB"/>
    <w:rsid w:val="75532932"/>
    <w:rsid w:val="77103DD7"/>
    <w:rsid w:val="77F96878"/>
    <w:rsid w:val="78EC4EC9"/>
    <w:rsid w:val="792D4BED"/>
    <w:rsid w:val="7A4F53E2"/>
    <w:rsid w:val="7BDF6315"/>
    <w:rsid w:val="7C0F770A"/>
    <w:rsid w:val="7CDB7B66"/>
    <w:rsid w:val="7E54798B"/>
    <w:rsid w:val="7E762C15"/>
    <w:rsid w:val="7EE33D3D"/>
    <w:rsid w:val="7FE95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spacing w:after="120"/>
    </w:pPr>
    <w:rPr>
      <w:rFonts w:cs="Times New Roma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14</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2024-04-24T06:49:00Z</dcterms:created>
  <dc:creator>未定义</dc:creator>
  <cp:lastModifiedBy>Administrator</cp:lastModifiedBy>
  <cp:lastPrinted>2024-04-24T09:41:00Z</cp:lastPrinted>
  <dcterms:modified xsi:type="dcterms:W3CDTF">2024-05-14T09:30:03Z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FE59DDAB956440218158F472BCAFB73D_11</vt:lpwstr>
  </property>
</Properties>
</file>