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版本号：240816004</w:t>
      </w:r>
    </w:p>
    <w:p>
      <w:pPr>
        <w:pStyle w:val="null3"/>
        <w:jc w:val="left"/>
        <w:outlineLvl w:val="0"/>
      </w:pPr>
      <w:r>
        <w:rPr>
          <w:b/>
          <w:sz w:val="48"/>
        </w:rPr>
        <w:t>竞 争 性 谈 判 文 件</w:t>
      </w:r>
    </w:p>
    <w:p>
      <w:pPr>
        <w:pStyle w:val="null3"/>
        <w:jc w:val="center"/>
        <w:outlineLvl w:val="0"/>
      </w:pPr>
      <w:r>
        <w:rPr>
          <w:b/>
          <w:sz w:val="48"/>
        </w:rPr>
        <w:t>（服务类）</w:t>
      </w:r>
    </w:p>
    <w:p>
      <w:pPr>
        <w:pStyle w:val="null3"/>
        <w:jc w:val="left"/>
        <w:outlineLvl w:val="2"/>
      </w:pPr>
      <w:r>
        <w:rPr>
          <w:b/>
          <w:sz w:val="28"/>
        </w:rPr>
        <w:t>采购项目名称：</w:t>
      </w:r>
      <w:r>
        <w:rPr>
          <w:b/>
          <w:sz w:val="28"/>
        </w:rPr>
        <w:t>金口河区信息化平台建设项目</w:t>
      </w:r>
    </w:p>
    <w:p>
      <w:pPr>
        <w:pStyle w:val="null3"/>
        <w:jc w:val="center"/>
        <w:outlineLvl w:val="2"/>
      </w:pPr>
      <w:r>
        <w:rPr>
          <w:b/>
          <w:sz w:val="28"/>
        </w:rPr>
        <w:t>采购项目编号：</w:t>
      </w:r>
      <w:r>
        <w:rPr>
          <w:b/>
          <w:sz w:val="28"/>
        </w:rPr>
        <w:t>N5111132024000028</w:t>
      </w:r>
    </w:p>
    <w:p>
      <w:pPr>
        <w:pStyle w:val="null3"/>
        <w:jc w:val="left"/>
        <w:outlineLvl w:val="2"/>
      </w:pPr>
      <w:r>
        <w:rPr>
          <w:b/>
          <w:sz w:val="28"/>
        </w:rPr>
        <w:t>乐山市金口河区公路建设服务中心</w:t>
      </w:r>
    </w:p>
    <w:p>
      <w:pPr>
        <w:pStyle w:val="null3"/>
        <w:jc w:val="center"/>
        <w:outlineLvl w:val="2"/>
      </w:pPr>
      <w:r>
        <w:rPr>
          <w:b/>
          <w:sz w:val="28"/>
        </w:rPr>
        <w:t>乐山市金口河区政府采购中心</w:t>
      </w:r>
      <w:r>
        <w:rPr>
          <w:b/>
          <w:sz w:val="28"/>
        </w:rPr>
        <w:t>共同编制</w:t>
      </w:r>
    </w:p>
    <w:p>
      <w:pPr>
        <w:pStyle w:val="null3"/>
        <w:jc w:val="center"/>
      </w:pPr>
      <w:r>
        <w:rPr/>
        <w:t>2024年08月08日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乐山市金口河区公路建设服务中心</w:t>
      </w:r>
      <w:r>
        <w:rPr/>
        <w:t xml:space="preserve"> 委托，拟对 </w:t>
      </w:r>
      <w:r>
        <w:rPr/>
        <w:t>金口河区信息化平台建设项目</w:t>
      </w:r>
      <w:r>
        <w:rPr/>
        <w:t xml:space="preserve"> 采用竞争性谈判方式进行采购，兹邀请符合资格条件的供应商参加谈判。本项目为四川省</w:t>
      </w:r>
      <w:r>
        <w:rPr/>
        <w:t>乐山市金口河区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N5111132024000028</w:t>
      </w:r>
    </w:p>
    <w:p>
      <w:pPr>
        <w:pStyle w:val="null3"/>
        <w:jc w:val="left"/>
        <w:outlineLvl w:val="2"/>
      </w:pPr>
      <w:r>
        <w:rPr>
          <w:b/>
          <w:sz w:val="28"/>
        </w:rPr>
        <w:t>1.2.采购项目名称</w:t>
      </w:r>
      <w:r>
        <w:rPr>
          <w:b/>
          <w:sz w:val="28"/>
        </w:rPr>
        <w:t xml:space="preserve">： </w:t>
      </w:r>
      <w:r>
        <w:rPr>
          <w:b/>
          <w:sz w:val="28"/>
        </w:rPr>
        <w:t>金口河区信息化平台建设项目</w:t>
      </w:r>
    </w:p>
    <w:p>
      <w:pPr>
        <w:pStyle w:val="null3"/>
        <w:jc w:val="left"/>
        <w:outlineLvl w:val="2"/>
      </w:pPr>
      <w:r>
        <w:rPr>
          <w:b/>
          <w:sz w:val="28"/>
        </w:rPr>
        <w:t>1.3.谈判项目简介</w:t>
      </w:r>
    </w:p>
    <w:p>
      <w:pPr>
        <w:pStyle w:val="null3"/>
        <w:ind w:firstLine="480"/>
        <w:jc w:val="left"/>
      </w:pPr>
      <w:r>
        <w:rPr/>
        <w:t>为有力解决公路信息传输不及时、准确度不高等问题，本项目拟确定一家供应商为乐山市金口河区公路建设服务中心提供信息化平台建设服务。</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乐山市金口河区公路建设服务中心</w:t>
      </w:r>
    </w:p>
    <w:p>
      <w:pPr>
        <w:pStyle w:val="null3"/>
        <w:jc w:val="left"/>
      </w:pPr>
      <w:r>
        <w:rPr/>
        <w:t xml:space="preserve"> 地址： </w:t>
      </w:r>
      <w:r>
        <w:rPr/>
        <w:t>乐山市金口河区永和镇新乐村3组</w:t>
      </w:r>
    </w:p>
    <w:p>
      <w:pPr>
        <w:pStyle w:val="null3"/>
        <w:jc w:val="left"/>
      </w:pPr>
      <w:r>
        <w:rPr/>
        <w:t xml:space="preserve"> 邮编： </w:t>
      </w:r>
      <w:r>
        <w:rPr/>
        <w:t>614700</w:t>
      </w:r>
    </w:p>
    <w:p>
      <w:pPr>
        <w:pStyle w:val="null3"/>
        <w:jc w:val="left"/>
      </w:pPr>
      <w:r>
        <w:rPr/>
        <w:t xml:space="preserve"> 联系人： </w:t>
      </w:r>
      <w:r>
        <w:rPr/>
        <w:t>李杰</w:t>
      </w:r>
    </w:p>
    <w:p>
      <w:pPr>
        <w:pStyle w:val="null3"/>
        <w:jc w:val="left"/>
      </w:pPr>
      <w:r>
        <w:rPr/>
        <w:t xml:space="preserve"> 联系电话： </w:t>
      </w:r>
      <w:r>
        <w:rPr/>
        <w:t>18683360410</w:t>
      </w:r>
    </w:p>
    <w:p>
      <w:pPr>
        <w:pStyle w:val="null3"/>
        <w:jc w:val="left"/>
      </w:pPr>
      <w:r>
        <w:rPr>
          <w:b/>
        </w:rPr>
        <w:t xml:space="preserve">代理机构： </w:t>
      </w:r>
      <w:r>
        <w:rPr>
          <w:b/>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采购包1：935,729.00元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本采购包履约保证金为合同金额的10%</w:t>
            </w:r>
          </w:p>
          <w:p>
            <w:pPr>
              <w:pStyle w:val="null3"/>
              <w:jc w:val="left"/>
            </w:pPr>
            <w:r>
              <w:rPr/>
              <w:t>交款方式：银行转账，支票/汇票/本票，保函/保险</w:t>
            </w:r>
          </w:p>
          <w:p>
            <w:pPr>
              <w:pStyle w:val="null3"/>
              <w:jc w:val="left"/>
            </w:pPr>
            <w:r>
              <w:rPr/>
              <w:t>（1）交纳时间及方式：成交通知书发出后采购合同签订前，成交供应商以支票、汇票、本票或者保函等非现金方式（包括网银转账，电汇等方式）提交，收款信息以成交后采购人提供的为准。</w:t>
              <w:br/>
              <w:t>（2）退还方式、条件、时间：成交供应商按谈判文件及采购合同的约定事项，完成本项目履约验收工作后，成交供应商凭采购人出具的项目履约验收合格凭证材料向采购人或采购人指定的履约保证金收款单位申请退还，采购人或采购人指定的履约保证金收款单位在收到成交供应商申请（含项目履约验收合格凭证材料）后30日内，以成交供应商交纳履约保证金的方式一次性无息退还给成交供应商。</w:t>
              <w:br/>
              <w:t>（3）不予退还履约保证金的情形：</w:t>
              <w:br/>
              <w:t>①成交供应商交纳履约保证金后无正当理由拒绝与采购人签订采购合同的。</w:t>
              <w:br/>
              <w:t>②成交供应商违规分包或违法转包的。</w:t>
              <w:br/>
              <w:t>③发生严重质量问题（含提供假冒伪劣产品）的。</w:t>
              <w:br/>
              <w:t>④成交供应商擅自变更、中止或者终止采购合同的。</w:t>
              <w:br/>
              <w:t>⑤履约验收不合格，经整改后仍不合格的。</w:t>
              <w:br/>
              <w:t>⑥提供虚假材料谋取成交的。</w:t>
              <w:br/>
              <w:t>⑦其他因成交供应商原因（不可抗力因素除外）逾期30日未完成服务的，或者其他原因对采购人造成损失的。</w:t>
              <w:br/>
              <w:t>（4）逾期退还履约保证金的违约责任：成交供应商按照履约保证金退还方式、条件、时间申请退化履约保证金时，采购人或采购人指定的履约保证金收款单位未按谈判文件规定时间退还的，成交供应商可采用书面形式向采购人申请支付违约金，违约金以逾期之日起未退还金额为本金按中国人民银行同期贷款基准利率按日计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乐山市金口河区公路建设服务中心</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乐山市金口河区公路建设服务中心</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三、政府采购合同自采购人和成交供应商在书面合同上签章之日起生效。</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w:t>
      </w:r>
    </w:p>
    <w:p>
      <w:pPr>
        <w:pStyle w:val="null3"/>
        <w:ind w:firstLine="480"/>
        <w:jc w:val="left"/>
      </w:pPr>
      <w:r>
        <w:rPr/>
        <w:t>九、技术履约验收内容：</w:t>
      </w:r>
    </w:p>
    <w:p>
      <w:pPr>
        <w:pStyle w:val="null3"/>
        <w:ind w:firstLine="480"/>
        <w:jc w:val="left"/>
      </w:pPr>
      <w:r>
        <w:rPr/>
        <w:t>采购包1：</w:t>
      </w:r>
      <w:r>
        <w:rPr/>
        <w:t>谈判文件的服务要求、供应商的响应文件及承诺与本合同约定标准。</w:t>
      </w:r>
    </w:p>
    <w:p>
      <w:pPr>
        <w:pStyle w:val="null3"/>
        <w:ind w:firstLine="480"/>
        <w:jc w:val="left"/>
      </w:pPr>
      <w:r>
        <w:rPr/>
        <w:t>十、商务履约验收内容：</w:t>
      </w:r>
    </w:p>
    <w:p>
      <w:pPr>
        <w:pStyle w:val="null3"/>
        <w:ind w:firstLine="480"/>
        <w:jc w:val="left"/>
      </w:pPr>
      <w:r>
        <w:rPr/>
        <w:t>采购包1：</w:t>
      </w:r>
      <w:r>
        <w:rPr/>
        <w:t>谈判文件的商务要求、供应商的响应文件及承诺与本合同约定标准。</w:t>
      </w:r>
    </w:p>
    <w:p>
      <w:pPr>
        <w:pStyle w:val="null3"/>
        <w:ind w:firstLine="480"/>
        <w:jc w:val="left"/>
      </w:pPr>
      <w:r>
        <w:rPr/>
        <w:t>十一、履约验收标准：</w:t>
      </w:r>
    </w:p>
    <w:p>
      <w:pPr>
        <w:pStyle w:val="null3"/>
        <w:ind w:firstLine="480"/>
        <w:jc w:val="left"/>
      </w:pPr>
      <w:r>
        <w:rPr/>
        <w:t>采购包1：</w:t>
      </w:r>
      <w:r>
        <w:rPr/>
        <w:t>（1）严格按照国家现行有关行业规定、质量和技术指标要求、谈判文件的质量要求和技术指标、供应商的响应文件及承诺与采购合同约定标准进行验收。 （2）采购人与成交供应商双方如对质量要求和技术指标的约定标准有相互抵触或异议的事项，由采购人在谈判文件与响应文件中按质量要求和技术指标比较优胜的原则确定该项的约定标准进行验收。 （3）如质量验收合格，双方签署质量验收报告。 （4）其他未尽事宜应严格按照《财政部关于进一步加强政府采购需求和履约验收管理的指导意见》（财库〔2016〕205号）、《政府采购需求管理办法》（财库〔2021〕22号）的要求进行。</w:t>
      </w:r>
    </w:p>
    <w:p>
      <w:pPr>
        <w:pStyle w:val="null3"/>
        <w:ind w:firstLine="480"/>
        <w:jc w:val="left"/>
      </w:pPr>
      <w:r>
        <w:rPr/>
        <w:t>十二、履约验收其他事项：</w:t>
      </w:r>
    </w:p>
    <w:p>
      <w:pPr>
        <w:pStyle w:val="null3"/>
        <w:ind w:firstLine="480"/>
        <w:jc w:val="left"/>
      </w:pPr>
      <w:r>
        <w:rPr/>
        <w:t>采购包1：</w:t>
      </w:r>
      <w:r>
        <w:rPr/>
        <w:t>/</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乐山市金口河区公路建设服务中心</w:t>
      </w:r>
      <w:r>
        <w:rPr/>
        <w:t xml:space="preserve"> 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地址：乐山市金口河区滨河路三段153号</w:t>
      </w:r>
    </w:p>
    <w:p>
      <w:pPr>
        <w:pStyle w:val="null3"/>
        <w:jc w:val="left"/>
      </w:pPr>
      <w:r>
        <w:rPr/>
        <w:t>邮编：614700</w:t>
      </w:r>
    </w:p>
    <w:p>
      <w:pPr>
        <w:pStyle w:val="null3"/>
        <w:jc w:val="left"/>
      </w:pPr>
      <w:r>
        <w:rPr/>
        <w:t>答复主体：采购人</w:t>
      </w:r>
    </w:p>
    <w:p>
      <w:pPr>
        <w:pStyle w:val="null3"/>
        <w:jc w:val="left"/>
      </w:pPr>
      <w:r>
        <w:rPr/>
        <w:t>联系人：李老师</w:t>
      </w:r>
    </w:p>
    <w:p>
      <w:pPr>
        <w:pStyle w:val="null3"/>
        <w:jc w:val="left"/>
      </w:pPr>
      <w:r>
        <w:rPr/>
        <w:t>联系电话：18683360410</w:t>
      </w:r>
    </w:p>
    <w:p>
      <w:pPr>
        <w:pStyle w:val="null3"/>
        <w:jc w:val="left"/>
      </w:pPr>
      <w:r>
        <w:rPr/>
        <w:t>地址：乐山市金口河区永和镇新乐村3组</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财政部门联系方式详见四川政府采购网-下载专区-政府采购供应商投诉书范本-政府采购供应商投诉书范本及受理投诉联系方式。正文</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935,729.00</w:t>
      </w:r>
    </w:p>
    <w:p>
      <w:pPr>
        <w:pStyle w:val="null3"/>
        <w:jc w:val="left"/>
      </w:pPr>
      <w:r>
        <w:rPr/>
        <w:t>采购包最高限价（元）: 935,729.00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其他系统集成实施服务</w:t>
            </w:r>
          </w:p>
        </w:tc>
        <w:tc>
          <w:tcPr>
            <w:tcW w:type="dxa" w:w="821"/>
          </w:tcPr>
          <w:p>
            <w:pPr>
              <w:pStyle w:val="null3"/>
              <w:jc w:val="left"/>
            </w:pPr>
            <w:r>
              <w:rPr/>
              <w:t>金口河区信息化平台建设项目</w:t>
            </w:r>
          </w:p>
        </w:tc>
        <w:tc>
          <w:tcPr>
            <w:tcW w:type="dxa" w:w="821"/>
          </w:tcPr>
          <w:p>
            <w:pPr>
              <w:pStyle w:val="null3"/>
              <w:jc w:val="right"/>
            </w:pPr>
            <w:r>
              <w:rPr/>
              <w:t>1.00（项）</w:t>
            </w:r>
          </w:p>
        </w:tc>
        <w:tc>
          <w:tcPr>
            <w:tcW w:type="dxa" w:w="821"/>
          </w:tcPr>
          <w:p>
            <w:pPr>
              <w:pStyle w:val="null3"/>
              <w:jc w:val="right"/>
            </w:pPr>
            <w:r>
              <w:rPr/>
              <w:t>935,729.00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金口河区信息化平台建设项目</w:t>
            </w:r>
          </w:p>
        </w:tc>
        <w:tc>
          <w:tcPr>
            <w:tcW w:type="dxa" w:w="977"/>
          </w:tcPr>
          <w:p>
            <w:pPr>
              <w:pStyle w:val="null3"/>
              <w:jc w:val="right"/>
            </w:pPr>
            <w:r>
              <w:rPr/>
              <w:t>1.00（项）</w:t>
            </w:r>
          </w:p>
        </w:tc>
        <w:tc>
          <w:tcPr>
            <w:tcW w:type="dxa" w:w="1173"/>
          </w:tcPr>
          <w:p>
            <w:pPr>
              <w:pStyle w:val="null3"/>
              <w:jc w:val="right"/>
            </w:pPr>
            <w:r>
              <w:rPr/>
              <w:t>935,729（元）</w:t>
            </w:r>
          </w:p>
        </w:tc>
        <w:tc>
          <w:tcPr>
            <w:tcW w:type="dxa" w:w="1173"/>
          </w:tcPr>
          <w:p>
            <w:pPr>
              <w:pStyle w:val="null3"/>
              <w:jc w:val="right"/>
            </w:pPr>
            <w:r>
              <w:rPr/>
              <w:t>935,729.00</w:t>
            </w:r>
          </w:p>
        </w:tc>
        <w:tc>
          <w:tcPr>
            <w:tcW w:type="dxa" w:w="977"/>
          </w:tcPr>
          <w:p>
            <w:pPr>
              <w:pStyle w:val="null3"/>
              <w:jc w:val="left"/>
            </w:pPr>
            <w:r>
              <w:rPr/>
              <w:t>总价</w:t>
            </w:r>
          </w:p>
        </w:tc>
        <w:tc>
          <w:tcPr>
            <w:tcW w:type="dxa" w:w="1661"/>
          </w:tcPr>
          <w:p>
            <w:pPr>
              <w:pStyle w:val="null3"/>
              <w:jc w:val="left"/>
            </w:pPr>
            <w:r>
              <w:rPr/>
              <w:t>本项目报价应包括供应商履约过程中与其他平台系统对接所需费用、安装费、材料费、人工费、差旅费、资料费、培训、硬件设备所需配套设施及辅材、保险、风险、税费、利润及与供应商履约本项目所需要的其他所有费用。如出现谈判报价估算错误等引起的损失由供应商自行承担，采购人不再另行支付任何费用。</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其他系统集成实施服务</w:t>
            </w:r>
          </w:p>
        </w:tc>
        <w:tc>
          <w:tcPr>
            <w:tcW w:type="dxa" w:w="2492"/>
          </w:tcPr>
          <w:p>
            <w:pPr>
              <w:pStyle w:val="null3"/>
              <w:jc w:val="left"/>
            </w:pPr>
            <w:r>
              <w:rPr/>
              <w:t>金口河区信息化平台建设项目</w:t>
            </w:r>
          </w:p>
        </w:tc>
        <w:tc>
          <w:tcPr>
            <w:tcW w:type="dxa" w:w="2492"/>
          </w:tcPr>
          <w:p>
            <w:pPr>
              <w:pStyle w:val="null3"/>
              <w:jc w:val="left"/>
            </w:pPr>
            <w:r>
              <w:rPr/>
              <w:t>大屏显示</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其他系统集成实施服务</w:t>
            </w:r>
          </w:p>
        </w:tc>
        <w:tc>
          <w:tcPr>
            <w:tcW w:type="dxa" w:w="2492"/>
          </w:tcPr>
          <w:p>
            <w:pPr>
              <w:pStyle w:val="null3"/>
              <w:jc w:val="left"/>
            </w:pPr>
            <w:r>
              <w:rPr/>
              <w:t>金口河区信息化平台建设项目</w:t>
            </w:r>
          </w:p>
        </w:tc>
        <w:tc>
          <w:tcPr>
            <w:tcW w:type="dxa" w:w="2492"/>
          </w:tcPr>
          <w:p>
            <w:pPr>
              <w:pStyle w:val="null3"/>
              <w:jc w:val="left"/>
            </w:pPr>
            <w:r>
              <w:rPr/>
              <w:t>大屏显示</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标的名称：金口河区信息化平台建设项目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仿宋" w:hAnsi="仿宋" w:cs="仿宋" w:eastAsia="仿宋"/>
                <w:b/>
                <w:sz w:val="24"/>
              </w:rPr>
              <w:t>1. 技术和服务要求</w:t>
            </w:r>
          </w:p>
          <w:tbl>
            <w:tblPr>
              <w:tblInd w:type="dxa" w:w="120"/>
              <w:tblBorders>
                <w:top w:val="none" w:color="000000" w:sz="4"/>
                <w:left w:val="none" w:color="000000" w:sz="4"/>
                <w:bottom w:val="none" w:color="000000" w:sz="4"/>
                <w:right w:val="none" w:color="000000" w:sz="4"/>
                <w:insideH w:val="none"/>
                <w:insideV w:val="none"/>
              </w:tblBorders>
            </w:tblPr>
            <w:tblGrid>
              <w:gridCol w:w="287"/>
              <w:gridCol w:w="250"/>
              <w:gridCol w:w="1606"/>
              <w:gridCol w:w="197"/>
              <w:gridCol w:w="213"/>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主要</w:t>
                  </w:r>
                </w:p>
                <w:p>
                  <w:pPr>
                    <w:pStyle w:val="null3"/>
                    <w:jc w:val="center"/>
                  </w:pPr>
                  <w:r>
                    <w:rPr>
                      <w:rFonts w:ascii="仿宋" w:hAnsi="仿宋" w:cs="仿宋" w:eastAsia="仿宋"/>
                      <w:sz w:val="24"/>
                    </w:rPr>
                    <w:t>模块</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功能列表</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功能简介</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单位</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数量</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数据可视化</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整体运行态势专题</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通过数据治理及大数据分析技术对相关数据进行价值分析提取，形成统一指挥协调可视化中心，并针对多项应用主题进行专项分析，反映公路运行的关键指标，提供给各级领导进行监督指挥数据支撑。对道路整体运行关键指标展示，公路管养运行情况的全局总览，并对异常的关键指标进行及时预警和挖掘分析，提供给各级领导和业务人员进行监督指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公路资产决策版块</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在地图上显示所有道路及资产情况，对资产异常的预警显示，点击道路显示道路详情和路长信息、对公路资产进行类别统计、管辖乡镇统计、资产状况进行排序提示预警。</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巡查养护事件版块</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在地图上显示当前巡查人员及位置轨迹等，包括路长、养护人员、路政人员、建设人员等。可以查询人员历史轨迹，地图显示巡查异常信息并查看信息详情，显示断阻点位信息，显示治超点位信息，显示监控点位并调用摄像头。对在线相关人员可发起实时视频通话进行指挥调度。对巡查人员在线时长、历史巡查时长、发现异常情况等进行统计分析和排序预警等。在地图上显示工作人员实时定位、并可查询人员历史工作轨迹，以及巡查过程中上报的巡查异常事件信息定位，并可查看事件信息详情，工作人员包括路长、养护人员、路政人员、建设人员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道路运营监管版块</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在地图上展示车辆位置、客运站点、货运场站、产业信息等数据。对农村客运在线时长进行统计，对时长进行排序预警显示。将产业信息与货运场站进行分析，提出布局决策建议。对乡镇物流点位进行匹配分析。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指挥调度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在大数据可视化平台中的巡查养护事件版块和建设工程监管版块中，指挥中心对在线人员可主动发起实时视频通话，或当指挥中心收到突发事件报告时，指挥中心通过</w:t>
                  </w:r>
                  <w:r>
                    <w:rPr>
                      <w:rFonts w:ascii="仿宋" w:hAnsi="仿宋" w:cs="仿宋" w:eastAsia="仿宋"/>
                      <w:sz w:val="24"/>
                    </w:rPr>
                    <w:t>GIS能够精、快、准的了解事故位置，能够实时了解现场情况，指挥调度人员直接通过领导驾驶舱对现场在线人员发起指挥调度指令，能第一时间召开紧急音/视频通话，在最短时间内快速处理突发事件，最大限度减少事故损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数据展示</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地图监测</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GIS地图叠加监测站点图层。渠系、行政区域图层等。以关系数据库管理系统和GIS地理信息系统为基础，利用复杂数据模型、动态分析等新技术，将公路属性数据与图形有机的结合，直接明了在GIS地图上的查看公路有关静态和动态的数据变化。</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列表监测</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利用复杂数据模型、动态分析等新技术，将公路属性数据与图标有机的结合，实时列表数据展示，历史数据查看。也可以在地图上直接对指定的位置要素取得相关的属性信息实现地图数据和属性数据的双向联合查询和分析；也可在属性数据库中进行简单或复合查询，将符合条件的交通地理要素在地图上进行高亮度显示输出，如按点状要素性质的不同，对点状实体按颜色与形状不同显示，用动态分段技术进行复合要素的查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动态养护展示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在地图上显示工作人员和上报病害事件定位等管养实时动态，可以查询人员历史工作轨迹，对各类在线人员进行实时视频指挥调度；对上报病害、养护作业、突发事件、安全隐患等管理养护事件可进行查看详细，并支持一键派发处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技术状况展示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系统基于时间和空间维度建立公路数据关联，对公路病害、技术状况追溯和分布分析，为公路养护和规划设计提供真实的数据支撑，技术状况评定在地图上以不同的颜色显示不同的路况信息，从不同维度立体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道路通阻展示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基于</w:t>
                  </w:r>
                  <w:r>
                    <w:rPr>
                      <w:rFonts w:ascii="仿宋" w:hAnsi="仿宋" w:cs="仿宋" w:eastAsia="仿宋"/>
                      <w:sz w:val="24"/>
                    </w:rPr>
                    <w:t>GIS地图查询养护事件通阻状况信息，按照不同类别、不同等级以地图形式展示，可以查看通阻状况列表，滚动播放，并提供跳转通阻状况页面的功能，对接百度、高德等资源的实时交通量信息，对于交通拥挤情况分级展示，用不同颜色代表不同的拥挤状态，针对拥堵、堵塞路段进行预警。</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重点监测展示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对重要桥隧、交通流量大，以及瓶颈路段（断头路、低等级公路、危桥）等路网薄弱环节进行地图可视化，在地图上查看详细信息，直观展示辖区内路网建设的重点关注部分。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安全隐患展示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基于</w:t>
                  </w:r>
                  <w:r>
                    <w:rPr>
                      <w:rFonts w:ascii="仿宋" w:hAnsi="仿宋" w:cs="仿宋" w:eastAsia="仿宋"/>
                      <w:sz w:val="24"/>
                    </w:rPr>
                    <w:t>GIS地图查询展示安全隐患点信息包括隐患位置，标注隐患名称，建立公路安全隐患排查治理台账，组织隐患整改与复核验收，形成对隐患排查、整改与复查的闭环管理。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路产管理</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路线管理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包括路线信息的增、删、改、查、导入、导出功能，路线信息包括路线编号、路线名称、起止点桩号、路线等级、路面类型、现状图片等基础数据进行全面梳理、整合等规范化入库，同时在</w:t>
                  </w:r>
                  <w:r>
                    <w:rPr>
                      <w:rFonts w:ascii="仿宋" w:hAnsi="仿宋" w:cs="仿宋" w:eastAsia="仿宋"/>
                      <w:sz w:val="24"/>
                    </w:rPr>
                    <w:t>GIS地图上展示。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路段管理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包括路段信息的增、删、改、查、导入、导出功能，路线信息包括所属路线、路段名称、路段编号、起止点桩号、采集里程、采集时间、路段图片、路长公示牌等基础数据进行全面梳理、整合等规范化入库，同时对特定路段支持一键</w:t>
                  </w:r>
                  <w:r>
                    <w:rPr>
                      <w:rFonts w:ascii="仿宋" w:hAnsi="仿宋" w:cs="仿宋" w:eastAsia="仿宋"/>
                      <w:sz w:val="24"/>
                    </w:rPr>
                    <w:t>GIS地图跳转展示。自动生成对应各个路段二维码，通过扫码可查看路段信息、附属桥梁信息、负责人信息，并支持群众共治，将身边发生的相关问题描述拍照图片上传功能。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桥梁管理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包括桥梁信息的增、删、改、查、导入、导出功能，实现桥梁基础数据（含属性数据和档案资料）、桥梁检测数据、历史病害数据、技术状况评定数据、桥正立面照片等基础数据进行全面梳理、整合等规范化入库。同时，可对桥梁养护管理数据进行综合查询，同时在</w:t>
                  </w:r>
                  <w:r>
                    <w:rPr>
                      <w:rFonts w:ascii="仿宋" w:hAnsi="仿宋" w:cs="仿宋" w:eastAsia="仿宋"/>
                      <w:sz w:val="24"/>
                    </w:rPr>
                    <w:t>GIS地图上展示。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隧道管理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包括隧道信息增、删、改、查、导入、导出功能，基于一隧一档的管理模式。实现隧道基础数据（含属性数据和档案资料）、桥梁检测数据、历史病害数据、技术状况评定数据隧道进出口照片等基础数据进行全面梳理、整合等规范化入库。同时，可对隧道养护管理数据进行综合查询，同时在</w:t>
                  </w:r>
                  <w:r>
                    <w:rPr>
                      <w:rFonts w:ascii="仿宋" w:hAnsi="仿宋" w:cs="仿宋" w:eastAsia="仿宋"/>
                      <w:sz w:val="24"/>
                    </w:rPr>
                    <w:t>GIS地图上展示。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涵洞管理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包括涵洞信息的增、删、改、查、导入、导出功能，包括涵洞所属管养单位、所属路线、涵洞名称、涵洞编码、中心桩点、涵洞类型、涵洞长度（米）、涵洞跨径（米）、涵洞净高（米）、评定等级、建成日期、涵洞照片等基础数据进行全面梳理、整合等规范化入库，同时在</w:t>
                  </w:r>
                  <w:r>
                    <w:rPr>
                      <w:rFonts w:ascii="仿宋" w:hAnsi="仿宋" w:cs="仿宋" w:eastAsia="仿宋"/>
                      <w:sz w:val="24"/>
                    </w:rPr>
                    <w:t>GIS地图上展示。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沿线设施</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包括对沿线设施信息的增、删、改、查、导入、导出功能，包括沿线设施所属管养单位、所属路线、路段、起止点桩号、地理位置、设施照片等基础数据进行全面梳理、整合等规范化入库，同时在</w:t>
                  </w:r>
                  <w:r>
                    <w:rPr>
                      <w:rFonts w:ascii="仿宋" w:hAnsi="仿宋" w:cs="仿宋" w:eastAsia="仿宋"/>
                      <w:sz w:val="24"/>
                    </w:rPr>
                    <w:t>GIS地图上展示。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防护设施</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包括防护设施信息的增、删、改、查、导入、导出功能，防护设施包括管养单位、所属路线、路段、地理位置、起止点桩点、设施照片等基础数据进行全面梳理、整合等规范化入库，同时在</w:t>
                  </w:r>
                  <w:r>
                    <w:rPr>
                      <w:rFonts w:ascii="仿宋" w:hAnsi="仿宋" w:cs="仿宋" w:eastAsia="仿宋"/>
                      <w:sz w:val="24"/>
                    </w:rPr>
                    <w:t>GIS地图上展示。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路长制管理</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片区管理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以本项目数据调查成果为基础，结合路长制要求，以片区为单位对列入管养范围的道路进行统一的网格化管理，明确对应的路长、专管员职责范围，结合</w:t>
                  </w:r>
                  <w:r>
                    <w:rPr>
                      <w:rFonts w:ascii="仿宋" w:hAnsi="仿宋" w:cs="仿宋" w:eastAsia="仿宋"/>
                      <w:sz w:val="24"/>
                    </w:rPr>
                    <w:t>GIS实现对道路、片区的动态管理与综合展示。围绕路长制网格化管理业务核心，按不同层级、不同单位划分角色权限，提供不同的功能，展示其管辖范围内的业务数据。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专管员管理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明确对应的专管员职责范围，并结合</w:t>
                  </w:r>
                  <w:r>
                    <w:rPr>
                      <w:rFonts w:ascii="仿宋" w:hAnsi="仿宋" w:cs="仿宋" w:eastAsia="仿宋"/>
                      <w:sz w:val="24"/>
                    </w:rPr>
                    <w:t>GIS地图实现对专管员管理内容进行综合展示。包括行政区域、人员名称、管理片区、状态、备注等字段。</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路长管理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明确对应的各级路长职责范围，并结合</w:t>
                  </w:r>
                  <w:r>
                    <w:rPr>
                      <w:rFonts w:ascii="仿宋" w:hAnsi="仿宋" w:cs="仿宋" w:eastAsia="仿宋"/>
                      <w:sz w:val="24"/>
                    </w:rPr>
                    <w:t>GIS实现对各级路长管理内容进行综合展示。包括行政区域、路长姓名、联系方式、路长类型、职务、职责、管理区域、管理路段、状态、备注等字段。</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路长巡查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对巡查上报的巡查事件进行管理，并对巡查过程中发现的病害、隐患、灾毁等进行跟踪处理；能够结合</w:t>
                  </w:r>
                  <w:r>
                    <w:rPr>
                      <w:rFonts w:ascii="仿宋" w:hAnsi="仿宋" w:cs="仿宋" w:eastAsia="仿宋"/>
                      <w:sz w:val="24"/>
                    </w:rPr>
                    <w:t>GIS展示各片区管养路段近期巡查情况、量化（巡查轨迹、巡查频率、巡查里程、巡查时长等）专管员巡查成果并形成规范性巡查台账，支持导出归档。</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事件管理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当专管员、路长或巡查员在巡查督查过程中发现问题并上报至平台后，系统及时展示相关问题事件的详细信息，如事件位置、事件描述、相关照片等，并可导出规范性表单，并将事件分配到相关部门进行处置，相关乡镇路长办公室能够根据事件具体情况按不同的方式对事件进行流程处置管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组织架构</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对路长制组织架构进行展示。可分别对县级路长、乡级路长、村级路长进行人员详情、职务、主要指标等内容进行列表展示。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公路管理</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项目台账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各类建设项目基本信息进行统一维护管理，为项目审批提供科学手段，确保项目客观性。建设项目按照养护工程、公路、桥梁、安保工程四大类，进行网上编报、审核，实现计划管理全面信息化。对各类建设项目基本信息进行统一维护管理，建立项目、标段、合同对应关系，具体包括项目类型、项目名称、项目地址、建设规模、建设单位、施工单位、监理单位、质量监督单位等信息，提供查询、导出等功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项目业主维护</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用于项目业主信息的统一维护管理，建立项目业主、项目、标段、合同对应关系，具体包括项目业主名称、地址、联系电话等信息，提供查询、导出等功能。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项目进度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里程（座数）、开工里程、本年度累计完工里程（座数）、本年度计划投资金额、本年度累计完成投资金额等信息。提供查询、导出等功能。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信息查询</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提供工程管理档案信息的查询浏览功能，不同用户角色的可以对自己提交的文档进行查询、查看。系统管理人员能查询到所用用户提交的工程文档信息，搜索查询、进行下载保存等。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项目巡查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实现对工程建设项目进行工程进度、质量、安全保障等方面的巡检监管管理，全面跟踪建设项目的实施过程。</w:t>
                  </w:r>
                </w:p>
                <w:p>
                  <w:pPr>
                    <w:pStyle w:val="null3"/>
                    <w:jc w:val="left"/>
                  </w:pPr>
                  <w:r>
                    <w:rPr>
                      <w:rFonts w:ascii="仿宋" w:hAnsi="仿宋" w:cs="仿宋" w:eastAsia="仿宋"/>
                      <w:sz w:val="24"/>
                    </w:rPr>
                    <w:t>（</w:t>
                  </w:r>
                  <w:r>
                    <w:rPr>
                      <w:rFonts w:ascii="仿宋" w:hAnsi="仿宋" w:cs="仿宋" w:eastAsia="仿宋"/>
                      <w:sz w:val="24"/>
                    </w:rPr>
                    <w:t>1）进度管理：进度巡检应能快速掌握项目进度与投资完成情况，</w:t>
                  </w:r>
                </w:p>
                <w:p>
                  <w:pPr>
                    <w:pStyle w:val="null3"/>
                    <w:jc w:val="left"/>
                  </w:pPr>
                  <w:r>
                    <w:rPr>
                      <w:rFonts w:ascii="仿宋" w:hAnsi="仿宋" w:cs="仿宋" w:eastAsia="仿宋"/>
                      <w:sz w:val="24"/>
                    </w:rPr>
                    <w:t>（</w:t>
                  </w:r>
                  <w:r>
                    <w:rPr>
                      <w:rFonts w:ascii="仿宋" w:hAnsi="仿宋" w:cs="仿宋" w:eastAsia="仿宋"/>
                      <w:sz w:val="24"/>
                    </w:rPr>
                    <w:t>2）质量管理：质量巡检应能动态反映上级主管部门对工程质量检查情况及处理结果，以便及时对检查出的问题、整改情况进行追踪。</w:t>
                  </w:r>
                </w:p>
                <w:p>
                  <w:pPr>
                    <w:pStyle w:val="null3"/>
                    <w:jc w:val="left"/>
                  </w:pPr>
                  <w:r>
                    <w:rPr>
                      <w:rFonts w:ascii="仿宋" w:hAnsi="仿宋" w:cs="仿宋" w:eastAsia="仿宋"/>
                      <w:sz w:val="24"/>
                    </w:rPr>
                    <w:t>（</w:t>
                  </w:r>
                  <w:r>
                    <w:rPr>
                      <w:rFonts w:ascii="仿宋" w:hAnsi="仿宋" w:cs="仿宋" w:eastAsia="仿宋"/>
                      <w:sz w:val="24"/>
                    </w:rPr>
                    <w:t>3）安保工程管理：安保工程巡检应根据建设方或监理单位定期或不定期的安全巡视情况，对安全检查过程中发现的隐患问题进行统一管理，并要求施工单位及时进行整改。</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巡查反馈</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针对下发处理的巡查事件的处置结果进行管理，对任务的接受情况、处置的进度情况，通过标注不同的颜色进行展示，超时提醒等功能。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项目统计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实时显示项目不同维度上报数据，以及统计汇总，以丰富的在线分析图形，对各类数据进行连续的挖掘分析与展现，通过图形化展现形式，将数据进行分类。同时通过图表等形式显示历史数据，输出历史数据报表并可打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巡查管理</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路政巡查计划</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实现对路政巡查任务计划创建的管理，管理人员可根据工作计划给路政执法人员制定巡查任务，巡查计划实现对巡查任务的管理，可按单位、交办人、日期等查询，并可进行修改、增加、删除和上报管理。区分计划完成状态（未读、已接收、已完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路政巡查台账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当路政巡查人员在巡查督查过程中发现涉及</w:t>
                  </w:r>
                  <w:r>
                    <w:rPr>
                      <w:rFonts w:ascii="仿宋" w:hAnsi="仿宋" w:cs="仿宋" w:eastAsia="仿宋"/>
                      <w:sz w:val="24"/>
                    </w:rPr>
                    <w:t>“路产路权、路域环境、保通保畅保安全”的路政相关问题并上报至平台后，系统及时展示相关问题事件的巡查台账，如事件位置、事件描述、相关照片等，并可导出规范性表单，并将事件分配到相关部门，根据事件具体情况按不同的方式对事件进行处置，打造“舒、安、畅、美”路域环境。</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路产档案</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根据农村公路日常工作需要汇总或填写的表格，包括农村公路管养的路线、桥梁生成基本信息档案卡片和分类汇总表，可根据</w:t>
                  </w:r>
                  <w:r>
                    <w:rPr>
                      <w:rFonts w:ascii="仿宋" w:hAnsi="仿宋" w:cs="仿宋" w:eastAsia="仿宋"/>
                      <w:sz w:val="24"/>
                    </w:rPr>
                    <w:t>“路线（桥梁）编号、区域、路面类型”来分类查看、导出数据表。生成一路一档、一桥一档，支持导出电子表格。</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养护管理</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养护计划</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实现对巡查任务派遣的管理，管理人员可根据工作计划给各级巡查员、养护专员、监管人员和执法人员制定巡查任务，任务交办实现对巡查任务的管理，可按单位、线路、日期等查询，并可进行修改、增加、删除和上报管理。区分计划完成状态（未读、已接收、已完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养护台账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实现对农村公路病害事件、基础设施的巡查作业信息化、采用工作流引擎驱动养护业务，实现对农村公路日常巡查信息管理包括养护巡查人员的任务派遣、巡查里程、巡查时长、现场处置数量、上报问题数量的工作监控管理，利用移动端巡查终端记录巡查轨迹、发现病害自动匹配当前病害发生位置，拍照自动记录当前拍照时间并进行路面病害上传，并结合电子地图进行展现，实现农村公路及沿线设施破损情况的随时发现上报、快速跟踪维护。</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隐患排查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安全隐患排查主要功能是对外业巡查人员对于发现的安全隐患进行填写上报、转交、处置、验收的全流程管理。新增安全隐患内容：安全隐患名称、安全隐患具体内容、安全隐患编号、所在地（市、县）、企业名称、行业领域、备注等。道路风险控制点主要是从安全隐患库选择，然后在地图上标注位置，实现对道路上容易引发安全生产事故的点位全方面管控。对风险数据进行管控或调整风险等级，点击详情看查看安全隐患处置流程详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病害工单</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巡查记录进行业务研判，根据研判进行业务分流处理。是记录巡查过程中上报的病害工单的处置情况和施工的流程。执行人可发出任务指令，转交给处理人去处理。病害工单分路面、路基、设施、其他、现场处置五类，病害信息主要是以智能终端采集养护软件的方式进行数据采集，通过</w:t>
                  </w:r>
                  <w:r>
                    <w:rPr>
                      <w:rFonts w:ascii="仿宋" w:hAnsi="仿宋" w:cs="仿宋" w:eastAsia="仿宋"/>
                      <w:sz w:val="24"/>
                    </w:rPr>
                    <w:t>4G/5G网络对采集数据进行上传或者通过系统WEB维护界面进行附件的上传。巡查员上路进行巡查发现问题上报，系统提示对此信息进行审查，管理员审查通过进行任务派发，养护人员接收处置任务单，上路进行处置，处置完毕后报送处置结果，管理员收到并审查处置结果，验收通过后，病害处置流程结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养护作业</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养护作业模块是对日常养护工程施工中的养护性质为：中修、集中修补、零星修补</w:t>
                  </w:r>
                  <w:r>
                    <w:rPr>
                      <w:rFonts w:ascii="仿宋" w:hAnsi="仿宋" w:cs="仿宋" w:eastAsia="仿宋"/>
                      <w:sz w:val="24"/>
                    </w:rPr>
                    <w:t>/小修分别进行养护内容、作业面积、机具种类及数量、养护人员、作业前后图片等相关数据填报，并对具体养护作业工作的工作进度、验收情况进行详细的动态管理。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轨迹查看</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利用地理信息系统（</w:t>
                  </w:r>
                  <w:r>
                    <w:rPr>
                      <w:rFonts w:ascii="仿宋" w:hAnsi="仿宋" w:cs="仿宋" w:eastAsia="仿宋"/>
                      <w:sz w:val="24"/>
                    </w:rPr>
                    <w:t>GIS）技术，实现对特定区域、路线等级、具体路线、特定路段以及巡查起止时间等条件下的巡查轨迹与管养路线进行精确比对和查看。相关管理部门能够直观地掌握巡查人员的活动轨迹，确保巡查工作的高效性和准确性。同时，比对查看结果也为管养路线的优化和维护提供了有力的数据支持。</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巡查统计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选择查询时间段内各个巡查员巡查次数、累计巡查里程、累计巡查时长、累计每天签到次数、上报问题数量、上报养护作业数量、上报突发事件数量以及完成上级交办任务数量的统计情况，并进行自动排名。</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巡查日历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农村公路日常巡查依据养护技术规范中规定：应按照道路等级分别制定巡查周期，平台通过日历</w:t>
                  </w:r>
                  <w:r>
                    <w:rPr>
                      <w:rFonts w:ascii="仿宋" w:hAnsi="仿宋" w:cs="仿宋" w:eastAsia="仿宋"/>
                      <w:sz w:val="24"/>
                    </w:rPr>
                    <w:t>+地图+数据列表的形式来对巡查频率和巡查覆盖率进行监管。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病害统计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病害事件进行统计汇总展示其所属类型、所属路线、时间、病害位置经纬度数据、病害面积、病害照片、处理意见、巡查人、处置状态等信息。并可根据事件上报、隐患排查、突发事件、现场处置、桥梁巡查等不同病害类型，或根据具体巡查人员、不同月份进行筛选汇总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养护类型</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允许管理人员对养护类型根据自身业务情况，进行个性化的划分和编辑，确保每一项养护工作都能得到精准且高效的执行。通过该功能，我们可以根据不同道路状况、使用频率以及损坏程度等因素，灵活调整养护策略，使得养护工作更加符合实际需求。为养护工作的统计分析提供了便利，有助于更好地掌握养护工作的整体情况，为未来的养护工作提供有力的数据支持。</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路况评定</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综合监测评定</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以管养单位、路线、时间为条件结合每次病害发生处理情况根据国家公路技术评定标准自动计算出该路段的好路率情况并在</w:t>
                  </w:r>
                  <w:r>
                    <w:rPr>
                      <w:rFonts w:ascii="仿宋" w:hAnsi="仿宋" w:cs="仿宋" w:eastAsia="仿宋"/>
                      <w:sz w:val="24"/>
                    </w:rPr>
                    <w:t>GIS地图上以不同的颜色展示出来 通过《公路状况评定标准》评定出公路评定等级，以等级给出不同的养护建议，并以分段图表的形式展示，点击某一路段可以查看相应的养护建议，为监督决策提供依据。系统基于时间和空间维度建立评定数据关联，对公路技术状况的追溯和分布分析，为公路养护和规划设计提供真实的数据支撑。</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县道监测评定</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对县道检测的检测数据（如：公路</w:t>
                  </w:r>
                  <w:r>
                    <w:rPr>
                      <w:rFonts w:ascii="仿宋" w:hAnsi="仿宋" w:cs="仿宋" w:eastAsia="仿宋"/>
                      <w:sz w:val="24"/>
                    </w:rPr>
                    <w:t>MQI、路面PQI、路基SCI、构造物BCI、设施TCI等）进行导入管理，以表格、图表结合的方式展示检测数据，并以分段图表的形式展示，点击某一路段可以查看相应的养护建议，为监督决策提供依据。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乡道监测评定</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对乡道检测的检测数据（如：公路</w:t>
                  </w:r>
                  <w:r>
                    <w:rPr>
                      <w:rFonts w:ascii="仿宋" w:hAnsi="仿宋" w:cs="仿宋" w:eastAsia="仿宋"/>
                      <w:sz w:val="24"/>
                    </w:rPr>
                    <w:t>MQI、路面PQI、路基SCI、构造物BCI、设施TCI等）进行导入管理，以表格、图表结合的方式展示检测数据，并以分段图表的形式展示，点击某一路段可以查看相应的养护建议，为监督决策提供依据。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村道监测评定</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对村道检测的检测数据（如：公路</w:t>
                  </w:r>
                  <w:r>
                    <w:rPr>
                      <w:rFonts w:ascii="仿宋" w:hAnsi="仿宋" w:cs="仿宋" w:eastAsia="仿宋"/>
                      <w:sz w:val="24"/>
                    </w:rPr>
                    <w:t>MQI、路面PQI、路基SCI、构造物BCI、设施TCI等）进行导入管理，以表格、图表结合的方式展示检测数据，并以分段图表的形式展示，点击某一路段可以查看相应的养护建议，为监督决策提供依据。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运行监测</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车辆信息</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对单位车辆进行信息化管理，包括车牌、车型、车辆</w:t>
                  </w:r>
                  <w:r>
                    <w:rPr>
                      <w:rFonts w:ascii="仿宋" w:hAnsi="仿宋" w:cs="仿宋" w:eastAsia="仿宋"/>
                      <w:sz w:val="24"/>
                    </w:rPr>
                    <w:t>gps设备号、保险到期提醒、驾驶证行驶证到期提醒、是否在线等信息。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车辆对接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对接运营车辆（包括：出租、公交、客运及两客一危车辆等）车内音视频、轨迹进行管理。</w:t>
                  </w:r>
                  <w:r>
                    <w:rPr>
                      <w:rFonts w:ascii="仿宋" w:hAnsi="仿宋" w:cs="仿宋" w:eastAsia="仿宋"/>
                      <w:sz w:val="24"/>
                    </w:rPr>
                    <w:t>GPS实时定位，车辆分布一键查看。可实时监控运营车辆当前所在位置，并获取车辆方向、运行状态与运行速度等。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车辆视频</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可在公交监控中心或其他监控点远程实时调取每辆运营车内（包括：出租、公交、客运及两客一危车辆等）的实时视频图像进行视频汇聚，可对实时路况、乘客上下车、投币、驾驶员行车以及车内整体情况等进行实时监控，实现实时、实人、实景、实况、实效的动态化管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管理单位信息</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车辆管理单位进行基础信息管理，涵盖了车辆管理单位的基本信息录入、编辑、查询和更新等多个方面。可以全面、准确地掌握车辆管理单位的各项基本信息，如单位名称、地址、联系方式、负责人等。为后续的车辆调度、维护和管理提供有力的数据支持。同时，该功能还具备便捷的数据查询和更新机制，确保车辆管理单位信息的实时性和准确性。</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分析决策</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病害预警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病害数据进行集中的、有效的分析与展示，支持多种图表的展现能力，如柱状图、折线图、饼图等。提供明细数据查询功能，通过设置汇总条件，系统自动生成统计报表查询界面中提供丰富的操作功能导出、打印数据查询警示功能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项目预警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项目业务数据进行集中的、有效的分析与展示，支持多种图表的展现能力，如柱状图、折线图、饼图等。提供明细数据查询功能，通过设置汇总条件，系统自动生成统计报表查询界面中提供丰富的操作功能导出、打印数据查询警示功能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事件统计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事件业务数据进行集中的、有效的分析与展示，支持多种图表的展现能力，如柱状图、折线图、饼图等。提供明细数据查询功能，通过设置汇总条件，系统自动生成统计报表查询界面中提供丰富的操作功能导出、打印数据查询警示功能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工作统计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工作业务数据进行集中的、有效的分析与展示，支持多种图表的展现能力，如柱状图、折线图、饼图等。提供明细数据查询功能，通过设置汇总条件，系统自动生成统计报表查询界面中提供丰富的操作功能导出、打印数据查询警示功能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智慧感知</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重要节点车辆感知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预留</w:t>
                  </w:r>
                  <w:r>
                    <w:rPr>
                      <w:rFonts w:ascii="仿宋" w:hAnsi="仿宋" w:cs="仿宋" w:eastAsia="仿宋"/>
                      <w:sz w:val="24"/>
                    </w:rPr>
                    <w:t>AI接口，对AI识别的重要节点车辆感知信息，内容包括交通流量统计、车辆拥堵、驶离等异常事件，平台自动生成工单就近派遣或推送相关部门科室处置，完善道路监管范围，用视频摄像代替人工巡逻。</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重要节点道路感知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预留</w:t>
                  </w:r>
                  <w:r>
                    <w:rPr>
                      <w:rFonts w:ascii="仿宋" w:hAnsi="仿宋" w:cs="仿宋" w:eastAsia="仿宋"/>
                      <w:sz w:val="24"/>
                    </w:rPr>
                    <w:t>AI接口，对AI识别的重要节点道路感知信息，内容包括道路路面遗留物、水毁、泥石流等异常事件，平台自动生成工单就近派遣或推送相关部门科室处置，完善道路监管范围，用视频摄像代替人工巡逻。</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设备告警</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告警推送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旨在实现告警信息的快速、准确传递。该功能支持多种告警信息设置方式，包括系统内部通知、短信发送和邮件推送等，以满足不同用户的使用需求。管理员可根据实际情况，灵活配置告警推送方式，确保告警信息能够及时送达相关人员。</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告警处理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对接收到的告警信息进行已读与未读的标记，确保每一条告警信息都能得到妥善处理。通过这一功能，用户可以迅速定位并处理尚未查看的告警，避免遗漏重要信息。同时，已读标记能够帮助用户快速回顾已处理过的告警，便于后续的统计和分析工作。</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短信网关</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网关</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提供了稳定、高效的短信发送通道，含两年共计</w:t>
                  </w:r>
                  <w:r>
                    <w:rPr>
                      <w:rFonts w:ascii="仿宋" w:hAnsi="仿宋" w:cs="仿宋" w:eastAsia="仿宋"/>
                      <w:sz w:val="24"/>
                    </w:rPr>
                    <w:t>5万条的短信包，为用户节省了大量通信成本。</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短信接口</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为用户提供了便捷、高效、灵活的短信发送配置方式，极大地提升了用户在使用短信服务时的便捷性和效率。通过该接口，用户可以根据自身需求，自由调整短信内容、发送频率等参数。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人员管理</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管养单位</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对管养单位进行新增、编辑、详情、导入、查询操作。养护单位基本信息包括单位名称、上级单位、联系电话、传真电话、单位地址、备注、添加图片等。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人员档案</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可以添加、删除和修改用户信息，修改用户密码，可以更改用户权限和角色，用户登录时系统进行认证，登录后系统进行用户权限控制。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区域管理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用户可以轻松对各级行政区域进行划分、命名、编辑和查询等操作。系统支持多级区域管理，确保行政区域的层次结构和逻辑关系清晰可见。同时，区域管理功能还提供灵活的权限控制，确保不同用户只能对其权限范围内的区域进行操作。</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综合办公</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通知公告</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通知公告具备强制推送手机端功能，通过手机</w:t>
                  </w:r>
                  <w:r>
                    <w:rPr>
                      <w:rFonts w:ascii="仿宋" w:hAnsi="仿宋" w:cs="仿宋" w:eastAsia="仿宋"/>
                      <w:sz w:val="24"/>
                    </w:rPr>
                    <w:t>APP即可实现实时查看。通知下发给各单位后，领导具备“批示”的操作等。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文件管理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实现部门文件的高效管理与便捷共享。用户可轻松上传各类文件，确保资料安全存储。同时，支持快速下载功能，方便用户随时获取所需文件。查询功能则可根据文件名、类型或上传时间等关键词，迅速定位目标文件。编辑功能允许用户在线修改文件内容，实时保存更改，提高工作效率。此外，对于不再需要的文件，用户可通过删除功能进行清理，释放存储空间。更为重要的是，该功能支持常用文件的共享，各部门可下载使用，促进信息共享与协作，提升整体工作效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系统设置</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用户管理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可以添加、删除和修改用户信息，修改用户密码，可以更改用户权限和角色，用户登录时系统进行认证，登录后系统进行用户权限控制。系统提供以角色为核心的权限管理方式，支持对角色、用户的授权，可以细化到每一个点位、每一项具体的界面操作。建立员工档案记录了本单位所有员工的的基础信息，对具体负责区域进行设置，对人员开通平台和</w:t>
                  </w:r>
                  <w:r>
                    <w:rPr>
                      <w:rFonts w:ascii="仿宋" w:hAnsi="仿宋" w:cs="仿宋" w:eastAsia="仿宋"/>
                      <w:sz w:val="24"/>
                    </w:rPr>
                    <w:t>APP账号、密码，设置相应使用权限。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角色权限</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系统内置管理员账户，该账户可动态地创建、删除和修改角色，形成系统权限集合，以便分配给用户，达到管理用户权限的目的。用户和角色之间的关系是不断维护的，每种角色都有各自的权限定义，如果一个用户被赋予一个角色之后，那么这个用户就拥有了那个角色所定义的权限；当这个角色的权限定义更改之后，所有被赋予这个角色的用户也会自动拥有这个角色更改之后的权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数据字典</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通过数据字典，用户可以轻松管理系统中的各类数据项，根据实际需求进行灵活调整。支持对路长类型、单位类型、岗位管理、病害处置方法等多类数据进行新增、编辑和删除等操作。不仅确保了数据的准确性和完整性，还为用户提供了便捷的数据维护途径。</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操作日志</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对系统运行的日志进行按照时间和关键字功能进行查看和分析，系统日志主要记录用户在系统中的各种操作，例如增加，修改，删除，登录，退出等操作进行详细的记录。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移动端</w:t>
                  </w:r>
                  <w:r>
                    <w:rPr>
                      <w:rFonts w:ascii="仿宋" w:hAnsi="仿宋" w:cs="仿宋" w:eastAsia="仿宋"/>
                      <w:sz w:val="24"/>
                    </w:rPr>
                    <w:t>APP</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养护巡查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巡检人员通过手机登录</w:t>
                  </w:r>
                  <w:r>
                    <w:rPr>
                      <w:rFonts w:ascii="仿宋" w:hAnsi="仿宋" w:cs="仿宋" w:eastAsia="仿宋"/>
                      <w:sz w:val="24"/>
                    </w:rPr>
                    <w:t>APP系统，一方面可以接受平台端下发的巡查任务并进行现场处置，处理完毕上报现场图片至内业系统；另一方面可主动开展日常巡查工作，同时通过APP对巡查情况进行在线填报和记录，并可将现场拍照、音频等数据上传，完成巡查任务后，可条目化记录巡查信息并上传。管理人员接收到处理结果对处理结果进行检查，并进行最终验收登记，完成本次巡查工作闭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桥梁巡查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对桥梁、隧道可进行相关巡查，对巡查情况以照片、音频、视频的形式记录到巡查明细中，完成巡查任务后上传。地图可点击查看桥梁详情，并支持跳转三方导航软件导航至该桥梁进行巡查工作。</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养护作业</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对日常养护施工进行养护内容、作业面积、机具、人员、作业前后图片等相关数据填报，并对具体养护作业工作的工作进度、验收情况进行详细的动态管理。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路长巡查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按照路长制网格化管理业务核心，按不同层级、不同单位划分角色权限，提供不同的功能，展示其管辖范围内的业务数据。路长制专管员按计划和巡查频率要求对管养路段开展日常巡查功能，主要实现日常巡查记录的录入、上报、查询，巡查人员巡查开始时通过移动设备建立巡查记录，巡查过程中发现病害现场将问题以照片、音频、视频的形式记录到巡查明细中，完成巡查任务后上传。</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我的管护</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专管员可通过我的管护查看负责的网格</w:t>
                  </w:r>
                  <w:r>
                    <w:rPr>
                      <w:rFonts w:ascii="仿宋" w:hAnsi="仿宋" w:cs="仿宋" w:eastAsia="仿宋"/>
                      <w:sz w:val="24"/>
                    </w:rPr>
                    <w:t>GIS地图，并查看网格范围、网格内路线路段信息、各类附属设施信息等地图展示信息，点击可查看具体详情数据。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路长名录</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可查看路长制架构内各级路长、养护员、乡镇管理员、企业等不同单位的各成员信息，查看其姓名、职称同时在个人信息详情页中可直接拨打号码进行呼叫用户。</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巡查报告</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对所有工作最终通过巡查报告体现，实现三大板块功能。基本情况，对管辖内路产数据展示，各乡镇分布情况等；巡查情况，显示巡查养护进度及养护巡查人员巡查任务里程及巡查覆盖率；病害事件分析，细分各乡镇事件上报情况、处理情况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路政巡查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路政人员通过系统，对公路用地范围内的路面、附属设施、建筑控制区、收费服务站区、非标管理、道口管理、安全设施、集镇路段管理、现场宣传、纠正轻微违法行为等进行维护管理工作，可极大地提升路政管理规范程度和工作效率。</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隐患排查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手机</w:t>
                  </w:r>
                  <w:r>
                    <w:rPr>
                      <w:rFonts w:ascii="仿宋" w:hAnsi="仿宋" w:cs="仿宋" w:eastAsia="仿宋"/>
                      <w:sz w:val="24"/>
                    </w:rPr>
                    <w:t>APP记录公路管养过程中存在安全隐患的标注点包括位置、安全隐患类型、风险等信息，及时上报平台，便于后续采取相关措施。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建设巡查</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相关人员根据账号登录</w:t>
                  </w:r>
                  <w:r>
                    <w:rPr>
                      <w:rFonts w:ascii="仿宋" w:hAnsi="仿宋" w:cs="仿宋" w:eastAsia="仿宋"/>
                      <w:sz w:val="24"/>
                    </w:rPr>
                    <w:t>APP实现建设项目管理巡查，满足建设方、施工方、监理方三方项目管理要求：质量巡检，将巡检过程中发现的问题下达至施工单位进行整改，施工单位能够对施工中存在的质量问题及时整改，并提交监理审核；安保巡检，对安全检查过程中发现的隐患问题下达至施工单位及时进行整改，施工单位能够对施工中存在的安全隐患及时进行整改，并提交监理审核；进度巡检，对项目进度进行全方位巡查和管控，通过APP上报平台后，可实现与相关方面进行项目信息共享与协同管理，提高建设管理效率和及时性。</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我的项目</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在我的项目模块中，可查询登录人相关项目的所有信息，包括项目进展、项目详情以及现场施工信息。并可查看建设管理相关的进度、质量、安全等相关信息，对项目进行全面了解和掌握。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任务交办</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相关人员使用移动端</w:t>
                  </w:r>
                  <w:r>
                    <w:rPr>
                      <w:rFonts w:ascii="仿宋" w:hAnsi="仿宋" w:cs="仿宋" w:eastAsia="仿宋"/>
                      <w:sz w:val="24"/>
                    </w:rPr>
                    <w:t>APP自动接收平台推送的任务相关信息或预案，并可对事件情况进行一键上报反馈内容和相关照片信息。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施工保养</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接受中心平台下达的病害处治任务，并进行处治生产，记录生产过程及进度内容、相关处置后拍照上传，并根据施工情况上传相关附件电子文档信息。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突发事件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巡查人员通过</w:t>
                  </w:r>
                  <w:r>
                    <w:rPr>
                      <w:rFonts w:ascii="仿宋" w:hAnsi="仿宋" w:cs="仿宋" w:eastAsia="仿宋"/>
                      <w:sz w:val="24"/>
                    </w:rPr>
                    <w:t>APP记录突发应急自然灾害信息、交通事故等信息，遇道路问题可及时向责任人员消息推送并处置各种气象灾害、地质灾害、突发事件等，可将公路运行过程中的相关信息发布告知公众。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通知公告</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管理人员可将新闻通知、事件公告或突发事件等情况从平台端下发到移动作业端，移动作业端将信息及时的进行提示，移动端用户能够及时的了解公告信息及每月相关单位工作排名情况。</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数据采集</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数据采集包括路线采集、点位采集功能，基层工作人员可以对道路及桥梁、涵洞、隧道、沿线设施、服务设施、防护设施等附属设施进行定位、拍照以及属性填报，属性字段需包含关键性指标，并在</w:t>
                  </w:r>
                  <w:r>
                    <w:rPr>
                      <w:rFonts w:ascii="仿宋" w:hAnsi="仿宋" w:cs="仿宋" w:eastAsia="仿宋"/>
                      <w:sz w:val="24"/>
                    </w:rPr>
                    <w:t>GIS地图分类进行位置展示。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singl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系统升级</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管理员在平台上更新新的移动端版本，移动端将新版本进行展示。下载信息的版本信息，对移动端版本进行升级。</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线路建设</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各项线路建设</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通过手机端对道路资产数据进行普查，包括路段、桥梁、隧道、涵洞、沿线设施、附属设施等路产资源。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培训及教育</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培训及教育</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为用户提供全方位的软件学习支持。提供详尽的软件介绍，让用户快速了解软件的核心功能和特点。同时，通过功能演示，帮助用户直观感受软件的操作流程和效果。此外，还提供实践操作指导，让用户能够亲自动手，逐步掌握软件的使用方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可视化指挥系统硬件</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大屏显示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显示屏尺寸</w:t>
                  </w:r>
                  <w:r>
                    <w:rPr>
                      <w:rFonts w:ascii="仿宋" w:hAnsi="仿宋" w:cs="仿宋" w:eastAsia="仿宋"/>
                      <w:sz w:val="24"/>
                    </w:rPr>
                    <w:t>≥100 英寸（16：9）；</w:t>
                  </w:r>
                </w:p>
                <w:p>
                  <w:pPr>
                    <w:pStyle w:val="null3"/>
                    <w:jc w:val="left"/>
                  </w:pPr>
                  <w:r>
                    <w:rPr>
                      <w:rFonts w:ascii="仿宋" w:hAnsi="仿宋" w:cs="仿宋" w:eastAsia="仿宋"/>
                      <w:sz w:val="24"/>
                    </w:rPr>
                    <w:t>物理分辨率</w:t>
                  </w:r>
                  <w:r>
                    <w:rPr>
                      <w:rFonts w:ascii="仿宋" w:hAnsi="仿宋" w:cs="仿宋" w:eastAsia="仿宋"/>
                      <w:sz w:val="24"/>
                    </w:rPr>
                    <w:t>≥ 2560×1440；</w:t>
                  </w:r>
                </w:p>
                <w:p>
                  <w:pPr>
                    <w:pStyle w:val="null3"/>
                    <w:jc w:val="left"/>
                  </w:pPr>
                  <w:r>
                    <w:rPr>
                      <w:rFonts w:ascii="仿宋" w:hAnsi="仿宋" w:cs="仿宋" w:eastAsia="仿宋"/>
                      <w:sz w:val="24"/>
                    </w:rPr>
                    <w:t>刷新率</w:t>
                  </w:r>
                  <w:r>
                    <w:rPr>
                      <w:rFonts w:ascii="仿宋" w:hAnsi="仿宋" w:cs="仿宋" w:eastAsia="仿宋"/>
                      <w:sz w:val="24"/>
                    </w:rPr>
                    <w:t>≥60HZ；</w:t>
                  </w:r>
                </w:p>
                <w:p>
                  <w:pPr>
                    <w:pStyle w:val="null3"/>
                    <w:jc w:val="left"/>
                  </w:pPr>
                  <w:r>
                    <w:rPr>
                      <w:rFonts w:ascii="仿宋" w:hAnsi="仿宋" w:cs="仿宋" w:eastAsia="仿宋"/>
                      <w:sz w:val="24"/>
                    </w:rPr>
                    <w:t>均匀度</w:t>
                  </w:r>
                  <w:r>
                    <w:rPr>
                      <w:rFonts w:ascii="仿宋" w:hAnsi="仿宋" w:cs="仿宋" w:eastAsia="仿宋"/>
                      <w:sz w:val="24"/>
                    </w:rPr>
                    <w:t>≥68%；</w:t>
                  </w:r>
                </w:p>
                <w:p>
                  <w:pPr>
                    <w:pStyle w:val="null3"/>
                    <w:jc w:val="left"/>
                  </w:pPr>
                  <w:r>
                    <w:rPr>
                      <w:rFonts w:ascii="仿宋" w:hAnsi="仿宋" w:cs="仿宋" w:eastAsia="仿宋"/>
                      <w:sz w:val="24"/>
                    </w:rPr>
                    <w:t>响应时间</w:t>
                  </w:r>
                  <w:r>
                    <w:rPr>
                      <w:rFonts w:ascii="仿宋" w:hAnsi="仿宋" w:cs="仿宋" w:eastAsia="仿宋"/>
                      <w:sz w:val="24"/>
                    </w:rPr>
                    <w:t>8ms。</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400万双光全彩定焦枪型网络摄像机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传感器类型：</w:t>
                  </w:r>
                  <w:r>
                    <w:rPr>
                      <w:rFonts w:ascii="仿宋" w:hAnsi="仿宋" w:cs="仿宋" w:eastAsia="仿宋"/>
                      <w:sz w:val="24"/>
                    </w:rPr>
                    <w:t>1/3英寸CMOS；</w:t>
                  </w:r>
                </w:p>
                <w:p>
                  <w:pPr>
                    <w:pStyle w:val="null3"/>
                    <w:jc w:val="left"/>
                  </w:pPr>
                  <w:r>
                    <w:rPr>
                      <w:rFonts w:ascii="仿宋" w:hAnsi="仿宋" w:cs="仿宋" w:eastAsia="仿宋"/>
                      <w:sz w:val="24"/>
                    </w:rPr>
                    <w:t>像素：</w:t>
                  </w:r>
                  <w:r>
                    <w:rPr>
                      <w:rFonts w:ascii="仿宋" w:hAnsi="仿宋" w:cs="仿宋" w:eastAsia="仿宋"/>
                      <w:sz w:val="24"/>
                    </w:rPr>
                    <w:t>400万；</w:t>
                  </w:r>
                </w:p>
                <w:p>
                  <w:pPr>
                    <w:pStyle w:val="null3"/>
                    <w:jc w:val="left"/>
                  </w:pPr>
                  <w:r>
                    <w:rPr>
                      <w:rFonts w:ascii="仿宋" w:hAnsi="仿宋" w:cs="仿宋" w:eastAsia="仿宋"/>
                      <w:sz w:val="24"/>
                    </w:rPr>
                    <w:t>最大分辨率：</w:t>
                  </w:r>
                  <w:r>
                    <w:rPr>
                      <w:rFonts w:ascii="仿宋" w:hAnsi="仿宋" w:cs="仿宋" w:eastAsia="仿宋"/>
                      <w:sz w:val="24"/>
                    </w:rPr>
                    <w:t>2560×1440；</w:t>
                  </w:r>
                </w:p>
                <w:p>
                  <w:pPr>
                    <w:pStyle w:val="null3"/>
                    <w:jc w:val="left"/>
                  </w:pPr>
                  <w:r>
                    <w:rPr>
                      <w:rFonts w:ascii="仿宋" w:hAnsi="仿宋" w:cs="仿宋" w:eastAsia="仿宋"/>
                      <w:sz w:val="24"/>
                    </w:rPr>
                    <w:t>最低照度：</w:t>
                  </w:r>
                  <w:r>
                    <w:rPr>
                      <w:rFonts w:ascii="仿宋" w:hAnsi="仿宋" w:cs="仿宋" w:eastAsia="仿宋"/>
                      <w:sz w:val="24"/>
                    </w:rPr>
                    <w:t>0.01lux（彩色模式）；0.001lux（黑白模式）；0lux（补光灯开启）；</w:t>
                  </w:r>
                </w:p>
                <w:p>
                  <w:pPr>
                    <w:pStyle w:val="null3"/>
                    <w:jc w:val="left"/>
                  </w:pPr>
                  <w:r>
                    <w:rPr>
                      <w:rFonts w:ascii="仿宋" w:hAnsi="仿宋" w:cs="仿宋" w:eastAsia="仿宋"/>
                      <w:sz w:val="24"/>
                    </w:rPr>
                    <w:t>最大补光距离：</w:t>
                  </w:r>
                  <w:r>
                    <w:rPr>
                      <w:rFonts w:ascii="仿宋" w:hAnsi="仿宋" w:cs="仿宋" w:eastAsia="仿宋"/>
                      <w:sz w:val="24"/>
                    </w:rPr>
                    <w:t>80m（红外）30m（暖光）；</w:t>
                  </w:r>
                </w:p>
                <w:p>
                  <w:pPr>
                    <w:pStyle w:val="null3"/>
                    <w:jc w:val="left"/>
                  </w:pPr>
                  <w:r>
                    <w:rPr>
                      <w:rFonts w:ascii="仿宋" w:hAnsi="仿宋" w:cs="仿宋" w:eastAsia="仿宋"/>
                      <w:sz w:val="24"/>
                    </w:rPr>
                    <w:t>补光灯：</w:t>
                  </w:r>
                  <w:r>
                    <w:rPr>
                      <w:rFonts w:ascii="仿宋" w:hAnsi="仿宋" w:cs="仿宋" w:eastAsia="仿宋"/>
                      <w:sz w:val="24"/>
                    </w:rPr>
                    <w:t>2颗（红外灯）；2颗（暖光灯）；</w:t>
                  </w:r>
                </w:p>
                <w:p>
                  <w:pPr>
                    <w:pStyle w:val="null3"/>
                    <w:jc w:val="left"/>
                  </w:pPr>
                  <w:r>
                    <w:rPr>
                      <w:rFonts w:ascii="仿宋" w:hAnsi="仿宋" w:cs="仿宋" w:eastAsia="仿宋"/>
                      <w:sz w:val="24"/>
                    </w:rPr>
                    <w:t>支持宽动态，</w:t>
                  </w:r>
                  <w:r>
                    <w:rPr>
                      <w:rFonts w:ascii="仿宋" w:hAnsi="仿宋" w:cs="仿宋" w:eastAsia="仿宋"/>
                      <w:sz w:val="24"/>
                    </w:rPr>
                    <w:t>3D降噪，强光抑制，背光补偿，数字水印，适用不同监控环境</w:t>
                  </w:r>
                </w:p>
                <w:p>
                  <w:pPr>
                    <w:pStyle w:val="null3"/>
                    <w:jc w:val="left"/>
                  </w:pPr>
                  <w:r>
                    <w:rPr>
                      <w:rFonts w:ascii="仿宋" w:hAnsi="仿宋" w:cs="仿宋" w:eastAsia="仿宋"/>
                      <w:sz w:val="24"/>
                    </w:rPr>
                    <w:t>支持</w:t>
                  </w:r>
                  <w:r>
                    <w:rPr>
                      <w:rFonts w:ascii="仿宋" w:hAnsi="仿宋" w:cs="仿宋" w:eastAsia="仿宋"/>
                      <w:sz w:val="24"/>
                    </w:rPr>
                    <w:t>ROI，SMART H.264/H.265，灵活编码，适用不同带宽和存储环境</w:t>
                  </w:r>
                </w:p>
                <w:p>
                  <w:pPr>
                    <w:pStyle w:val="null3"/>
                    <w:jc w:val="left"/>
                  </w:pPr>
                  <w:r>
                    <w:rPr>
                      <w:rFonts w:ascii="仿宋" w:hAnsi="仿宋" w:cs="仿宋" w:eastAsia="仿宋"/>
                      <w:sz w:val="24"/>
                    </w:rPr>
                    <w:t>支持多种异常检测：动态检测，视频遮挡，音频异常侦测，网络断开，</w:t>
                  </w:r>
                  <w:r>
                    <w:rPr>
                      <w:rFonts w:ascii="仿宋" w:hAnsi="仿宋" w:cs="仿宋" w:eastAsia="仿宋"/>
                      <w:sz w:val="24"/>
                    </w:rPr>
                    <w:t>IP冲突，非法访问</w:t>
                  </w:r>
                </w:p>
                <w:p>
                  <w:pPr>
                    <w:pStyle w:val="null3"/>
                    <w:jc w:val="left"/>
                  </w:pPr>
                  <w:r>
                    <w:rPr>
                      <w:rFonts w:ascii="仿宋" w:hAnsi="仿宋" w:cs="仿宋" w:eastAsia="仿宋"/>
                      <w:sz w:val="24"/>
                    </w:rPr>
                    <w:t>内置</w:t>
                  </w:r>
                  <w:r>
                    <w:rPr>
                      <w:rFonts w:ascii="仿宋" w:hAnsi="仿宋" w:cs="仿宋" w:eastAsia="仿宋"/>
                      <w:sz w:val="24"/>
                    </w:rPr>
                    <w:t>1个MIC</w:t>
                  </w:r>
                </w:p>
                <w:p>
                  <w:pPr>
                    <w:pStyle w:val="null3"/>
                    <w:jc w:val="left"/>
                  </w:pPr>
                  <w:r>
                    <w:rPr>
                      <w:rFonts w:ascii="仿宋" w:hAnsi="仿宋" w:cs="仿宋" w:eastAsia="仿宋"/>
                      <w:sz w:val="24"/>
                    </w:rPr>
                    <w:t>支持</w:t>
                  </w:r>
                  <w:r>
                    <w:rPr>
                      <w:rFonts w:ascii="仿宋" w:hAnsi="仿宋" w:cs="仿宋" w:eastAsia="仿宋"/>
                      <w:sz w:val="24"/>
                    </w:rPr>
                    <w:t>DC12V/PoE供电方式</w:t>
                  </w:r>
                </w:p>
                <w:p>
                  <w:pPr>
                    <w:pStyle w:val="null3"/>
                    <w:jc w:val="left"/>
                  </w:pPr>
                  <w:r>
                    <w:rPr>
                      <w:rFonts w:ascii="仿宋" w:hAnsi="仿宋" w:cs="仿宋" w:eastAsia="仿宋"/>
                      <w:sz w:val="24"/>
                    </w:rPr>
                    <w:t>。</w:t>
                  </w:r>
                </w:p>
                <w:p>
                  <w:pPr>
                    <w:pStyle w:val="null3"/>
                    <w:jc w:val="left"/>
                  </w:pPr>
                  <w:r>
                    <w:rPr>
                      <w:rFonts w:ascii="&quot;times new roman&quot;" w:hAnsi="&quot;times new roman&quot;" w:cs="&quot;times new roman&quot;" w:eastAsia="&quot;times new roman&quot;"/>
                      <w:sz w:val="19"/>
                    </w:rPr>
                    <w:t xml:space="preserve"> </w:t>
                  </w:r>
                </w:p>
                <w:p>
                  <w:pPr>
                    <w:pStyle w:val="null3"/>
                    <w:jc w:val="left"/>
                  </w:pPr>
                  <w:r>
                    <w:rPr>
                      <w:rFonts w:ascii="仿宋" w:hAnsi="仿宋" w:cs="仿宋" w:eastAsia="仿宋"/>
                      <w:sz w:val="24"/>
                    </w:rPr>
                    <w:t>用户账户密码传输加密性检查</w:t>
                  </w:r>
                  <w:r>
                    <w:rPr>
                      <w:rFonts w:ascii="仿宋" w:hAnsi="仿宋" w:cs="仿宋" w:eastAsia="仿宋"/>
                      <w:sz w:val="24"/>
                    </w:rPr>
                    <w:t>:具有管理权限的用户通过WEB方式或客户端软件方式查看用户的账户信息时,用户账户密码应通过敏感信息加密(密文)传输后才能在网络中传输;（成交后设备进场前提供具有CMA或CNAS认证标识的检测报告复印件并加盖供应商公章）</w:t>
                  </w:r>
                </w:p>
                <w:p>
                  <w:pPr>
                    <w:pStyle w:val="null3"/>
                    <w:jc w:val="left"/>
                  </w:pPr>
                  <w:r>
                    <w:rPr>
                      <w:rFonts w:ascii="仿宋" w:hAnsi="仿宋" w:cs="仿宋" w:eastAsia="仿宋"/>
                      <w:sz w:val="24"/>
                    </w:rPr>
                    <w:t>登录安全性检查登录安全性检查</w:t>
                  </w:r>
                  <w:r>
                    <w:rPr>
                      <w:rFonts w:ascii="仿宋" w:hAnsi="仿宋" w:cs="仿宋" w:eastAsia="仿宋"/>
                      <w:sz w:val="24"/>
                    </w:rPr>
                    <w:t>:样机应具有密码复杂度提示功能,当用户初次设置新密码或登录过程中输入已注册密码时均提示当前密码的复杂度,密码复杂度共分3级:强(密码只包含大小写字母和数字的组合)、中(密码只包含大小写字母或大小写字母与数字的组合)、弱(密码只包含小写字母或数字);（成交后设备进场前提供具有CMA或CNAS认证标识的检测报告复印件并加盖供应商公章）</w:t>
                  </w:r>
                </w:p>
                <w:p>
                  <w:pPr>
                    <w:pStyle w:val="null3"/>
                    <w:jc w:val="left"/>
                  </w:pPr>
                  <w:r>
                    <w:rPr>
                      <w:rFonts w:ascii="&quot;times new roman&quot;" w:hAnsi="&quot;times new roman&quot;" w:cs="&quot;times new roman&quot;" w:eastAsia="&quot;times new roman&quot;"/>
                      <w:sz w:val="19"/>
                    </w:rPr>
                    <w:t xml:space="preserve"> </w:t>
                  </w:r>
                </w:p>
                <w:p>
                  <w:pPr>
                    <w:pStyle w:val="null3"/>
                    <w:jc w:val="left"/>
                  </w:pPr>
                  <w:r>
                    <w:rPr>
                      <w:rFonts w:ascii="仿宋" w:hAnsi="仿宋" w:cs="仿宋" w:eastAsia="仿宋"/>
                      <w:sz w:val="24"/>
                    </w:rPr>
                    <w:t>ICR滤光片切换检查:样机可在白天、夜晚模式下自动切换滤光片,并且联动切换设备的其它配置参数。</w:t>
                  </w:r>
                </w:p>
                <w:p>
                  <w:pPr>
                    <w:pStyle w:val="null3"/>
                    <w:jc w:val="left"/>
                  </w:pPr>
                  <w:r>
                    <w:rPr>
                      <w:rFonts w:ascii="仿宋" w:hAnsi="仿宋" w:cs="仿宋" w:eastAsia="仿宋"/>
                      <w:sz w:val="24"/>
                    </w:rPr>
                    <w:t>网络适应能力检查</w:t>
                  </w:r>
                  <w:r>
                    <w:rPr>
                      <w:rFonts w:ascii="仿宋" w:hAnsi="仿宋" w:cs="仿宋" w:eastAsia="仿宋"/>
                      <w:sz w:val="24"/>
                    </w:rPr>
                    <w:t>:在丢包率设置为5%的网络环境下,可正常显示监视画面。（成交后设备进场前提供具有CMA或CNAS认证标识的检测报告复印件并加盖供应商公章）</w:t>
                  </w:r>
                </w:p>
                <w:p>
                  <w:pPr>
                    <w:pStyle w:val="null3"/>
                    <w:jc w:val="left"/>
                  </w:pPr>
                  <w:r>
                    <w:rPr>
                      <w:rFonts w:ascii="&quot;times new roman&quot;" w:hAnsi="&quot;times new roman&quot;" w:cs="&quot;times new roman&quot;" w:eastAsia="&quot;times new roman&quot;"/>
                      <w:sz w:val="19"/>
                    </w:rPr>
                    <w:t xml:space="preserve"> </w:t>
                  </w:r>
                </w:p>
                <w:p>
                  <w:pPr>
                    <w:pStyle w:val="null3"/>
                    <w:jc w:val="left"/>
                  </w:pPr>
                  <w:r>
                    <w:rPr>
                      <w:rFonts w:ascii="仿宋" w:hAnsi="仿宋" w:cs="仿宋" w:eastAsia="仿宋"/>
                      <w:sz w:val="24"/>
                    </w:rPr>
                    <w:t>存储方式检查</w:t>
                  </w:r>
                  <w:r>
                    <w:rPr>
                      <w:rFonts w:ascii="仿宋" w:hAnsi="仿宋" w:cs="仿宋" w:eastAsia="仿宋"/>
                      <w:sz w:val="24"/>
                    </w:rPr>
                    <w:t>:可将视频图像存储至FTP或客户端。（成交后设备进场前提供具有CMA或CNAS认证标识的检测报告复印件并加盖供应商公章）</w:t>
                  </w:r>
                </w:p>
                <w:p>
                  <w:pPr>
                    <w:pStyle w:val="null3"/>
                    <w:jc w:val="left"/>
                  </w:pPr>
                  <w:r>
                    <w:rPr>
                      <w:rFonts w:ascii="仿宋" w:hAnsi="仿宋" w:cs="仿宋" w:eastAsia="仿宋"/>
                      <w:sz w:val="24"/>
                    </w:rPr>
                    <w:t>录像功能检查</w:t>
                  </w:r>
                  <w:r>
                    <w:rPr>
                      <w:rFonts w:ascii="仿宋" w:hAnsi="仿宋" w:cs="仿宋" w:eastAsia="仿宋"/>
                      <w:sz w:val="24"/>
                    </w:rPr>
                    <w:t>:可通过浏览器设置录像时段及存储路径,并支持预录≥2s、延录≥300s、网络断开联动录像、手动录像、外部报警录像及存储介质循环覆盖功能。（成交后设备进场前提供具有CMA或CNAS认证标识的检测报告复印件并加盖供应商公章）</w:t>
                  </w:r>
                </w:p>
                <w:p>
                  <w:pPr>
                    <w:pStyle w:val="null3"/>
                    <w:jc w:val="left"/>
                  </w:pPr>
                  <w:r>
                    <w:rPr>
                      <w:rFonts w:ascii="&quot;times new roman&quot;" w:hAnsi="&quot;times new roman&quot;" w:cs="&quot;times new roman&quot;" w:eastAsia="&quot;times new roman&quot;"/>
                      <w:sz w:val="19"/>
                    </w:rPr>
                    <w:t xml:space="preserve"> </w:t>
                  </w:r>
                </w:p>
                <w:p>
                  <w:pPr>
                    <w:pStyle w:val="null3"/>
                    <w:jc w:val="left"/>
                  </w:pPr>
                  <w:r>
                    <w:rPr>
                      <w:rFonts w:ascii="仿宋" w:hAnsi="仿宋" w:cs="仿宋" w:eastAsia="仿宋"/>
                      <w:sz w:val="24"/>
                    </w:rPr>
                    <w:t>日志检索功能检查</w:t>
                  </w:r>
                  <w:r>
                    <w:rPr>
                      <w:rFonts w:ascii="仿宋" w:hAnsi="仿宋" w:cs="仿宋" w:eastAsia="仿宋"/>
                      <w:sz w:val="24"/>
                    </w:rPr>
                    <w:t>:样机支持记录系统操作、配置操作、数据操作、事件操作、录像操作、用户管理、清空日志7种类型日志信息,在浏览器下,可通过开始时间和结束时间检索日志信息、查看日志内容,日志内容可备份。（成交后设备进场前提供具有CMA或CNAS认证标识的检测报告复印件并加盖供应商公章）</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电源</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DC12V/2A。</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支架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配套支架。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自动重合闸</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复式过欠电压限流，智能漏电保护器。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设备箱</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定制。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网络硬盘录像机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主处理器：工业级微控制器；</w:t>
                  </w:r>
                </w:p>
                <w:p>
                  <w:pPr>
                    <w:pStyle w:val="null3"/>
                    <w:jc w:val="left"/>
                  </w:pPr>
                  <w:r>
                    <w:rPr>
                      <w:rFonts w:ascii="仿宋" w:hAnsi="仿宋" w:cs="仿宋" w:eastAsia="仿宋"/>
                      <w:sz w:val="24"/>
                    </w:rPr>
                    <w:t>操作系统：嵌入式</w:t>
                  </w:r>
                  <w:r>
                    <w:rPr>
                      <w:rFonts w:ascii="仿宋" w:hAnsi="仿宋" w:cs="仿宋" w:eastAsia="仿宋"/>
                      <w:sz w:val="24"/>
                    </w:rPr>
                    <w:t>Linux操作系统；</w:t>
                  </w:r>
                </w:p>
                <w:p>
                  <w:pPr>
                    <w:pStyle w:val="null3"/>
                    <w:jc w:val="left"/>
                  </w:pPr>
                  <w:r>
                    <w:rPr>
                      <w:rFonts w:ascii="仿宋" w:hAnsi="仿宋" w:cs="仿宋" w:eastAsia="仿宋"/>
                      <w:sz w:val="24"/>
                    </w:rPr>
                    <w:t>操作界面：</w:t>
                  </w:r>
                  <w:r>
                    <w:rPr>
                      <w:rFonts w:ascii="仿宋" w:hAnsi="仿宋" w:cs="仿宋" w:eastAsia="仿宋"/>
                      <w:sz w:val="24"/>
                    </w:rPr>
                    <w:t>Web，本地GUI；</w:t>
                  </w:r>
                </w:p>
                <w:p>
                  <w:pPr>
                    <w:pStyle w:val="null3"/>
                    <w:jc w:val="left"/>
                  </w:pPr>
                  <w:r>
                    <w:rPr>
                      <w:rFonts w:ascii="仿宋" w:hAnsi="仿宋" w:cs="仿宋" w:eastAsia="仿宋"/>
                      <w:sz w:val="24"/>
                    </w:rPr>
                    <w:t>接入路数：</w:t>
                  </w:r>
                  <w:r>
                    <w:rPr>
                      <w:rFonts w:ascii="仿宋" w:hAnsi="仿宋" w:cs="仿宋" w:eastAsia="仿宋"/>
                      <w:sz w:val="24"/>
                    </w:rPr>
                    <w:t>16路；</w:t>
                  </w:r>
                </w:p>
                <w:p>
                  <w:pPr>
                    <w:pStyle w:val="null3"/>
                    <w:jc w:val="left"/>
                  </w:pPr>
                  <w:r>
                    <w:rPr>
                      <w:rFonts w:ascii="仿宋" w:hAnsi="仿宋" w:cs="仿宋" w:eastAsia="仿宋"/>
                      <w:sz w:val="24"/>
                    </w:rPr>
                    <w:t>硬盘接口：</w:t>
                  </w:r>
                  <w:r>
                    <w:rPr>
                      <w:rFonts w:ascii="仿宋" w:hAnsi="仿宋" w:cs="仿宋" w:eastAsia="仿宋"/>
                      <w:sz w:val="24"/>
                    </w:rPr>
                    <w:t>5个SATA，单盘最大20T。；</w:t>
                  </w:r>
                </w:p>
                <w:p>
                  <w:pPr>
                    <w:pStyle w:val="null3"/>
                    <w:jc w:val="left"/>
                  </w:pPr>
                  <w:r>
                    <w:rPr>
                      <w:rFonts w:ascii="仿宋" w:hAnsi="仿宋" w:cs="仿宋" w:eastAsia="仿宋"/>
                      <w:sz w:val="24"/>
                    </w:rPr>
                    <w:t>分辨率：</w:t>
                  </w:r>
                  <w:r>
                    <w:rPr>
                      <w:rFonts w:ascii="仿宋" w:hAnsi="仿宋" w:cs="仿宋" w:eastAsia="仿宋"/>
                      <w:sz w:val="24"/>
                    </w:rPr>
                    <w:t>12MP; 8MP; 6MP; 5MP; 4MP; 3MP; 1080p; 960p; 720p; D1; CIF; QCIF；</w:t>
                  </w:r>
                </w:p>
                <w:p>
                  <w:pPr>
                    <w:pStyle w:val="null3"/>
                    <w:jc w:val="left"/>
                  </w:pPr>
                  <w:r>
                    <w:rPr>
                      <w:rFonts w:ascii="仿宋" w:hAnsi="仿宋" w:cs="仿宋" w:eastAsia="仿宋"/>
                      <w:sz w:val="24"/>
                    </w:rPr>
                    <w:t>解码能力：</w:t>
                  </w:r>
                </w:p>
                <w:p>
                  <w:pPr>
                    <w:pStyle w:val="null3"/>
                    <w:jc w:val="left"/>
                  </w:pPr>
                  <w:r>
                    <w:rPr>
                      <w:rFonts w:ascii="仿宋" w:hAnsi="仿宋" w:cs="仿宋" w:eastAsia="仿宋"/>
                      <w:sz w:val="24"/>
                    </w:rPr>
                    <w:t>不开智能：</w:t>
                  </w:r>
                  <w:r>
                    <w:rPr>
                      <w:rFonts w:ascii="仿宋" w:hAnsi="仿宋" w:cs="仿宋" w:eastAsia="仿宋"/>
                      <w:sz w:val="24"/>
                    </w:rPr>
                    <w:t>1路12M@25fps; 2路8M@25fps; 3路 5 MP@25fps; 4路 4 MP@25fps；10路 2 MP@25fps</w:t>
                  </w:r>
                </w:p>
                <w:p>
                  <w:pPr>
                    <w:pStyle w:val="null3"/>
                    <w:jc w:val="left"/>
                  </w:pPr>
                  <w:r>
                    <w:rPr>
                      <w:rFonts w:ascii="仿宋" w:hAnsi="仿宋" w:cs="仿宋" w:eastAsia="仿宋"/>
                      <w:sz w:val="24"/>
                    </w:rPr>
                    <w:t>开智能：</w:t>
                  </w:r>
                  <w:r>
                    <w:rPr>
                      <w:rFonts w:ascii="仿宋" w:hAnsi="仿宋" w:cs="仿宋" w:eastAsia="仿宋"/>
                      <w:sz w:val="24"/>
                    </w:rPr>
                    <w:t>1路12M@25fps; 2路8M@25fps; 3路 5 MP@25fps; 4路 4 MP@25fps；9路 2 MP@25fps；</w:t>
                  </w:r>
                </w:p>
                <w:p>
                  <w:pPr>
                    <w:pStyle w:val="null3"/>
                    <w:jc w:val="left"/>
                  </w:pPr>
                  <w:r>
                    <w:rPr>
                      <w:rFonts w:ascii="仿宋" w:hAnsi="仿宋" w:cs="仿宋" w:eastAsia="仿宋"/>
                      <w:sz w:val="24"/>
                    </w:rPr>
                    <w:t>多路回放：最大支持</w:t>
                  </w:r>
                  <w:r>
                    <w:rPr>
                      <w:rFonts w:ascii="仿宋" w:hAnsi="仿宋" w:cs="仿宋" w:eastAsia="仿宋"/>
                      <w:sz w:val="24"/>
                    </w:rPr>
                    <w:t>16路回放；</w:t>
                  </w:r>
                </w:p>
                <w:p>
                  <w:pPr>
                    <w:pStyle w:val="null3"/>
                    <w:jc w:val="left"/>
                  </w:pPr>
                  <w:r>
                    <w:rPr>
                      <w:rFonts w:ascii="仿宋" w:hAnsi="仿宋" w:cs="仿宋" w:eastAsia="仿宋"/>
                      <w:sz w:val="24"/>
                    </w:rPr>
                    <w:t>报警输入：</w:t>
                  </w:r>
                  <w:r>
                    <w:rPr>
                      <w:rFonts w:ascii="仿宋" w:hAnsi="仿宋" w:cs="仿宋" w:eastAsia="仿宋"/>
                      <w:sz w:val="24"/>
                    </w:rPr>
                    <w:t>16路；</w:t>
                  </w:r>
                </w:p>
                <w:p>
                  <w:pPr>
                    <w:pStyle w:val="null3"/>
                    <w:jc w:val="left"/>
                  </w:pPr>
                  <w:r>
                    <w:rPr>
                      <w:rFonts w:ascii="仿宋" w:hAnsi="仿宋" w:cs="仿宋" w:eastAsia="仿宋"/>
                      <w:sz w:val="24"/>
                    </w:rPr>
                    <w:t>报警输出：</w:t>
                  </w:r>
                  <w:r>
                    <w:rPr>
                      <w:rFonts w:ascii="仿宋" w:hAnsi="仿宋" w:cs="仿宋" w:eastAsia="仿宋"/>
                      <w:sz w:val="24"/>
                    </w:rPr>
                    <w:t>4路；</w:t>
                  </w:r>
                </w:p>
                <w:p>
                  <w:pPr>
                    <w:pStyle w:val="null3"/>
                    <w:jc w:val="left"/>
                  </w:pPr>
                  <w:r>
                    <w:rPr>
                      <w:rFonts w:ascii="仿宋" w:hAnsi="仿宋" w:cs="仿宋" w:eastAsia="仿宋"/>
                      <w:sz w:val="24"/>
                    </w:rPr>
                    <w:t>画面分割：主屏</w:t>
                  </w:r>
                  <w:r>
                    <w:rPr>
                      <w:rFonts w:ascii="仿宋" w:hAnsi="仿宋" w:cs="仿宋" w:eastAsia="仿宋"/>
                      <w:sz w:val="24"/>
                    </w:rPr>
                    <w:t>: 1/4/8/9/16辅屏：1/4/8/9/16；</w:t>
                  </w:r>
                </w:p>
                <w:p>
                  <w:pPr>
                    <w:pStyle w:val="null3"/>
                    <w:jc w:val="left"/>
                  </w:pPr>
                  <w:r>
                    <w:rPr>
                      <w:rFonts w:ascii="仿宋" w:hAnsi="仿宋" w:cs="仿宋" w:eastAsia="仿宋"/>
                      <w:sz w:val="24"/>
                    </w:rPr>
                    <w:t>前智能分析：支持前智能人脸检测、人脸识别、通用行为分析、立体行为分析、人群分布、人数统计、车牌识别、智能动检；</w:t>
                  </w:r>
                </w:p>
                <w:p>
                  <w:pPr>
                    <w:pStyle w:val="null3"/>
                    <w:jc w:val="left"/>
                  </w:pPr>
                  <w:r>
                    <w:rPr>
                      <w:rFonts w:ascii="仿宋" w:hAnsi="仿宋" w:cs="仿宋" w:eastAsia="仿宋"/>
                      <w:sz w:val="24"/>
                    </w:rPr>
                    <w:t>后智能分析：支持后智能</w:t>
                  </w:r>
                  <w:r>
                    <w:rPr>
                      <w:rFonts w:ascii="仿宋" w:hAnsi="仿宋" w:cs="仿宋" w:eastAsia="仿宋"/>
                      <w:sz w:val="24"/>
                    </w:rPr>
                    <w:t>SMD；</w:t>
                  </w:r>
                </w:p>
                <w:p>
                  <w:pPr>
                    <w:pStyle w:val="null3"/>
                    <w:jc w:val="left"/>
                  </w:pPr>
                  <w:r>
                    <w:rPr>
                      <w:rFonts w:ascii="仿宋" w:hAnsi="仿宋" w:cs="仿宋" w:eastAsia="仿宋"/>
                      <w:sz w:val="24"/>
                    </w:rPr>
                    <w:t>音频输入：</w:t>
                  </w:r>
                  <w:r>
                    <w:rPr>
                      <w:rFonts w:ascii="仿宋" w:hAnsi="仿宋" w:cs="仿宋" w:eastAsia="仿宋"/>
                      <w:sz w:val="24"/>
                    </w:rPr>
                    <w:t>1路，RCA接口；</w:t>
                  </w:r>
                </w:p>
                <w:p>
                  <w:pPr>
                    <w:pStyle w:val="null3"/>
                    <w:jc w:val="left"/>
                  </w:pPr>
                  <w:r>
                    <w:rPr>
                      <w:rFonts w:ascii="仿宋" w:hAnsi="仿宋" w:cs="仿宋" w:eastAsia="仿宋"/>
                      <w:sz w:val="24"/>
                    </w:rPr>
                    <w:t>音频输出：</w:t>
                  </w:r>
                  <w:r>
                    <w:rPr>
                      <w:rFonts w:ascii="仿宋" w:hAnsi="仿宋" w:cs="仿宋" w:eastAsia="仿宋"/>
                      <w:sz w:val="24"/>
                    </w:rPr>
                    <w:t>1路，RCA接口；</w:t>
                  </w:r>
                </w:p>
                <w:p>
                  <w:pPr>
                    <w:pStyle w:val="null3"/>
                    <w:jc w:val="left"/>
                  </w:pPr>
                  <w:r>
                    <w:rPr>
                      <w:rFonts w:ascii="仿宋" w:hAnsi="仿宋" w:cs="仿宋" w:eastAsia="仿宋"/>
                      <w:sz w:val="24"/>
                    </w:rPr>
                    <w:t>HDMI接口：1个；</w:t>
                  </w:r>
                </w:p>
                <w:p>
                  <w:pPr>
                    <w:pStyle w:val="null3"/>
                    <w:jc w:val="left"/>
                  </w:pPr>
                  <w:r>
                    <w:rPr>
                      <w:rFonts w:ascii="仿宋" w:hAnsi="仿宋" w:cs="仿宋" w:eastAsia="仿宋"/>
                      <w:sz w:val="24"/>
                    </w:rPr>
                    <w:t>VGA接口：1个；</w:t>
                  </w:r>
                </w:p>
                <w:p>
                  <w:pPr>
                    <w:pStyle w:val="null3"/>
                    <w:jc w:val="left"/>
                  </w:pPr>
                  <w:r>
                    <w:rPr>
                      <w:rFonts w:ascii="仿宋" w:hAnsi="仿宋" w:cs="仿宋" w:eastAsia="仿宋"/>
                      <w:sz w:val="24"/>
                    </w:rPr>
                    <w:t>网络接口：</w:t>
                  </w:r>
                  <w:r>
                    <w:rPr>
                      <w:rFonts w:ascii="仿宋" w:hAnsi="仿宋" w:cs="仿宋" w:eastAsia="仿宋"/>
                      <w:sz w:val="24"/>
                    </w:rPr>
                    <w:t>2个（10M/100M/1000M以太网口，RJ-45）；</w:t>
                  </w:r>
                </w:p>
                <w:p>
                  <w:pPr>
                    <w:pStyle w:val="null3"/>
                    <w:jc w:val="left"/>
                  </w:pPr>
                  <w:r>
                    <w:rPr>
                      <w:rFonts w:ascii="仿宋" w:hAnsi="仿宋" w:cs="仿宋" w:eastAsia="仿宋"/>
                      <w:sz w:val="24"/>
                    </w:rPr>
                    <w:t>人脸检测前智能性能（路数）：</w:t>
                  </w:r>
                  <w:r>
                    <w:rPr>
                      <w:rFonts w:ascii="仿宋" w:hAnsi="仿宋" w:cs="仿宋" w:eastAsia="仿宋"/>
                      <w:sz w:val="24"/>
                    </w:rPr>
                    <w:t>6 路；</w:t>
                  </w:r>
                </w:p>
                <w:p>
                  <w:pPr>
                    <w:pStyle w:val="null3"/>
                    <w:jc w:val="left"/>
                  </w:pPr>
                  <w:r>
                    <w:rPr>
                      <w:rFonts w:ascii="仿宋" w:hAnsi="仿宋" w:cs="仿宋" w:eastAsia="仿宋"/>
                      <w:sz w:val="24"/>
                    </w:rPr>
                    <w:t>人脸识别前智能性能（路数）：</w:t>
                  </w:r>
                  <w:r>
                    <w:rPr>
                      <w:rFonts w:ascii="仿宋" w:hAnsi="仿宋" w:cs="仿宋" w:eastAsia="仿宋"/>
                      <w:sz w:val="24"/>
                    </w:rPr>
                    <w:t>6路。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8TB硬盘</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单盘容量：</w:t>
                  </w:r>
                  <w:r>
                    <w:rPr>
                      <w:rFonts w:ascii="仿宋" w:hAnsi="仿宋" w:cs="仿宋" w:eastAsia="仿宋"/>
                      <w:sz w:val="24"/>
                    </w:rPr>
                    <w:t>8TB；</w:t>
                  </w:r>
                </w:p>
                <w:p>
                  <w:pPr>
                    <w:pStyle w:val="null3"/>
                    <w:jc w:val="left"/>
                  </w:pPr>
                  <w:r>
                    <w:rPr>
                      <w:rFonts w:ascii="仿宋" w:hAnsi="仿宋" w:cs="仿宋" w:eastAsia="仿宋"/>
                      <w:sz w:val="24"/>
                    </w:rPr>
                    <w:t>硬盘接口：</w:t>
                  </w:r>
                  <w:r>
                    <w:rPr>
                      <w:rFonts w:ascii="仿宋" w:hAnsi="仿宋" w:cs="仿宋" w:eastAsia="仿宋"/>
                      <w:sz w:val="24"/>
                    </w:rPr>
                    <w:t>SATA；</w:t>
                  </w:r>
                </w:p>
                <w:p>
                  <w:pPr>
                    <w:pStyle w:val="null3"/>
                    <w:jc w:val="left"/>
                  </w:pPr>
                  <w:r>
                    <w:rPr>
                      <w:rFonts w:ascii="仿宋" w:hAnsi="仿宋" w:cs="仿宋" w:eastAsia="仿宋"/>
                      <w:sz w:val="24"/>
                    </w:rPr>
                    <w:t>转速：</w:t>
                  </w:r>
                  <w:r>
                    <w:rPr>
                      <w:rFonts w:ascii="仿宋" w:hAnsi="仿宋" w:cs="仿宋" w:eastAsia="仿宋"/>
                      <w:sz w:val="24"/>
                    </w:rPr>
                    <w:t>7200RPM；</w:t>
                  </w:r>
                </w:p>
                <w:p>
                  <w:pPr>
                    <w:pStyle w:val="null3"/>
                    <w:jc w:val="left"/>
                  </w:pPr>
                  <w:r>
                    <w:rPr>
                      <w:rFonts w:ascii="仿宋" w:hAnsi="仿宋" w:cs="仿宋" w:eastAsia="仿宋"/>
                      <w:sz w:val="24"/>
                    </w:rPr>
                    <w:t>缓存：</w:t>
                  </w:r>
                  <w:r>
                    <w:rPr>
                      <w:rFonts w:ascii="仿宋" w:hAnsi="仿宋" w:cs="仿宋" w:eastAsia="仿宋"/>
                      <w:sz w:val="24"/>
                    </w:rPr>
                    <w:t>256MB。</w:t>
                  </w:r>
                </w:p>
                <w:p>
                  <w:pPr>
                    <w:pStyle w:val="null3"/>
                    <w:jc w:val="left"/>
                  </w:pPr>
                  <w:r>
                    <w:rPr>
                      <w:rFonts w:ascii="&quot;times new roman&quot;" w:hAnsi="&quot;times new roman&quot;" w:cs="&quot;times new roman&quot;" w:eastAsia="&quot;times new roman&quot;"/>
                      <w:sz w:val="19"/>
                    </w:rPr>
                    <w:t xml:space="preserve"> </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r>
            <w:tr>
              <w:tc>
                <w:tcPr>
                  <w:tcW w:type="dxa" w:w="287"/>
                  <w:vMerge/>
                  <w:tcBorders>
                    <w:top w:val="none" w:color="000000" w:sz="4"/>
                    <w:left w:val="single" w:color="000000" w:sz="4"/>
                    <w:bottom w:val="none" w:color="000000" w:sz="4"/>
                    <w:right w:val="single" w:color="000000" w:sz="4"/>
                  </w:tcBorders>
                </w:tcPr>
                <w:p/>
              </w:tc>
              <w:tc>
                <w:tcPr>
                  <w:tcW w:type="dxa" w:w="2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支持性服务</w:t>
                  </w:r>
                </w:p>
                <w:p>
                  <w:pPr>
                    <w:pStyle w:val="null3"/>
                    <w:jc w:val="center"/>
                  </w:pPr>
                </w:p>
              </w:tc>
              <w:tc>
                <w:tcPr>
                  <w:tcW w:type="dxa" w:w="16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w:t>
                  </w:r>
                  <w:r>
                    <w:rPr>
                      <w:rFonts w:ascii="仿宋" w:hAnsi="仿宋" w:cs="仿宋" w:eastAsia="仿宋"/>
                      <w:sz w:val="24"/>
                    </w:rPr>
                    <w:t xml:space="preserve">1）提供 10 个前端点位 </w:t>
                  </w:r>
                  <w:r>
                    <w:rPr>
                      <w:rFonts w:ascii="仿宋" w:hAnsi="仿宋" w:cs="仿宋" w:eastAsia="仿宋"/>
                      <w:sz w:val="24"/>
                    </w:rPr>
                    <w:t>3</w:t>
                  </w:r>
                  <w:r>
                    <w:rPr>
                      <w:rFonts w:ascii="仿宋" w:hAnsi="仿宋" w:cs="仿宋" w:eastAsia="仿宋"/>
                      <w:sz w:val="24"/>
                    </w:rPr>
                    <w:t>年的供电服务</w:t>
                  </w:r>
                  <w:r>
                    <w:rPr>
                      <w:rFonts w:ascii="仿宋" w:hAnsi="仿宋" w:cs="仿宋" w:eastAsia="仿宋"/>
                      <w:sz w:val="24"/>
                    </w:rPr>
                    <w:t>;</w:t>
                  </w:r>
                </w:p>
                <w:p>
                  <w:pPr>
                    <w:pStyle w:val="null3"/>
                    <w:jc w:val="left"/>
                  </w:pPr>
                  <w:r>
                    <w:rPr>
                      <w:rFonts w:ascii="仿宋" w:hAnsi="仿宋" w:cs="仿宋" w:eastAsia="仿宋"/>
                      <w:sz w:val="24"/>
                    </w:rPr>
                    <w:t>（</w:t>
                  </w:r>
                  <w:r>
                    <w:rPr>
                      <w:rFonts w:ascii="仿宋" w:hAnsi="仿宋" w:cs="仿宋" w:eastAsia="仿宋"/>
                      <w:sz w:val="24"/>
                    </w:rPr>
                    <w:t>2）提供 10 个前端点位</w:t>
                  </w:r>
                  <w:r>
                    <w:rPr>
                      <w:rFonts w:ascii="仿宋" w:hAnsi="仿宋" w:cs="仿宋" w:eastAsia="仿宋"/>
                      <w:sz w:val="24"/>
                    </w:rPr>
                    <w:t>3</w:t>
                  </w:r>
                  <w:r>
                    <w:rPr>
                      <w:rFonts w:ascii="仿宋" w:hAnsi="仿宋" w:cs="仿宋" w:eastAsia="仿宋"/>
                      <w:sz w:val="24"/>
                    </w:rPr>
                    <w:t>年的网络传输服务</w:t>
                  </w:r>
                  <w:r>
                    <w:rPr>
                      <w:rFonts w:ascii="仿宋" w:hAnsi="仿宋" w:cs="仿宋" w:eastAsia="仿宋"/>
                      <w:sz w:val="24"/>
                    </w:rPr>
                    <w:t>;</w:t>
                  </w:r>
                </w:p>
                <w:p>
                  <w:pPr>
                    <w:pStyle w:val="null3"/>
                    <w:jc w:val="left"/>
                  </w:pPr>
                  <w:r>
                    <w:rPr>
                      <w:rFonts w:ascii="仿宋" w:hAnsi="仿宋" w:cs="仿宋" w:eastAsia="仿宋"/>
                      <w:sz w:val="24"/>
                    </w:rPr>
                    <w:t>（</w:t>
                  </w:r>
                  <w:r>
                    <w:rPr>
                      <w:rFonts w:ascii="仿宋" w:hAnsi="仿宋" w:cs="仿宋" w:eastAsia="仿宋"/>
                      <w:sz w:val="24"/>
                    </w:rPr>
                    <w:t>3）提供整体项目系统</w:t>
                  </w:r>
                  <w:r>
                    <w:rPr>
                      <w:rFonts w:ascii="仿宋" w:hAnsi="仿宋" w:cs="仿宋" w:eastAsia="仿宋"/>
                      <w:sz w:val="24"/>
                    </w:rPr>
                    <w:t>3</w:t>
                  </w:r>
                  <w:r>
                    <w:rPr>
                      <w:rFonts w:ascii="仿宋" w:hAnsi="仿宋" w:cs="仿宋" w:eastAsia="仿宋"/>
                      <w:sz w:val="24"/>
                    </w:rPr>
                    <w:t>年的运行维护服务</w:t>
                  </w:r>
                  <w:r>
                    <w:rPr>
                      <w:rFonts w:ascii="仿宋" w:hAnsi="仿宋" w:cs="仿宋" w:eastAsia="仿宋"/>
                      <w:sz w:val="24"/>
                    </w:rPr>
                    <w:t>(服务人员不少于3人)。</w:t>
                  </w:r>
                </w:p>
              </w:tc>
              <w:tc>
                <w:tcPr>
                  <w:tcW w:type="dxa" w:w="1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w:t>
                  </w:r>
                </w:p>
                <w:p>
                  <w:pPr>
                    <w:pStyle w:val="null3"/>
                    <w:jc w:val="center"/>
                  </w:pPr>
                </w:p>
              </w:tc>
              <w:tc>
                <w:tcPr>
                  <w:tcW w:type="dxa" w:w="2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p>
                  <w:pPr>
                    <w:pStyle w:val="null3"/>
                    <w:jc w:val="center"/>
                  </w:pPr>
                </w:p>
              </w:tc>
            </w:tr>
            <w:tr>
              <w:tc>
                <w:tcPr>
                  <w:tcW w:type="dxa" w:w="287"/>
                  <w:vMerge/>
                  <w:tcBorders>
                    <w:top w:val="none" w:color="000000" w:sz="4"/>
                    <w:left w:val="singl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c>
                <w:tcPr>
                  <w:tcW w:type="dxa" w:w="1606"/>
                  <w:vMerge/>
                  <w:tcBorders>
                    <w:top w:val="none" w:color="000000" w:sz="4"/>
                    <w:left w:val="none" w:color="000000" w:sz="4"/>
                    <w:bottom w:val="none" w:color="000000" w:sz="4"/>
                    <w:right w:val="single" w:color="000000" w:sz="4"/>
                  </w:tcBorders>
                </w:tcPr>
                <w:p/>
              </w:tc>
              <w:tc>
                <w:tcPr>
                  <w:tcW w:type="dxa" w:w="197"/>
                  <w:vMerge/>
                  <w:tcBorders>
                    <w:top w:val="none" w:color="000000" w:sz="4"/>
                    <w:left w:val="none" w:color="000000" w:sz="4"/>
                    <w:bottom w:val="none" w:color="000000" w:sz="4"/>
                    <w:right w:val="single" w:color="000000" w:sz="4"/>
                  </w:tcBorders>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全区公路资产现场勘测及数据入库服务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定制（维护</w:t>
                  </w:r>
                  <w:r>
                    <w:rPr>
                      <w:rFonts w:ascii="仿宋" w:hAnsi="仿宋" w:cs="仿宋" w:eastAsia="仿宋"/>
                      <w:sz w:val="24"/>
                    </w:rPr>
                    <w:t>3</w:t>
                  </w:r>
                  <w:r>
                    <w:rPr>
                      <w:rFonts w:ascii="仿宋" w:hAnsi="仿宋" w:cs="仿宋" w:eastAsia="仿宋"/>
                      <w:sz w:val="24"/>
                    </w:rPr>
                    <w:t>年）。</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政务云服务器</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数据服务器</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8核16G内存，100G系统盘，1T数据盘，10M带宽(维护</w:t>
                  </w:r>
                  <w:r>
                    <w:rPr>
                      <w:rFonts w:ascii="仿宋" w:hAnsi="仿宋" w:cs="仿宋" w:eastAsia="仿宋"/>
                      <w:sz w:val="24"/>
                    </w:rPr>
                    <w:t>3</w:t>
                  </w:r>
                  <w:r>
                    <w:rPr>
                      <w:rFonts w:ascii="仿宋" w:hAnsi="仿宋" w:cs="仿宋" w:eastAsia="仿宋"/>
                      <w:sz w:val="24"/>
                    </w:rPr>
                    <w:t>年</w:t>
                  </w:r>
                  <w:r>
                    <w:rPr>
                      <w:rFonts w:ascii="仿宋" w:hAnsi="仿宋" w:cs="仿宋" w:eastAsia="仿宋"/>
                      <w:sz w:val="24"/>
                    </w:rPr>
                    <w:t>)。</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r>
              <w:tc>
                <w:tcPr>
                  <w:tcW w:type="dxa" w:w="287"/>
                  <w:vMerge/>
                  <w:tcBorders>
                    <w:top w:val="none" w:color="000000" w:sz="4"/>
                    <w:left w:val="single" w:color="000000" w:sz="4"/>
                    <w:bottom w:val="none" w:color="000000" w:sz="4"/>
                    <w:right w:val="single" w:color="000000" w:sz="4"/>
                  </w:tcBorders>
                </w:tc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应用服务器</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8核16G内存，100G系统盘，1T数据盘，10M带宽(维护</w:t>
                  </w:r>
                  <w:r>
                    <w:rPr>
                      <w:rFonts w:ascii="仿宋" w:hAnsi="仿宋" w:cs="仿宋" w:eastAsia="仿宋"/>
                      <w:sz w:val="24"/>
                    </w:rPr>
                    <w:t>3</w:t>
                  </w:r>
                  <w:r>
                    <w:rPr>
                      <w:rFonts w:ascii="仿宋" w:hAnsi="仿宋" w:cs="仿宋" w:eastAsia="仿宋"/>
                      <w:sz w:val="24"/>
                    </w:rPr>
                    <w:t>年</w:t>
                  </w:r>
                  <w:r>
                    <w:rPr>
                      <w:rFonts w:ascii="仿宋" w:hAnsi="仿宋" w:cs="仿宋" w:eastAsia="仿宋"/>
                      <w:sz w:val="24"/>
                    </w:rPr>
                    <w:t>)。</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r>
          </w:tbl>
          <w:p>
            <w:pPr>
              <w:pStyle w:val="null3"/>
              <w:ind w:firstLine="480"/>
              <w:jc w:val="both"/>
            </w:pPr>
            <w:r>
              <w:rPr>
                <w:rFonts w:ascii="仿宋" w:hAnsi="仿宋" w:cs="仿宋" w:eastAsia="仿宋"/>
                <w:sz w:val="24"/>
              </w:rPr>
              <w:t>注：（</w:t>
            </w:r>
            <w:r>
              <w:rPr>
                <w:rFonts w:ascii="仿宋" w:hAnsi="仿宋" w:cs="仿宋" w:eastAsia="仿宋"/>
                <w:sz w:val="24"/>
              </w:rPr>
              <w:t>1）以上要求描述如与特定品牌或者型号相匹配，仅作为技术参考，不代表特定产品。</w:t>
            </w:r>
          </w:p>
          <w:p>
            <w:pPr>
              <w:pStyle w:val="null3"/>
              <w:ind w:firstLine="480"/>
              <w:jc w:val="both"/>
            </w:pPr>
            <w:r>
              <w:rPr>
                <w:rFonts w:ascii="仿宋" w:hAnsi="仿宋" w:cs="仿宋" w:eastAsia="仿宋"/>
                <w:sz w:val="24"/>
              </w:rPr>
              <w:t>（</w:t>
            </w:r>
            <w:r>
              <w:rPr>
                <w:rFonts w:ascii="仿宋" w:hAnsi="仿宋" w:cs="仿宋" w:eastAsia="仿宋"/>
                <w:sz w:val="24"/>
              </w:rPr>
              <w:t>2）为了保障服务的质量和效率，以上相关设备及相关软件由供应商提供且供应商提供的相关设备及相关软件不低于或优于以上要求。上述为主要设备及软件，如在项目实施过程中，需要增加其它设备及软件，总报价视为已含所有产品报价，采购人不再另行追加任何费用。</w:t>
            </w:r>
          </w:p>
          <w:p>
            <w:pPr>
              <w:pStyle w:val="null3"/>
              <w:ind w:firstLine="480"/>
              <w:jc w:val="left"/>
            </w:pPr>
            <w:r>
              <w:rPr>
                <w:rFonts w:ascii="仿宋" w:hAnsi="仿宋" w:cs="仿宋" w:eastAsia="仿宋"/>
                <w:sz w:val="24"/>
              </w:rPr>
              <w:t>（</w:t>
            </w:r>
            <w:r>
              <w:rPr>
                <w:rFonts w:ascii="仿宋" w:hAnsi="仿宋" w:cs="仿宋" w:eastAsia="仿宋"/>
                <w:sz w:val="24"/>
              </w:rPr>
              <w:t>3）以上相关设施设备供应商须在采购人指定地点进行安装、调试、试营且达到本项目服务验收标准。</w:t>
            </w:r>
          </w:p>
          <w:p>
            <w:pPr>
              <w:pStyle w:val="null3"/>
              <w:ind w:firstLine="400"/>
              <w:jc w:val="left"/>
            </w:pPr>
            <w:r>
              <w:rPr>
                <w:rFonts w:ascii="仿宋" w:hAnsi="仿宋" w:cs="仿宋" w:eastAsia="仿宋"/>
                <w:sz w:val="24"/>
              </w:rPr>
              <w:t>（</w:t>
            </w:r>
            <w:r>
              <w:rPr>
                <w:rFonts w:ascii="仿宋" w:hAnsi="仿宋" w:cs="仿宋" w:eastAsia="仿宋"/>
                <w:sz w:val="24"/>
              </w:rPr>
              <w:t>4）在涉及国家或行业规定的强制认证、许可要求，以及节能产品政府采购品目清单中明确规定的强制采购产品范围内，必须确保满足所有相关的认证、许可及特定要求。（提供承诺函）</w:t>
            </w:r>
          </w:p>
          <w:p>
            <w:pPr>
              <w:pStyle w:val="null3"/>
              <w:jc w:val="both"/>
            </w:pPr>
            <w:r>
              <w:rPr>
                <w:rFonts w:ascii="仿宋" w:hAnsi="仿宋" w:cs="仿宋" w:eastAsia="仿宋"/>
                <w:sz w:val="21"/>
              </w:rPr>
              <w:t>（</w:t>
            </w:r>
            <w:r>
              <w:rPr>
                <w:rFonts w:ascii="仿宋" w:hAnsi="仿宋" w:cs="仿宋" w:eastAsia="仿宋"/>
                <w:sz w:val="21"/>
              </w:rPr>
              <w:t>5）系统应具有可扩展性，支持后续的业务修改及二次开发。</w:t>
            </w:r>
          </w:p>
        </w:tc>
      </w:tr>
    </w:tbl>
    <w:p>
      <w:pPr>
        <w:pStyle w:val="null3"/>
        <w:jc w:val="left"/>
        <w:outlineLvl w:val="2"/>
      </w:pPr>
      <w:r>
        <w:rPr>
          <w:b/>
          <w:sz w:val="28"/>
        </w:rPr>
        <w:t>3.3.服务要求</w:t>
      </w:r>
    </w:p>
    <w:p>
      <w:pPr>
        <w:pStyle w:val="null3"/>
        <w:jc w:val="left"/>
      </w:pPr>
      <w:r>
        <w:rPr>
          <w:b/>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服务期限（因系统固化原因，服务期限以此为准）</w:t>
            </w:r>
          </w:p>
        </w:tc>
        <w:tc>
          <w:tcPr>
            <w:tcW w:type="dxa" w:w="2076"/>
          </w:tcPr>
          <w:p>
            <w:pPr>
              <w:pStyle w:val="null3"/>
              <w:ind w:firstLine="480"/>
              <w:jc w:val="left"/>
            </w:pPr>
            <w:r>
              <w:rPr>
                <w:rFonts w:ascii="仿宋" w:hAnsi="仿宋" w:cs="仿宋" w:eastAsia="仿宋"/>
                <w:color w:val="000000"/>
                <w:sz w:val="24"/>
              </w:rPr>
              <w:t>1、建设周期要求</w:t>
            </w:r>
          </w:p>
          <w:p>
            <w:pPr>
              <w:pStyle w:val="null3"/>
              <w:ind w:firstLine="480"/>
              <w:jc w:val="left"/>
            </w:pPr>
            <w:r>
              <w:rPr>
                <w:rFonts w:ascii="仿宋" w:hAnsi="仿宋" w:cs="仿宋" w:eastAsia="仿宋"/>
                <w:color w:val="000000"/>
                <w:sz w:val="24"/>
              </w:rPr>
              <w:t>本项目建设周期为：</w:t>
            </w:r>
            <w:r>
              <w:rPr>
                <w:rFonts w:ascii="仿宋" w:hAnsi="仿宋" w:cs="仿宋" w:eastAsia="仿宋"/>
                <w:color w:val="000000"/>
                <w:sz w:val="24"/>
              </w:rPr>
              <w:t>30日；本项目计划在成交供应商与采购人签订合同之日起30日内完成服务要求内的所有建设内容且达到初验标准及要求。</w:t>
            </w:r>
          </w:p>
          <w:p>
            <w:pPr>
              <w:pStyle w:val="null3"/>
              <w:ind w:left="420" w:firstLine="480"/>
              <w:jc w:val="both"/>
            </w:pPr>
            <w:r>
              <w:rPr>
                <w:rFonts w:ascii="仿宋" w:hAnsi="仿宋" w:cs="仿宋" w:eastAsia="仿宋"/>
                <w:color w:val="000000"/>
                <w:sz w:val="24"/>
              </w:rPr>
              <w:t>2、试运行周期要求</w:t>
            </w:r>
          </w:p>
          <w:p>
            <w:pPr>
              <w:pStyle w:val="null3"/>
              <w:ind w:firstLine="480"/>
              <w:jc w:val="both"/>
            </w:pPr>
            <w:r>
              <w:rPr>
                <w:rFonts w:ascii="仿宋" w:hAnsi="仿宋" w:cs="仿宋" w:eastAsia="仿宋"/>
                <w:color w:val="000000"/>
                <w:sz w:val="24"/>
              </w:rPr>
              <w:t>本项目试运行周期为：</w:t>
            </w:r>
            <w:r>
              <w:rPr>
                <w:rFonts w:ascii="仿宋" w:hAnsi="仿宋" w:cs="仿宋" w:eastAsia="仿宋"/>
                <w:color w:val="000000"/>
                <w:sz w:val="24"/>
              </w:rPr>
              <w:t>30日；自本项目整体系统通过初验之日起开始计算，所有的系统硬件、软件运行正常时间30日。</w:t>
            </w:r>
          </w:p>
          <w:p>
            <w:pPr>
              <w:pStyle w:val="null3"/>
              <w:ind w:left="420" w:firstLine="480"/>
              <w:jc w:val="both"/>
            </w:pPr>
            <w:r>
              <w:rPr>
                <w:rFonts w:ascii="仿宋" w:hAnsi="仿宋" w:cs="仿宋" w:eastAsia="仿宋"/>
                <w:color w:val="000000"/>
                <w:sz w:val="24"/>
              </w:rPr>
              <w:t>3、服务周期要求</w:t>
            </w:r>
          </w:p>
          <w:p>
            <w:pPr>
              <w:pStyle w:val="null3"/>
              <w:ind w:firstLine="480"/>
              <w:jc w:val="both"/>
            </w:pPr>
            <w:r>
              <w:rPr>
                <w:rFonts w:ascii="仿宋" w:hAnsi="仿宋" w:cs="仿宋" w:eastAsia="仿宋"/>
                <w:color w:val="000000"/>
                <w:sz w:val="24"/>
              </w:rPr>
              <w:t>本项目总体服务周期为：</w:t>
            </w:r>
            <w:r>
              <w:rPr>
                <w:rFonts w:ascii="仿宋" w:hAnsi="仿宋" w:cs="仿宋" w:eastAsia="仿宋"/>
                <w:color w:val="000000"/>
                <w:sz w:val="24"/>
              </w:rPr>
              <w:t>3年；包含本项目的全部建设内容及各种保障性服务、整体系统通过试运行并投入正常使用、服务周期内负责系统的软硬件维护服务。</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维护服务要求</w:t>
            </w:r>
          </w:p>
        </w:tc>
        <w:tc>
          <w:tcPr>
            <w:tcW w:type="dxa" w:w="2076"/>
          </w:tcPr>
          <w:p>
            <w:pPr>
              <w:pStyle w:val="null3"/>
              <w:ind w:firstLine="480"/>
              <w:jc w:val="left"/>
            </w:pPr>
            <w:r>
              <w:rPr>
                <w:rFonts w:ascii="仿宋" w:hAnsi="仿宋" w:cs="仿宋" w:eastAsia="仿宋"/>
                <w:sz w:val="24"/>
              </w:rPr>
              <w:t>1、服务范围：包括提供10 个前端点位的供电服务、提供 10 个前端点位的网络传输服务、提供整体项目系统的运行维护服务(服务人员不少于3人)、全区公路资产现场勘测及数据入库服务、政务云服务器、软件升级等（含全部技术和服务要求）。</w:t>
            </w:r>
          </w:p>
          <w:p>
            <w:pPr>
              <w:pStyle w:val="null3"/>
              <w:ind w:firstLine="480"/>
              <w:jc w:val="both"/>
            </w:pPr>
            <w:r>
              <w:rPr>
                <w:rFonts w:ascii="仿宋" w:hAnsi="仿宋" w:cs="仿宋" w:eastAsia="仿宋"/>
                <w:sz w:val="24"/>
              </w:rPr>
              <w:t>2、响应时效：在服务期内，若系统软硬件出现故障，成交供应商在接到故障通知后1小时内响应，若需现场处理则成交供应商技术人员必须在12小时以内到达现场，到达后8小时内解决。</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自合同签订之日起1095日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金口河区公路建设服务中心</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（1）严格按照国家现行有关行业规定、质量和技术指标要求、谈判文件的质量要求和技术指标、供应商的响应文件及承诺与采购合同约定标准进行验收。 （2）采购人与成交供应商双方如对质量要求和技术指标的约定标准有相互抵触或异议的事项，由采购人在谈判文件与响应文件中按质量要求和技术指标比较优胜的原则确定该项的约定标准进行验收。 （3）如质量验收合格，双方签署质量验收报告。 （4）其他未尽事宜应严格按照《财政部关于进一步加强政府采购需求和履约验收管理的指导意见》（财库〔2016〕205号）、《政府采购需求管理办法》（财库〔2021〕22号）的要求进行。</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付款进度安排</w:t>
            </w:r>
          </w:p>
        </w:tc>
        <w:tc>
          <w:tcPr>
            <w:tcW w:type="dxa" w:w="2076"/>
          </w:tcPr>
          <w:p>
            <w:pPr>
              <w:pStyle w:val="null3"/>
              <w:jc w:val="left"/>
            </w:pPr>
            <w:r>
              <w:rPr/>
              <w:t>1、合同签订生效，成交供应商进场开展服务工作且采购人收到供应商开具的完税发票后，达到付款条件起30日内，支付合同总金额的30.00%</w:t>
            </w:r>
          </w:p>
          <w:p>
            <w:pPr>
              <w:pStyle w:val="null3"/>
              <w:jc w:val="left"/>
            </w:pPr>
            <w:r>
              <w:rPr/>
              <w:t>2、系统建设完成并验收合格，验收合格后采购人收到供应商开具的完税发票后，达到付款条件起30日内，支付合同总金额的40.00%</w:t>
            </w:r>
          </w:p>
          <w:p>
            <w:pPr>
              <w:pStyle w:val="null3"/>
              <w:jc w:val="left"/>
            </w:pPr>
            <w:r>
              <w:rPr/>
              <w:t>3、服务期满第1年，采购人收到供应商开具的完税发票后，达到付款条件起30日内，支付合同总金额的10.00%</w:t>
            </w:r>
          </w:p>
          <w:p>
            <w:pPr>
              <w:pStyle w:val="null3"/>
              <w:jc w:val="left"/>
            </w:pPr>
            <w:r>
              <w:rPr/>
              <w:t>4、服务期满第2年，采购人收到供应商开具的完税发票后，达到付款条件起30日内，支付合同总金额的10.00%</w:t>
            </w:r>
          </w:p>
          <w:p>
            <w:pPr>
              <w:pStyle w:val="null3"/>
              <w:jc w:val="left"/>
            </w:pPr>
            <w:r>
              <w:rPr/>
              <w:t>5、服务期满第3年，采购人收到供应商开具的完税发票后，达到付款条件起30日内，支付合同总金额的10.00%</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违约责任： （1）采购人与成交供应商必须遵守合同并执行合同中的各项规定，保证合同的正常履行。 （2）如因成交供应商服务人员在履行职务过程中的疏忽、失职、过错等故意或者过失原因给采购人造成损失或侵害，包括但不限于采购人本身的财产损失、由此而导致的采购人对任何第三方的法律责任等，成交供应商对此均应承担全部的赔偿责任。 解决争议的方法： 在执行本合同中发生的或与本合同有关的争端，双方应通过友好协商解决，经协商不能达成协议时，依法向项目所在地人民法院起诉。</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★① 报价要求： 本项目报价应包括供应商履约过程中与其他平台系统对接所需费用、安装费、材料费、人工费、差旅费、资料费、培训、硬件设备所需配套设施及辅材、保险、风险、税费、利润及与供应商履约本项目所需要的其他所有费用。如出现谈判报价估算错误等引起的损失由供应商自行承担，采购人不再另行支付任何费用。 ★②安全要求：在履约过程中的安全责任由成交供应商负全责，采购人不承担任何安全责任，也不承担如发生安全事故等产生的任何责任。 ★③保密要求：成交供应商及其配备的服务人员必须对服务的内容进行严格保密。 ★④本项目服务期满后，因服务建设的所有相关设施设备及相关软件归采购人所有。 ★⑤运行期间如遇成交供应商跟不上后期服务要求，业主方有权终止合同，将扣留后续三年服务费。 ⑥在谈判文件中没有提及的与本项目履约切实相关的事宜，在采购人与成交供应商订立合同时明细约定或后续补充约定（约定的内容须符合国家相关法律法规的规定，所需费用包含在谈判报价中）。</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jc w:val="left"/>
      </w:pPr>
      <w:r>
        <w:rPr/>
        <w:t>本谈判文件中除标注“★”及“实质性要求”以外的内容，根据采购人项目实际需求可进行谈判。</w:t>
      </w:r>
    </w:p>
    <w:p>
      <w:pPr>
        <w:pStyle w:val="null3"/>
        <w:ind w:firstLine="480"/>
        <w:jc w:val="left"/>
      </w:pPr>
      <w:r>
        <w:rPr/>
        <w:t>二、第七章“拟签订采购合同文本”：</w:t>
      </w:r>
    </w:p>
    <w:p>
      <w:pPr>
        <w:pStyle w:val="null3"/>
        <w:jc w:val="left"/>
      </w:pPr>
      <w:r>
        <w:rPr/>
        <w:t>本谈判文件中除标注“★”及“实质性要求”以外的内容，根据采购人项目实际需求可进行谈判。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br/>
              <w:t>{（供应商根据自身响应情况选择提供以下其中一项）：</w:t>
              <w:br/>
              <w:t>（1）提供近三年任意一年经审计的财务报表（包含审计报告和审计报告中所涉及的财务报表和报表附注）。（扫描件或复印件加盖单位公章）</w:t>
              <w:br/>
              <w:t>（2）提供近三年任意一年供应商的财务报表（至少包含资产负债表、利润表）。（扫描件或复印件加盖单位公章）</w:t>
              <w:br/>
              <w:t>（3）提供截至递交响应文件截止时间一年内银行出具的资信证明。（扫描件或复印件加盖单位公章）</w:t>
              <w:br/>
              <w:t>（4）供应商成立时间截至递交响应文件截止时间不足一个财务会计年度最迟申报期限的，提供在工商部门或行政审批部门备案的公司章程。（扫描件或复印件加盖单位公章）</w:t>
              <w:br/>
              <w:t>（5）供应商为事业单位或其他组织(不具备法人条件的组织，如合伙组织、个体工商户、农村承包经营户等)或自然人时，可提供承诺函，格式自拟。</w:t>
              <w:br/>
              <w:t>注：①“近三年”分两种情况。例：采购文件开始获取的时间在5月1日以前的，“近三年”是指当年之前的三个年度或当年的上一年之前的3个年度。如某项目采购，采购文件开始获取的时间是2023年4月30日，“近三年”是指2020年、2021年、2022年，或2019年、2020年、2021年，采用哪个年度，由供应商选择；采购文件开始获取的时间在5月1日以后的，“近三年”是指当年之前的三个年度，如某项目采购，采购文件开始下载的时间是2023年5月2日，“近三年”是指2020年、2021年、2022年。</w:t>
              <w:br/>
              <w:t>②一个财务会计年度是指当年1月1日至当年12月31日，财务报表最迟申报期限为次年5月1日。例：供应商注册时间为2022年1月1日，采购项目递交响应文件截止时间为2023年4月30日，则供应商可提供公司章程。供应商需在项目电子化交易系统中按要求上传相应证明文件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服务要求应答</w:t>
            </w:r>
          </w:p>
        </w:tc>
        <w:tc>
          <w:tcPr>
            <w:tcW w:type="dxa" w:w="3322"/>
          </w:tcPr>
          <w:p>
            <w:pPr>
              <w:pStyle w:val="null3"/>
              <w:jc w:val="left"/>
            </w:pPr>
            <w:r>
              <w:rPr/>
              <w:t xml:space="preserve"> 1、供应商须对采购文件第三章“3.3服务要求”和“3.4其他要求”中的全部内容按顺序对应列入此表进行应答。标注有“实质性要求”的内容为本项目实质性要求，不满足或有负偏离的作无效处理。 2、谈判文件要求提供证明材料或者供应商认为需要提供证明材料的，证明材料作为本表的附件附后，格式自拟。3、供应商须进行电子签章。</w:t>
            </w:r>
          </w:p>
        </w:tc>
        <w:tc>
          <w:tcPr>
            <w:tcW w:type="dxa" w:w="1910"/>
          </w:tcPr>
          <w:p>
            <w:pPr>
              <w:pStyle w:val="null3"/>
              <w:jc w:val="left"/>
            </w:pPr>
            <w:r>
              <w:rPr/>
              <w:t>服务应答表</w:t>
            </w:r>
          </w:p>
        </w:tc>
      </w:tr>
      <w:tr>
        <w:tc>
          <w:tcPr>
            <w:tcW w:type="dxa" w:w="581"/>
          </w:tcPr>
          <w:p>
            <w:pPr>
              <w:pStyle w:val="null3"/>
              <w:jc w:val="center"/>
            </w:pPr>
            <w:r>
              <w:rPr/>
              <w:t>3</w:t>
            </w:r>
          </w:p>
        </w:tc>
        <w:tc>
          <w:tcPr>
            <w:tcW w:type="dxa" w:w="2492"/>
          </w:tcPr>
          <w:p>
            <w:pPr>
              <w:pStyle w:val="null3"/>
              <w:jc w:val="left"/>
            </w:pPr>
            <w:r>
              <w:rPr/>
              <w:t>技术要求应答</w:t>
            </w:r>
          </w:p>
        </w:tc>
        <w:tc>
          <w:tcPr>
            <w:tcW w:type="dxa" w:w="3322"/>
          </w:tcPr>
          <w:p>
            <w:pPr>
              <w:pStyle w:val="null3"/>
              <w:jc w:val="left"/>
            </w:pPr>
            <w:r>
              <w:rPr/>
              <w:t>1、供应商必须把谈判文件第3章“3.2、技术要求”的全部要求列入此表进行应答。标注有“实质性要求”的内容为本项目实质性要求，不满足或有负偏离的作无效处理。 2、谈判文件要求提供证明材料或者供应商认为需要提供证明材料的，证明材料作为本表的附件附后，格式自拟。3、供应商须进行电子签章。</w:t>
            </w:r>
          </w:p>
        </w:tc>
        <w:tc>
          <w:tcPr>
            <w:tcW w:type="dxa" w:w="1910"/>
          </w:tcPr>
          <w:p>
            <w:pPr>
              <w:pStyle w:val="null3"/>
              <w:jc w:val="left"/>
            </w:pPr>
            <w:r>
              <w:rPr/>
              <w:t>技术要求应答表</w:t>
            </w:r>
          </w:p>
        </w:tc>
      </w:tr>
      <w:tr>
        <w:tc>
          <w:tcPr>
            <w:tcW w:type="dxa" w:w="581"/>
          </w:tcPr>
          <w:p>
            <w:pPr>
              <w:pStyle w:val="null3"/>
              <w:jc w:val="center"/>
            </w:pPr>
            <w:r>
              <w:rPr/>
              <w:t>4</w:t>
            </w:r>
          </w:p>
        </w:tc>
        <w:tc>
          <w:tcPr>
            <w:tcW w:type="dxa" w:w="2492"/>
          </w:tcPr>
          <w:p>
            <w:pPr>
              <w:pStyle w:val="null3"/>
              <w:jc w:val="left"/>
            </w:pPr>
            <w:r>
              <w:rPr/>
              <w:t>不正当竞争预防措施（实质性要求）</w:t>
            </w:r>
          </w:p>
        </w:tc>
        <w:tc>
          <w:tcPr>
            <w:tcW w:type="dxa" w:w="3322"/>
          </w:tcPr>
          <w:p>
            <w:pPr>
              <w:pStyle w:val="null3"/>
              <w:jc w:val="left"/>
            </w:pPr>
            <w:r>
              <w:rPr/>
              <w:t>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w:t>
            </w:r>
          </w:p>
        </w:tc>
        <w:tc>
          <w:tcPr>
            <w:tcW w:type="dxa" w:w="1910"/>
          </w:tcPr>
          <w:p>
            <w:pPr>
              <w:pStyle w:val="null3"/>
              <w:jc w:val="left"/>
            </w:pPr>
            <w:r>
              <w:rPr/>
              <w:t>报价一览表 报价明细表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1、评审价格=响应报价。2、经价格调整后的评审价格=响应报价×（1-价格调整比例）3、基准价=经价格调整后评审价格的最低值。1. 经谈判小组评审，通过资格和符合性审查，且响应报价最低的供应商的响应报价作为评审基准价。2.响应报价得分=(评审基准价／响应报价)×评审系数。</w:t>
            </w:r>
          </w:p>
        </w:tc>
        <w:tc>
          <w:tcPr>
            <w:tcW w:type="dxa" w:w="2123"/>
          </w:tcPr>
          <w:p>
            <w:pPr>
              <w:pStyle w:val="null3"/>
              <w:jc w:val="left"/>
            </w:pPr>
            <w:r>
              <w:rPr/>
              <w:t>报价一览表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认定有效的节能产品认证证书、环境标志产品认证证书数量累计计算。</w:t>
            </w:r>
          </w:p>
        </w:tc>
        <w:tc>
          <w:tcPr>
            <w:tcW w:type="dxa" w:w="2955"/>
          </w:tcPr>
          <w:p>
            <w:pPr>
              <w:pStyle w:val="null3"/>
              <w:jc w:val="left"/>
            </w:pPr>
            <w:r>
              <w:rPr/>
              <w:t>供应商应提交的相关证明材料 强制、优先采购产品承诺函</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一、评审结束后，代理机构在评审结束后2个工作日内将谈判报告送采购人。</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三、采购人或者代理机构应当自成交供应商确定之日起 2 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详见附件：强制、优先采购产品承诺函</w:t>
      </w:r>
    </w:p>
    <w:p>
      <w:pPr>
        <w:pStyle w:val="null3"/>
        <w:ind w:firstLine="960"/>
        <w:jc w:val="left"/>
      </w:pPr>
      <w:r>
        <w:rPr/>
        <w:t>详见附件：技术要求应答表</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详见附件：政府采购合同（草案）.docx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