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版本号：240911002</w:t>
      </w:r>
    </w:p>
    <w:p>
      <w:pPr>
        <w:pStyle w:val="null3"/>
        <w:jc w:val="left"/>
        <w:outlineLvl w:val="0"/>
      </w:pPr>
      <w:r>
        <w:rPr>
          <w:b/>
          <w:sz w:val="48"/>
        </w:rPr>
        <w:t>竞 争 性 谈 判 文 件</w:t>
      </w:r>
    </w:p>
    <w:p>
      <w:pPr>
        <w:pStyle w:val="null3"/>
        <w:jc w:val="center"/>
        <w:outlineLvl w:val="0"/>
      </w:pPr>
      <w:r>
        <w:rPr>
          <w:b/>
          <w:sz w:val="48"/>
        </w:rPr>
        <w:t>（工程类）</w:t>
      </w:r>
    </w:p>
    <w:p>
      <w:pPr>
        <w:pStyle w:val="null3"/>
        <w:jc w:val="left"/>
        <w:outlineLvl w:val="2"/>
      </w:pPr>
      <w:r>
        <w:rPr>
          <w:b/>
          <w:sz w:val="28"/>
        </w:rPr>
        <w:t>采购项目名称：</w:t>
      </w:r>
      <w:r>
        <w:rPr>
          <w:b/>
          <w:sz w:val="28"/>
        </w:rPr>
        <w:t>乐山市金口河区和平彝族乡解放村污水处理项目</w:t>
      </w:r>
    </w:p>
    <w:p>
      <w:pPr>
        <w:pStyle w:val="null3"/>
        <w:jc w:val="center"/>
        <w:outlineLvl w:val="2"/>
      </w:pPr>
      <w:r>
        <w:rPr>
          <w:b/>
          <w:sz w:val="28"/>
        </w:rPr>
        <w:t>采购项目编号：</w:t>
      </w:r>
      <w:r>
        <w:rPr>
          <w:b/>
          <w:sz w:val="28"/>
        </w:rPr>
        <w:t>N5111132024000033</w:t>
      </w:r>
    </w:p>
    <w:p>
      <w:pPr>
        <w:pStyle w:val="null3"/>
        <w:jc w:val="left"/>
        <w:outlineLvl w:val="2"/>
      </w:pPr>
      <w:r>
        <w:rPr>
          <w:b/>
          <w:sz w:val="28"/>
        </w:rPr>
        <w:t>乐山市金口河区和平彝族乡人民政府</w:t>
      </w:r>
    </w:p>
    <w:p>
      <w:pPr>
        <w:pStyle w:val="null3"/>
        <w:jc w:val="center"/>
        <w:outlineLvl w:val="2"/>
      </w:pPr>
      <w:r>
        <w:rPr>
          <w:b/>
          <w:sz w:val="28"/>
        </w:rPr>
        <w:t>乐山市金口河区政府采购中心</w:t>
      </w:r>
      <w:r>
        <w:rPr>
          <w:b/>
          <w:sz w:val="28"/>
        </w:rPr>
        <w:t>共同编制</w:t>
      </w:r>
    </w:p>
    <w:p>
      <w:pPr>
        <w:pStyle w:val="null3"/>
        <w:jc w:val="center"/>
      </w:pPr>
      <w:r>
        <w:rPr/>
        <w:t>2024年09月12日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乐山市金口河区政府采购中心</w:t>
      </w:r>
      <w:r>
        <w:rPr/>
        <w:t xml:space="preserve"> （以下简称“代理机构”）受 </w:t>
      </w:r>
      <w:r>
        <w:rPr/>
        <w:t>乐山市金口河区和平彝族乡人民政府</w:t>
      </w:r>
      <w:r>
        <w:rPr/>
        <w:t xml:space="preserve"> 委托，拟对 </w:t>
      </w:r>
      <w:r>
        <w:rPr/>
        <w:t>乐山市金口河区和平彝族乡解放村污水处理项目</w:t>
      </w:r>
      <w:r>
        <w:rPr/>
        <w:t>采用竞争性谈判方式进行采购，兹邀请符合资格条件的供应商参加谈判。本项目为四川省</w:t>
      </w:r>
      <w:r>
        <w:rPr/>
        <w:t>乐山市金口河区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N5111132024000033</w:t>
      </w:r>
    </w:p>
    <w:p>
      <w:pPr>
        <w:pStyle w:val="null3"/>
        <w:jc w:val="left"/>
        <w:outlineLvl w:val="2"/>
      </w:pPr>
      <w:r>
        <w:rPr>
          <w:b/>
          <w:sz w:val="28"/>
        </w:rPr>
        <w:t>1.2.采购项目名称</w:t>
      </w:r>
      <w:r>
        <w:rPr>
          <w:b/>
          <w:sz w:val="28"/>
        </w:rPr>
        <w:t xml:space="preserve">： </w:t>
      </w:r>
      <w:r>
        <w:rPr>
          <w:b/>
          <w:sz w:val="28"/>
        </w:rPr>
        <w:t>乐山市金口河区和平彝族乡解放村污水处理项目</w:t>
      </w:r>
    </w:p>
    <w:p>
      <w:pPr>
        <w:pStyle w:val="null3"/>
        <w:jc w:val="left"/>
        <w:outlineLvl w:val="2"/>
      </w:pPr>
      <w:r>
        <w:rPr>
          <w:b/>
          <w:sz w:val="28"/>
        </w:rPr>
        <w:t>1.3.谈判项目简介</w:t>
      </w:r>
    </w:p>
    <w:p>
      <w:pPr>
        <w:pStyle w:val="null3"/>
        <w:ind w:firstLine="480"/>
        <w:jc w:val="left"/>
      </w:pPr>
      <w:r>
        <w:rPr/>
        <w:t>在解放村2、3组新建污水处理设施及管道安装，改善人居环境。</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本项目以供应商库随机抽取方式邀请供应商参加谈判。</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详见邀请书</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乐山市金口河区和平彝族乡人民政府</w:t>
      </w:r>
    </w:p>
    <w:p>
      <w:pPr>
        <w:pStyle w:val="null3"/>
        <w:jc w:val="left"/>
      </w:pPr>
      <w:r>
        <w:rPr/>
        <w:t xml:space="preserve"> 地址： </w:t>
      </w:r>
      <w:r>
        <w:rPr/>
        <w:t>和平彝族乡桠溪村2组</w:t>
      </w:r>
    </w:p>
    <w:p>
      <w:pPr>
        <w:pStyle w:val="null3"/>
        <w:jc w:val="left"/>
      </w:pPr>
      <w:r>
        <w:rPr/>
        <w:t xml:space="preserve"> 邮编： </w:t>
      </w:r>
      <w:r>
        <w:rPr/>
        <w:t>614000</w:t>
      </w:r>
    </w:p>
    <w:p>
      <w:pPr>
        <w:pStyle w:val="null3"/>
        <w:jc w:val="left"/>
      </w:pPr>
      <w:r>
        <w:rPr/>
        <w:t xml:space="preserve"> 联系人： </w:t>
      </w:r>
      <w:r>
        <w:rPr/>
        <w:t>曾祖鉴</w:t>
      </w:r>
    </w:p>
    <w:p>
      <w:pPr>
        <w:pStyle w:val="null3"/>
        <w:jc w:val="left"/>
      </w:pPr>
      <w:r>
        <w:rPr/>
        <w:t xml:space="preserve"> 联系电话： </w:t>
      </w:r>
      <w:r>
        <w:rPr/>
        <w:t>18080638413</w:t>
      </w:r>
    </w:p>
    <w:p>
      <w:pPr>
        <w:pStyle w:val="null3"/>
        <w:jc w:val="left"/>
      </w:pPr>
      <w:r>
        <w:rPr>
          <w:b/>
        </w:rPr>
        <w:t xml:space="preserve">代理机构： </w:t>
      </w:r>
      <w:r>
        <w:rPr>
          <w:b/>
        </w:rPr>
        <w:t>乐山市金口河区政府采购中心</w:t>
      </w:r>
    </w:p>
    <w:p>
      <w:pPr>
        <w:pStyle w:val="null3"/>
        <w:jc w:val="left"/>
      </w:pPr>
      <w:r>
        <w:rPr/>
        <w:t xml:space="preserve"> 地址： </w:t>
      </w:r>
      <w:r>
        <w:rPr/>
        <w:t>四川省乐山市金口河区滨河路三段153号</w:t>
      </w:r>
    </w:p>
    <w:p>
      <w:pPr>
        <w:pStyle w:val="null3"/>
        <w:jc w:val="left"/>
      </w:pPr>
      <w:r>
        <w:rPr/>
        <w:t xml:space="preserve"> 邮编： </w:t>
      </w:r>
      <w:r>
        <w:rPr/>
        <w:t>614000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采购包1：3,635,894.86元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采购包1：收取</w:t>
            </w:r>
          </w:p>
          <w:p>
            <w:pPr>
              <w:pStyle w:val="null3"/>
              <w:jc w:val="left"/>
            </w:pPr>
            <w:r>
              <w:rPr/>
              <w:t>质量保证金缴纳比例：工程价款结算总额的</w:t>
            </w:r>
            <w:r>
              <w:rPr/>
              <w:t>3</w:t>
            </w:r>
            <w:r>
              <w:rPr/>
              <w:t>%</w:t>
            </w:r>
          </w:p>
          <w:p>
            <w:pPr>
              <w:pStyle w:val="null3"/>
              <w:jc w:val="left"/>
            </w:pPr>
            <w:r>
              <w:rPr/>
              <w:t>缴纳方式：</w:t>
            </w:r>
            <w:r>
              <w:rPr/>
              <w:t>合同款中扣除</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乐山市金口河区和平彝族乡人民政府</w:t>
      </w:r>
      <w:r>
        <w:rPr/>
        <w:t xml:space="preserve"> 和 </w:t>
      </w:r>
      <w:r>
        <w:rPr/>
        <w:t>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乐山市金口河区和平彝族乡人民政府</w:t>
      </w:r>
      <w:r>
        <w:rPr/>
        <w:t>。</w:t>
      </w:r>
    </w:p>
    <w:p>
      <w:pPr>
        <w:pStyle w:val="null3"/>
        <w:ind w:firstLine="480"/>
        <w:jc w:val="left"/>
      </w:pPr>
      <w:r>
        <w:rPr/>
        <w:t xml:space="preserve">二、“供应商”是指按照 </w:t>
      </w:r>
      <w:r>
        <w:rPr/>
        <w:t>邀请书</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乐山市金口河区政府采购中心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交易系统发送更正信息，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（四）谈判文件已明确各单位工程规费金额并要求按此金额填报而供应商填报错误或未填报的，或供应商未按相关计价规定计取规费的；</w:t>
      </w:r>
    </w:p>
    <w:p>
      <w:pPr>
        <w:pStyle w:val="null3"/>
        <w:ind w:firstLine="480"/>
        <w:jc w:val="left"/>
      </w:pPr>
      <w:r>
        <w:rPr/>
        <w:t>（五）谈判文件若已明确创优质工程奖补偿奖励费金额并要求按此金额填报而供应商填报错误或未填报的；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ind w:firstLine="480"/>
        <w:jc w:val="left"/>
      </w:pPr>
      <w:r>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满足国家及行业的现行相关标准、规范要求、符合相关法律、法规及业主要求的质量和技术深度要求。</w:t>
      </w:r>
    </w:p>
    <w:p>
      <w:pPr>
        <w:pStyle w:val="null3"/>
        <w:ind w:firstLine="480"/>
        <w:jc w:val="left"/>
      </w:pPr>
      <w:r>
        <w:rPr/>
        <w:t>十、商务履约验收内容：</w:t>
      </w:r>
    </w:p>
    <w:p>
      <w:pPr>
        <w:pStyle w:val="null3"/>
        <w:ind w:firstLine="480"/>
        <w:jc w:val="left"/>
      </w:pPr>
      <w:r>
        <w:rPr/>
        <w:t>采购包1：</w:t>
      </w:r>
      <w:r>
        <w:rPr/>
        <w:t>提交施工成果和竣工成果文件的时间和地点（范围）、付款条件（进度和方式）、售后服务等</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注：</w:t>
      </w:r>
    </w:p>
    <w:p>
      <w:pPr>
        <w:pStyle w:val="null3"/>
        <w:ind w:firstLine="480"/>
        <w:jc w:val="left"/>
      </w:pPr>
      <w:r>
        <w:rPr/>
        <w:t>1.交付竣工验收的工程，必须符合规定的工程质量标准，有完整的工程技术经济资料和经签署的工程保修书，并具备国家规定的其他竣工条件。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2.验收结果合格的，采购人应向成交供应商出具履约验收报告，成交供应商凭验收报告办理相关手续。</w:t>
      </w:r>
    </w:p>
    <w:p>
      <w:pPr>
        <w:pStyle w:val="null3"/>
        <w:ind w:firstLine="480"/>
        <w:jc w:val="left"/>
      </w:pPr>
      <w:r>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乐山市金口河区和平彝族乡人民政府</w:t>
      </w:r>
      <w:r>
        <w:rPr/>
        <w:t xml:space="preserve">负责答复；供应商对除采购需求外的谈判文件的询问、质疑由 </w:t>
      </w:r>
      <w:r>
        <w:rPr/>
        <w:t>乐山市金口河区政府采购中心</w:t>
      </w:r>
      <w:r>
        <w:rPr/>
        <w:t xml:space="preserve"> 负责答复；供应商对采购过程、采购结果的询问、质疑由 </w:t>
      </w:r>
      <w:r>
        <w:rPr/>
        <w:t>乐山市金口河区政府采购中心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联系人：曾祖鉴</w:t>
      </w:r>
    </w:p>
    <w:p>
      <w:pPr>
        <w:pStyle w:val="null3"/>
        <w:jc w:val="left"/>
      </w:pPr>
      <w:r>
        <w:rPr/>
        <w:t>联系电话：18080638413</w:t>
      </w:r>
    </w:p>
    <w:p>
      <w:pPr>
        <w:pStyle w:val="null3"/>
        <w:jc w:val="left"/>
      </w:pPr>
      <w:r>
        <w:rPr/>
        <w:t>地址：和平彝族乡桠溪村2组</w:t>
      </w:r>
    </w:p>
    <w:p>
      <w:pPr>
        <w:pStyle w:val="null3"/>
        <w:jc w:val="left"/>
      </w:pPr>
      <w:r>
        <w:rPr/>
        <w:t>邮编：614000</w:t>
      </w: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地址：乐山市金口河区滨河路三段153号</w:t>
      </w:r>
    </w:p>
    <w:p>
      <w:pPr>
        <w:pStyle w:val="null3"/>
        <w:jc w:val="left"/>
      </w:pPr>
      <w:r>
        <w:rPr/>
        <w:t>邮编：614700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3,635,894.86</w:t>
      </w:r>
    </w:p>
    <w:p>
      <w:pPr>
        <w:pStyle w:val="null3"/>
        <w:jc w:val="left"/>
      </w:pPr>
      <w:r>
        <w:rPr/>
        <w:t>采购包最高限价（元）: 3,635,894.86</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污水处理工程施工</w:t>
            </w:r>
          </w:p>
        </w:tc>
        <w:tc>
          <w:tcPr>
            <w:tcW w:type="dxa" w:w="821"/>
          </w:tcPr>
          <w:p>
            <w:pPr>
              <w:pStyle w:val="null3"/>
              <w:jc w:val="left"/>
            </w:pPr>
            <w:r>
              <w:rPr/>
              <w:t>乐山市金口河区和平彝族乡解放村污水处理项目</w:t>
            </w:r>
          </w:p>
        </w:tc>
        <w:tc>
          <w:tcPr>
            <w:tcW w:type="dxa" w:w="821"/>
          </w:tcPr>
          <w:p>
            <w:pPr>
              <w:pStyle w:val="null3"/>
              <w:jc w:val="right"/>
            </w:pPr>
            <w:r>
              <w:rPr/>
              <w:t>1.00（包）</w:t>
            </w:r>
          </w:p>
        </w:tc>
        <w:tc>
          <w:tcPr>
            <w:tcW w:type="dxa" w:w="821"/>
          </w:tcPr>
          <w:p>
            <w:pPr>
              <w:pStyle w:val="null3"/>
              <w:jc w:val="right"/>
            </w:pPr>
            <w:r>
              <w:rPr/>
              <w:t>3,635,894.86</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乐山市金口河区和平彝族乡解放村污水处理项目</w:t>
            </w:r>
          </w:p>
        </w:tc>
        <w:tc>
          <w:tcPr>
            <w:tcW w:type="dxa" w:w="977"/>
          </w:tcPr>
          <w:p>
            <w:pPr>
              <w:pStyle w:val="null3"/>
              <w:jc w:val="right"/>
            </w:pPr>
            <w:r>
              <w:rPr/>
              <w:t>1.00（包）</w:t>
            </w:r>
          </w:p>
        </w:tc>
        <w:tc>
          <w:tcPr>
            <w:tcW w:type="dxa" w:w="1173"/>
          </w:tcPr>
          <w:p>
            <w:pPr>
              <w:pStyle w:val="null3"/>
              <w:jc w:val="right"/>
            </w:pPr>
            <w:r>
              <w:rPr/>
              <w:t>3,635,894.86（元）</w:t>
            </w:r>
          </w:p>
        </w:tc>
        <w:tc>
          <w:tcPr>
            <w:tcW w:type="dxa" w:w="1173"/>
          </w:tcPr>
          <w:p>
            <w:pPr>
              <w:pStyle w:val="null3"/>
              <w:jc w:val="right"/>
            </w:pPr>
            <w:r>
              <w:rPr/>
              <w:t>3,635,894.86</w:t>
            </w:r>
          </w:p>
        </w:tc>
        <w:tc>
          <w:tcPr>
            <w:tcW w:type="dxa" w:w="977"/>
          </w:tcPr>
          <w:p>
            <w:pPr>
              <w:pStyle w:val="null3"/>
              <w:jc w:val="left"/>
            </w:pPr>
            <w:r>
              <w:rPr/>
              <w:t>总价</w:t>
            </w:r>
          </w:p>
        </w:tc>
        <w:tc>
          <w:tcPr>
            <w:tcW w:type="dxa" w:w="1661"/>
          </w:tcPr>
          <w:p>
            <w:pPr>
              <w:pStyle w:val="null3"/>
              <w:jc w:val="left"/>
            </w:pPr>
            <w:r>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污水处理工程施工</w:t>
            </w:r>
          </w:p>
        </w:tc>
        <w:tc>
          <w:tcPr>
            <w:tcW w:type="dxa" w:w="2492"/>
          </w:tcPr>
          <w:p>
            <w:pPr>
              <w:pStyle w:val="null3"/>
              <w:jc w:val="left"/>
            </w:pPr>
            <w:r>
              <w:rPr/>
              <w:t>乐山市金口河区和平彝族乡解放村污水处理项目</w:t>
            </w:r>
          </w:p>
        </w:tc>
        <w:tc>
          <w:tcPr>
            <w:tcW w:type="dxa" w:w="2492"/>
          </w:tcPr>
          <w:p>
            <w:pPr>
              <w:pStyle w:val="null3"/>
              <w:jc w:val="left"/>
            </w:pPr>
            <w:r>
              <w:rPr/>
              <w:t>HDPE双壁波纹管、塑料管PVC-U、院坝下污水塑料检查井、水泥混凝土、商品混凝土、可曲挠橡胶接头、水平施工缝涂膜防水</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标的名称：乐山市金口河区和平彝族乡解放村污水处理项目</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pPr>
              <w:pStyle w:val="null3"/>
              <w:jc w:val="left"/>
            </w:pPr>
            <w:r>
              <w:rPr/>
              <w:t>漏项工程处理</w:t>
            </w:r>
          </w:p>
        </w:tc>
        <w:tc>
          <w:tcPr>
            <w:tcW w:type="dxa" w:w="3738"/>
          </w:tcPr>
          <w:p>
            <w:pPr>
              <w:pStyle w:val="null3"/>
              <w:jc w:val="left"/>
            </w:pPr>
            <w:r>
              <w:rPr/>
              <w:t>施工过程中，发现招标工程量清单存在漏项工程的，该漏项工程作为本项目本章采购需求的组成部分，采购人和供应商可以按照《中华人民共和国政府采购法》的规定签订不超过成交金额百分之十的补充合同。</w:t>
            </w:r>
          </w:p>
        </w:tc>
      </w:tr>
      <w:tr>
        <w:tc>
          <w:tcPr>
            <w:tcW w:type="dxa" w:w="831"/>
          </w:tcPr>
          <w:p>
            <w:pPr>
              <w:pStyle w:val="null3"/>
              <w:jc w:val="left"/>
            </w:pPr>
            <w:r>
              <w:rPr/>
              <w:t>2</w:t>
            </w:r>
          </w:p>
        </w:tc>
        <w:tc>
          <w:tcPr>
            <w:tcW w:type="dxa" w:w="1246"/>
          </w:tcPr>
          <w:p>
            <w:pPr>
              <w:pStyle w:val="null3"/>
              <w:jc w:val="left"/>
            </w:pPr>
            <w:r>
              <w:rPr/>
              <w:t>★</w:t>
            </w:r>
          </w:p>
        </w:tc>
        <w:tc>
          <w:tcPr>
            <w:tcW w:type="dxa" w:w="2492"/>
          </w:tcPr>
          <w:p>
            <w:pPr>
              <w:pStyle w:val="null3"/>
              <w:jc w:val="left"/>
            </w:pPr>
            <w:r>
              <w:rPr/>
              <w:t>材料要求</w:t>
            </w:r>
          </w:p>
        </w:tc>
        <w:tc>
          <w:tcPr>
            <w:tcW w:type="dxa" w:w="3738"/>
          </w:tcPr>
          <w:p>
            <w:pPr>
              <w:pStyle w:val="null3"/>
              <w:jc w:val="left"/>
            </w:pPr>
            <w:r>
              <w:rPr/>
              <w:t>材料、设备选用要满足设计和国家现行相关质量标准的要求。</w:t>
            </w:r>
          </w:p>
        </w:tc>
      </w:tr>
      <w:tr>
        <w:tc>
          <w:tcPr>
            <w:tcW w:type="dxa" w:w="831"/>
          </w:tcPr>
          <w:p>
            <w:pPr>
              <w:pStyle w:val="null3"/>
              <w:jc w:val="left"/>
            </w:pPr>
            <w:r>
              <w:rPr/>
              <w:t>3</w:t>
            </w:r>
          </w:p>
        </w:tc>
        <w:tc>
          <w:tcPr>
            <w:tcW w:type="dxa" w:w="1246"/>
          </w:tcPr>
          <w:p>
            <w:pPr>
              <w:pStyle w:val="null3"/>
              <w:jc w:val="left"/>
            </w:pPr>
            <w:r>
              <w:rPr/>
              <w:t>★</w:t>
            </w:r>
          </w:p>
        </w:tc>
        <w:tc>
          <w:tcPr>
            <w:tcW w:type="dxa" w:w="2492"/>
          </w:tcPr>
          <w:p>
            <w:pPr>
              <w:pStyle w:val="null3"/>
              <w:jc w:val="left"/>
            </w:pPr>
            <w:r>
              <w:rPr/>
              <w:t>施工要求</w:t>
            </w:r>
          </w:p>
        </w:tc>
        <w:tc>
          <w:tcPr>
            <w:tcW w:type="dxa" w:w="3738"/>
          </w:tcPr>
          <w:p>
            <w:pPr>
              <w:pStyle w:val="null3"/>
              <w:jc w:val="left"/>
            </w:pPr>
            <w:r>
              <w:rPr/>
              <w:t>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w:t>
            </w:r>
          </w:p>
        </w:tc>
      </w:tr>
      <w:tr>
        <w:tc>
          <w:tcPr>
            <w:tcW w:type="dxa" w:w="831"/>
          </w:tcPr>
          <w:p>
            <w:pPr>
              <w:pStyle w:val="null3"/>
              <w:jc w:val="left"/>
            </w:pPr>
            <w:r>
              <w:rPr/>
              <w:t>4</w:t>
            </w:r>
          </w:p>
        </w:tc>
        <w:tc>
          <w:tcPr>
            <w:tcW w:type="dxa" w:w="1246"/>
          </w:tcPr>
          <w:p>
            <w:pPr>
              <w:pStyle w:val="null3"/>
              <w:jc w:val="left"/>
            </w:pPr>
            <w:r>
              <w:rPr/>
              <w:t>★</w:t>
            </w:r>
          </w:p>
        </w:tc>
        <w:tc>
          <w:tcPr>
            <w:tcW w:type="dxa" w:w="2492"/>
          </w:tcPr>
          <w:p>
            <w:pPr>
              <w:pStyle w:val="null3"/>
              <w:jc w:val="left"/>
            </w:pPr>
            <w:r>
              <w:rPr/>
              <w:t>资料要求</w:t>
            </w:r>
          </w:p>
        </w:tc>
        <w:tc>
          <w:tcPr>
            <w:tcW w:type="dxa" w:w="3738"/>
          </w:tcPr>
          <w:p>
            <w:pPr>
              <w:pStyle w:val="null3"/>
              <w:jc w:val="left"/>
            </w:pPr>
            <w:r>
              <w:rPr/>
              <w:t>验收合格后提供完整的《竣工验收资料》给监理单位且完成备案工作, 若有图纸资料还须提供纸质及电子版。</w:t>
            </w:r>
          </w:p>
        </w:tc>
      </w:tr>
      <w:tr>
        <w:tc>
          <w:tcPr>
            <w:tcW w:type="dxa" w:w="831"/>
          </w:tcPr>
          <w:p>
            <w:pPr>
              <w:pStyle w:val="null3"/>
              <w:jc w:val="left"/>
            </w:pPr>
            <w:r>
              <w:rPr/>
              <w:t>5</w:t>
            </w:r>
          </w:p>
        </w:tc>
        <w:tc>
          <w:tcPr>
            <w:tcW w:type="dxa" w:w="1246"/>
          </w:tcPr>
          <w:p>
            <w:pPr>
              <w:pStyle w:val="null3"/>
              <w:jc w:val="left"/>
            </w:pPr>
            <w:r>
              <w:rPr/>
              <w:t>★</w:t>
            </w:r>
          </w:p>
        </w:tc>
        <w:tc>
          <w:tcPr>
            <w:tcW w:type="dxa" w:w="2492"/>
          </w:tcPr>
          <w:p>
            <w:pPr>
              <w:pStyle w:val="null3"/>
              <w:jc w:val="left"/>
            </w:pPr>
            <w:r>
              <w:rPr/>
              <w:t>安全责任</w:t>
            </w:r>
          </w:p>
        </w:tc>
        <w:tc>
          <w:tcPr>
            <w:tcW w:type="dxa" w:w="3738"/>
          </w:tcPr>
          <w:p>
            <w:pPr>
              <w:pStyle w:val="null3"/>
              <w:jc w:val="left"/>
            </w:pPr>
            <w:r>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831"/>
          </w:tcPr>
          <w:p>
            <w:pPr>
              <w:pStyle w:val="null3"/>
              <w:jc w:val="left"/>
            </w:pPr>
            <w:r>
              <w:rPr/>
              <w:t>6</w:t>
            </w:r>
          </w:p>
        </w:tc>
        <w:tc>
          <w:tcPr>
            <w:tcW w:type="dxa" w:w="1246"/>
          </w:tcPr>
          <w:p>
            <w:pPr>
              <w:pStyle w:val="null3"/>
              <w:jc w:val="left"/>
            </w:pPr>
            <w:r>
              <w:rPr/>
              <w:t>★</w:t>
            </w:r>
          </w:p>
        </w:tc>
        <w:tc>
          <w:tcPr>
            <w:tcW w:type="dxa" w:w="2492"/>
          </w:tcPr>
          <w:p>
            <w:pPr>
              <w:pStyle w:val="null3"/>
              <w:jc w:val="left"/>
            </w:pPr>
            <w:r>
              <w:rPr/>
              <w:t>环境要求</w:t>
            </w:r>
          </w:p>
        </w:tc>
        <w:tc>
          <w:tcPr>
            <w:tcW w:type="dxa" w:w="3738"/>
          </w:tcPr>
          <w:p>
            <w:pPr>
              <w:pStyle w:val="null3"/>
              <w:jc w:val="left"/>
            </w:pPr>
            <w:r>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831"/>
          </w:tcPr>
          <w:p>
            <w:pPr>
              <w:pStyle w:val="null3"/>
              <w:jc w:val="left"/>
            </w:pPr>
            <w:r>
              <w:rPr/>
              <w:t>7</w:t>
            </w:r>
          </w:p>
        </w:tc>
        <w:tc>
          <w:tcPr>
            <w:tcW w:type="dxa" w:w="1246"/>
          </w:tcPr>
          <w:p>
            <w:pPr>
              <w:pStyle w:val="null3"/>
              <w:jc w:val="left"/>
            </w:pPr>
            <w:r>
              <w:rPr/>
              <w:t>★</w:t>
            </w:r>
          </w:p>
        </w:tc>
        <w:tc>
          <w:tcPr>
            <w:tcW w:type="dxa" w:w="2492"/>
          </w:tcPr>
          <w:p>
            <w:pPr>
              <w:pStyle w:val="null3"/>
              <w:jc w:val="left"/>
            </w:pPr>
            <w:r>
              <w:rPr/>
              <w:t>工程量清单、施工图纸</w:t>
            </w:r>
          </w:p>
        </w:tc>
        <w:tc>
          <w:tcPr>
            <w:tcW w:type="dxa" w:w="3738"/>
          </w:tcPr>
          <w:p>
            <w:pPr>
              <w:pStyle w:val="null3"/>
              <w:jc w:val="left"/>
            </w:pPr>
            <w:r>
              <w:rPr/>
              <w:t>详见附件：工程量清单、施工图纸</w:t>
            </w:r>
          </w:p>
        </w:tc>
      </w:tr>
    </w:tbl>
    <w:p>
      <w:pPr>
        <w:pStyle w:val="null3"/>
        <w:jc w:val="left"/>
        <w:outlineLvl w:val="2"/>
      </w:pPr>
      <w:r>
        <w:rPr>
          <w:b/>
          <w:sz w:val="28"/>
        </w:rPr>
        <w:t>3.3.服务要求</w:t>
      </w:r>
    </w:p>
    <w:p>
      <w:pPr>
        <w:pStyle w:val="null3"/>
        <w:jc w:val="left"/>
      </w:pPr>
      <w:r>
        <w:rPr>
          <w:b/>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 xml:space="preserve"> 技术负责人</w:t>
            </w:r>
          </w:p>
        </w:tc>
        <w:tc>
          <w:tcPr>
            <w:tcW w:type="dxa" w:w="2076"/>
          </w:tcPr>
          <w:p>
            <w:pPr>
              <w:pStyle w:val="null3"/>
              <w:jc w:val="left"/>
            </w:pPr>
            <w:r>
              <w:rPr/>
              <w:t>具备市政公用工程类专业中级及以上职称。提供：1、人员证书复印件；2、提供其为本单位人员的证明材料。（均加盖单位鲜章）</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 xml:space="preserve"> 缺陷责任期</w:t>
            </w:r>
          </w:p>
        </w:tc>
        <w:tc>
          <w:tcPr>
            <w:tcW w:type="dxa" w:w="2076"/>
          </w:tcPr>
          <w:p>
            <w:pPr>
              <w:pStyle w:val="null3"/>
              <w:jc w:val="left"/>
            </w:pPr>
            <w:r>
              <w:rPr/>
              <w:t>12个月</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工程质量保证金</w:t>
            </w:r>
          </w:p>
        </w:tc>
        <w:tc>
          <w:tcPr>
            <w:tcW w:type="dxa" w:w="2076"/>
          </w:tcPr>
          <w:p>
            <w:pPr>
              <w:pStyle w:val="null3"/>
              <w:jc w:val="left"/>
            </w:pPr>
            <w:r>
              <w:rPr/>
              <w:t>本项目收取政府采购合同金额3%的工程质量保证金。缺陷责任期满后如无工程质量问题，全额无息退还。若工程存在质量问题，应将工程质量保证金转作维修费，并按项目实施责任书或工程承包合同的有关条款进行处理。</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保修期</w:t>
            </w:r>
          </w:p>
        </w:tc>
        <w:tc>
          <w:tcPr>
            <w:tcW w:type="dxa" w:w="2076"/>
          </w:tcPr>
          <w:p>
            <w:pPr>
              <w:pStyle w:val="null3"/>
              <w:jc w:val="left"/>
            </w:pPr>
            <w:r>
              <w:rPr/>
              <w:t>参照《建设工程质量管理条例》执行。</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民工工资保证金</w:t>
            </w:r>
          </w:p>
        </w:tc>
        <w:tc>
          <w:tcPr>
            <w:tcW w:type="dxa" w:w="2076"/>
          </w:tcPr>
          <w:p>
            <w:pPr>
              <w:pStyle w:val="null3"/>
              <w:jc w:val="left"/>
            </w:pPr>
            <w:r>
              <w:rPr/>
              <w:t>按照乐山市住房和城乡建设局有关规定执行。</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施工工期</w:t>
            </w:r>
          </w:p>
        </w:tc>
        <w:tc>
          <w:tcPr>
            <w:tcW w:type="dxa" w:w="2076"/>
          </w:tcPr>
          <w:p>
            <w:pPr>
              <w:pStyle w:val="null3"/>
              <w:jc w:val="left"/>
            </w:pPr>
            <w:r>
              <w:rPr/>
              <w:t>自合同签订之日起180日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施工地点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1、工程预付款，项目合同签订后，达到付款条件起15日内，据实情况说明为待财政资金到位后，支付合同总金额的30%</w:t>
            </w:r>
          </w:p>
          <w:p>
            <w:pPr>
              <w:pStyle w:val="null3"/>
              <w:jc w:val="left"/>
            </w:pPr>
            <w:r>
              <w:rPr/>
              <w:t>2、工程进度款，项目工程量完成80%，达到付款条件起15日内，据实情况说明为待财政资金到位后，支付合同总金额的49%</w:t>
            </w:r>
          </w:p>
          <w:p>
            <w:pPr>
              <w:pStyle w:val="null3"/>
              <w:jc w:val="left"/>
            </w:pPr>
            <w:r>
              <w:rPr/>
              <w:t>3、工程尾款，根据工程竣工结算审计结果进行支付，达到付款条件起15日内，据实情况说明为待财政资金到位后，支付合同总金额的18%</w:t>
            </w:r>
          </w:p>
          <w:p>
            <w:pPr>
              <w:pStyle w:val="null3"/>
              <w:jc w:val="left"/>
            </w:pPr>
            <w:r>
              <w:rPr/>
              <w:t>4、缺责任期满一年后，达到付款条件后，达到付款条件起20日内，据实情况说明为待财政资金到位后，支付总金额的3%</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国家现行有关行业规定、质量和技术指标要求、《财政部关于进一步加强政府采购需求和履约验收管理的指导意见》（财库〔2016〕205号）、《政府采购需求管理办法》（财库〔2021〕22号）、《乐山市政府采购项目需求论证和履约验收管理实施细则》（乐市财政采（2018）16号文件）和关于沿用《乐山市政府采购项目需求论证和履约验收管理实施细则》的通知（乐市财政采〔2021〕8号文件）、竞争性谈判文件、成交供应商的响应文件及承诺与政府采购合同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①采购人与成交供应商双方必须遵守本项目并执行合同中的各项规定，保证本项目的合法正常履行。②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争议的解决办法：①因质量问题发生争议，由采购人或其指定的第三方机构进行质量鉴定。符合标准的，鉴定费由采购人承担；不符合质量标准的，鉴定费由供应商承担。②合同履行期间，若双方发生争议，可协商或由有关部门调解解决，协商或调解不成的，向采购人所在地有管辖权的人民法院提起诉讼。③人民法院所作裁判应为最终决定，并对双方具有约束力。④除另有裁决外，诉讼费应由败诉方负担。⑤在诉讼期间，除正在进行诉讼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jc w:val="left"/>
      </w:pPr>
      <w:r>
        <w:rPr/>
        <w:t>本谈判文件中除标注“★”以外的内容，根据采购人项目实际需求可进行谈判。</w:t>
      </w:r>
    </w:p>
    <w:p>
      <w:pPr>
        <w:pStyle w:val="null3"/>
        <w:ind w:firstLine="480"/>
        <w:jc w:val="left"/>
      </w:pPr>
      <w:r>
        <w:rPr/>
        <w:t>二、第七章“拟签订采购合同文本”：</w:t>
      </w:r>
    </w:p>
    <w:p>
      <w:pPr>
        <w:pStyle w:val="null3"/>
        <w:jc w:val="left"/>
      </w:pPr>
      <w:r>
        <w:rPr/>
        <w:t>本谈判文件中除标注“★”以外的内容，根据采购人项目实际需求可进行谈判。</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t>注：工程量清单不属于谈判过程中可以实质性变动的内容。</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 xml:space="preserve"> 六、谈判文件规定的供应商资格条件与随机抽取设置的或邀请书中载明的供应商资格条件不一致的；</w:t>
      </w:r>
    </w:p>
    <w:p>
      <w:pPr>
        <w:pStyle w:val="null3"/>
        <w:jc w:val="left"/>
      </w:pPr>
      <w:r>
        <w:rPr/>
        <w:t xml:space="preserve"> 七、谈判文件有违反国家其他有关强制性规定的情形。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市政公用工程二级建造师及以上建造师注册证书原件扫描件；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投标（响应）函 项目负责人信息表</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投标（响应）函 企业资质信息表</w:t>
            </w:r>
          </w:p>
        </w:tc>
      </w:tr>
      <w:tr>
        <w:tc>
          <w:tcPr>
            <w:tcW w:type="dxa" w:w="581"/>
          </w:tcPr>
          <w:p>
            <w:pPr>
              <w:pStyle w:val="null3"/>
              <w:jc w:val="center"/>
            </w:pPr>
            <w:r>
              <w:rPr/>
              <w:t>2</w:t>
            </w:r>
          </w:p>
        </w:tc>
        <w:tc>
          <w:tcPr>
            <w:tcW w:type="dxa" w:w="2492"/>
          </w:tcPr>
          <w:p>
            <w:pPr>
              <w:pStyle w:val="null3"/>
              <w:jc w:val="left"/>
            </w:pPr>
            <w:r>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t>入川承诺函 供应商应提交的相关证明材料</w:t>
            </w:r>
          </w:p>
        </w:tc>
      </w:tr>
    </w:tbl>
    <w:p>
      <w:pPr>
        <w:pStyle w:val="null3"/>
        <w:jc w:val="left"/>
        <w:outlineLvl w:val="3"/>
      </w:pPr>
      <w:r>
        <w:rPr>
          <w:b/>
          <w:sz w:val="24"/>
        </w:rPr>
        <w:t>5.3.4.符合性审查</w:t>
      </w:r>
    </w:p>
    <w:p>
      <w:pPr>
        <w:pStyle w:val="null3"/>
        <w:ind w:firstLine="480"/>
        <w:jc w:val="left"/>
      </w:pPr>
      <w:r>
        <w:rPr/>
        <w:t>一、谈判小组依据本谈判文件的符合性审查要求，对符合资格要求供应商的响应文件有效性、完整性和响应程度进行审查。</w:t>
      </w:r>
    </w:p>
    <w:p>
      <w:pPr>
        <w:pStyle w:val="null3"/>
        <w:ind w:firstLine="480"/>
        <w:jc w:val="left"/>
      </w:pPr>
      <w:r>
        <w:rPr/>
        <w:t>二、谈判小组应对供应商已标价工程量清单进行算术性复核，如果出现下列不一致的，按以下原则进行修正：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w:t>
      </w:r>
    </w:p>
    <w:p>
      <w:pPr>
        <w:pStyle w:val="null3"/>
        <w:ind w:firstLine="480"/>
        <w:jc w:val="left"/>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t>三、在符合性审查过程中，如果出现谈判小组成员意见不一致的情况，按照少数服从多数的原则确定，但不得违反政府采购基本原则和谈判文件规定。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t>报价一览表 已标价工程量清单 报价明细表</w:t>
            </w:r>
          </w:p>
        </w:tc>
      </w:tr>
      <w:tr>
        <w:tc>
          <w:tcPr>
            <w:tcW w:type="dxa" w:w="581"/>
          </w:tcPr>
          <w:p>
            <w:pPr>
              <w:pStyle w:val="null3"/>
              <w:jc w:val="center"/>
            </w:pPr>
            <w:r>
              <w:rPr/>
              <w:t>3</w:t>
            </w:r>
          </w:p>
        </w:tc>
        <w:tc>
          <w:tcPr>
            <w:tcW w:type="dxa" w:w="2492"/>
          </w:tcPr>
          <w:p>
            <w:pPr>
              <w:pStyle w:val="null3"/>
              <w:jc w:val="left"/>
            </w:pPr>
            <w:r>
              <w:rPr/>
              <w:t>技术服务要求应答</w:t>
            </w:r>
          </w:p>
        </w:tc>
        <w:tc>
          <w:tcPr>
            <w:tcW w:type="dxa" w:w="3322"/>
          </w:tcPr>
          <w:p>
            <w:pPr>
              <w:pStyle w:val="null3"/>
              <w:jc w:val="left"/>
            </w:pPr>
            <w:r>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t>技术服务要求应答表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供应商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报价一览表 已标价工程量清单</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认定有效的节能产品认证证书、环境标志产品认证证书数量累计计算。</w:t>
            </w:r>
          </w:p>
        </w:tc>
        <w:tc>
          <w:tcPr>
            <w:tcW w:type="dxa" w:w="2955"/>
          </w:tcPr>
          <w:p>
            <w:pPr>
              <w:pStyle w:val="null3"/>
              <w:jc w:val="left"/>
            </w:pPr>
            <w:r>
              <w:rPr/>
              <w:t>强制、优先采购产品承诺函</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一、评审结束后，代理机构在评审结束后2个工作日内将谈判报告及有关资料送交采购人确定成交供应商。</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三、根据采购人确定的成交供应商，代理机构在四川政府采购网发布成交结果公告，同时向成交供应商发出成交通知书。</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详见附件：报价一览表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详见附件：项目负责人信息表</w:t>
      </w:r>
    </w:p>
    <w:p>
      <w:pPr>
        <w:pStyle w:val="null3"/>
        <w:ind w:firstLine="960"/>
        <w:jc w:val="left"/>
      </w:pPr>
      <w:r>
        <w:rPr/>
        <w:t>详见附件：强制、优先采购产品承诺函</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详见附件：企业资质信息表</w:t>
      </w:r>
    </w:p>
    <w:p>
      <w:pPr>
        <w:pStyle w:val="null3"/>
        <w:ind w:firstLine="960"/>
        <w:jc w:val="left"/>
      </w:pPr>
      <w:r>
        <w:rPr/>
        <w:t>详见附件：报价明细表</w:t>
      </w:r>
    </w:p>
    <w:p>
      <w:pPr>
        <w:pStyle w:val="null3"/>
        <w:ind w:firstLine="960"/>
        <w:jc w:val="left"/>
      </w:pPr>
      <w:r>
        <w:rPr/>
        <w:t>详见附件：入川承诺函</w:t>
      </w:r>
    </w:p>
    <w:p>
      <w:pPr>
        <w:pStyle w:val="null3"/>
        <w:ind w:firstLine="960"/>
        <w:jc w:val="left"/>
      </w:pPr>
      <w:r>
        <w:rPr/>
        <w:t>详见附件：技术服务要求应答表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《谈判文件》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