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版本号：240826002</w:t>
      </w:r>
    </w:p>
    <w:p>
      <w:pPr>
        <w:pStyle w:val="null3"/>
        <w:jc w:val="left"/>
        <w:outlineLvl w:val="0"/>
      </w:pPr>
      <w:r>
        <w:rPr>
          <w:b/>
          <w:sz w:val="48"/>
        </w:rPr>
        <w:t>竞 争 性 谈 判 文 件</w:t>
      </w:r>
    </w:p>
    <w:p>
      <w:pPr>
        <w:pStyle w:val="null3"/>
        <w:jc w:val="center"/>
        <w:outlineLvl w:val="0"/>
      </w:pPr>
      <w:r>
        <w:rPr>
          <w:b/>
          <w:sz w:val="48"/>
        </w:rPr>
        <w:t>（货物类）</w:t>
      </w:r>
    </w:p>
    <w:p>
      <w:pPr>
        <w:pStyle w:val="null3"/>
        <w:jc w:val="left"/>
        <w:outlineLvl w:val="2"/>
      </w:pPr>
      <w:r>
        <w:rPr>
          <w:b/>
          <w:sz w:val="28"/>
        </w:rPr>
        <w:t>采购项目名称：</w:t>
      </w:r>
      <w:r>
        <w:rPr>
          <w:b/>
          <w:sz w:val="28"/>
        </w:rPr>
        <w:t>应急公务用车购买</w:t>
      </w:r>
    </w:p>
    <w:p>
      <w:pPr>
        <w:pStyle w:val="null3"/>
        <w:jc w:val="center"/>
        <w:outlineLvl w:val="2"/>
      </w:pPr>
      <w:r>
        <w:rPr>
          <w:b/>
          <w:sz w:val="28"/>
        </w:rPr>
        <w:t>采购项目编号：</w:t>
      </w:r>
      <w:r>
        <w:rPr>
          <w:b/>
          <w:sz w:val="28"/>
        </w:rPr>
        <w:t>N5111132024000031</w:t>
      </w:r>
    </w:p>
    <w:p>
      <w:pPr>
        <w:pStyle w:val="null3"/>
        <w:jc w:val="left"/>
        <w:outlineLvl w:val="2"/>
      </w:pPr>
      <w:r>
        <w:rPr>
          <w:b/>
          <w:sz w:val="28"/>
        </w:rPr>
        <w:t>中共乐山市金口河区委办公室</w:t>
      </w:r>
    </w:p>
    <w:p>
      <w:pPr>
        <w:pStyle w:val="null3"/>
        <w:jc w:val="center"/>
        <w:outlineLvl w:val="2"/>
      </w:pPr>
      <w:r>
        <w:rPr>
          <w:b/>
          <w:sz w:val="28"/>
        </w:rPr>
        <w:t>乐山市金口河区政府采购中心</w:t>
      </w:r>
      <w:r>
        <w:rPr>
          <w:b/>
          <w:sz w:val="28"/>
        </w:rPr>
        <w:t>共同编制</w:t>
      </w:r>
    </w:p>
    <w:p>
      <w:pPr>
        <w:pStyle w:val="null3"/>
        <w:jc w:val="center"/>
      </w:pPr>
      <w:r>
        <w:rPr/>
        <w:t>2024年08月27日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乐山市金口河区政府采购中心</w:t>
      </w:r>
      <w:r>
        <w:rPr/>
        <w:t xml:space="preserve"> （以下简称“代理机构”）受 </w:t>
      </w:r>
      <w:r>
        <w:rPr/>
        <w:t>中共乐山市金口河区委办公室</w:t>
      </w:r>
      <w:r>
        <w:rPr/>
        <w:t xml:space="preserve"> 委托，拟对 </w:t>
      </w:r>
      <w:r>
        <w:rPr/>
        <w:t>应急公务用车购买</w:t>
      </w:r>
      <w:r>
        <w:rPr/>
        <w:t>采用竞争性谈判方式进行采购，兹邀请符合资格条件的供应商参加谈判。本项目为四川省</w:t>
      </w:r>
      <w:r>
        <w:rPr/>
        <w:t>乐山市金口河区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N5111132024000031</w:t>
      </w:r>
    </w:p>
    <w:p>
      <w:pPr>
        <w:pStyle w:val="null3"/>
        <w:jc w:val="left"/>
        <w:outlineLvl w:val="2"/>
      </w:pPr>
      <w:r>
        <w:rPr>
          <w:b/>
          <w:sz w:val="28"/>
        </w:rPr>
        <w:t>1.2.采购项目名称</w:t>
      </w:r>
      <w:r>
        <w:rPr>
          <w:b/>
          <w:sz w:val="28"/>
        </w:rPr>
        <w:t xml:space="preserve">： </w:t>
      </w:r>
      <w:r>
        <w:rPr>
          <w:b/>
          <w:sz w:val="28"/>
        </w:rPr>
        <w:t>应急公务用车购买</w:t>
      </w:r>
    </w:p>
    <w:p>
      <w:pPr>
        <w:pStyle w:val="null3"/>
        <w:jc w:val="left"/>
        <w:outlineLvl w:val="2"/>
      </w:pPr>
      <w:r>
        <w:rPr>
          <w:b/>
          <w:sz w:val="28"/>
        </w:rPr>
        <w:t>1.3.谈判项目简介</w:t>
      </w:r>
    </w:p>
    <w:p>
      <w:pPr>
        <w:pStyle w:val="null3"/>
        <w:ind w:firstLine="480"/>
        <w:jc w:val="left"/>
      </w:pPr>
      <w:r>
        <w:rPr/>
        <w:t>购买两辆应急公务用车</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outlineLvl w:val="3"/>
      </w:pPr>
      <w:r>
        <w:rPr>
          <w:b/>
          <w:sz w:val="24"/>
        </w:rPr>
        <w:t>采购人：</w:t>
      </w:r>
      <w:r>
        <w:rPr>
          <w:b/>
          <w:sz w:val="24"/>
        </w:rPr>
        <w:t>中共乐山市金口河区委办公室</w:t>
      </w:r>
    </w:p>
    <w:p>
      <w:pPr>
        <w:pStyle w:val="null3"/>
        <w:jc w:val="left"/>
      </w:pPr>
      <w:r>
        <w:rPr/>
        <w:t xml:space="preserve"> 地址： </w:t>
      </w:r>
      <w:r>
        <w:rPr/>
        <w:t>乐山市金口河区永和镇和平路143号</w:t>
      </w:r>
    </w:p>
    <w:p>
      <w:pPr>
        <w:pStyle w:val="null3"/>
        <w:jc w:val="left"/>
      </w:pPr>
      <w:r>
        <w:rPr/>
        <w:t xml:space="preserve"> 邮编： </w:t>
      </w:r>
      <w:r>
        <w:rPr/>
        <w:t>614700</w:t>
      </w:r>
    </w:p>
    <w:p>
      <w:pPr>
        <w:pStyle w:val="null3"/>
        <w:jc w:val="left"/>
      </w:pPr>
      <w:r>
        <w:rPr/>
        <w:t xml:space="preserve"> 联系人： </w:t>
      </w:r>
      <w:r>
        <w:rPr/>
        <w:t>曲木英芝</w:t>
      </w:r>
    </w:p>
    <w:p>
      <w:pPr>
        <w:pStyle w:val="null3"/>
        <w:jc w:val="left"/>
      </w:pPr>
      <w:r>
        <w:rPr/>
        <w:t xml:space="preserve"> 联系电话： </w:t>
      </w:r>
      <w:r>
        <w:rPr/>
        <w:t>18608062569</w:t>
      </w:r>
    </w:p>
    <w:p>
      <w:pPr>
        <w:pStyle w:val="null3"/>
        <w:jc w:val="left"/>
        <w:outlineLvl w:val="3"/>
      </w:pPr>
      <w:r>
        <w:rPr>
          <w:b/>
          <w:sz w:val="24"/>
        </w:rPr>
        <w:t xml:space="preserve">代理机构： </w:t>
      </w:r>
      <w:r>
        <w:rPr>
          <w:b/>
          <w:sz w:val="24"/>
        </w:rPr>
        <w:t>乐山市金口河区政府采购中心</w:t>
      </w:r>
    </w:p>
    <w:p>
      <w:pPr>
        <w:pStyle w:val="null3"/>
        <w:jc w:val="left"/>
      </w:pPr>
      <w:r>
        <w:rPr/>
        <w:t xml:space="preserve"> 地址： </w:t>
      </w:r>
      <w:r>
        <w:rPr/>
        <w:t>四川省乐山市金口河区滨河路三段153号</w:t>
      </w:r>
    </w:p>
    <w:p>
      <w:pPr>
        <w:pStyle w:val="null3"/>
        <w:jc w:val="left"/>
      </w:pPr>
      <w:r>
        <w:rPr/>
        <w:t xml:space="preserve"> 邮编： </w:t>
      </w:r>
      <w:r>
        <w:rPr/>
        <w:t>614700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采购包1：360,000.00元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中共乐山市金口河区委办公室</w:t>
      </w:r>
      <w:r>
        <w:rPr/>
        <w:t xml:space="preserve"> 和 </w:t>
      </w:r>
      <w:r>
        <w:rPr/>
        <w:t>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中共乐山市金口河区委办公室</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乐山市金口河区政府采购中心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pPr>
      <w:r>
        <w:rPr>
          <w:b/>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由供应商、采购方组织各2名经验丰富且多年驾龄的驾驶员现场验车，确认无缺陷、验收合格并交付使用无质量问题</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1、按国家有关规定、采购文件的服务要求和商务要求、成交供应商的响应文件及承诺以及合同约定标准进行验收；履约验收按照《乐山市财政局关于沿用乐山市政府采购项目需求论证和履约验收管理实施细则的通知》（乐市财政采〔2021〕8号）的要求组织进行。 2、验收时如发现所交付的货物有短装、次品、损坏或其它不符合标准及合同规定之情形者，采购人应做出详尽的现场记录，或由采购人及成交供应商双方签署备忘录，此现场记录或备忘录可用作补充、缺失和更换损坏部件的有效证据，由此产生的时间延误与有关费用由成交供应商承担，验收期限相应顺延。 3、成交供应商应将所提供货物的装箱清单、配件、用户使用手册、原厂保修卡等资料交付给采购人；成交供应商不能完整交付货物及本款规定的单证和工具的，必须负责补齐，否则视为未按合同约定交货。</w:t>
      </w:r>
    </w:p>
    <w:p>
      <w:pPr>
        <w:pStyle w:val="null3"/>
        <w:ind w:firstLine="480"/>
        <w:jc w:val="left"/>
      </w:pPr>
      <w:r>
        <w:rPr/>
        <w:t>九、技术履约验收内容：</w:t>
      </w:r>
    </w:p>
    <w:p>
      <w:pPr>
        <w:pStyle w:val="null3"/>
        <w:ind w:firstLine="480"/>
        <w:jc w:val="left"/>
      </w:pPr>
      <w:r>
        <w:rPr/>
        <w:t>采购包1：</w:t>
      </w:r>
      <w:r>
        <w:rPr/>
        <w:t>按照谈判文件的技术要求验收</w:t>
      </w:r>
    </w:p>
    <w:p>
      <w:pPr>
        <w:pStyle w:val="null3"/>
        <w:ind w:firstLine="480"/>
        <w:jc w:val="left"/>
      </w:pPr>
      <w:r>
        <w:rPr/>
        <w:t>十、商务履约验收内容：</w:t>
      </w:r>
    </w:p>
    <w:p>
      <w:pPr>
        <w:pStyle w:val="null3"/>
        <w:ind w:firstLine="480"/>
        <w:jc w:val="left"/>
      </w:pPr>
      <w:r>
        <w:rPr/>
        <w:t>采购包1：</w:t>
      </w:r>
      <w:r>
        <w:rPr/>
        <w:t>按照谈判文件的商务要求验收</w:t>
      </w:r>
    </w:p>
    <w:p>
      <w:pPr>
        <w:pStyle w:val="null3"/>
        <w:ind w:firstLine="480"/>
        <w:jc w:val="left"/>
      </w:pPr>
      <w:r>
        <w:rPr/>
        <w:t>十一、履约验收标准：</w:t>
      </w:r>
    </w:p>
    <w:p>
      <w:pPr>
        <w:pStyle w:val="null3"/>
        <w:ind w:firstLine="480"/>
        <w:jc w:val="left"/>
      </w:pPr>
      <w:r>
        <w:rPr/>
        <w:t>采购包1：</w:t>
      </w:r>
      <w:r>
        <w:rPr/>
        <w:t>履约验收按照《乐山市财政局关于沿用乐山市政府采购项目需求论证和履约验收管理实施细则的通知》（乐市财政采〔2021〕8号）的要求组织进行。</w:t>
      </w:r>
    </w:p>
    <w:p>
      <w:pPr>
        <w:pStyle w:val="null3"/>
        <w:ind w:firstLine="480"/>
        <w:jc w:val="left"/>
      </w:pPr>
      <w:r>
        <w:rPr/>
        <w:t>十二、履约验收其他事项：</w:t>
      </w:r>
    </w:p>
    <w:p>
      <w:pPr>
        <w:pStyle w:val="null3"/>
        <w:ind w:firstLine="480"/>
        <w:jc w:val="left"/>
      </w:pPr>
      <w:r>
        <w:rPr/>
        <w:t>采购包1：</w:t>
      </w:r>
      <w:r>
        <w:rPr/>
        <w:t>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中共乐山市金口河区委办公室</w:t>
      </w:r>
      <w:r>
        <w:rPr/>
        <w:t xml:space="preserve"> 负责答复；供应商对除采购需求外的谈判文件的询问、质疑由 </w:t>
      </w:r>
      <w:r>
        <w:rPr/>
        <w:t>乐山市金口河区政府采购中心</w:t>
      </w:r>
      <w:r>
        <w:rPr/>
        <w:t xml:space="preserve"> 负责答复；供应商对采购过程、采购结果的询问、质疑由 </w:t>
      </w:r>
      <w:r>
        <w:rPr/>
        <w:t>乐山市金口河区政府采购中心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联系人：曲木英芝</w:t>
      </w:r>
    </w:p>
    <w:p>
      <w:pPr>
        <w:pStyle w:val="null3"/>
        <w:jc w:val="left"/>
      </w:pPr>
      <w:r>
        <w:rPr/>
        <w:t>联系电话：18608062569</w:t>
      </w:r>
    </w:p>
    <w:p>
      <w:pPr>
        <w:pStyle w:val="null3"/>
        <w:jc w:val="left"/>
      </w:pPr>
      <w:r>
        <w:rPr/>
        <w:t>地址：四川省乐山市金口河区永和镇和平路143号</w:t>
      </w:r>
    </w:p>
    <w:p>
      <w:pPr>
        <w:pStyle w:val="null3"/>
        <w:jc w:val="left"/>
      </w:pPr>
      <w:r>
        <w:rPr/>
        <w:t>邮编：614700</w:t>
      </w: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地址：四川省乐山市金口河区滨河路三段153号</w:t>
      </w:r>
    </w:p>
    <w:p>
      <w:pPr>
        <w:pStyle w:val="null3"/>
        <w:jc w:val="left"/>
      </w:pPr>
      <w:r>
        <w:rPr/>
        <w:t>邮编：614700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360,000.00</w:t>
      </w:r>
    </w:p>
    <w:p>
      <w:pPr>
        <w:pStyle w:val="null3"/>
        <w:jc w:val="left"/>
      </w:pPr>
      <w:r>
        <w:rPr/>
        <w:t>采购包最高限价（元）: 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轿车</w:t>
            </w:r>
          </w:p>
        </w:tc>
        <w:tc>
          <w:tcPr>
            <w:tcW w:type="dxa" w:w="821"/>
          </w:tcPr>
          <w:p>
            <w:pPr>
              <w:pStyle w:val="null3"/>
              <w:jc w:val="left"/>
            </w:pPr>
            <w:r>
              <w:rPr/>
              <w:t>公务用车</w:t>
            </w:r>
          </w:p>
        </w:tc>
        <w:tc>
          <w:tcPr>
            <w:tcW w:type="dxa" w:w="821"/>
          </w:tcPr>
          <w:p>
            <w:pPr>
              <w:pStyle w:val="null3"/>
              <w:jc w:val="right"/>
            </w:pPr>
            <w:r>
              <w:rPr/>
              <w:t>2.00（台）</w:t>
            </w:r>
          </w:p>
        </w:tc>
        <w:tc>
          <w:tcPr>
            <w:tcW w:type="dxa" w:w="821"/>
          </w:tcPr>
          <w:p>
            <w:pPr>
              <w:pStyle w:val="null3"/>
              <w:jc w:val="right"/>
            </w:pPr>
            <w:r>
              <w:rPr/>
              <w:t>360,000.00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公务用车</w:t>
            </w:r>
          </w:p>
        </w:tc>
        <w:tc>
          <w:tcPr>
            <w:tcW w:type="dxa" w:w="977"/>
          </w:tcPr>
          <w:p>
            <w:pPr>
              <w:pStyle w:val="null3"/>
              <w:jc w:val="right"/>
            </w:pPr>
            <w:r>
              <w:rPr/>
              <w:t>2.00（台）</w:t>
            </w:r>
          </w:p>
        </w:tc>
        <w:tc>
          <w:tcPr>
            <w:tcW w:type="dxa" w:w="1173"/>
          </w:tcPr>
          <w:p>
            <w:pPr>
              <w:pStyle w:val="null3"/>
              <w:jc w:val="right"/>
            </w:pPr>
            <w:r>
              <w:rPr/>
              <w:t>180,000（元）</w:t>
            </w:r>
          </w:p>
        </w:tc>
        <w:tc>
          <w:tcPr>
            <w:tcW w:type="dxa" w:w="1173"/>
          </w:tcPr>
          <w:p>
            <w:pPr>
              <w:pStyle w:val="null3"/>
              <w:jc w:val="right"/>
            </w:pPr>
            <w:r>
              <w:rPr/>
              <w:t>360,000.00</w:t>
            </w:r>
          </w:p>
        </w:tc>
        <w:tc>
          <w:tcPr>
            <w:tcW w:type="dxa" w:w="977"/>
          </w:tcPr>
          <w:p>
            <w:pPr>
              <w:pStyle w:val="null3"/>
              <w:jc w:val="left"/>
            </w:pPr>
            <w:r>
              <w:rPr/>
              <w:t>总价</w:t>
            </w:r>
          </w:p>
        </w:tc>
        <w:tc>
          <w:tcPr>
            <w:tcW w:type="dxa" w:w="1661"/>
          </w:tcPr>
          <w:p>
            <w:pPr>
              <w:pStyle w:val="null3"/>
              <w:jc w:val="left"/>
            </w:pPr>
            <w:r>
              <w:rPr/>
              <w:t>供应商的报价中须含完全履行本项目所需的人工费、材料费、设备费、运输费、利润及验收合格交付使用及保修期内保修服务与备用物件和与履约本项目所需要的其他所有费用，采购人在项目结算时不再向成交供应商支付其他任何费用。如出现在响应报价估算错误等引起的损失由报价人自行承担。</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轿车</w:t>
            </w:r>
          </w:p>
        </w:tc>
        <w:tc>
          <w:tcPr>
            <w:tcW w:type="dxa" w:w="2492"/>
          </w:tcPr>
          <w:p>
            <w:pPr>
              <w:pStyle w:val="null3"/>
              <w:jc w:val="left"/>
            </w:pPr>
            <w:r>
              <w:rPr/>
              <w:t>公务用车</w:t>
            </w:r>
          </w:p>
        </w:tc>
        <w:tc>
          <w:tcPr>
            <w:tcW w:type="dxa" w:w="2492"/>
          </w:tcPr>
          <w:p>
            <w:pPr>
              <w:pStyle w:val="null3"/>
              <w:jc w:val="left"/>
            </w:pPr>
            <w:r>
              <w:rPr/>
              <w:t>公务用车</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轿车</w:t>
            </w:r>
          </w:p>
        </w:tc>
        <w:tc>
          <w:tcPr>
            <w:tcW w:type="dxa" w:w="2492"/>
          </w:tcPr>
          <w:p>
            <w:pPr>
              <w:pStyle w:val="null3"/>
              <w:jc w:val="left"/>
            </w:pPr>
            <w:r>
              <w:rPr/>
              <w:t>公务用车</w:t>
            </w:r>
          </w:p>
        </w:tc>
        <w:tc>
          <w:tcPr>
            <w:tcW w:type="dxa" w:w="2492"/>
          </w:tcPr>
          <w:p>
            <w:pPr>
              <w:pStyle w:val="null3"/>
              <w:jc w:val="left"/>
            </w:pPr>
            <w:r>
              <w:rPr/>
              <w:t>公务用车</w:t>
            </w:r>
          </w:p>
        </w:tc>
      </w:tr>
    </w:tbl>
    <w:p>
      <w:pPr>
        <w:pStyle w:val="null3"/>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标的名称：公务用车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ind w:left="240"/>
              <w:jc w:val="left"/>
            </w:pPr>
            <w:r>
              <w:rPr>
                <w:rFonts w:ascii="宋体" w:hAnsi="宋体" w:cs="宋体" w:eastAsia="宋体"/>
                <w:b/>
                <w:color w:val="0D0D0D"/>
                <w:sz w:val="24"/>
              </w:rPr>
              <w:t>（一）整车要求</w:t>
            </w:r>
          </w:p>
          <w:p>
            <w:pPr>
              <w:pStyle w:val="null3"/>
              <w:ind w:left="240"/>
              <w:jc w:val="both"/>
            </w:pPr>
            <w:r>
              <w:rPr>
                <w:rFonts w:ascii="宋体" w:hAnsi="宋体" w:cs="宋体" w:eastAsia="宋体"/>
                <w:color w:val="0D0D0D"/>
                <w:sz w:val="24"/>
              </w:rPr>
              <w:t>1</w:t>
            </w:r>
            <w:r>
              <w:rPr>
                <w:rFonts w:ascii="宋体" w:hAnsi="宋体" w:cs="宋体" w:eastAsia="宋体"/>
                <w:color w:val="0D0D0D"/>
                <w:sz w:val="24"/>
              </w:rPr>
              <w:t>、车型：轿车</w:t>
            </w:r>
          </w:p>
          <w:p>
            <w:pPr>
              <w:pStyle w:val="null3"/>
              <w:spacing w:after="120"/>
              <w:ind w:left="240"/>
              <w:jc w:val="both"/>
            </w:pPr>
            <w:r>
              <w:rPr>
                <w:rFonts w:ascii="宋体" w:hAnsi="宋体" w:cs="宋体" w:eastAsia="宋体"/>
                <w:color w:val="0D0D0D"/>
                <w:sz w:val="24"/>
              </w:rPr>
              <w:t>2</w:t>
            </w:r>
            <w:r>
              <w:rPr>
                <w:rFonts w:ascii="宋体" w:hAnsi="宋体" w:cs="宋体" w:eastAsia="宋体"/>
                <w:color w:val="0D0D0D"/>
                <w:sz w:val="24"/>
              </w:rPr>
              <w:t>、外形尺寸：长×宽×高（mm）（4860×1830×1470）±100、轴距（mm）</w:t>
            </w:r>
            <w:r>
              <w:rPr>
                <w:rFonts w:ascii="&quot;arial&quot;, &quot;sans-serif&quot;" w:hAnsi="&quot;arial&quot;, &quot;sans-serif&quot;" w:cs="&quot;arial&quot;, &quot;sans-serif&quot;" w:eastAsia="&quot;arial&quot;, &quot;sans-serif&quot;"/>
                <w:color w:val="0D0D0D"/>
                <w:sz w:val="24"/>
              </w:rPr>
              <w:t>≥</w:t>
            </w:r>
            <w:r>
              <w:rPr>
                <w:rFonts w:ascii="宋体" w:hAnsi="宋体" w:cs="宋体" w:eastAsia="宋体"/>
                <w:color w:val="0D0D0D"/>
                <w:sz w:val="24"/>
              </w:rPr>
              <w:t>2870</w:t>
            </w:r>
          </w:p>
          <w:p>
            <w:pPr>
              <w:pStyle w:val="null3"/>
              <w:spacing w:after="120"/>
              <w:ind w:left="240"/>
              <w:jc w:val="both"/>
            </w:pPr>
            <w:r>
              <w:rPr>
                <w:rFonts w:ascii="宋体" w:hAnsi="宋体" w:cs="宋体" w:eastAsia="宋体"/>
                <w:color w:val="0D0D0D"/>
                <w:sz w:val="24"/>
              </w:rPr>
              <w:t>3</w:t>
            </w:r>
            <w:r>
              <w:rPr>
                <w:rFonts w:ascii="宋体" w:hAnsi="宋体" w:cs="宋体" w:eastAsia="宋体"/>
                <w:color w:val="0D0D0D"/>
                <w:sz w:val="24"/>
              </w:rPr>
              <w:t>、整备质量（kg）1750±100</w:t>
            </w:r>
          </w:p>
          <w:p>
            <w:pPr>
              <w:pStyle w:val="null3"/>
              <w:ind w:left="240"/>
              <w:jc w:val="both"/>
            </w:pPr>
            <w:r>
              <w:rPr>
                <w:rFonts w:ascii="宋体" w:hAnsi="宋体" w:cs="宋体" w:eastAsia="宋体"/>
                <w:color w:val="0D0D0D"/>
                <w:sz w:val="24"/>
              </w:rPr>
              <w:t>4</w:t>
            </w:r>
            <w:r>
              <w:rPr>
                <w:rFonts w:ascii="宋体" w:hAnsi="宋体" w:cs="宋体" w:eastAsia="宋体"/>
                <w:color w:val="0D0D0D"/>
                <w:sz w:val="24"/>
              </w:rPr>
              <w:t>、座位数：5座</w:t>
            </w:r>
          </w:p>
          <w:p>
            <w:pPr>
              <w:pStyle w:val="null3"/>
              <w:spacing w:after="120"/>
              <w:jc w:val="both"/>
            </w:pPr>
            <w:r>
              <w:rPr>
                <w:rFonts w:ascii="宋体" w:hAnsi="宋体" w:cs="宋体" w:eastAsia="宋体"/>
                <w:color w:val="0D0D0D"/>
                <w:sz w:val="24"/>
              </w:rPr>
              <w:t>5</w:t>
            </w:r>
            <w:r>
              <w:rPr>
                <w:rFonts w:ascii="宋体" w:hAnsi="宋体" w:cs="宋体" w:eastAsia="宋体"/>
                <w:color w:val="0D0D0D"/>
                <w:sz w:val="24"/>
              </w:rPr>
              <w:t>、排量（mL）</w:t>
            </w:r>
            <w:r>
              <w:rPr>
                <w:rFonts w:ascii="&quot;arial&quot;, &quot;sans-serif&quot;" w:hAnsi="&quot;arial&quot;, &quot;sans-serif&quot;" w:cs="&quot;arial&quot;, &quot;sans-serif&quot;" w:eastAsia="&quot;arial&quot;, &quot;sans-serif&quot;"/>
                <w:color w:val="0D0D0D"/>
                <w:sz w:val="24"/>
              </w:rPr>
              <w:t>≥</w:t>
            </w:r>
            <w:r>
              <w:rPr>
                <w:rFonts w:ascii="宋体" w:hAnsi="宋体" w:cs="宋体" w:eastAsia="宋体"/>
                <w:color w:val="0D0D0D"/>
                <w:sz w:val="24"/>
              </w:rPr>
              <w:t>1395</w:t>
            </w:r>
          </w:p>
          <w:p>
            <w:pPr>
              <w:pStyle w:val="null3"/>
              <w:spacing w:after="120"/>
              <w:ind w:left="240"/>
              <w:jc w:val="both"/>
            </w:pPr>
            <w:r>
              <w:rPr>
                <w:rFonts w:ascii="宋体" w:hAnsi="宋体" w:cs="宋体" w:eastAsia="宋体"/>
                <w:color w:val="0D0D0D"/>
                <w:sz w:val="24"/>
              </w:rPr>
              <w:t>6</w:t>
            </w:r>
            <w:r>
              <w:rPr>
                <w:rFonts w:ascii="宋体" w:hAnsi="宋体" w:cs="宋体" w:eastAsia="宋体"/>
                <w:color w:val="0D0D0D"/>
                <w:sz w:val="24"/>
              </w:rPr>
              <w:t>、进气方式：涡轮增压</w:t>
            </w:r>
          </w:p>
          <w:p>
            <w:pPr>
              <w:pStyle w:val="null3"/>
              <w:spacing w:after="120"/>
              <w:ind w:left="240"/>
              <w:jc w:val="both"/>
            </w:pPr>
            <w:r>
              <w:rPr>
                <w:rFonts w:ascii="宋体" w:hAnsi="宋体" w:cs="宋体" w:eastAsia="宋体"/>
                <w:color w:val="0D0D0D"/>
                <w:sz w:val="24"/>
              </w:rPr>
              <w:t>7</w:t>
            </w:r>
            <w:r>
              <w:rPr>
                <w:rFonts w:ascii="宋体" w:hAnsi="宋体" w:cs="宋体" w:eastAsia="宋体"/>
                <w:color w:val="0D0D0D"/>
                <w:sz w:val="24"/>
              </w:rPr>
              <w:t>、最大功率（kw）</w:t>
            </w:r>
            <w:r>
              <w:rPr>
                <w:rFonts w:ascii="&quot;arial&quot;, &quot;sans-serif&quot;" w:hAnsi="&quot;arial&quot;, &quot;sans-serif&quot;" w:cs="&quot;arial&quot;, &quot;sans-serif&quot;" w:eastAsia="&quot;arial&quot;, &quot;sans-serif&quot;"/>
                <w:color w:val="0D0D0D"/>
                <w:sz w:val="24"/>
              </w:rPr>
              <w:t>≥</w:t>
            </w:r>
            <w:r>
              <w:rPr>
                <w:rFonts w:ascii="宋体" w:hAnsi="宋体" w:cs="宋体" w:eastAsia="宋体"/>
                <w:color w:val="0D0D0D"/>
                <w:sz w:val="24"/>
              </w:rPr>
              <w:t>155</w:t>
            </w:r>
          </w:p>
          <w:p>
            <w:pPr>
              <w:pStyle w:val="null3"/>
              <w:spacing w:after="120"/>
              <w:ind w:left="240"/>
              <w:jc w:val="both"/>
            </w:pPr>
            <w:r>
              <w:rPr>
                <w:rFonts w:ascii="宋体" w:hAnsi="宋体" w:cs="宋体" w:eastAsia="宋体"/>
                <w:color w:val="0D0D0D"/>
                <w:sz w:val="24"/>
              </w:rPr>
              <w:t>8</w:t>
            </w:r>
            <w:r>
              <w:rPr>
                <w:rFonts w:ascii="宋体" w:hAnsi="宋体" w:cs="宋体" w:eastAsia="宋体"/>
                <w:color w:val="0D0D0D"/>
                <w:sz w:val="24"/>
              </w:rPr>
              <w:t>、燃油：插电式混合动力</w:t>
            </w:r>
          </w:p>
          <w:p>
            <w:pPr>
              <w:pStyle w:val="null3"/>
              <w:ind w:left="240"/>
              <w:jc w:val="both"/>
            </w:pPr>
            <w:r>
              <w:rPr>
                <w:rFonts w:ascii="宋体" w:hAnsi="宋体" w:cs="宋体" w:eastAsia="宋体"/>
                <w:color w:val="0D0D0D"/>
                <w:sz w:val="24"/>
              </w:rPr>
              <w:t>9</w:t>
            </w:r>
            <w:r>
              <w:rPr>
                <w:rFonts w:ascii="宋体" w:hAnsi="宋体" w:cs="宋体" w:eastAsia="宋体"/>
                <w:color w:val="0D0D0D"/>
                <w:sz w:val="24"/>
              </w:rPr>
              <w:t>、排放标准：国六</w:t>
            </w:r>
          </w:p>
          <w:p>
            <w:pPr>
              <w:pStyle w:val="null3"/>
              <w:spacing w:after="120"/>
              <w:ind w:left="240"/>
              <w:jc w:val="both"/>
            </w:pPr>
            <w:r>
              <w:rPr>
                <w:rFonts w:ascii="宋体" w:hAnsi="宋体" w:cs="宋体" w:eastAsia="宋体"/>
                <w:color w:val="0D0D0D"/>
                <w:sz w:val="24"/>
              </w:rPr>
              <w:t>10</w:t>
            </w:r>
            <w:r>
              <w:rPr>
                <w:rFonts w:ascii="宋体" w:hAnsi="宋体" w:cs="宋体" w:eastAsia="宋体"/>
                <w:color w:val="0D0D0D"/>
                <w:sz w:val="24"/>
              </w:rPr>
              <w:t>、最高车速（km/h）≥200</w:t>
            </w:r>
          </w:p>
          <w:p>
            <w:pPr>
              <w:pStyle w:val="null3"/>
              <w:ind w:left="240"/>
              <w:jc w:val="both"/>
            </w:pPr>
            <w:r>
              <w:rPr>
                <w:rFonts w:ascii="宋体" w:hAnsi="宋体" w:cs="宋体" w:eastAsia="宋体"/>
                <w:color w:val="0D0D0D"/>
                <w:sz w:val="24"/>
              </w:rPr>
              <w:t>11</w:t>
            </w:r>
            <w:r>
              <w:rPr>
                <w:rFonts w:ascii="宋体" w:hAnsi="宋体" w:cs="宋体" w:eastAsia="宋体"/>
                <w:color w:val="0D0D0D"/>
                <w:sz w:val="24"/>
              </w:rPr>
              <w:t>、油箱容积（L）≥50</w:t>
            </w:r>
          </w:p>
          <w:p>
            <w:pPr>
              <w:pStyle w:val="null3"/>
              <w:spacing w:after="120"/>
              <w:ind w:left="240"/>
              <w:jc w:val="both"/>
            </w:pPr>
            <w:r>
              <w:rPr>
                <w:rFonts w:ascii="宋体" w:hAnsi="宋体" w:cs="宋体" w:eastAsia="宋体"/>
                <w:color w:val="0D0D0D"/>
                <w:sz w:val="24"/>
              </w:rPr>
              <w:t>12</w:t>
            </w:r>
            <w:r>
              <w:rPr>
                <w:rFonts w:ascii="宋体" w:hAnsi="宋体" w:cs="宋体" w:eastAsia="宋体"/>
                <w:color w:val="0D0D0D"/>
                <w:sz w:val="24"/>
              </w:rPr>
              <w:t>、后备箱容积（L）≥450</w:t>
            </w:r>
          </w:p>
          <w:p>
            <w:pPr>
              <w:pStyle w:val="null3"/>
              <w:spacing w:after="120"/>
              <w:ind w:left="240"/>
              <w:jc w:val="both"/>
            </w:pPr>
            <w:r>
              <w:rPr>
                <w:rFonts w:ascii="宋体" w:hAnsi="宋体" w:cs="宋体" w:eastAsia="宋体"/>
                <w:color w:val="0D0D0D"/>
                <w:sz w:val="24"/>
              </w:rPr>
              <w:t>13</w:t>
            </w:r>
            <w:r>
              <w:rPr>
                <w:rFonts w:ascii="宋体" w:hAnsi="宋体" w:cs="宋体" w:eastAsia="宋体"/>
                <w:color w:val="0D0D0D"/>
                <w:sz w:val="24"/>
              </w:rPr>
              <w:t>、NEDC纯电续航里程(km)&gt;60</w:t>
            </w:r>
          </w:p>
          <w:p>
            <w:pPr>
              <w:pStyle w:val="null3"/>
              <w:spacing w:after="120"/>
              <w:ind w:left="240"/>
              <w:jc w:val="both"/>
            </w:pPr>
            <w:r>
              <w:rPr>
                <w:rFonts w:ascii="宋体" w:hAnsi="宋体" w:cs="宋体" w:eastAsia="宋体"/>
                <w:color w:val="0D0D0D"/>
                <w:sz w:val="24"/>
              </w:rPr>
              <w:t>14</w:t>
            </w:r>
            <w:r>
              <w:rPr>
                <w:rFonts w:ascii="宋体" w:hAnsi="宋体" w:cs="宋体" w:eastAsia="宋体"/>
                <w:color w:val="0D0D0D"/>
                <w:sz w:val="24"/>
              </w:rPr>
              <w:t>、NEDC综合油耗（L/100km）&lt;1.5</w:t>
            </w:r>
          </w:p>
          <w:p>
            <w:pPr>
              <w:pStyle w:val="null3"/>
              <w:spacing w:after="120"/>
              <w:ind w:left="240"/>
              <w:jc w:val="both"/>
            </w:pPr>
            <w:r>
              <w:rPr>
                <w:rFonts w:ascii="宋体" w:hAnsi="宋体" w:cs="宋体" w:eastAsia="宋体"/>
                <w:color w:val="0D0D0D"/>
                <w:sz w:val="24"/>
              </w:rPr>
              <w:t>15</w:t>
            </w:r>
            <w:r>
              <w:rPr>
                <w:rFonts w:ascii="宋体" w:hAnsi="宋体" w:cs="宋体" w:eastAsia="宋体"/>
                <w:color w:val="0D0D0D"/>
                <w:sz w:val="24"/>
              </w:rPr>
              <w:t>、WLTC综合油耗（L/100km）&lt;2.5</w:t>
            </w:r>
          </w:p>
          <w:p>
            <w:pPr>
              <w:pStyle w:val="null3"/>
              <w:spacing w:after="120"/>
              <w:ind w:left="240"/>
              <w:jc w:val="both"/>
            </w:pPr>
            <w:r>
              <w:rPr>
                <w:rFonts w:ascii="宋体" w:hAnsi="宋体" w:cs="宋体" w:eastAsia="宋体"/>
                <w:color w:val="0D0D0D"/>
                <w:sz w:val="24"/>
              </w:rPr>
              <w:t>16</w:t>
            </w:r>
            <w:r>
              <w:rPr>
                <w:rFonts w:ascii="宋体" w:hAnsi="宋体" w:cs="宋体" w:eastAsia="宋体"/>
                <w:color w:val="0D0D0D"/>
                <w:sz w:val="24"/>
              </w:rPr>
              <w:t>、最低荷电状态油耗（L/100km）&lt;5</w:t>
            </w:r>
          </w:p>
          <w:p>
            <w:pPr>
              <w:pStyle w:val="null3"/>
              <w:spacing w:after="120"/>
              <w:ind w:left="240"/>
              <w:jc w:val="both"/>
            </w:pPr>
            <w:r>
              <w:rPr>
                <w:rFonts w:ascii="宋体" w:hAnsi="宋体" w:cs="宋体" w:eastAsia="宋体"/>
                <w:color w:val="0D0D0D"/>
                <w:sz w:val="24"/>
              </w:rPr>
              <w:t>17</w:t>
            </w:r>
            <w:r>
              <w:rPr>
                <w:rFonts w:ascii="宋体" w:hAnsi="宋体" w:cs="宋体" w:eastAsia="宋体"/>
                <w:color w:val="0D0D0D"/>
                <w:sz w:val="24"/>
              </w:rPr>
              <w:t>、电能当量燃料消耗量（L/100km）&lt;2</w:t>
            </w:r>
          </w:p>
          <w:p>
            <w:pPr>
              <w:pStyle w:val="null3"/>
              <w:spacing w:after="120"/>
              <w:ind w:left="240"/>
              <w:jc w:val="both"/>
            </w:pPr>
            <w:r>
              <w:rPr>
                <w:rFonts w:ascii="宋体" w:hAnsi="宋体" w:cs="宋体" w:eastAsia="宋体"/>
                <w:color w:val="0D0D0D"/>
                <w:sz w:val="24"/>
              </w:rPr>
              <w:t>18</w:t>
            </w:r>
            <w:r>
              <w:rPr>
                <w:rFonts w:ascii="宋体" w:hAnsi="宋体" w:cs="宋体" w:eastAsia="宋体"/>
                <w:color w:val="0D0D0D"/>
                <w:sz w:val="24"/>
              </w:rPr>
              <w:t>、</w:t>
            </w:r>
            <w:r>
              <w:rPr>
                <w:rFonts w:ascii="宋体" w:hAnsi="宋体" w:cs="宋体" w:eastAsia="宋体"/>
                <w:color w:val="0D0D0D"/>
                <w:sz w:val="24"/>
              </w:rPr>
              <w:t>最大扭矩(N</w:t>
            </w:r>
            <w:r>
              <w:rPr>
                <w:rFonts w:ascii="宋体" w:hAnsi="宋体" w:cs="宋体" w:eastAsia="宋体"/>
                <w:color w:val="0D0D0D"/>
                <w:sz w:val="24"/>
              </w:rPr>
              <w:t>·m)</w:t>
            </w:r>
            <w:r>
              <w:rPr>
                <w:rFonts w:ascii="宋体" w:hAnsi="宋体" w:cs="宋体" w:eastAsia="宋体"/>
                <w:color w:val="0D0D0D"/>
                <w:sz w:val="24"/>
              </w:rPr>
              <w:t xml:space="preserve"> ≥400</w:t>
            </w:r>
          </w:p>
          <w:p>
            <w:pPr>
              <w:pStyle w:val="null3"/>
              <w:spacing w:after="120"/>
              <w:ind w:left="240"/>
              <w:jc w:val="both"/>
            </w:pPr>
            <w:r>
              <w:rPr>
                <w:rFonts w:ascii="宋体" w:hAnsi="宋体" w:cs="宋体" w:eastAsia="宋体"/>
                <w:color w:val="0D0D0D"/>
                <w:sz w:val="24"/>
              </w:rPr>
              <w:t>19</w:t>
            </w:r>
            <w:r>
              <w:rPr>
                <w:rFonts w:ascii="宋体" w:hAnsi="宋体" w:cs="宋体" w:eastAsia="宋体"/>
                <w:color w:val="0D0D0D"/>
                <w:sz w:val="24"/>
              </w:rPr>
              <w:t>、</w:t>
            </w:r>
            <w:r>
              <w:rPr>
                <w:rFonts w:ascii="宋体" w:hAnsi="宋体" w:cs="宋体" w:eastAsia="宋体"/>
                <w:color w:val="0D0D0D"/>
                <w:sz w:val="24"/>
              </w:rPr>
              <w:t>发动机</w:t>
            </w:r>
            <w:r>
              <w:rPr>
                <w:rFonts w:ascii="宋体" w:hAnsi="宋体" w:cs="宋体" w:eastAsia="宋体"/>
                <w:color w:val="0D0D0D"/>
                <w:sz w:val="24"/>
              </w:rPr>
              <w:t>最大功率≥110</w:t>
            </w:r>
          </w:p>
          <w:p>
            <w:pPr>
              <w:pStyle w:val="null3"/>
              <w:spacing w:after="120"/>
              <w:ind w:left="240"/>
              <w:jc w:val="both"/>
            </w:pPr>
            <w:r>
              <w:rPr>
                <w:rFonts w:ascii="宋体" w:hAnsi="宋体" w:cs="宋体" w:eastAsia="宋体"/>
                <w:color w:val="0D0D0D"/>
                <w:sz w:val="24"/>
              </w:rPr>
              <w:t>20</w:t>
            </w:r>
            <w:r>
              <w:rPr>
                <w:rFonts w:ascii="宋体" w:hAnsi="宋体" w:cs="宋体" w:eastAsia="宋体"/>
                <w:color w:val="0D0D0D"/>
                <w:sz w:val="24"/>
              </w:rPr>
              <w:t>、</w:t>
            </w:r>
            <w:r>
              <w:rPr>
                <w:rFonts w:ascii="宋体" w:hAnsi="宋体" w:cs="宋体" w:eastAsia="宋体"/>
                <w:color w:val="0D0D0D"/>
                <w:sz w:val="24"/>
              </w:rPr>
              <w:t>电动机功率(Ps)</w:t>
            </w:r>
            <w:r>
              <w:rPr>
                <w:rFonts w:ascii="宋体" w:hAnsi="宋体" w:cs="宋体" w:eastAsia="宋体"/>
                <w:color w:val="0D0D0D"/>
                <w:sz w:val="24"/>
              </w:rPr>
              <w:t>&gt;110</w:t>
            </w:r>
          </w:p>
          <w:p>
            <w:pPr>
              <w:pStyle w:val="null3"/>
              <w:spacing w:after="120"/>
              <w:ind w:left="240"/>
              <w:jc w:val="both"/>
            </w:pPr>
            <w:r>
              <w:rPr>
                <w:rFonts w:ascii="宋体" w:hAnsi="宋体" w:cs="宋体" w:eastAsia="宋体"/>
                <w:color w:val="0D0D0D"/>
                <w:sz w:val="24"/>
              </w:rPr>
              <w:t>21</w:t>
            </w:r>
            <w:r>
              <w:rPr>
                <w:rFonts w:ascii="宋体" w:hAnsi="宋体" w:cs="宋体" w:eastAsia="宋体"/>
                <w:color w:val="0D0D0D"/>
                <w:sz w:val="24"/>
              </w:rPr>
              <w:t>、电机布局：前置</w:t>
            </w:r>
          </w:p>
          <w:p>
            <w:pPr>
              <w:pStyle w:val="null3"/>
              <w:spacing w:after="120"/>
              <w:ind w:left="240"/>
              <w:jc w:val="both"/>
            </w:pPr>
            <w:r>
              <w:rPr>
                <w:rFonts w:ascii="宋体" w:hAnsi="宋体" w:cs="宋体" w:eastAsia="宋体"/>
                <w:color w:val="0D0D0D"/>
                <w:sz w:val="24"/>
              </w:rPr>
              <w:t>22</w:t>
            </w:r>
            <w:r>
              <w:rPr>
                <w:rFonts w:ascii="宋体" w:hAnsi="宋体" w:cs="宋体" w:eastAsia="宋体"/>
                <w:color w:val="0D0D0D"/>
                <w:sz w:val="24"/>
              </w:rPr>
              <w:t>、电池类型：三元锂电池</w:t>
            </w:r>
          </w:p>
          <w:p>
            <w:pPr>
              <w:pStyle w:val="null3"/>
              <w:spacing w:after="120"/>
              <w:ind w:left="240"/>
              <w:jc w:val="both"/>
            </w:pPr>
            <w:r>
              <w:rPr>
                <w:rFonts w:ascii="宋体" w:hAnsi="宋体" w:cs="宋体" w:eastAsia="宋体"/>
                <w:color w:val="0D0D0D"/>
                <w:sz w:val="24"/>
              </w:rPr>
              <w:t>23</w:t>
            </w:r>
            <w:r>
              <w:rPr>
                <w:rFonts w:ascii="宋体" w:hAnsi="宋体" w:cs="宋体" w:eastAsia="宋体"/>
                <w:color w:val="0D0D0D"/>
                <w:sz w:val="24"/>
              </w:rPr>
              <w:t>、驱动电机数量：单电机</w:t>
            </w:r>
          </w:p>
          <w:p>
            <w:pPr>
              <w:pStyle w:val="null3"/>
              <w:spacing w:after="120"/>
              <w:ind w:left="240"/>
              <w:jc w:val="both"/>
            </w:pPr>
            <w:r>
              <w:rPr>
                <w:rFonts w:ascii="宋体" w:hAnsi="宋体" w:cs="宋体" w:eastAsia="宋体"/>
                <w:color w:val="0D0D0D"/>
                <w:sz w:val="24"/>
              </w:rPr>
              <w:t>24</w:t>
            </w:r>
            <w:r>
              <w:rPr>
                <w:rFonts w:ascii="宋体" w:hAnsi="宋体" w:cs="宋体" w:eastAsia="宋体"/>
                <w:color w:val="0D0D0D"/>
                <w:sz w:val="24"/>
              </w:rPr>
              <w:t>、电磁冷却方式：液冷</w:t>
            </w:r>
          </w:p>
          <w:p>
            <w:pPr>
              <w:pStyle w:val="null3"/>
              <w:spacing w:after="120"/>
              <w:ind w:left="240"/>
              <w:jc w:val="both"/>
            </w:pPr>
            <w:r>
              <w:rPr>
                <w:rFonts w:ascii="宋体" w:hAnsi="宋体" w:cs="宋体" w:eastAsia="宋体"/>
                <w:color w:val="0D0D0D"/>
                <w:sz w:val="24"/>
              </w:rPr>
              <w:t>25</w:t>
            </w:r>
            <w:r>
              <w:rPr>
                <w:rFonts w:ascii="宋体" w:hAnsi="宋体" w:cs="宋体" w:eastAsia="宋体"/>
                <w:color w:val="0D0D0D"/>
                <w:sz w:val="24"/>
              </w:rPr>
              <w:t>、电池能量（kWh）≥13</w:t>
            </w:r>
          </w:p>
          <w:p>
            <w:pPr>
              <w:pStyle w:val="null3"/>
              <w:spacing w:after="120"/>
              <w:ind w:left="240"/>
              <w:jc w:val="both"/>
            </w:pPr>
            <w:r>
              <w:rPr>
                <w:rFonts w:ascii="宋体" w:hAnsi="宋体" w:cs="宋体" w:eastAsia="宋体"/>
                <w:color w:val="0D0D0D"/>
                <w:sz w:val="24"/>
              </w:rPr>
              <w:t>26</w:t>
            </w:r>
            <w:r>
              <w:rPr>
                <w:rFonts w:ascii="宋体" w:hAnsi="宋体" w:cs="宋体" w:eastAsia="宋体"/>
                <w:color w:val="0D0D0D"/>
                <w:sz w:val="24"/>
              </w:rPr>
              <w:t>、电池能量密度（Wh/kg）&gt;100</w:t>
            </w:r>
          </w:p>
          <w:p>
            <w:pPr>
              <w:pStyle w:val="null3"/>
              <w:spacing w:after="120"/>
              <w:ind w:left="240"/>
              <w:jc w:val="both"/>
            </w:pPr>
            <w:r>
              <w:rPr>
                <w:rFonts w:ascii="宋体" w:hAnsi="宋体" w:cs="宋体" w:eastAsia="宋体"/>
                <w:color w:val="0D0D0D"/>
                <w:sz w:val="24"/>
              </w:rPr>
              <w:t>27</w:t>
            </w:r>
            <w:r>
              <w:rPr>
                <w:rFonts w:ascii="宋体" w:hAnsi="宋体" w:cs="宋体" w:eastAsia="宋体"/>
                <w:color w:val="0D0D0D"/>
                <w:sz w:val="24"/>
              </w:rPr>
              <w:t>、变速箱类型：湿式双离合变速箱（DCT）</w:t>
            </w:r>
          </w:p>
          <w:p>
            <w:pPr>
              <w:pStyle w:val="null3"/>
              <w:spacing w:after="120"/>
              <w:ind w:left="240"/>
              <w:jc w:val="both"/>
            </w:pPr>
            <w:r>
              <w:rPr>
                <w:rFonts w:ascii="宋体" w:hAnsi="宋体" w:cs="宋体" w:eastAsia="宋体"/>
                <w:color w:val="0D0D0D"/>
                <w:sz w:val="24"/>
              </w:rPr>
              <w:t>28</w:t>
            </w:r>
            <w:r>
              <w:rPr>
                <w:rFonts w:ascii="宋体" w:hAnsi="宋体" w:cs="宋体" w:eastAsia="宋体"/>
                <w:color w:val="0D0D0D"/>
                <w:sz w:val="24"/>
              </w:rPr>
              <w:t>、前悬架类型：麦弗逊式独立悬架</w:t>
            </w:r>
          </w:p>
          <w:p>
            <w:pPr>
              <w:pStyle w:val="null3"/>
              <w:spacing w:after="120"/>
              <w:ind w:left="240"/>
              <w:jc w:val="both"/>
            </w:pPr>
            <w:r>
              <w:rPr>
                <w:rFonts w:ascii="宋体" w:hAnsi="宋体" w:cs="宋体" w:eastAsia="宋体"/>
                <w:color w:val="0D0D0D"/>
                <w:sz w:val="24"/>
              </w:rPr>
              <w:t>29</w:t>
            </w:r>
            <w:r>
              <w:rPr>
                <w:rFonts w:ascii="宋体" w:hAnsi="宋体" w:cs="宋体" w:eastAsia="宋体"/>
                <w:color w:val="0D0D0D"/>
                <w:sz w:val="24"/>
              </w:rPr>
              <w:t>、后悬架类型：多连杆式独立悬架</w:t>
            </w:r>
          </w:p>
          <w:p>
            <w:pPr>
              <w:pStyle w:val="null3"/>
              <w:spacing w:after="120"/>
              <w:ind w:left="240"/>
              <w:jc w:val="both"/>
            </w:pPr>
            <w:r>
              <w:rPr>
                <w:rFonts w:ascii="宋体" w:hAnsi="宋体" w:cs="宋体" w:eastAsia="宋体"/>
                <w:color w:val="0D0D0D"/>
                <w:sz w:val="24"/>
              </w:rPr>
              <w:t>30</w:t>
            </w:r>
            <w:r>
              <w:rPr>
                <w:rFonts w:ascii="宋体" w:hAnsi="宋体" w:cs="宋体" w:eastAsia="宋体"/>
                <w:color w:val="0D0D0D"/>
                <w:sz w:val="24"/>
              </w:rPr>
              <w:t>、驾驶模式切换：运动；经济；标准/舒适</w:t>
            </w:r>
          </w:p>
          <w:p>
            <w:pPr>
              <w:pStyle w:val="null3"/>
              <w:ind w:left="240"/>
              <w:jc w:val="both"/>
            </w:pPr>
            <w:r>
              <w:rPr>
                <w:rFonts w:ascii="宋体" w:hAnsi="宋体" w:cs="宋体" w:eastAsia="宋体"/>
                <w:color w:val="0D0D0D"/>
                <w:sz w:val="24"/>
              </w:rPr>
              <w:t>31</w:t>
            </w:r>
            <w:r>
              <w:rPr>
                <w:rFonts w:ascii="宋体" w:hAnsi="宋体" w:cs="宋体" w:eastAsia="宋体"/>
                <w:color w:val="0D0D0D"/>
                <w:sz w:val="24"/>
              </w:rPr>
              <w:t>、发动机启停技术</w:t>
            </w:r>
          </w:p>
          <w:p>
            <w:pPr>
              <w:pStyle w:val="null3"/>
              <w:spacing w:after="120"/>
              <w:ind w:left="240"/>
              <w:jc w:val="both"/>
            </w:pPr>
            <w:r>
              <w:rPr>
                <w:rFonts w:ascii="宋体" w:hAnsi="宋体" w:cs="宋体" w:eastAsia="宋体"/>
                <w:color w:val="0D0D0D"/>
                <w:sz w:val="24"/>
              </w:rPr>
              <w:t>32</w:t>
            </w:r>
            <w:r>
              <w:rPr>
                <w:rFonts w:ascii="宋体" w:hAnsi="宋体" w:cs="宋体" w:eastAsia="宋体"/>
                <w:color w:val="0D0D0D"/>
                <w:sz w:val="24"/>
              </w:rPr>
              <w:t>、自动驻车</w:t>
            </w:r>
          </w:p>
          <w:p>
            <w:pPr>
              <w:pStyle w:val="null3"/>
              <w:ind w:left="240"/>
              <w:jc w:val="both"/>
            </w:pPr>
            <w:r>
              <w:rPr>
                <w:rFonts w:ascii="宋体" w:hAnsi="宋体" w:cs="宋体" w:eastAsia="宋体"/>
                <w:color w:val="0D0D0D"/>
                <w:sz w:val="24"/>
              </w:rPr>
              <w:t>33</w:t>
            </w:r>
            <w:r>
              <w:rPr>
                <w:rFonts w:ascii="宋体" w:hAnsi="宋体" w:cs="宋体" w:eastAsia="宋体"/>
                <w:color w:val="0D0D0D"/>
                <w:sz w:val="24"/>
              </w:rPr>
              <w:t>、上坡辅助</w:t>
            </w:r>
          </w:p>
          <w:p>
            <w:pPr>
              <w:pStyle w:val="null3"/>
              <w:spacing w:after="120"/>
              <w:ind w:left="240"/>
              <w:jc w:val="both"/>
            </w:pPr>
            <w:r>
              <w:rPr>
                <w:rFonts w:ascii="宋体" w:hAnsi="宋体" w:cs="宋体" w:eastAsia="宋体"/>
                <w:color w:val="0D0D0D"/>
                <w:sz w:val="24"/>
              </w:rPr>
              <w:t>34</w:t>
            </w:r>
            <w:r>
              <w:rPr>
                <w:rFonts w:ascii="宋体" w:hAnsi="宋体" w:cs="宋体" w:eastAsia="宋体"/>
                <w:color w:val="0D0D0D"/>
                <w:sz w:val="24"/>
              </w:rPr>
              <w:t>、能量回收系统</w:t>
            </w:r>
          </w:p>
          <w:p>
            <w:pPr>
              <w:pStyle w:val="null3"/>
              <w:spacing w:after="120"/>
              <w:ind w:left="240"/>
              <w:jc w:val="both"/>
            </w:pPr>
            <w:r>
              <w:rPr>
                <w:rFonts w:ascii="宋体" w:hAnsi="宋体" w:cs="宋体" w:eastAsia="宋体"/>
                <w:color w:val="0D0D0D"/>
                <w:sz w:val="24"/>
              </w:rPr>
              <w:t>35</w:t>
            </w:r>
            <w:r>
              <w:rPr>
                <w:rFonts w:ascii="宋体" w:hAnsi="宋体" w:cs="宋体" w:eastAsia="宋体"/>
                <w:color w:val="0D0D0D"/>
                <w:sz w:val="24"/>
              </w:rPr>
              <w:t>、摄像头数量≥1个</w:t>
            </w:r>
          </w:p>
          <w:p>
            <w:pPr>
              <w:pStyle w:val="null3"/>
              <w:ind w:left="240"/>
              <w:jc w:val="both"/>
            </w:pPr>
            <w:r>
              <w:rPr>
                <w:rFonts w:ascii="宋体" w:hAnsi="宋体" w:cs="宋体" w:eastAsia="宋体"/>
                <w:color w:val="0D0D0D"/>
                <w:sz w:val="24"/>
              </w:rPr>
              <w:t>36</w:t>
            </w:r>
            <w:r>
              <w:rPr>
                <w:rFonts w:ascii="宋体" w:hAnsi="宋体" w:cs="宋体" w:eastAsia="宋体"/>
                <w:color w:val="0D0D0D"/>
                <w:sz w:val="24"/>
              </w:rPr>
              <w:t>、前/后驻车雷达：有</w:t>
            </w:r>
          </w:p>
          <w:p>
            <w:pPr>
              <w:pStyle w:val="null3"/>
              <w:spacing w:after="120"/>
              <w:ind w:left="240"/>
              <w:jc w:val="both"/>
            </w:pPr>
            <w:r>
              <w:rPr>
                <w:rFonts w:ascii="宋体" w:hAnsi="宋体" w:cs="宋体" w:eastAsia="宋体"/>
                <w:color w:val="0D0D0D"/>
                <w:sz w:val="24"/>
              </w:rPr>
              <w:t>37</w:t>
            </w:r>
            <w:r>
              <w:rPr>
                <w:rFonts w:ascii="宋体" w:hAnsi="宋体" w:cs="宋体" w:eastAsia="宋体"/>
                <w:color w:val="0D0D0D"/>
                <w:sz w:val="24"/>
              </w:rPr>
              <w:t>、超声波雷达≥8个</w:t>
            </w:r>
          </w:p>
          <w:p>
            <w:pPr>
              <w:pStyle w:val="null3"/>
              <w:spacing w:after="120"/>
              <w:ind w:left="240"/>
              <w:jc w:val="both"/>
            </w:pPr>
            <w:r>
              <w:rPr>
                <w:rFonts w:ascii="宋体" w:hAnsi="宋体" w:cs="宋体" w:eastAsia="宋体"/>
                <w:b/>
                <w:color w:val="0D0D0D"/>
                <w:sz w:val="24"/>
              </w:rPr>
              <w:t>（二）驱动方式</w:t>
            </w:r>
          </w:p>
          <w:p>
            <w:pPr>
              <w:pStyle w:val="null3"/>
              <w:spacing w:after="120"/>
              <w:ind w:left="240"/>
              <w:jc w:val="both"/>
            </w:pPr>
            <w:r>
              <w:rPr>
                <w:rFonts w:ascii="宋体" w:hAnsi="宋体" w:cs="宋体" w:eastAsia="宋体"/>
                <w:color w:val="0D0D0D"/>
                <w:sz w:val="24"/>
              </w:rPr>
              <w:t>1</w:t>
            </w:r>
            <w:r>
              <w:rPr>
                <w:rFonts w:ascii="宋体" w:hAnsi="宋体" w:cs="宋体" w:eastAsia="宋体"/>
                <w:color w:val="0D0D0D"/>
                <w:sz w:val="24"/>
              </w:rPr>
              <w:t>、驱动方式：前置前驱</w:t>
            </w:r>
          </w:p>
          <w:p>
            <w:pPr>
              <w:pStyle w:val="null3"/>
              <w:spacing w:after="120"/>
              <w:ind w:left="240"/>
              <w:jc w:val="both"/>
            </w:pPr>
            <w:r>
              <w:rPr>
                <w:rFonts w:ascii="宋体" w:hAnsi="宋体" w:cs="宋体" w:eastAsia="宋体"/>
                <w:color w:val="0D0D0D"/>
                <w:sz w:val="24"/>
              </w:rPr>
              <w:t>2</w:t>
            </w:r>
            <w:r>
              <w:rPr>
                <w:rFonts w:ascii="宋体" w:hAnsi="宋体" w:cs="宋体" w:eastAsia="宋体"/>
                <w:color w:val="0D0D0D"/>
                <w:sz w:val="24"/>
              </w:rPr>
              <w:t>、制动系统：前通风盘式、后盘式</w:t>
            </w:r>
          </w:p>
          <w:p>
            <w:pPr>
              <w:pStyle w:val="null3"/>
              <w:spacing w:after="120"/>
              <w:ind w:left="240"/>
              <w:jc w:val="both"/>
            </w:pPr>
            <w:r>
              <w:rPr>
                <w:rFonts w:ascii="宋体" w:hAnsi="宋体" w:cs="宋体" w:eastAsia="宋体"/>
                <w:color w:val="0D0D0D"/>
                <w:sz w:val="24"/>
              </w:rPr>
              <w:t>3</w:t>
            </w:r>
            <w:r>
              <w:rPr>
                <w:rFonts w:ascii="宋体" w:hAnsi="宋体" w:cs="宋体" w:eastAsia="宋体"/>
                <w:color w:val="0D0D0D"/>
                <w:sz w:val="24"/>
              </w:rPr>
              <w:t>、变速箱：6档湿式双离合</w:t>
            </w:r>
          </w:p>
          <w:p>
            <w:pPr>
              <w:pStyle w:val="null3"/>
              <w:spacing w:after="120"/>
              <w:ind w:left="240"/>
              <w:jc w:val="both"/>
            </w:pPr>
            <w:r>
              <w:rPr>
                <w:rFonts w:ascii="宋体" w:hAnsi="宋体" w:cs="宋体" w:eastAsia="宋体"/>
                <w:color w:val="0D0D0D"/>
                <w:sz w:val="24"/>
              </w:rPr>
              <w:t>4</w:t>
            </w:r>
            <w:r>
              <w:rPr>
                <w:rFonts w:ascii="宋体" w:hAnsi="宋体" w:cs="宋体" w:eastAsia="宋体"/>
                <w:color w:val="0D0D0D"/>
                <w:sz w:val="24"/>
              </w:rPr>
              <w:t>、车体结构：承载式</w:t>
            </w:r>
          </w:p>
          <w:p>
            <w:pPr>
              <w:pStyle w:val="null3"/>
              <w:spacing w:after="120"/>
              <w:jc w:val="both"/>
            </w:pPr>
            <w:r>
              <w:rPr>
                <w:rFonts w:ascii="宋体" w:hAnsi="宋体" w:cs="宋体" w:eastAsia="宋体"/>
                <w:b/>
                <w:color w:val="0D0D0D"/>
                <w:sz w:val="24"/>
              </w:rPr>
              <w:t>（三）安全配置</w:t>
            </w:r>
          </w:p>
          <w:p>
            <w:pPr>
              <w:pStyle w:val="null3"/>
              <w:spacing w:after="120"/>
              <w:ind w:left="240"/>
              <w:jc w:val="both"/>
            </w:pPr>
            <w:r>
              <w:rPr>
                <w:rFonts w:ascii="宋体" w:hAnsi="宋体" w:cs="宋体" w:eastAsia="宋体"/>
                <w:color w:val="0D0D0D"/>
                <w:sz w:val="24"/>
              </w:rPr>
              <w:t>1</w:t>
            </w:r>
            <w:r>
              <w:rPr>
                <w:rFonts w:ascii="宋体" w:hAnsi="宋体" w:cs="宋体" w:eastAsia="宋体"/>
                <w:color w:val="0D0D0D"/>
                <w:sz w:val="24"/>
              </w:rPr>
              <w:t>、主/副驾驶座安全气囊</w:t>
            </w:r>
          </w:p>
          <w:p>
            <w:pPr>
              <w:pStyle w:val="null3"/>
              <w:spacing w:after="120"/>
              <w:ind w:left="240"/>
              <w:jc w:val="both"/>
            </w:pPr>
            <w:r>
              <w:rPr>
                <w:rFonts w:ascii="宋体" w:hAnsi="宋体" w:cs="宋体" w:eastAsia="宋体"/>
                <w:color w:val="0D0D0D"/>
                <w:sz w:val="24"/>
              </w:rPr>
              <w:t>2</w:t>
            </w:r>
            <w:r>
              <w:rPr>
                <w:rFonts w:ascii="宋体" w:hAnsi="宋体" w:cs="宋体" w:eastAsia="宋体"/>
                <w:color w:val="0D0D0D"/>
                <w:sz w:val="24"/>
              </w:rPr>
              <w:t>、前/后排头部气囊（气帘）</w:t>
            </w:r>
          </w:p>
          <w:p>
            <w:pPr>
              <w:pStyle w:val="null3"/>
              <w:spacing w:after="120"/>
              <w:ind w:left="240"/>
              <w:jc w:val="both"/>
            </w:pPr>
            <w:r>
              <w:rPr>
                <w:rFonts w:ascii="宋体" w:hAnsi="宋体" w:cs="宋体" w:eastAsia="宋体"/>
                <w:color w:val="0D0D0D"/>
                <w:sz w:val="24"/>
              </w:rPr>
              <w:t>3</w:t>
            </w:r>
            <w:r>
              <w:rPr>
                <w:rFonts w:ascii="宋体" w:hAnsi="宋体" w:cs="宋体" w:eastAsia="宋体"/>
                <w:color w:val="0D0D0D"/>
                <w:sz w:val="24"/>
              </w:rPr>
              <w:t>、前/后排侧气囊</w:t>
            </w:r>
          </w:p>
          <w:p>
            <w:pPr>
              <w:pStyle w:val="null3"/>
              <w:ind w:left="240"/>
              <w:jc w:val="both"/>
            </w:pPr>
            <w:r>
              <w:rPr>
                <w:rFonts w:ascii="宋体" w:hAnsi="宋体" w:cs="宋体" w:eastAsia="宋体"/>
                <w:color w:val="0D0D0D"/>
                <w:sz w:val="24"/>
              </w:rPr>
              <w:t>4</w:t>
            </w:r>
            <w:r>
              <w:rPr>
                <w:rFonts w:ascii="宋体" w:hAnsi="宋体" w:cs="宋体" w:eastAsia="宋体"/>
                <w:color w:val="0D0D0D"/>
                <w:sz w:val="24"/>
              </w:rPr>
              <w:t>、主驾膝部气囊</w:t>
            </w:r>
          </w:p>
          <w:p>
            <w:pPr>
              <w:pStyle w:val="null3"/>
              <w:spacing w:after="120"/>
              <w:ind w:left="240"/>
              <w:jc w:val="both"/>
            </w:pPr>
            <w:r>
              <w:rPr>
                <w:rFonts w:ascii="宋体" w:hAnsi="宋体" w:cs="宋体" w:eastAsia="宋体"/>
                <w:color w:val="0D0D0D"/>
                <w:sz w:val="24"/>
              </w:rPr>
              <w:t>5</w:t>
            </w:r>
            <w:r>
              <w:rPr>
                <w:rFonts w:ascii="宋体" w:hAnsi="宋体" w:cs="宋体" w:eastAsia="宋体"/>
                <w:color w:val="0D0D0D"/>
                <w:sz w:val="24"/>
              </w:rPr>
              <w:t>、ABS+EBD+BA</w:t>
            </w:r>
          </w:p>
          <w:p>
            <w:pPr>
              <w:pStyle w:val="null3"/>
              <w:spacing w:after="120"/>
              <w:ind w:left="240"/>
              <w:jc w:val="both"/>
            </w:pPr>
            <w:r>
              <w:rPr>
                <w:rFonts w:ascii="宋体" w:hAnsi="宋体" w:cs="宋体" w:eastAsia="宋体"/>
                <w:color w:val="0D0D0D"/>
                <w:sz w:val="24"/>
              </w:rPr>
              <w:t>6</w:t>
            </w:r>
            <w:r>
              <w:rPr>
                <w:rFonts w:ascii="宋体" w:hAnsi="宋体" w:cs="宋体" w:eastAsia="宋体"/>
                <w:color w:val="0D0D0D"/>
                <w:sz w:val="24"/>
              </w:rPr>
              <w:t>、疲劳驾驶提示</w:t>
            </w:r>
          </w:p>
          <w:p>
            <w:pPr>
              <w:pStyle w:val="null3"/>
              <w:ind w:left="240"/>
              <w:jc w:val="both"/>
            </w:pPr>
            <w:r>
              <w:rPr>
                <w:rFonts w:ascii="宋体" w:hAnsi="宋体" w:cs="宋体" w:eastAsia="宋体"/>
                <w:color w:val="0D0D0D"/>
                <w:sz w:val="24"/>
              </w:rPr>
              <w:t>7</w:t>
            </w:r>
            <w:r>
              <w:rPr>
                <w:rFonts w:ascii="宋体" w:hAnsi="宋体" w:cs="宋体" w:eastAsia="宋体"/>
                <w:color w:val="0D0D0D"/>
                <w:sz w:val="24"/>
              </w:rPr>
              <w:t>、全车安全带未系提醒</w:t>
            </w:r>
          </w:p>
          <w:p>
            <w:pPr>
              <w:pStyle w:val="null3"/>
              <w:spacing w:after="120"/>
              <w:ind w:left="240"/>
              <w:jc w:val="both"/>
            </w:pPr>
            <w:r>
              <w:rPr>
                <w:rFonts w:ascii="宋体" w:hAnsi="宋体" w:cs="宋体" w:eastAsia="宋体"/>
                <w:b/>
                <w:color w:val="0D0D0D"/>
                <w:sz w:val="24"/>
              </w:rPr>
              <w:t>（四）其他配置</w:t>
            </w:r>
          </w:p>
          <w:p>
            <w:pPr>
              <w:pStyle w:val="null3"/>
              <w:numPr>
                <w:ilvl w:val="0"/>
                <w:numId w:val="1"/>
              </w:numPr>
              <w:jc w:val="both"/>
            </w:pPr>
            <w:r>
              <w:rPr>
                <w:rFonts w:ascii="宋体" w:hAnsi="宋体" w:cs="宋体" w:eastAsia="宋体"/>
                <w:color w:val="0D0D0D"/>
                <w:sz w:val="24"/>
              </w:rPr>
              <w:t>无钥匙启动</w:t>
            </w:r>
          </w:p>
          <w:p>
            <w:pPr>
              <w:pStyle w:val="null3"/>
              <w:numPr>
                <w:ilvl w:val="0"/>
                <w:numId w:val="1"/>
              </w:numPr>
              <w:jc w:val="both"/>
            </w:pPr>
            <w:r>
              <w:rPr>
                <w:rFonts w:ascii="宋体" w:hAnsi="宋体" w:cs="宋体" w:eastAsia="宋体"/>
                <w:color w:val="0D0D0D"/>
                <w:sz w:val="24"/>
              </w:rPr>
              <w:t>全车无钥匙进入功能</w:t>
            </w:r>
          </w:p>
          <w:p>
            <w:pPr>
              <w:pStyle w:val="null3"/>
              <w:spacing w:after="120"/>
              <w:ind w:left="240"/>
              <w:jc w:val="both"/>
            </w:pPr>
            <w:r>
              <w:rPr>
                <w:rFonts w:ascii="宋体" w:hAnsi="宋体" w:cs="宋体" w:eastAsia="宋体"/>
                <w:color w:val="000000"/>
                <w:sz w:val="24"/>
              </w:rPr>
              <w:t>3</w:t>
            </w:r>
            <w:r>
              <w:rPr>
                <w:rFonts w:ascii="宋体" w:hAnsi="宋体" w:cs="宋体" w:eastAsia="宋体"/>
                <w:color w:val="000000"/>
                <w:sz w:val="24"/>
              </w:rPr>
              <w:t>、远程启动功能</w:t>
            </w:r>
          </w:p>
          <w:p>
            <w:pPr>
              <w:pStyle w:val="null3"/>
              <w:spacing w:after="120"/>
              <w:ind w:left="240"/>
              <w:jc w:val="both"/>
            </w:pPr>
            <w:r>
              <w:rPr>
                <w:rFonts w:ascii="宋体" w:hAnsi="宋体" w:cs="宋体" w:eastAsia="宋体"/>
                <w:color w:val="0D0D0D"/>
                <w:sz w:val="24"/>
              </w:rPr>
              <w:t>4</w:t>
            </w:r>
            <w:r>
              <w:rPr>
                <w:rFonts w:ascii="宋体" w:hAnsi="宋体" w:cs="宋体" w:eastAsia="宋体"/>
                <w:color w:val="0D0D0D"/>
                <w:sz w:val="24"/>
              </w:rPr>
              <w:t>、胎压报警</w:t>
            </w:r>
          </w:p>
          <w:p>
            <w:pPr>
              <w:pStyle w:val="null3"/>
              <w:ind w:left="240"/>
              <w:jc w:val="both"/>
            </w:pPr>
            <w:r>
              <w:rPr>
                <w:rFonts w:ascii="宋体" w:hAnsi="宋体" w:cs="宋体" w:eastAsia="宋体"/>
                <w:color w:val="0D0D0D"/>
                <w:sz w:val="24"/>
              </w:rPr>
              <w:t>5</w:t>
            </w:r>
            <w:r>
              <w:rPr>
                <w:rFonts w:ascii="宋体" w:hAnsi="宋体" w:cs="宋体" w:eastAsia="宋体"/>
                <w:color w:val="0D0D0D"/>
                <w:sz w:val="24"/>
              </w:rPr>
              <w:t>、可开启全景天窗</w:t>
            </w:r>
          </w:p>
          <w:p>
            <w:pPr>
              <w:pStyle w:val="null3"/>
              <w:spacing w:after="120"/>
              <w:ind w:left="240"/>
              <w:jc w:val="both"/>
            </w:pPr>
            <w:r>
              <w:rPr>
                <w:rFonts w:ascii="宋体" w:hAnsi="宋体" w:cs="宋体" w:eastAsia="宋体"/>
                <w:color w:val="0D0D0D"/>
                <w:sz w:val="24"/>
              </w:rPr>
              <w:t>6</w:t>
            </w:r>
            <w:r>
              <w:rPr>
                <w:rFonts w:ascii="宋体" w:hAnsi="宋体" w:cs="宋体" w:eastAsia="宋体"/>
                <w:color w:val="0D0D0D"/>
                <w:sz w:val="24"/>
              </w:rPr>
              <w:t>、前/后电动车窗</w:t>
            </w:r>
          </w:p>
          <w:p>
            <w:pPr>
              <w:pStyle w:val="null3"/>
              <w:ind w:left="240"/>
              <w:jc w:val="both"/>
            </w:pPr>
            <w:r>
              <w:rPr>
                <w:rFonts w:ascii="宋体" w:hAnsi="宋体" w:cs="宋体" w:eastAsia="宋体"/>
                <w:color w:val="0D0D0D"/>
                <w:sz w:val="24"/>
              </w:rPr>
              <w:t>7</w:t>
            </w:r>
            <w:r>
              <w:rPr>
                <w:rFonts w:ascii="宋体" w:hAnsi="宋体" w:cs="宋体" w:eastAsia="宋体"/>
                <w:color w:val="0D0D0D"/>
                <w:sz w:val="24"/>
              </w:rPr>
              <w:t>、全车车窗一键升降功能</w:t>
            </w:r>
          </w:p>
          <w:p>
            <w:pPr>
              <w:pStyle w:val="null3"/>
              <w:spacing w:after="120"/>
              <w:ind w:left="240"/>
              <w:jc w:val="both"/>
            </w:pPr>
            <w:r>
              <w:rPr>
                <w:rFonts w:ascii="宋体" w:hAnsi="宋体" w:cs="宋体" w:eastAsia="宋体"/>
                <w:color w:val="0D0D0D"/>
                <w:sz w:val="24"/>
              </w:rPr>
              <w:t>8</w:t>
            </w:r>
            <w:r>
              <w:rPr>
                <w:rFonts w:ascii="宋体" w:hAnsi="宋体" w:cs="宋体" w:eastAsia="宋体"/>
                <w:color w:val="0D0D0D"/>
                <w:sz w:val="24"/>
              </w:rPr>
              <w:t>、车窗防夹手功能</w:t>
            </w:r>
          </w:p>
          <w:p>
            <w:pPr>
              <w:pStyle w:val="null3"/>
              <w:ind w:left="240"/>
              <w:jc w:val="both"/>
            </w:pPr>
            <w:r>
              <w:rPr>
                <w:rFonts w:ascii="宋体" w:hAnsi="宋体" w:cs="宋体" w:eastAsia="宋体"/>
                <w:color w:val="0D0D0D"/>
                <w:sz w:val="24"/>
              </w:rPr>
              <w:t>9</w:t>
            </w:r>
            <w:r>
              <w:rPr>
                <w:rFonts w:ascii="宋体" w:hAnsi="宋体" w:cs="宋体" w:eastAsia="宋体"/>
                <w:color w:val="0D0D0D"/>
                <w:sz w:val="24"/>
              </w:rPr>
              <w:t>、电动后备厢</w:t>
            </w:r>
          </w:p>
          <w:p>
            <w:pPr>
              <w:pStyle w:val="null3"/>
              <w:spacing w:after="120"/>
              <w:ind w:left="240"/>
              <w:jc w:val="both"/>
            </w:pPr>
            <w:r>
              <w:rPr>
                <w:rFonts w:ascii="宋体" w:hAnsi="宋体" w:cs="宋体" w:eastAsia="宋体"/>
                <w:color w:val="0D0D0D"/>
                <w:sz w:val="24"/>
              </w:rPr>
              <w:t>10</w:t>
            </w:r>
            <w:r>
              <w:rPr>
                <w:rFonts w:ascii="宋体" w:hAnsi="宋体" w:cs="宋体" w:eastAsia="宋体"/>
                <w:color w:val="0D0D0D"/>
                <w:sz w:val="24"/>
              </w:rPr>
              <w:t>、外后视镜电动调节</w:t>
            </w:r>
          </w:p>
          <w:p>
            <w:pPr>
              <w:pStyle w:val="null3"/>
              <w:spacing w:after="120"/>
              <w:ind w:left="240"/>
              <w:jc w:val="both"/>
            </w:pPr>
            <w:r>
              <w:rPr>
                <w:rFonts w:ascii="宋体" w:hAnsi="宋体" w:cs="宋体" w:eastAsia="宋体"/>
                <w:color w:val="0D0D0D"/>
                <w:sz w:val="24"/>
              </w:rPr>
              <w:t>11</w:t>
            </w:r>
            <w:r>
              <w:rPr>
                <w:rFonts w:ascii="宋体" w:hAnsi="宋体" w:cs="宋体" w:eastAsia="宋体"/>
                <w:color w:val="0D0D0D"/>
                <w:sz w:val="24"/>
              </w:rPr>
              <w:t>、中控彩色大屏</w:t>
            </w:r>
          </w:p>
          <w:p>
            <w:pPr>
              <w:pStyle w:val="null3"/>
              <w:spacing w:after="120"/>
              <w:ind w:left="240"/>
              <w:jc w:val="both"/>
            </w:pPr>
            <w:r>
              <w:rPr>
                <w:rFonts w:ascii="宋体" w:hAnsi="宋体" w:cs="宋体" w:eastAsia="宋体"/>
                <w:color w:val="0D0D0D"/>
                <w:sz w:val="24"/>
              </w:rPr>
              <w:t>12</w:t>
            </w:r>
            <w:r>
              <w:rPr>
                <w:rFonts w:ascii="宋体" w:hAnsi="宋体" w:cs="宋体" w:eastAsia="宋体"/>
                <w:color w:val="0D0D0D"/>
                <w:sz w:val="24"/>
              </w:rPr>
              <w:t>、自动空调</w:t>
            </w:r>
          </w:p>
          <w:p>
            <w:pPr>
              <w:pStyle w:val="null3"/>
              <w:spacing w:after="120"/>
              <w:ind w:left="240"/>
              <w:jc w:val="both"/>
            </w:pPr>
            <w:r>
              <w:rPr>
                <w:rFonts w:ascii="宋体" w:hAnsi="宋体" w:cs="宋体" w:eastAsia="宋体"/>
                <w:color w:val="0D0D0D"/>
                <w:sz w:val="24"/>
              </w:rPr>
              <w:t>13</w:t>
            </w:r>
            <w:r>
              <w:rPr>
                <w:rFonts w:ascii="宋体" w:hAnsi="宋体" w:cs="宋体" w:eastAsia="宋体"/>
                <w:color w:val="0D0D0D"/>
                <w:sz w:val="24"/>
              </w:rPr>
              <w:t>、皮质座椅</w:t>
            </w:r>
          </w:p>
          <w:p>
            <w:pPr>
              <w:pStyle w:val="null3"/>
              <w:spacing w:after="120"/>
              <w:ind w:left="240"/>
              <w:jc w:val="both"/>
            </w:pPr>
            <w:r>
              <w:rPr>
                <w:rFonts w:ascii="宋体" w:hAnsi="宋体" w:cs="宋体" w:eastAsia="宋体"/>
                <w:color w:val="0D0D0D"/>
                <w:sz w:val="24"/>
              </w:rPr>
              <w:t>14</w:t>
            </w:r>
            <w:r>
              <w:rPr>
                <w:rFonts w:ascii="宋体" w:hAnsi="宋体" w:cs="宋体" w:eastAsia="宋体"/>
                <w:color w:val="0D0D0D"/>
                <w:sz w:val="24"/>
              </w:rPr>
              <w:t>、真皮方向盘</w:t>
            </w:r>
          </w:p>
          <w:p>
            <w:pPr>
              <w:pStyle w:val="null3"/>
              <w:spacing w:after="120"/>
              <w:ind w:left="240"/>
              <w:jc w:val="both"/>
            </w:pPr>
            <w:r>
              <w:rPr>
                <w:rFonts w:ascii="宋体" w:hAnsi="宋体" w:cs="宋体" w:eastAsia="宋体"/>
                <w:color w:val="0D0D0D"/>
                <w:sz w:val="24"/>
              </w:rPr>
              <w:t>15</w:t>
            </w:r>
            <w:r>
              <w:rPr>
                <w:rFonts w:ascii="宋体" w:hAnsi="宋体" w:cs="宋体" w:eastAsia="宋体"/>
                <w:color w:val="0D0D0D"/>
                <w:sz w:val="24"/>
              </w:rPr>
              <w:t>、全车安全带未系提醒</w:t>
            </w:r>
          </w:p>
          <w:p>
            <w:pPr>
              <w:pStyle w:val="null3"/>
              <w:spacing w:after="120"/>
              <w:ind w:left="240"/>
              <w:jc w:val="both"/>
            </w:pPr>
            <w:r>
              <w:rPr>
                <w:rFonts w:ascii="宋体" w:hAnsi="宋体" w:cs="宋体" w:eastAsia="宋体"/>
                <w:color w:val="0D0D0D"/>
                <w:sz w:val="24"/>
              </w:rPr>
              <w:t>16</w:t>
            </w:r>
            <w:r>
              <w:rPr>
                <w:rFonts w:ascii="宋体" w:hAnsi="宋体" w:cs="宋体" w:eastAsia="宋体"/>
                <w:color w:val="0D0D0D"/>
                <w:sz w:val="24"/>
              </w:rPr>
              <w:t>、倒车影像</w:t>
            </w:r>
          </w:p>
          <w:p>
            <w:pPr>
              <w:pStyle w:val="null3"/>
              <w:spacing w:after="120"/>
              <w:ind w:left="240"/>
              <w:jc w:val="both"/>
            </w:pPr>
            <w:r>
              <w:rPr>
                <w:rFonts w:ascii="宋体" w:hAnsi="宋体" w:cs="宋体" w:eastAsia="宋体"/>
                <w:color w:val="0D0D0D"/>
                <w:sz w:val="24"/>
              </w:rPr>
              <w:t>17</w:t>
            </w:r>
            <w:r>
              <w:rPr>
                <w:rFonts w:ascii="宋体" w:hAnsi="宋体" w:cs="宋体" w:eastAsia="宋体"/>
                <w:color w:val="0D0D0D"/>
                <w:sz w:val="24"/>
              </w:rPr>
              <w:t>、定速巡航</w:t>
            </w:r>
          </w:p>
          <w:p>
            <w:pPr>
              <w:pStyle w:val="null3"/>
              <w:ind w:left="240"/>
              <w:jc w:val="both"/>
            </w:pPr>
            <w:r>
              <w:rPr>
                <w:rFonts w:ascii="宋体" w:hAnsi="宋体" w:cs="宋体" w:eastAsia="宋体"/>
                <w:color w:val="0D0D0D"/>
                <w:sz w:val="24"/>
              </w:rPr>
              <w:t>18</w:t>
            </w:r>
            <w:r>
              <w:rPr>
                <w:rFonts w:ascii="宋体" w:hAnsi="宋体" w:cs="宋体" w:eastAsia="宋体"/>
                <w:color w:val="0D0D0D"/>
                <w:sz w:val="24"/>
              </w:rPr>
              <w:t>、卫星导航系统</w:t>
            </w:r>
          </w:p>
          <w:p>
            <w:pPr>
              <w:pStyle w:val="null3"/>
              <w:spacing w:after="120"/>
              <w:ind w:left="240"/>
              <w:jc w:val="both"/>
            </w:pPr>
            <w:r>
              <w:rPr>
                <w:rFonts w:ascii="宋体" w:hAnsi="宋体" w:cs="宋体" w:eastAsia="宋体"/>
                <w:color w:val="0D0D0D"/>
                <w:sz w:val="24"/>
              </w:rPr>
              <w:t>19</w:t>
            </w:r>
            <w:r>
              <w:rPr>
                <w:rFonts w:ascii="宋体" w:hAnsi="宋体" w:cs="宋体" w:eastAsia="宋体"/>
                <w:color w:val="0D0D0D"/>
                <w:sz w:val="24"/>
              </w:rPr>
              <w:t>、导航路况信息显示</w:t>
            </w:r>
          </w:p>
          <w:p>
            <w:pPr>
              <w:pStyle w:val="null3"/>
              <w:ind w:firstLine="210"/>
              <w:jc w:val="both"/>
            </w:pPr>
            <w:r>
              <w:rPr>
                <w:rFonts w:ascii="宋体" w:hAnsi="宋体" w:cs="宋体" w:eastAsia="宋体"/>
                <w:color w:val="0D0D0D"/>
                <w:sz w:val="21"/>
              </w:rPr>
              <w:t>注：以上技术参数描述如与某品牌或型号相一致，仅作为技术指标参考，不代表指定产品，供应商可提供等同于或优于参数要求的产品。</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自合同签订之日起15日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乐山市金口河区或双方约定地点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由供应商、采购方组织各2名经验丰富且多年驾龄的驾驶员现场验车，确认无缺陷、验收合格并交付使用无质量问题后支付货款（注：达到付款条件起10日，支付合同总金额的100.00%。），达到付款条件起10日内，据实情况说明为1.供应商须向采购人出具合法有效完整的发票及凭证资料进行支付结算；2.采购人如因财政划款原因延后，供应商理解并同意付款时间相应延迟，以财政划款为准。</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国家有关规定、采购文件的服务要求和商务要求、成交供应商的响应文件及承诺以及合同约定标准进行验收；履约验收按照《乐山市财政局关于沿用乐山市政府采购项目需求论证和履约验收管理实施细则的通知》（乐市财政采〔2021〕8号）的要求组织进行。 2.验收时如发现所交付的货物有短装、次品、损坏或其它不符合标准及合同规定之情形者，采购人应做出详尽的现场记录，或由采购人及成交供应商双方签署备忘录，此现场记录或备忘录可用作补充、缺失和更换损坏部件的有效证据，由此产生的时间延误与有关费用由成交供应商承担，验收期限相应顺延。 3.成交供应商应将所提供货物的装箱清单、配件、用户使用手册、原厂保修卡等资料交付给采购人；成交供应商不能完整交付货物及本款规定的单证和工具的，必须负责补齐，否则视为未按合同约定交货。</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1.供应商对所供车辆及设备必须免费提供技术培训和售后服务，包括设备结构、工作原理、故障判断、故障处理、设备的正常操作、保养、维护、修理等相关内容。 2.车辆及质保期：整车质保（三年或10万公里）；电池组质保（不低于八年或12万公里）；或供应商所投车辆更优的质保期。 3.供应商保证所供车辆及设备性能良好，若质保期内出现两次重大故障，供应商无条件更换所供同款同型号车辆。 4.在质保期内及质保期外，供应商接到服务需求电话后1小时内响应，5小时内派专业技术人员到达现场解决问题，一般故障在24小时内修复，重大问题，7天内修复。 5.质保期后，供应商应向用户提供及时的、优质的、价格优惠的技术服务和备品备件供应，提供终身服务。</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 甲乙双方一方违约，不执行、不遵守合同约定条款，且在另一方发出通知后的15天内仍未采取弥补措施的，另一方有权单方面解除合同，并要求违约方承担违约金，如违约金金额低于实际损失的，违约方必须另外予以补偿； 2.解决争议的方式： 在本协议的履行过程中发生的与本协议有关的争议，双方承诺通过友好协商解决。协商不成的，双方同意将争议提交采购人所在地有管辖权的人民法院通过诉讼方式解决。</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采购包1：</w:t>
      </w:r>
    </w:p>
    <w:p>
      <w:pPr>
        <w:pStyle w:val="null3"/>
        <w:jc w:val="left"/>
      </w:pPr>
      <w:r>
        <w:rPr/>
        <w:t xml:space="preserve"> ★1.报价要求：投标供应商报价指祼车价（包括但不限于：提供首保，全包围脚垫、全车防爆膜、包装、运输、安装、调试、检测、验收合格交付使用之前及保修期内保修服务与备用物件等等所有其他有关各项的含税费用）。供应商应协助采购人车辆的上户上牌工作。如出现在报价估算错误等引起的损失由供应商自行承担。 ★2.安全要求：在项目实施过程中的安全责任由成交供应商负全责，采购人不承担任何安全责任，也不承担如发生安全事故产生的任何责任。（提供承诺函原件，盖公章） 3.质量标准： 3.1投标产品为工信部《道路机动车辆生产企业及产品公告》公告车型。（提供工信部网站公告的截图复印件加盖公章） 3.2投标产品为市场在售最新款无损全新车辆。（须提供承诺函原件） 3.3提供能反映投标产品技术需求的制造商官方网站截屏资料。 3.4投标产品符合乐山市上户排放标准。（投标人提供交付车辆时符合上户标准承诺函原件）</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ind w:firstLine="480"/>
        <w:jc w:val="left"/>
      </w:pPr>
      <w:r>
        <w:rPr>
          <w:rFonts w:ascii="宋体" w:hAnsi="宋体" w:cs="宋体" w:eastAsia="宋体"/>
        </w:rPr>
        <w:t>本谈判文件中除标注</w:t>
      </w:r>
      <w:r>
        <w:rPr>
          <w:rFonts w:ascii="宋体" w:hAnsi="宋体" w:cs="宋体" w:eastAsia="宋体"/>
        </w:rPr>
        <w:t>“★”实质性要求以外的内容，根据采购人项目实际需求可进行谈判。</w:t>
      </w:r>
    </w:p>
    <w:p>
      <w:pPr>
        <w:pStyle w:val="null3"/>
        <w:ind w:firstLine="480"/>
        <w:jc w:val="left"/>
      </w:pPr>
      <w:r>
        <w:rPr/>
        <w:t>二、第七章“拟签订采购合同文本”：</w:t>
      </w:r>
    </w:p>
    <w:p>
      <w:pPr>
        <w:pStyle w:val="null3"/>
        <w:ind w:firstLine="480"/>
        <w:jc w:val="left"/>
      </w:pPr>
      <w:r>
        <w:rPr>
          <w:rFonts w:ascii="宋体" w:hAnsi="宋体" w:cs="宋体" w:eastAsia="宋体"/>
        </w:rPr>
        <w:t>本谈判文件中除标注</w:t>
      </w:r>
      <w:r>
        <w:rPr>
          <w:rFonts w:ascii="宋体" w:hAnsi="宋体" w:cs="宋体" w:eastAsia="宋体"/>
        </w:rPr>
        <w:t>“★”实质性要求以外的内容，根据采购人项目实际需求可进行谈判。</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注：供应商报价低于最高限价50%或者低于其他有效供应商报价算术平均价40%的，谈判小组可以认为该供应商“报价明显低于其他通过符合性审查供应商的报价”。）2.在填写《报价表》时，供应商所报响应单价不得超过单价限价，响应总价不得超过最高限价，否则按响应无效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产品技术参数响应</w:t>
            </w:r>
          </w:p>
        </w:tc>
        <w:tc>
          <w:tcPr>
            <w:tcW w:type="dxa" w:w="3322"/>
          </w:tcPr>
          <w:p>
            <w:pPr>
              <w:pStyle w:val="null3"/>
              <w:jc w:val="left"/>
            </w:pPr>
            <w:r>
              <w:rPr/>
              <w:t>1.供应商须把采购文件第三章“3.2技术要求”中的全部内容按顺序对应列入此表进行应答。带“★”参数为本项目实质性要求，谈判前不满足或有负偏离的，响应文件作无效处理。 2.响应文件须加盖供应商电子印章。</w:t>
            </w:r>
          </w:p>
        </w:tc>
        <w:tc>
          <w:tcPr>
            <w:tcW w:type="dxa" w:w="1910"/>
          </w:tcPr>
          <w:p>
            <w:pPr>
              <w:pStyle w:val="null3"/>
              <w:jc w:val="left"/>
            </w:pPr>
            <w:r>
              <w:rPr/>
              <w:t>产品技术参数响应表</w:t>
            </w:r>
          </w:p>
        </w:tc>
      </w:tr>
      <w:tr>
        <w:tc>
          <w:tcPr>
            <w:tcW w:type="dxa" w:w="581"/>
          </w:tcPr>
          <w:p>
            <w:pPr>
              <w:pStyle w:val="null3"/>
              <w:jc w:val="center"/>
            </w:pPr>
            <w:r>
              <w:rPr/>
              <w:t>4</w:t>
            </w:r>
          </w:p>
        </w:tc>
        <w:tc>
          <w:tcPr>
            <w:tcW w:type="dxa" w:w="2492"/>
          </w:tcPr>
          <w:p>
            <w:pPr>
              <w:pStyle w:val="null3"/>
              <w:jc w:val="left"/>
            </w:pPr>
            <w:r>
              <w:rPr/>
              <w:t>商务要求响应</w:t>
            </w:r>
          </w:p>
        </w:tc>
        <w:tc>
          <w:tcPr>
            <w:tcW w:type="dxa" w:w="3322"/>
          </w:tcPr>
          <w:p>
            <w:pPr>
              <w:pStyle w:val="null3"/>
              <w:jc w:val="left"/>
            </w:pPr>
            <w:r>
              <w:rPr/>
              <w:t>供应商须对采购文件第三章“3.3.2商务要求”及“3.4其他要求”的全部内容逐条进行响应。标注有“★”的内容为采购文件实质性要求，谈判前未响应或有负偏离的，作无效处理，响应文件须加盖供应商电子印章。</w:t>
            </w:r>
          </w:p>
        </w:tc>
        <w:tc>
          <w:tcPr>
            <w:tcW w:type="dxa" w:w="1910"/>
          </w:tcPr>
          <w:p>
            <w:pPr>
              <w:pStyle w:val="null3"/>
              <w:jc w:val="left"/>
            </w:pPr>
            <w:r>
              <w:rPr/>
              <w:t>商务要求应答表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最后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1、评审价格=响应报价。2、经价格调整后的评审价格=响应报价×（1-价格调整比例）3、基准价=经价格调整后评审价格的最低值。1. 经谈判小组评审，通过资格和符合性审查，且响应报价最低的供应商的响应报价作为评审基准价。2.响应报价得分=(评审基准价／响应报价)×评审系数。</w:t>
            </w:r>
          </w:p>
        </w:tc>
        <w:tc>
          <w:tcPr>
            <w:tcW w:type="dxa" w:w="2123"/>
          </w:tcPr>
          <w:p>
            <w:pPr>
              <w:pStyle w:val="null3"/>
              <w:jc w:val="left"/>
            </w:pPr>
            <w:r>
              <w:rPr/>
              <w:t>报价一览表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本采购文件第三章“3.1采购内容”中列为环境标志的产品，供应商可根据自身实际按采购文件要求提供环境标志产品证明材料，此项属于按需提供的内容，不作强制要求。</w:t>
            </w:r>
          </w:p>
        </w:tc>
        <w:tc>
          <w:tcPr>
            <w:tcW w:type="dxa" w:w="2955"/>
          </w:tcPr>
          <w:p>
            <w:pPr>
              <w:pStyle w:val="null3"/>
              <w:jc w:val="left"/>
            </w:pPr>
            <w:r>
              <w:rPr/>
              <w:t>优先采购产品认证资料（环境）</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一、评审结束后，代理机构在评审结束后2个工作日内将谈判报告送采购人。</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三、采购人或者代理机构应当自成交供应商确定之日起 2 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详见附件：产品技术参数响应表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详见附件：优先采购产品认证资料（环境）</w:t>
      </w:r>
    </w:p>
    <w:p>
      <w:pPr>
        <w:pStyle w:val="null3"/>
        <w:ind w:firstLine="960"/>
        <w:jc w:val="left"/>
      </w:pPr>
      <w:r>
        <w:rPr/>
        <w:t>详见附件：商务要求应答表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《谈判文件》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