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版本号：N511113202500007420251017001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乐山市金口河区永和镇胜利村2组民用输电线路提升工程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N5111132025000074</w:t>
      </w:r>
    </w:p>
    <w:p>
      <w:pPr>
        <w:pStyle w:val="null3"/>
        <w:jc w:val="left"/>
        <w:outlineLvl w:val="2"/>
      </w:pPr>
      <w:r>
        <w:rPr>
          <w:rFonts w:ascii="仿宋_GB2312" w:hAnsi="仿宋_GB2312" w:cs="仿宋_GB2312" w:eastAsia="仿宋_GB2312"/>
          <w:sz w:val="28"/>
          <w:b/>
        </w:rPr>
        <w:t>乐山市金口河区永和镇人民政府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乐山市金口河区永和镇人民政府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乐山市金口河区永和镇胜利村2组民用输电线路提升工程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乐山市金口河区永和镇胜利村2组民用输电线路提升工程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新建高压10kv线路约9千米(其中架空绝缘导线约3.3千米;电缆线路约5.7千米),新建250KVa箱式变压器一台，50kVA柱上变1台，更换老化分户低压线路约2千米等其他配电设施设备。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电力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同时具备电力监管部门颁发的承装(修、试)电力设施许可证五级及以上资质的单位。（描述：供应商应当同时具备电力监管部门颁发的承装(修、试)电力设施许可证五级及以上资质的单位；供应商需在使用投标（响应）客户端编制响应文件时，按要求上传相应证明文件并进行电子签章。）</w:t>
      </w:r>
    </w:p>
    <w:p>
      <w:pPr>
        <w:pStyle w:val="null3"/>
        <w:jc w:val="left"/>
      </w:pPr>
      <w:r>
        <w:rPr>
          <w:rFonts w:ascii="仿宋_GB2312" w:hAnsi="仿宋_GB2312" w:cs="仿宋_GB2312" w:eastAsia="仿宋_GB2312"/>
        </w:rPr>
        <w:t>3、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乐山市金口河区永和镇人民政府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乐山市金口河区永和镇新民村三组166号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罗予舒</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19881053831</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采购包1：3,434,491.13元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乐山市金口河区永和镇人民政府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乐山市金口河区永和镇人民政府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详见谈判文件。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详见谈判文件。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(1)成交人与采购人应严格按照《财政部关于进一步加强政府采购需求和履约 验收管理的指导意见》(财库(2016)205号)的要求、采购文件规定的要求和响 应文件及合同承诺的内容进行验收。(2)除合同另有约定外，材料、施工工艺和本工程都应依照本技术标准和要求 以及适用的现行规范、标准和规程的最新版本执行。若适用的现行规范、标准和规程的最新版本是在基准日后颁布的，且相应标准发生变更并成为合同文件中最严格 的标准，则应按合同条款的约定办理。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在本项目采购文件中没有提及的与本项目约切实相关的事宜，在采购人与成交供应商订立合同时按明细约定或后续补充约定(约定的内容须符合国家相关法律法规的规定)。</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乐山市金口河区永和镇人民政府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联系人：罗予舒</w:t>
      </w:r>
    </w:p>
    <w:p>
      <w:pPr>
        <w:pStyle w:val="null3"/>
        <w:jc w:val="left"/>
      </w:pPr>
      <w:r>
        <w:rPr>
          <w:rFonts w:ascii="仿宋_GB2312" w:hAnsi="仿宋_GB2312" w:cs="仿宋_GB2312" w:eastAsia="仿宋_GB2312"/>
        </w:rPr>
        <w:t>联系电话：19881053831</w:t>
      </w:r>
    </w:p>
    <w:p>
      <w:pPr>
        <w:pStyle w:val="null3"/>
        <w:jc w:val="left"/>
      </w:pPr>
      <w:r>
        <w:rPr>
          <w:rFonts w:ascii="仿宋_GB2312" w:hAnsi="仿宋_GB2312" w:cs="仿宋_GB2312" w:eastAsia="仿宋_GB2312"/>
        </w:rPr>
        <w:t>地址：乐山市金口河区永和镇新民村三组166号</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3,434,491.13</w:t>
      </w:r>
    </w:p>
    <w:p>
      <w:pPr>
        <w:pStyle w:val="null3"/>
        <w:jc w:val="left"/>
      </w:pPr>
      <w:r>
        <w:rPr>
          <w:rFonts w:ascii="仿宋_GB2312" w:hAnsi="仿宋_GB2312" w:cs="仿宋_GB2312" w:eastAsia="仿宋_GB2312"/>
        </w:rPr>
        <w:t>采购包最高限价（元）: 3,434,491.13</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B02130302 长距离电力线路（电缆）铺设</w:t>
            </w:r>
          </w:p>
        </w:tc>
        <w:tc>
          <w:tcPr>
            <w:tcW w:type="dxa" w:w="821"/>
          </w:tcPr>
          <w:p>
            <w:pPr>
              <w:pStyle w:val="null3"/>
              <w:jc w:val="left"/>
            </w:pPr>
            <w:r>
              <w:rPr>
                <w:rFonts w:ascii="仿宋_GB2312" w:hAnsi="仿宋_GB2312" w:cs="仿宋_GB2312" w:eastAsia="仿宋_GB2312"/>
              </w:rPr>
              <w:t>乐山市金口河区永和镇胜利村2组民用输电线路提升工程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3,434,491.13</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乐山市金口河区永和镇胜利村2组民用输电线路提升工程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3,434,491.13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B02130302 长距离电力线路（电缆）铺设</w:t>
            </w:r>
          </w:p>
        </w:tc>
        <w:tc>
          <w:tcPr>
            <w:tcW w:type="dxa" w:w="2492"/>
          </w:tcPr>
          <w:p>
            <w:pPr>
              <w:pStyle w:val="null3"/>
              <w:jc w:val="left"/>
            </w:pPr>
            <w:r>
              <w:rPr>
                <w:rFonts w:ascii="仿宋_GB2312" w:hAnsi="仿宋_GB2312" w:cs="仿宋_GB2312" w:eastAsia="仿宋_GB2312"/>
              </w:rPr>
              <w:t>乐山市金口河区永和镇胜利村2组民用输电线路提升工程</w:t>
            </w:r>
          </w:p>
        </w:tc>
        <w:tc>
          <w:tcPr>
            <w:tcW w:type="dxa" w:w="2492"/>
          </w:tcPr>
          <w:p>
            <w:pPr>
              <w:pStyle w:val="null3"/>
              <w:jc w:val="left"/>
            </w:pPr>
            <w:r>
              <w:rPr>
                <w:rFonts w:ascii="仿宋_GB2312" w:hAnsi="仿宋_GB2312" w:cs="仿宋_GB2312" w:eastAsia="仿宋_GB2312"/>
              </w:rPr>
              <w:t>组合式成套箱式变电站 250kVA、杆上变压器 50kVA</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B02130302 长距离电力线路（电缆）铺设</w:t>
            </w:r>
          </w:p>
        </w:tc>
        <w:tc>
          <w:tcPr>
            <w:tcW w:type="dxa" w:w="2492"/>
          </w:tcPr>
          <w:p>
            <w:pPr>
              <w:pStyle w:val="null3"/>
              <w:jc w:val="left"/>
            </w:pPr>
            <w:r>
              <w:rPr>
                <w:rFonts w:ascii="仿宋_GB2312" w:hAnsi="仿宋_GB2312" w:cs="仿宋_GB2312" w:eastAsia="仿宋_GB2312"/>
              </w:rPr>
              <w:t>乐山市金口河区永和镇胜利村2组民用输电线路提升工程</w:t>
            </w:r>
          </w:p>
        </w:tc>
        <w:tc>
          <w:tcPr>
            <w:tcW w:type="dxa" w:w="2492"/>
          </w:tcPr>
          <w:p>
            <w:pPr>
              <w:pStyle w:val="null3"/>
              <w:jc w:val="left"/>
            </w:pPr>
            <w:r>
              <w:rPr>
                <w:rFonts w:ascii="仿宋_GB2312" w:hAnsi="仿宋_GB2312" w:cs="仿宋_GB2312" w:eastAsia="仿宋_GB2312"/>
              </w:rPr>
              <w:t>C15混凝土、C20混凝土、C25混凝土、M7.5水泥砂浆、CPVC</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标的名称：乐山市金口河区永和镇胜利村2组民用输电线路提升工程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both"/>
            </w:pPr>
            <w:r>
              <w:rPr>
                <w:rFonts w:ascii="仿宋_GB2312" w:hAnsi="仿宋_GB2312" w:cs="仿宋_GB2312" w:eastAsia="仿宋_GB2312"/>
                <w:sz w:val="24"/>
              </w:rPr>
              <w:t>1、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1）承包人应加强施工作业安全管理，特别应加强易燃易爆材料、火工器材、有毒与腐蚀性材料和其他危险品的管理，以及对爆破作业和地下工程施工等危险作业的管理。（2）承包人应严格按照国家安全标准制定施工安全操作规程，配备必要的安全生产和劳动保护设施，加强对承包人人员的安全教育，并发放安全工作手册和劳动保护用具。（3）承包人应按监理人的指示制定应对灾害的紧急预案，报送监理人审批。承包人还应按预案做好安全检查，配置必要的救助物资和器材，切实保护好有关人员的人身和财产安全。（4）承包人应对其履行合同所雇佣的全部人员，包括分包人人员的工伤事故承担责任。（5）由于承包人原因在施工场地内及其毗邻地带造成的第三者人员伤亡和财产损失，由承包人负责赔偿。（6）承包人应建立健全安全生产责任制度和安全生产教育培训制度，制定安全生产规章制度和操作规程，保证本单位建立和完善安全生产条件所需资金的投入，对本工程进行定期和专项安全检查，并做好安全检查记录。（7）其他满足国家及地方省市有关安全文明施工的要求。</w:t>
            </w:r>
          </w:p>
          <w:p>
            <w:pPr>
              <w:pStyle w:val="null3"/>
              <w:jc w:val="both"/>
            </w:pPr>
            <w:r>
              <w:rPr>
                <w:rFonts w:ascii="仿宋_GB2312" w:hAnsi="仿宋_GB2312" w:cs="仿宋_GB2312" w:eastAsia="仿宋_GB2312"/>
                <w:sz w:val="24"/>
              </w:rPr>
              <w:t>2、本项目施工实施过程中，供应商须严格按照项目施工方案及规范施工并做好安全防护措施，在施工过程中，对施工范围周边区域原有设施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4"/>
              </w:rPr>
              <w:t>采购标的需满足业主及现行相关法律法规的质量、服务、安全、时限等要求。因承包人原因造成工程质量达不到合同约定验收标准的</w:t>
            </w:r>
            <w:r>
              <w:rPr>
                <w:rFonts w:ascii="仿宋_GB2312" w:hAnsi="仿宋_GB2312" w:cs="仿宋_GB2312" w:eastAsia="仿宋_GB2312"/>
                <w:sz w:val="24"/>
              </w:rPr>
              <w:t>,采购人有权要求承包人返工直至符合合同要求为止，由此造成的费用增加和(或)工期延误由承包人承担。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环保环境要求</w:t>
            </w:r>
          </w:p>
        </w:tc>
        <w:tc>
          <w:tcPr>
            <w:tcW w:type="dxa" w:w="5814"/>
          </w:tcPr>
          <w:p>
            <w:pPr>
              <w:pStyle w:val="null3"/>
              <w:jc w:val="both"/>
            </w:pPr>
            <w:r>
              <w:rPr>
                <w:rFonts w:ascii="仿宋_GB2312" w:hAnsi="仿宋_GB2312" w:cs="仿宋_GB2312" w:eastAsia="仿宋_GB2312"/>
                <w:sz w:val="24"/>
              </w:rPr>
              <w:t>施工区域应严格遵守国家环保环境相关法规、地方环保环境相关规定，避免影响周边居民生活出行和生产，做好打围提醒标志标识、降噪、降尘等措施。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本项目所有工程安全责任(含事故)由成交供应商全部承担，与采购人无关，成交供应商在进场后须严格按照相关规范要求进行施工，并无条件遵从监理单位提出的科学、规范、合理意见。成交供应商(施工单位)在施工过程中无条件接受监理单位的监督、检查、审核和技术指导，施工单位作为总承包有义务无条件完成采购人提出的与施工相关的增加项目(费用以造价清单或审核依据为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）本项目拟派项目负责人至投标截止之日不得在其他任何在建合同工程(包括工程总承包项目)担任项目负责人。</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工程量清单、施工图纸</w:t>
            </w:r>
          </w:p>
        </w:tc>
        <w:tc>
          <w:tcPr>
            <w:tcW w:type="dxa" w:w="5814"/>
          </w:tcPr>
          <w:p>
            <w:pPr>
              <w:pStyle w:val="null3"/>
              <w:jc w:val="left"/>
            </w:pPr>
            <w:r>
              <w:rPr>
                <w:rFonts w:ascii="仿宋_GB2312" w:hAnsi="仿宋_GB2312" w:cs="仿宋_GB2312" w:eastAsia="仿宋_GB2312"/>
              </w:rPr>
              <w:t>详见附件：工程量清单、施工图纸</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具备机电工程类专业中级及以上职称。提供：1、人员证书复印件；2、提供其为本单位人员的证明材料。（均加盖单位鲜章）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2年，自工程竣工验收合格之日起算。缺陷责任期内出现质量问题须免费维修、更换，供应商须在1小时内响应，4小时内完成维修任务。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民工工资保证金</w:t>
            </w:r>
          </w:p>
        </w:tc>
        <w:tc>
          <w:tcPr>
            <w:tcW w:type="dxa" w:w="5814"/>
          </w:tcPr>
          <w:p>
            <w:pPr>
              <w:pStyle w:val="null3"/>
              <w:jc w:val="left"/>
            </w:pPr>
            <w:r>
              <w:rPr>
                <w:rFonts w:ascii="仿宋_GB2312" w:hAnsi="仿宋_GB2312" w:cs="仿宋_GB2312" w:eastAsia="仿宋_GB2312"/>
              </w:rPr>
              <w:t>按照乐山市住房和城乡建设局有关规定执行，民工工资支付按《工程建设领域农民工工资保证金规定》(人社部发[2021]65 号)文件有关规定在合同签订前缴纳民工工资保证金。</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自合同签订之日起180日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乐山市金口河区永和镇胜利村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1、预付款，工程预付款，合同签订且监理下达开工令并进场施工后，达到付款条件起7日内，据实情况说明为支付合同价款的30%</w:t>
            </w:r>
          </w:p>
          <w:p>
            <w:pPr>
              <w:pStyle w:val="null3"/>
              <w:jc w:val="left"/>
            </w:pPr>
            <w:r>
              <w:rPr>
                <w:rFonts w:ascii="仿宋_GB2312" w:hAnsi="仿宋_GB2312" w:cs="仿宋_GB2312" w:eastAsia="仿宋_GB2312"/>
              </w:rPr>
              <w:t>2、进度款，项目进度付款根据工程施工进度进行支付，进度款支付不超过合同价款的79%，达到付款条件起30日内，据实情况说明为支付合同价款49%</w:t>
            </w:r>
          </w:p>
          <w:p>
            <w:pPr>
              <w:pStyle w:val="null3"/>
              <w:jc w:val="left"/>
            </w:pPr>
            <w:r>
              <w:rPr>
                <w:rFonts w:ascii="仿宋_GB2312" w:hAnsi="仿宋_GB2312" w:cs="仿宋_GB2312" w:eastAsia="仿宋_GB2312"/>
              </w:rPr>
              <w:t>3、尾款，工程完工验收合格且完成结算评审后，达到付款条件起30日内，据实情况说明为支付至审定金额的97%</w:t>
            </w:r>
          </w:p>
          <w:p>
            <w:pPr>
              <w:pStyle w:val="null3"/>
              <w:jc w:val="left"/>
            </w:pPr>
            <w:r>
              <w:rPr>
                <w:rFonts w:ascii="仿宋_GB2312" w:hAnsi="仿宋_GB2312" w:cs="仿宋_GB2312" w:eastAsia="仿宋_GB2312"/>
              </w:rPr>
              <w:t>4、质量保证金，待缺陷责任期满后且无质量问题则无息支付完此款项，达到付款条件起30日内，据实情况说明为支付至审定金额的100%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(1)成交人与采购人应严格按照《财政部关于进一步加强政府采购需求和履约 验收管理的指导意见》(财库(2016)205号)的要求、采购文件规定的要求和响 应文件及合同承诺的内容进行验收。(2)除合同另有约定外，材料、施工工艺和本工程都应依照本技术标准和要求 以及适用的现行规范、标准和规程的最新版本执行。若适用的现行规范、标准和规程的最新版本是在基准日后颁布的，且相应标准发生变更并成为合同文件中最严格 的标准，则应按合同条款的约定办理。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执行。本项目施工实施过程中，供应商须严格按照项目施工方案及规范施工并做好安全防护措施，在施工过程中，对施工范围周边区域原有设施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机电工程二级注册建造师及以上建造师注册证书原件扫描件；供应商应当提供项目负责人的行业主管部门颁发的且在有效期内的房屋建筑和市政基础设施工程安全生产考核合格证书（B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电力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同时具备电力监管部门颁发的承装(修、试)电力设施许可证五级及以上资质的单位。</w:t>
            </w:r>
          </w:p>
        </w:tc>
        <w:tc>
          <w:tcPr>
            <w:tcW w:type="dxa" w:w="3322"/>
          </w:tcPr>
          <w:p>
            <w:pPr>
              <w:pStyle w:val="null3"/>
              <w:jc w:val="left"/>
            </w:pPr>
            <w:r>
              <w:rPr>
                <w:rFonts w:ascii="仿宋_GB2312" w:hAnsi="仿宋_GB2312" w:cs="仿宋_GB2312" w:eastAsia="仿宋_GB2312"/>
              </w:rPr>
              <w:t>供应商应当同时具备电力监管部门颁发的承装(修、试)电力设施许可证五级及以上资质的单位；供应商需在使用投标（响应）客户端编制响应文件时，按要求上传相应证明文件并进行电子签章。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供应商应提交的相关证明材料,入川承诺函.docx,投标（响应）函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详见附件：电力项目合同模板(1).docx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