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1E4A39">
      <w:pPr>
        <w:keepNext w:val="0"/>
        <w:keepLines w:val="0"/>
        <w:pageBreakBefore w:val="0"/>
        <w:widowControl w:val="0"/>
        <w:kinsoku/>
        <w:wordWrap/>
        <w:overflowPunct/>
        <w:topLinePunct w:val="0"/>
        <w:autoSpaceDE/>
        <w:autoSpaceDN/>
        <w:bidi w:val="0"/>
        <w:adjustRightInd/>
        <w:snapToGrid/>
        <w:spacing w:after="469" w:afterLines="150" w:line="360" w:lineRule="auto"/>
        <w:ind w:firstLine="964" w:firstLineChars="200"/>
        <w:jc w:val="center"/>
        <w:textAlignment w:val="auto"/>
        <w:rPr>
          <w:rFonts w:hint="eastAsia" w:ascii="宋体" w:hAnsi="宋体" w:eastAsia="宋体" w:cs="宋体"/>
          <w:b/>
          <w:bCs/>
          <w:sz w:val="48"/>
          <w:szCs w:val="48"/>
          <w:lang w:val="en-US" w:eastAsia="zh-CN"/>
        </w:rPr>
        <w:sectPr>
          <w:headerReference r:id="rId3" w:type="default"/>
          <w:footerReference r:id="rId4" w:type="default"/>
          <w:type w:val="continuous"/>
          <w:pgSz w:w="23811" w:h="16838" w:orient="landscape"/>
          <w:pgMar w:top="1800" w:right="1440" w:bottom="1800" w:left="1440" w:header="851" w:footer="992" w:gutter="0"/>
          <w:pgNumType w:fmt="decimal"/>
          <w:cols w:space="425" w:num="1"/>
          <w:docGrid w:type="lines" w:linePitch="312" w:charSpace="0"/>
        </w:sectPr>
      </w:pPr>
      <w:r>
        <w:rPr>
          <w:rFonts w:hint="eastAsia" w:ascii="宋体" w:hAnsi="宋体" w:eastAsia="宋体" w:cs="宋体"/>
          <w:b/>
          <w:bCs/>
          <w:sz w:val="48"/>
          <w:szCs w:val="48"/>
          <w:lang w:val="en-US" w:eastAsia="zh-CN"/>
        </w:rPr>
        <w:t>施 工 图 设 计 说 明</w:t>
      </w:r>
    </w:p>
    <w:p w14:paraId="3CDC416D">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b/>
          <w:bCs/>
          <w:sz w:val="32"/>
          <w:szCs w:val="32"/>
          <w:lang w:val="en-US" w:eastAsia="zh-CN"/>
        </w:rPr>
      </w:pPr>
      <w:r>
        <w:rPr>
          <w:rFonts w:hint="eastAsia" w:ascii="宋体" w:hAnsi="宋体" w:eastAsia="宋体" w:cs="宋体"/>
          <w:b/>
          <w:bCs/>
          <w:sz w:val="32"/>
          <w:szCs w:val="32"/>
          <w:lang w:val="en-US" w:eastAsia="zh-CN"/>
        </w:rPr>
        <w:t>一、项目概况</w:t>
      </w:r>
    </w:p>
    <w:p w14:paraId="40BEC33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共安彝族乡是乐山市仅有的两个彝族乡之一，位于金口河区政府驻地西南面，北临永和镇，南临凉山州，东临</w:t>
      </w:r>
      <w:r>
        <w:rPr>
          <w:rFonts w:hint="eastAsia" w:ascii="宋体" w:hAnsi="宋体" w:eastAsia="宋体" w:cs="宋体"/>
          <w:sz w:val="24"/>
          <w:szCs w:val="24"/>
          <w:lang w:eastAsia="zh-CN"/>
        </w:rPr>
        <w:t>峨边彝族自治县</w:t>
      </w:r>
      <w:r>
        <w:rPr>
          <w:rFonts w:hint="eastAsia" w:ascii="宋体" w:hAnsi="宋体" w:eastAsia="宋体" w:cs="宋体"/>
          <w:sz w:val="24"/>
          <w:szCs w:val="24"/>
        </w:rPr>
        <w:t>，西临甘洛县，1962年建立共安公社，1984年3月成立共安彝族乡至今。全乡幅员面积168.3平方公里，辖新河、文店、象鼻、林丰村4个村24个村民小组，总人口1797户6692人，其中彝族835户3471人，占总人口的51.87%。全乡现有耕地4701.65亩，退耕还林10989亩，林地232815.4亩，森林面积206405.4亩,麻杆林工区41940亩，郑毕顶工区41134亩，森林覆盖率达81.8％，24个村民小组通公路。境内有鼓尔石沟、月儿山沟、磨坊沟、盐井溪、龙胆溪等大小溪流5条，可开发利用的水资源达3万千瓦，目前建成小水电21个，总装机达2.7万千瓦。八月林保护区位于共安彝族乡境内，总面积8.4万亩，园区动植物资源丰富，素有“天然氧吧”之称。</w:t>
      </w:r>
    </w:p>
    <w:p w14:paraId="4E7C2E85">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pPr>
      <w:r>
        <w:rPr>
          <w:sz w:val="24"/>
        </w:rPr>
        <mc:AlternateContent>
          <mc:Choice Requires="wps">
            <w:drawing>
              <wp:anchor distT="0" distB="0" distL="114300" distR="114300" simplePos="0" relativeHeight="251659264" behindDoc="0" locked="0" layoutInCell="1" allowOverlap="1">
                <wp:simplePos x="0" y="0"/>
                <wp:positionH relativeFrom="column">
                  <wp:posOffset>3659505</wp:posOffset>
                </wp:positionH>
                <wp:positionV relativeFrom="paragraph">
                  <wp:posOffset>1135380</wp:posOffset>
                </wp:positionV>
                <wp:extent cx="1621790" cy="492125"/>
                <wp:effectExtent l="669925" t="6350" r="9525" b="888365"/>
                <wp:wrapNone/>
                <wp:docPr id="15" name="矩形标注 15"/>
                <wp:cNvGraphicFramePr/>
                <a:graphic xmlns:a="http://schemas.openxmlformats.org/drawingml/2006/main">
                  <a:graphicData uri="http://schemas.microsoft.com/office/word/2010/wordprocessingShape">
                    <wps:wsp>
                      <wps:cNvSpPr/>
                      <wps:spPr>
                        <a:xfrm>
                          <a:off x="4321810" y="6198235"/>
                          <a:ext cx="1621790" cy="492125"/>
                        </a:xfrm>
                        <a:prstGeom prst="wedgeRectCallout">
                          <a:avLst>
                            <a:gd name="adj1" fmla="val -88781"/>
                            <a:gd name="adj2" fmla="val 221870"/>
                          </a:avLst>
                        </a:prstGeom>
                      </wps:spPr>
                      <wps:style>
                        <a:lnRef idx="3">
                          <a:schemeClr val="lt1"/>
                        </a:lnRef>
                        <a:fillRef idx="1">
                          <a:schemeClr val="accent6"/>
                        </a:fillRef>
                        <a:effectRef idx="1">
                          <a:schemeClr val="accent6"/>
                        </a:effectRef>
                        <a:fontRef idx="minor">
                          <a:schemeClr val="lt1"/>
                        </a:fontRef>
                      </wps:style>
                      <wps:txbx>
                        <w:txbxContent>
                          <w:p w14:paraId="52B8BC29">
                            <w:pPr>
                              <w:jc w:val="both"/>
                              <w:rPr>
                                <w:rFonts w:hint="eastAsia"/>
                                <w:b/>
                                <w:bCs/>
                                <w:sz w:val="24"/>
                                <w:szCs w:val="32"/>
                                <w:lang w:val="en-US" w:eastAsia="zh-CN"/>
                              </w:rPr>
                            </w:pPr>
                            <w:r>
                              <w:rPr>
                                <w:rFonts w:hint="eastAsia"/>
                                <w:b/>
                                <w:bCs/>
                                <w:sz w:val="24"/>
                                <w:szCs w:val="32"/>
                                <w:lang w:val="en-US" w:eastAsia="zh-CN"/>
                              </w:rPr>
                              <w:t>本项目所在区域位置</w:t>
                            </w:r>
                          </w:p>
                          <w:p w14:paraId="42C4BC26">
                            <w:pPr>
                              <w:jc w:val="center"/>
                              <w:rPr>
                                <w:rFonts w:hint="default"/>
                                <w:b/>
                                <w:bCs/>
                                <w:sz w:val="24"/>
                                <w:szCs w:val="32"/>
                                <w:lang w:val="en-US" w:eastAsia="zh-CN"/>
                              </w:rPr>
                            </w:pPr>
                            <w:r>
                              <w:rPr>
                                <w:rFonts w:hint="eastAsia"/>
                                <w:b/>
                                <w:bCs/>
                                <w:sz w:val="24"/>
                                <w:szCs w:val="32"/>
                                <w:lang w:val="en-US" w:eastAsia="zh-CN"/>
                              </w:rPr>
                              <w:t>新河村</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288.15pt;margin-top:89.4pt;height:38.75pt;width:127.7pt;z-index:251659264;v-text-anchor:middle;mso-width-relative:page;mso-height-relative:page;" fillcolor="#70AD47 [3209]" filled="t" stroked="t" coordsize="21600,21600" o:gfxdata="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" adj="-8377,58724">
                <v:fill on="t" focussize="0,0"/>
                <v:stroke weight="1.5pt" color="#FFFFFF [3201]" miterlimit="8" joinstyle="miter"/>
                <v:imagedata o:title=""/>
                <o:lock v:ext="edit" aspectratio="f"/>
                <v:textbox>
                  <w:txbxContent>
                    <w:p w14:paraId="52B8BC29">
                      <w:pPr>
                        <w:jc w:val="both"/>
                        <w:rPr>
                          <w:rFonts w:hint="eastAsia"/>
                          <w:b/>
                          <w:bCs/>
                          <w:sz w:val="24"/>
                          <w:szCs w:val="32"/>
                          <w:lang w:val="en-US" w:eastAsia="zh-CN"/>
                        </w:rPr>
                      </w:pPr>
                      <w:r>
                        <w:rPr>
                          <w:rFonts w:hint="eastAsia"/>
                          <w:b/>
                          <w:bCs/>
                          <w:sz w:val="24"/>
                          <w:szCs w:val="32"/>
                          <w:lang w:val="en-US" w:eastAsia="zh-CN"/>
                        </w:rPr>
                        <w:t>本项目所在区域位置</w:t>
                      </w:r>
                    </w:p>
                    <w:p w14:paraId="42C4BC26">
                      <w:pPr>
                        <w:jc w:val="center"/>
                        <w:rPr>
                          <w:rFonts w:hint="default"/>
                          <w:b/>
                          <w:bCs/>
                          <w:sz w:val="24"/>
                          <w:szCs w:val="32"/>
                          <w:lang w:val="en-US" w:eastAsia="zh-CN"/>
                        </w:rPr>
                      </w:pPr>
                      <w:r>
                        <w:rPr>
                          <w:rFonts w:hint="eastAsia"/>
                          <w:b/>
                          <w:bCs/>
                          <w:sz w:val="24"/>
                          <w:szCs w:val="32"/>
                          <w:lang w:val="en-US" w:eastAsia="zh-CN"/>
                        </w:rPr>
                        <w:t>新河村</w:t>
                      </w:r>
                    </w:p>
                  </w:txbxContent>
                </v:textbox>
              </v:shape>
            </w:pict>
          </mc:Fallback>
        </mc:AlternateContent>
      </w:r>
      <w:r>
        <w:drawing>
          <wp:inline distT="0" distB="0" distL="114300" distR="114300">
            <wp:extent cx="6240780" cy="4121785"/>
            <wp:effectExtent l="0" t="0" r="7620" b="571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6"/>
                    <a:stretch>
                      <a:fillRect/>
                    </a:stretch>
                  </pic:blipFill>
                  <pic:spPr>
                    <a:xfrm>
                      <a:off x="0" y="0"/>
                      <a:ext cx="6240780" cy="4121785"/>
                    </a:xfrm>
                    <a:prstGeom prst="rect">
                      <a:avLst/>
                    </a:prstGeom>
                    <a:noFill/>
                    <a:ln>
                      <a:noFill/>
                    </a:ln>
                  </pic:spPr>
                </pic:pic>
              </a:graphicData>
            </a:graphic>
          </wp:inline>
        </w:drawing>
      </w:r>
    </w:p>
    <w:p w14:paraId="4AF9526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4"/>
          <w:szCs w:val="24"/>
          <w:u w:val="single"/>
          <w:lang w:val="en-US" w:eastAsia="zh-CN"/>
        </w:rPr>
      </w:pPr>
      <w:r>
        <w:rPr>
          <w:rFonts w:hint="eastAsia" w:ascii="宋体" w:hAnsi="宋体" w:eastAsia="宋体" w:cs="宋体"/>
          <w:sz w:val="24"/>
          <w:szCs w:val="24"/>
          <w:u w:val="single"/>
          <w:lang w:val="en-US" w:eastAsia="zh-CN"/>
        </w:rPr>
        <w:t>项目所在地区域位置图</w:t>
      </w:r>
    </w:p>
    <w:p w14:paraId="5D17B1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sz w:val="24"/>
          <w:szCs w:val="24"/>
          <w:lang w:val="en-US" w:eastAsia="zh-CN"/>
        </w:rPr>
        <w:t>乐山市金口河区共安彝族乡新河村基础设施及人居环境整治改造提升项目位于金口河区共安彝族乡新河村村内，其中新河村道路建成投入使用多年，边沟由于砼盖板损坏严重，并且泥土淤积严重，导致新河村和共公路桥头至三岔河桥段两侧边沟排水不畅，下雨天雨水无法排出，直接涌入居民房屋。近年来，由于峨汉高速通车，来共安彝族乡旅游的游客逐渐增多，新河村作为共安彝族乡的桥头堡，其公共基础设施已经无法满足游客的需求。为了营造</w:t>
      </w:r>
      <w:r>
        <w:rPr>
          <w:rFonts w:hint="eastAsia" w:ascii="宋体" w:hAnsi="宋体" w:eastAsia="宋体" w:cs="宋体"/>
          <w:i w:val="0"/>
          <w:iCs w:val="0"/>
          <w:caps w:val="0"/>
          <w:color w:val="333333"/>
          <w:spacing w:val="0"/>
          <w:sz w:val="24"/>
          <w:szCs w:val="24"/>
          <w:shd w:val="clear" w:fill="FFFFFF"/>
          <w:lang w:val="en-US" w:eastAsia="zh-CN"/>
        </w:rPr>
        <w:t>游客</w:t>
      </w:r>
      <w:r>
        <w:rPr>
          <w:rFonts w:hint="eastAsia" w:ascii="宋体" w:hAnsi="宋体" w:eastAsia="宋体" w:cs="宋体"/>
          <w:i w:val="0"/>
          <w:iCs w:val="0"/>
          <w:caps w:val="0"/>
          <w:color w:val="333333"/>
          <w:spacing w:val="0"/>
          <w:sz w:val="24"/>
          <w:szCs w:val="24"/>
          <w:shd w:val="clear" w:fill="FFFFFF"/>
        </w:rPr>
        <w:t>舒适、卫生、安全的</w:t>
      </w:r>
      <w:r>
        <w:rPr>
          <w:rFonts w:hint="eastAsia" w:ascii="宋体" w:hAnsi="宋体" w:eastAsia="宋体" w:cs="宋体"/>
          <w:i w:val="0"/>
          <w:iCs w:val="0"/>
          <w:caps w:val="0"/>
          <w:color w:val="333333"/>
          <w:spacing w:val="0"/>
          <w:sz w:val="24"/>
          <w:szCs w:val="24"/>
          <w:shd w:val="clear" w:fill="FFFFFF"/>
          <w:lang w:val="en-US" w:eastAsia="zh-CN"/>
        </w:rPr>
        <w:t>游玩</w:t>
      </w:r>
      <w:r>
        <w:rPr>
          <w:rFonts w:hint="eastAsia" w:ascii="宋体" w:hAnsi="宋体" w:eastAsia="宋体" w:cs="宋体"/>
          <w:i w:val="0"/>
          <w:iCs w:val="0"/>
          <w:caps w:val="0"/>
          <w:color w:val="333333"/>
          <w:spacing w:val="0"/>
          <w:sz w:val="24"/>
          <w:szCs w:val="24"/>
          <w:shd w:val="clear" w:fill="FFFFFF"/>
        </w:rPr>
        <w:t>环境</w:t>
      </w:r>
      <w:r>
        <w:rPr>
          <w:rFonts w:hint="eastAsia" w:ascii="宋体" w:hAnsi="宋体" w:eastAsia="宋体" w:cs="宋体"/>
          <w:i w:val="0"/>
          <w:iCs w:val="0"/>
          <w:caps w:val="0"/>
          <w:color w:val="333333"/>
          <w:spacing w:val="0"/>
          <w:sz w:val="24"/>
          <w:szCs w:val="24"/>
          <w:shd w:val="clear" w:fill="FFFFFF"/>
          <w:lang w:eastAsia="zh-CN"/>
        </w:rPr>
        <w:t>，</w:t>
      </w:r>
      <w:r>
        <w:rPr>
          <w:rFonts w:hint="eastAsia" w:ascii="宋体" w:hAnsi="宋体" w:eastAsia="宋体" w:cs="宋体"/>
          <w:i w:val="0"/>
          <w:iCs w:val="0"/>
          <w:caps w:val="0"/>
          <w:color w:val="333333"/>
          <w:spacing w:val="0"/>
          <w:sz w:val="24"/>
          <w:szCs w:val="24"/>
          <w:shd w:val="clear" w:fill="FFFFFF"/>
          <w:lang w:val="en-US" w:eastAsia="zh-CN"/>
        </w:rPr>
        <w:t>本次拟对新河村1、2组村组道路和新河村村委会进行黑化处置。在桥头公园和新河村公交车台新建两处公共厕所。</w:t>
      </w:r>
    </w:p>
    <w:p w14:paraId="13A06A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333333"/>
          <w:spacing w:val="0"/>
          <w:sz w:val="24"/>
          <w:szCs w:val="24"/>
          <w:shd w:val="clear" w:fill="FFFFFF"/>
          <w:lang w:val="en-US" w:eastAsia="zh-CN"/>
        </w:rPr>
      </w:pPr>
    </w:p>
    <w:tbl>
      <w:tblPr>
        <w:tblStyle w:val="7"/>
        <w:tblW w:w="104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45"/>
        <w:gridCol w:w="4924"/>
      </w:tblGrid>
      <w:tr w14:paraId="0E139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0" w:hRule="atLeast"/>
        </w:trPr>
        <w:tc>
          <w:tcPr>
            <w:tcW w:w="5545" w:type="dxa"/>
            <w:vAlign w:val="top"/>
          </w:tcPr>
          <w:p w14:paraId="224EF8B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sz w:val="24"/>
                <w:szCs w:val="24"/>
                <w:shd w:val="clear" w:fill="FFFFFF"/>
                <w:vertAlign w:val="baseline"/>
                <w:lang w:val="en-US" w:eastAsia="zh-CN"/>
              </w:rPr>
            </w:pPr>
            <w:r>
              <w:rPr>
                <w:rFonts w:hint="eastAsia" w:ascii="宋体" w:hAnsi="宋体" w:eastAsia="宋体" w:cs="宋体"/>
              </w:rPr>
              <w:drawing>
                <wp:inline distT="0" distB="0" distL="114300" distR="114300">
                  <wp:extent cx="3416300" cy="2420620"/>
                  <wp:effectExtent l="0" t="0" r="0" b="5080"/>
                  <wp:docPr id="6" name="图片 2" descr="169940446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1699404461373"/>
                          <pic:cNvPicPr>
                            <a:picLocks noChangeAspect="1"/>
                          </pic:cNvPicPr>
                        </pic:nvPicPr>
                        <pic:blipFill>
                          <a:blip r:embed="rId7"/>
                          <a:srcRect l="6794" r="13568" b="-254"/>
                          <a:stretch>
                            <a:fillRect/>
                          </a:stretch>
                        </pic:blipFill>
                        <pic:spPr>
                          <a:xfrm>
                            <a:off x="0" y="0"/>
                            <a:ext cx="3416300" cy="2420620"/>
                          </a:xfrm>
                          <a:prstGeom prst="rect">
                            <a:avLst/>
                          </a:prstGeom>
                          <a:noFill/>
                          <a:ln>
                            <a:noFill/>
                          </a:ln>
                        </pic:spPr>
                      </pic:pic>
                    </a:graphicData>
                  </a:graphic>
                </wp:inline>
              </w:drawing>
            </w:r>
          </w:p>
        </w:tc>
        <w:tc>
          <w:tcPr>
            <w:tcW w:w="4924" w:type="dxa"/>
            <w:vAlign w:val="top"/>
          </w:tcPr>
          <w:p w14:paraId="73017FF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sz w:val="24"/>
                <w:szCs w:val="24"/>
                <w:shd w:val="clear" w:fill="FFFFFF"/>
                <w:vertAlign w:val="baseline"/>
                <w:lang w:val="en-US" w:eastAsia="zh-CN"/>
              </w:rPr>
            </w:pPr>
            <w:r>
              <w:rPr>
                <w:rFonts w:hint="eastAsia" w:ascii="宋体" w:hAnsi="宋体" w:eastAsia="宋体" w:cs="宋体"/>
                <w:i w:val="0"/>
                <w:iCs w:val="0"/>
                <w:caps w:val="0"/>
                <w:color w:val="333333"/>
                <w:spacing w:val="0"/>
                <w:sz w:val="24"/>
                <w:szCs w:val="24"/>
                <w:shd w:val="clear" w:fill="FFFFFF"/>
                <w:vertAlign w:val="baseline"/>
                <w:lang w:val="en-US" w:eastAsia="zh-CN"/>
              </w:rPr>
              <w:drawing>
                <wp:inline distT="0" distB="0" distL="114300" distR="114300">
                  <wp:extent cx="2981325" cy="2448560"/>
                  <wp:effectExtent l="0" t="0" r="3175" b="2540"/>
                  <wp:docPr id="7" name="图片 7" descr="169940446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699404461320"/>
                          <pic:cNvPicPr>
                            <a:picLocks noChangeAspect="1"/>
                          </pic:cNvPicPr>
                        </pic:nvPicPr>
                        <pic:blipFill>
                          <a:blip r:embed="rId8"/>
                          <a:srcRect l="19369" t="2739" r="17277" b="906"/>
                          <a:stretch>
                            <a:fillRect/>
                          </a:stretch>
                        </pic:blipFill>
                        <pic:spPr>
                          <a:xfrm>
                            <a:off x="0" y="0"/>
                            <a:ext cx="2981325" cy="2448560"/>
                          </a:xfrm>
                          <a:prstGeom prst="rect">
                            <a:avLst/>
                          </a:prstGeom>
                        </pic:spPr>
                      </pic:pic>
                    </a:graphicData>
                  </a:graphic>
                </wp:inline>
              </w:drawing>
            </w:r>
          </w:p>
        </w:tc>
      </w:tr>
      <w:tr w14:paraId="1F981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0469" w:type="dxa"/>
            <w:gridSpan w:val="2"/>
            <w:vAlign w:val="top"/>
          </w:tcPr>
          <w:p w14:paraId="391C944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aps w:val="0"/>
                <w:color w:val="333333"/>
                <w:spacing w:val="0"/>
                <w:sz w:val="24"/>
                <w:szCs w:val="24"/>
                <w:shd w:val="clear" w:fill="FFFFFF"/>
                <w:vertAlign w:val="baseline"/>
                <w:lang w:val="en-US" w:eastAsia="zh-CN"/>
              </w:rPr>
            </w:pPr>
            <w:r>
              <w:rPr>
                <w:rFonts w:hint="eastAsia" w:ascii="宋体" w:hAnsi="宋体" w:eastAsia="宋体" w:cs="宋体"/>
                <w:i w:val="0"/>
                <w:iCs w:val="0"/>
                <w:caps w:val="0"/>
                <w:color w:val="333333"/>
                <w:spacing w:val="0"/>
                <w:sz w:val="24"/>
                <w:szCs w:val="24"/>
                <w:shd w:val="clear" w:fill="FFFFFF"/>
                <w:lang w:val="en-US" w:eastAsia="zh-CN"/>
              </w:rPr>
              <w:t>边沟维修改造现状</w:t>
            </w:r>
          </w:p>
        </w:tc>
      </w:tr>
      <w:tr w14:paraId="28F13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0" w:hRule="atLeast"/>
        </w:trPr>
        <w:tc>
          <w:tcPr>
            <w:tcW w:w="5545" w:type="dxa"/>
            <w:vAlign w:val="top"/>
          </w:tcPr>
          <w:p w14:paraId="3F6B417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sz w:val="24"/>
                <w:szCs w:val="24"/>
                <w:shd w:val="clear" w:fill="FFFFFF"/>
                <w:vertAlign w:val="baseline"/>
                <w:lang w:val="en-US" w:eastAsia="zh-CN"/>
              </w:rPr>
            </w:pPr>
            <w:r>
              <w:rPr>
                <w:rFonts w:hint="eastAsia" w:ascii="宋体" w:hAnsi="宋体" w:eastAsia="宋体" w:cs="宋体"/>
                <w:i w:val="0"/>
                <w:iCs w:val="0"/>
                <w:caps w:val="0"/>
                <w:color w:val="333333"/>
                <w:spacing w:val="0"/>
                <w:sz w:val="24"/>
                <w:szCs w:val="24"/>
                <w:shd w:val="clear" w:fill="FFFFFF"/>
                <w:vertAlign w:val="baseline"/>
                <w:lang w:val="en-US" w:eastAsia="zh-CN"/>
              </w:rPr>
              <w:drawing>
                <wp:inline distT="0" distB="0" distL="114300" distR="114300">
                  <wp:extent cx="3355340" cy="2516505"/>
                  <wp:effectExtent l="0" t="0" r="10160" b="10795"/>
                  <wp:docPr id="8" name="图片 8" descr="IMG_20250301_11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0250301_111711"/>
                          <pic:cNvPicPr>
                            <a:picLocks noChangeAspect="1"/>
                          </pic:cNvPicPr>
                        </pic:nvPicPr>
                        <pic:blipFill>
                          <a:blip r:embed="rId9"/>
                          <a:stretch>
                            <a:fillRect/>
                          </a:stretch>
                        </pic:blipFill>
                        <pic:spPr>
                          <a:xfrm>
                            <a:off x="0" y="0"/>
                            <a:ext cx="3355340" cy="2516505"/>
                          </a:xfrm>
                          <a:prstGeom prst="rect">
                            <a:avLst/>
                          </a:prstGeom>
                        </pic:spPr>
                      </pic:pic>
                    </a:graphicData>
                  </a:graphic>
                </wp:inline>
              </w:drawing>
            </w:r>
          </w:p>
        </w:tc>
        <w:tc>
          <w:tcPr>
            <w:tcW w:w="4924" w:type="dxa"/>
            <w:vAlign w:val="top"/>
          </w:tcPr>
          <w:p w14:paraId="11EE16F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sz w:val="24"/>
                <w:szCs w:val="24"/>
                <w:shd w:val="clear" w:fill="FFFFFF"/>
                <w:vertAlign w:val="baseline"/>
                <w:lang w:val="en-US" w:eastAsia="zh-CN"/>
              </w:rPr>
            </w:pPr>
            <w:r>
              <w:rPr>
                <w:rFonts w:hint="eastAsia" w:ascii="宋体" w:hAnsi="宋体" w:eastAsia="宋体" w:cs="宋体"/>
                <w:i w:val="0"/>
                <w:iCs w:val="0"/>
                <w:caps w:val="0"/>
                <w:color w:val="333333"/>
                <w:spacing w:val="0"/>
                <w:sz w:val="24"/>
                <w:szCs w:val="24"/>
                <w:shd w:val="clear" w:fill="FFFFFF"/>
                <w:vertAlign w:val="baseline"/>
                <w:lang w:val="en-US" w:eastAsia="zh-CN"/>
              </w:rPr>
              <w:drawing>
                <wp:inline distT="0" distB="0" distL="114300" distR="114300">
                  <wp:extent cx="2984500" cy="2478405"/>
                  <wp:effectExtent l="0" t="0" r="0" b="10795"/>
                  <wp:docPr id="9" name="图片 9" descr="94b5adb519c582c08533462259c9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94b5adb519c582c08533462259c9000"/>
                          <pic:cNvPicPr>
                            <a:picLocks noChangeAspect="1"/>
                          </pic:cNvPicPr>
                        </pic:nvPicPr>
                        <pic:blipFill>
                          <a:blip r:embed="rId10"/>
                          <a:stretch>
                            <a:fillRect/>
                          </a:stretch>
                        </pic:blipFill>
                        <pic:spPr>
                          <a:xfrm>
                            <a:off x="0" y="0"/>
                            <a:ext cx="2984500" cy="2478405"/>
                          </a:xfrm>
                          <a:prstGeom prst="rect">
                            <a:avLst/>
                          </a:prstGeom>
                        </pic:spPr>
                      </pic:pic>
                    </a:graphicData>
                  </a:graphic>
                </wp:inline>
              </w:drawing>
            </w:r>
          </w:p>
        </w:tc>
      </w:tr>
      <w:tr w14:paraId="22BE4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545" w:type="dxa"/>
            <w:vAlign w:val="top"/>
          </w:tcPr>
          <w:p w14:paraId="3DE292F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aps w:val="0"/>
                <w:color w:val="333333"/>
                <w:spacing w:val="0"/>
                <w:sz w:val="24"/>
                <w:szCs w:val="24"/>
                <w:shd w:val="clear" w:fill="FFFFFF"/>
                <w:vertAlign w:val="baseline"/>
                <w:lang w:val="en-US" w:eastAsia="zh-CN"/>
              </w:rPr>
            </w:pPr>
            <w:r>
              <w:rPr>
                <w:rFonts w:hint="eastAsia" w:ascii="宋体" w:hAnsi="宋体" w:eastAsia="宋体" w:cs="宋体"/>
                <w:i w:val="0"/>
                <w:iCs w:val="0"/>
                <w:caps w:val="0"/>
                <w:color w:val="333333"/>
                <w:spacing w:val="0"/>
                <w:sz w:val="24"/>
                <w:szCs w:val="24"/>
                <w:shd w:val="clear" w:fill="FFFFFF"/>
                <w:vertAlign w:val="baseline"/>
                <w:lang w:val="en-US" w:eastAsia="zh-CN"/>
              </w:rPr>
              <w:t>新河村村委会现状</w:t>
            </w:r>
          </w:p>
        </w:tc>
        <w:tc>
          <w:tcPr>
            <w:tcW w:w="4924" w:type="dxa"/>
            <w:vAlign w:val="top"/>
          </w:tcPr>
          <w:p w14:paraId="6FE4FB2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aps w:val="0"/>
                <w:color w:val="333333"/>
                <w:spacing w:val="0"/>
                <w:sz w:val="24"/>
                <w:szCs w:val="24"/>
                <w:shd w:val="clear" w:fill="FFFFFF"/>
                <w:vertAlign w:val="baseline"/>
                <w:lang w:val="en-US" w:eastAsia="zh-CN"/>
              </w:rPr>
            </w:pPr>
            <w:r>
              <w:rPr>
                <w:rFonts w:hint="eastAsia" w:ascii="宋体" w:hAnsi="宋体" w:eastAsia="宋体" w:cs="宋体"/>
                <w:i w:val="0"/>
                <w:iCs w:val="0"/>
                <w:caps w:val="0"/>
                <w:color w:val="333333"/>
                <w:spacing w:val="0"/>
                <w:sz w:val="24"/>
                <w:szCs w:val="24"/>
                <w:shd w:val="clear" w:fill="FFFFFF"/>
                <w:vertAlign w:val="baseline"/>
                <w:lang w:val="en-US" w:eastAsia="zh-CN"/>
              </w:rPr>
              <w:t>新河村村道现状</w:t>
            </w:r>
          </w:p>
        </w:tc>
      </w:tr>
      <w:tr w14:paraId="05EBF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545" w:type="dxa"/>
            <w:vAlign w:val="top"/>
          </w:tcPr>
          <w:p w14:paraId="089331C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sz w:val="24"/>
                <w:szCs w:val="24"/>
                <w:shd w:val="clear" w:fill="FFFFFF"/>
                <w:vertAlign w:val="baseline"/>
                <w:lang w:val="en-US" w:eastAsia="zh-CN"/>
              </w:rPr>
            </w:pPr>
            <w:r>
              <w:rPr>
                <w:rFonts w:hint="eastAsia" w:ascii="宋体" w:hAnsi="宋体" w:eastAsia="宋体" w:cs="宋体"/>
                <w:i w:val="0"/>
                <w:iCs w:val="0"/>
                <w:caps w:val="0"/>
                <w:color w:val="333333"/>
                <w:spacing w:val="0"/>
                <w:sz w:val="24"/>
                <w:szCs w:val="24"/>
                <w:shd w:val="clear" w:fill="FFFFFF"/>
                <w:vertAlign w:val="baseline"/>
                <w:lang w:val="en-US" w:eastAsia="zh-CN"/>
              </w:rPr>
              <w:drawing>
                <wp:inline distT="0" distB="0" distL="114300" distR="114300">
                  <wp:extent cx="3355340" cy="2516505"/>
                  <wp:effectExtent l="0" t="0" r="10160" b="10795"/>
                  <wp:docPr id="10" name="图片 10" descr="IMG_20250301_09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IMG_20250301_092910"/>
                          <pic:cNvPicPr>
                            <a:picLocks noChangeAspect="1"/>
                          </pic:cNvPicPr>
                        </pic:nvPicPr>
                        <pic:blipFill>
                          <a:blip r:embed="rId11"/>
                          <a:stretch>
                            <a:fillRect/>
                          </a:stretch>
                        </pic:blipFill>
                        <pic:spPr>
                          <a:xfrm>
                            <a:off x="0" y="0"/>
                            <a:ext cx="3355340" cy="2516505"/>
                          </a:xfrm>
                          <a:prstGeom prst="rect">
                            <a:avLst/>
                          </a:prstGeom>
                        </pic:spPr>
                      </pic:pic>
                    </a:graphicData>
                  </a:graphic>
                </wp:inline>
              </w:drawing>
            </w:r>
          </w:p>
        </w:tc>
        <w:tc>
          <w:tcPr>
            <w:tcW w:w="4924" w:type="dxa"/>
            <w:vAlign w:val="top"/>
          </w:tcPr>
          <w:p w14:paraId="4AC9B64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sz w:val="24"/>
                <w:szCs w:val="24"/>
                <w:shd w:val="clear" w:fill="FFFFFF"/>
                <w:vertAlign w:val="baseline"/>
                <w:lang w:val="en-US" w:eastAsia="zh-CN"/>
              </w:rPr>
            </w:pPr>
            <w:r>
              <w:rPr>
                <w:rFonts w:hint="eastAsia" w:ascii="宋体" w:hAnsi="宋体" w:eastAsia="宋体" w:cs="宋体"/>
                <w:i w:val="0"/>
                <w:iCs w:val="0"/>
                <w:caps w:val="0"/>
                <w:color w:val="333333"/>
                <w:spacing w:val="0"/>
                <w:sz w:val="24"/>
                <w:szCs w:val="24"/>
                <w:shd w:val="clear" w:fill="FFFFFF"/>
                <w:vertAlign w:val="baseline"/>
                <w:lang w:val="en-US" w:eastAsia="zh-CN"/>
              </w:rPr>
              <w:drawing>
                <wp:inline distT="0" distB="0" distL="114300" distR="114300">
                  <wp:extent cx="2951480" cy="2478405"/>
                  <wp:effectExtent l="0" t="0" r="0" b="0"/>
                  <wp:docPr id="12" name="图片 12" descr="IMG_20250301_11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IMG_20250301_111130"/>
                          <pic:cNvPicPr>
                            <a:picLocks noChangeAspect="1"/>
                          </pic:cNvPicPr>
                        </pic:nvPicPr>
                        <pic:blipFill>
                          <a:blip r:embed="rId12"/>
                          <a:srcRect r="10890" b="256"/>
                          <a:stretch>
                            <a:fillRect/>
                          </a:stretch>
                        </pic:blipFill>
                        <pic:spPr>
                          <a:xfrm>
                            <a:off x="0" y="0"/>
                            <a:ext cx="2951480" cy="2478405"/>
                          </a:xfrm>
                          <a:prstGeom prst="rect">
                            <a:avLst/>
                          </a:prstGeom>
                        </pic:spPr>
                      </pic:pic>
                    </a:graphicData>
                  </a:graphic>
                </wp:inline>
              </w:drawing>
            </w:r>
          </w:p>
        </w:tc>
      </w:tr>
      <w:tr w14:paraId="3D8A0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469" w:type="dxa"/>
            <w:gridSpan w:val="2"/>
            <w:vAlign w:val="top"/>
          </w:tcPr>
          <w:p w14:paraId="65E2D1B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aps w:val="0"/>
                <w:color w:val="333333"/>
                <w:spacing w:val="0"/>
                <w:sz w:val="19"/>
                <w:szCs w:val="19"/>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拟建公厕范围现状</w:t>
            </w:r>
          </w:p>
        </w:tc>
      </w:tr>
    </w:tbl>
    <w:p w14:paraId="346AC0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本次改造提升的主要内容包括：</w:t>
      </w:r>
    </w:p>
    <w:p w14:paraId="6D36D7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1、道路两边的边沟整治，以确保排水畅通；</w:t>
      </w:r>
    </w:p>
    <w:p w14:paraId="11678D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2、对现状新河村村内道路、新河村村委会路面加铺沥青混凝土面层；</w:t>
      </w:r>
    </w:p>
    <w:p w14:paraId="7A09F5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3、在新河村桥头公园及公交车站新建两座公共厕所；</w:t>
      </w:r>
    </w:p>
    <w:p w14:paraId="116D063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b/>
          <w:bCs/>
          <w:sz w:val="32"/>
          <w:szCs w:val="32"/>
          <w:lang w:val="en-US" w:eastAsia="zh-CN"/>
        </w:rPr>
      </w:pPr>
      <w:r>
        <w:rPr>
          <w:rFonts w:hint="eastAsia" w:ascii="宋体" w:hAnsi="宋体" w:eastAsia="宋体" w:cs="宋体"/>
          <w:b/>
          <w:bCs/>
          <w:sz w:val="32"/>
          <w:szCs w:val="32"/>
          <w:lang w:val="en-US" w:eastAsia="zh-CN"/>
        </w:rPr>
        <w:t>二、采用的主要设计及施工规范、规程和工程验收标准</w:t>
      </w:r>
    </w:p>
    <w:p w14:paraId="78EBFA05">
      <w:pPr>
        <w:pStyle w:val="2"/>
        <w:numPr>
          <w:ilvl w:val="0"/>
          <w:numId w:val="1"/>
        </w:numPr>
        <w:ind w:left="1276"/>
        <w:jc w:val="left"/>
        <w:rPr>
          <w:rFonts w:hint="eastAsia"/>
        </w:rPr>
      </w:pPr>
      <w:r>
        <w:rPr>
          <w:rFonts w:hint="eastAsia"/>
        </w:rPr>
        <w:t>设计合同；</w:t>
      </w:r>
    </w:p>
    <w:p w14:paraId="498909D0">
      <w:pPr>
        <w:pStyle w:val="2"/>
        <w:numPr>
          <w:ilvl w:val="0"/>
          <w:numId w:val="1"/>
        </w:numPr>
        <w:ind w:left="1276"/>
        <w:jc w:val="left"/>
        <w:rPr>
          <w:rFonts w:hint="eastAsia"/>
        </w:rPr>
      </w:pPr>
      <w:r>
        <w:rPr>
          <w:rFonts w:hint="eastAsia"/>
          <w:lang w:val="en-US" w:eastAsia="zh-CN"/>
        </w:rPr>
        <w:t>测绘</w:t>
      </w:r>
      <w:r>
        <w:rPr>
          <w:rFonts w:hint="eastAsia"/>
        </w:rPr>
        <w:t>资料</w:t>
      </w:r>
      <w:r>
        <w:rPr>
          <w:rFonts w:hint="eastAsia"/>
          <w:lang w:val="en-US" w:eastAsia="zh-CN"/>
        </w:rPr>
        <w:t>及现场收集的相关资料</w:t>
      </w:r>
      <w:r>
        <w:rPr>
          <w:rFonts w:hint="eastAsia"/>
        </w:rPr>
        <w:t>；</w:t>
      </w:r>
    </w:p>
    <w:p w14:paraId="0201D444">
      <w:pPr>
        <w:pStyle w:val="2"/>
        <w:numPr>
          <w:ilvl w:val="0"/>
          <w:numId w:val="1"/>
        </w:numPr>
        <w:ind w:left="1276"/>
        <w:jc w:val="left"/>
        <w:rPr>
          <w:rFonts w:hint="eastAsia"/>
        </w:rPr>
      </w:pPr>
      <w:r>
        <w:rPr>
          <w:rFonts w:hint="eastAsia"/>
        </w:rPr>
        <w:t>《公路沥青路面设计规范》（JTG D50-2017）</w:t>
      </w:r>
    </w:p>
    <w:p w14:paraId="60C3387A">
      <w:pPr>
        <w:pStyle w:val="2"/>
        <w:numPr>
          <w:ilvl w:val="0"/>
          <w:numId w:val="1"/>
        </w:numPr>
        <w:ind w:left="1276"/>
        <w:jc w:val="left"/>
        <w:rPr>
          <w:rFonts w:hint="eastAsia"/>
        </w:rPr>
      </w:pPr>
      <w:r>
        <w:rPr>
          <w:rFonts w:hint="eastAsia" w:ascii="宋体" w:hAnsi="宋体" w:eastAsia="宋体" w:cs="宋体"/>
          <w:color w:val="000000"/>
        </w:rPr>
        <w:t>《公路排水设计规范》（JTG/T D33 - 2013）</w:t>
      </w:r>
    </w:p>
    <w:p w14:paraId="4DEE9B9A">
      <w:pPr>
        <w:pStyle w:val="2"/>
        <w:numPr>
          <w:ilvl w:val="0"/>
          <w:numId w:val="1"/>
        </w:numPr>
        <w:ind w:left="1276"/>
        <w:jc w:val="left"/>
        <w:rPr>
          <w:rFonts w:hint="eastAsia"/>
        </w:rPr>
      </w:pPr>
      <w:r>
        <w:rPr>
          <w:rFonts w:hint="eastAsia"/>
        </w:rPr>
        <w:t>《城镇道路路面设计规范》(CJJ169-2012)</w:t>
      </w:r>
    </w:p>
    <w:p w14:paraId="519154FA">
      <w:pPr>
        <w:pStyle w:val="2"/>
        <w:numPr>
          <w:ilvl w:val="0"/>
          <w:numId w:val="1"/>
        </w:numPr>
        <w:ind w:left="1276"/>
        <w:jc w:val="left"/>
        <w:rPr>
          <w:rFonts w:hint="eastAsia"/>
        </w:rPr>
      </w:pPr>
      <w:r>
        <w:rPr>
          <w:rFonts w:hint="eastAsia"/>
        </w:rPr>
        <w:t>《建筑与市政地基基础通用规范》（GB55003-2021）</w:t>
      </w:r>
    </w:p>
    <w:p w14:paraId="30606602">
      <w:pPr>
        <w:pStyle w:val="2"/>
        <w:numPr>
          <w:ilvl w:val="0"/>
          <w:numId w:val="1"/>
        </w:numPr>
        <w:ind w:left="1276"/>
        <w:jc w:val="left"/>
        <w:rPr>
          <w:rFonts w:hint="eastAsia"/>
        </w:rPr>
      </w:pPr>
      <w:r>
        <w:rPr>
          <w:rFonts w:hint="eastAsia"/>
        </w:rPr>
        <w:t>《建筑与市政工程无障碍通用规范》（GB55019-2021）</w:t>
      </w:r>
    </w:p>
    <w:p w14:paraId="06C6672F">
      <w:pPr>
        <w:pStyle w:val="2"/>
        <w:numPr>
          <w:ilvl w:val="0"/>
          <w:numId w:val="1"/>
        </w:numPr>
        <w:ind w:left="1276"/>
        <w:jc w:val="left"/>
        <w:rPr>
          <w:rFonts w:hint="eastAsia"/>
        </w:rPr>
      </w:pPr>
      <w:r>
        <w:rPr>
          <w:rFonts w:hint="eastAsia"/>
        </w:rPr>
        <w:t>建筑与市政工程抗震通用规范》（GB55002-2021）</w:t>
      </w:r>
    </w:p>
    <w:p w14:paraId="23ACA39E">
      <w:pPr>
        <w:pStyle w:val="2"/>
        <w:numPr>
          <w:ilvl w:val="0"/>
          <w:numId w:val="1"/>
        </w:numPr>
        <w:ind w:left="1276"/>
        <w:jc w:val="left"/>
        <w:rPr>
          <w:rFonts w:hint="eastAsia"/>
        </w:rPr>
      </w:pPr>
      <w:r>
        <w:rPr>
          <w:rFonts w:hint="eastAsia"/>
          <w:lang w:eastAsia="zh-CN"/>
        </w:rPr>
        <w:t>《建筑设计防火规范》（</w:t>
      </w:r>
      <w:r>
        <w:rPr>
          <w:rFonts w:hint="eastAsia"/>
          <w:lang w:val="en-US" w:eastAsia="zh-CN"/>
        </w:rPr>
        <w:t>GB50016-2014(2018版)</w:t>
      </w:r>
      <w:r>
        <w:rPr>
          <w:rFonts w:hint="eastAsia"/>
          <w:lang w:eastAsia="zh-CN"/>
        </w:rPr>
        <w:t>）</w:t>
      </w:r>
    </w:p>
    <w:p w14:paraId="7259DFE0">
      <w:pPr>
        <w:pStyle w:val="2"/>
        <w:numPr>
          <w:ilvl w:val="0"/>
          <w:numId w:val="1"/>
        </w:numPr>
        <w:ind w:left="1276"/>
        <w:jc w:val="left"/>
        <w:rPr>
          <w:rFonts w:hint="eastAsia"/>
        </w:rPr>
      </w:pPr>
      <w:r>
        <w:rPr>
          <w:rFonts w:hint="eastAsia"/>
          <w:lang w:eastAsia="zh-CN"/>
        </w:rPr>
        <w:t>《</w:t>
      </w:r>
      <w:r>
        <w:rPr>
          <w:rFonts w:hint="eastAsia"/>
          <w:lang w:val="en-US" w:eastAsia="zh-CN"/>
        </w:rPr>
        <w:t>民用建筑设计统一标准</w:t>
      </w:r>
      <w:r>
        <w:rPr>
          <w:rFonts w:hint="eastAsia"/>
          <w:lang w:eastAsia="zh-CN"/>
        </w:rPr>
        <w:t>》（</w:t>
      </w:r>
      <w:r>
        <w:rPr>
          <w:rFonts w:hint="eastAsia"/>
          <w:lang w:val="en-US" w:eastAsia="zh-CN"/>
        </w:rPr>
        <w:t>GB50352-2019</w:t>
      </w:r>
      <w:r>
        <w:rPr>
          <w:rFonts w:hint="eastAsia"/>
          <w:lang w:eastAsia="zh-CN"/>
        </w:rPr>
        <w:t>）</w:t>
      </w:r>
    </w:p>
    <w:p w14:paraId="1158985E">
      <w:pPr>
        <w:pStyle w:val="2"/>
        <w:numPr>
          <w:ilvl w:val="0"/>
          <w:numId w:val="1"/>
        </w:numPr>
        <w:ind w:left="1276"/>
        <w:jc w:val="left"/>
        <w:rPr>
          <w:rFonts w:hint="eastAsia"/>
        </w:rPr>
      </w:pPr>
      <w:r>
        <w:rPr>
          <w:rFonts w:hint="eastAsia"/>
          <w:lang w:eastAsia="zh-CN"/>
        </w:rPr>
        <w:t>《</w:t>
      </w:r>
      <w:r>
        <w:rPr>
          <w:rFonts w:hint="eastAsia"/>
          <w:lang w:val="en-US" w:eastAsia="zh-CN"/>
        </w:rPr>
        <w:t>工程建设标准强制性条文（房屋建筑部分）</w:t>
      </w:r>
      <w:r>
        <w:rPr>
          <w:rFonts w:hint="eastAsia"/>
          <w:lang w:eastAsia="zh-CN"/>
        </w:rPr>
        <w:t>》（</w:t>
      </w:r>
      <w:r>
        <w:rPr>
          <w:rFonts w:hint="eastAsia"/>
          <w:lang w:val="en-US" w:eastAsia="zh-CN"/>
        </w:rPr>
        <w:t>2013版</w:t>
      </w:r>
      <w:r>
        <w:rPr>
          <w:rFonts w:hint="eastAsia"/>
          <w:lang w:eastAsia="zh-CN"/>
        </w:rPr>
        <w:t>）</w:t>
      </w:r>
    </w:p>
    <w:p w14:paraId="3133D26E">
      <w:pPr>
        <w:pStyle w:val="2"/>
        <w:numPr>
          <w:ilvl w:val="0"/>
          <w:numId w:val="1"/>
        </w:numPr>
        <w:ind w:left="1276"/>
        <w:jc w:val="left"/>
        <w:rPr>
          <w:rFonts w:hint="eastAsia"/>
        </w:rPr>
      </w:pPr>
      <w:r>
        <w:rPr>
          <w:rFonts w:hint="eastAsia"/>
        </w:rPr>
        <w:t>其他相关国家及地方建设标准及规范。</w:t>
      </w:r>
    </w:p>
    <w:p w14:paraId="02067B69">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b/>
          <w:bCs/>
          <w:sz w:val="32"/>
          <w:szCs w:val="32"/>
          <w:lang w:val="en-US" w:eastAsia="zh-CN"/>
        </w:rPr>
      </w:pPr>
      <w:r>
        <w:rPr>
          <w:rFonts w:hint="eastAsia" w:ascii="宋体" w:hAnsi="宋体" w:eastAsia="宋体" w:cs="宋体"/>
          <w:b/>
          <w:bCs/>
          <w:sz w:val="32"/>
          <w:szCs w:val="32"/>
          <w:lang w:val="en-US" w:eastAsia="zh-CN"/>
        </w:rPr>
        <w:t>三、工程设计</w:t>
      </w:r>
    </w:p>
    <w:p w14:paraId="7009E9D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333333"/>
          <w:spacing w:val="0"/>
          <w:sz w:val="24"/>
          <w:szCs w:val="24"/>
          <w:shd w:val="clear" w:fill="FFFFFF"/>
          <w:lang w:val="en-US" w:eastAsia="zh-CN"/>
        </w:rPr>
      </w:pPr>
      <w:r>
        <w:rPr>
          <w:rFonts w:hint="eastAsia" w:ascii="宋体" w:hAnsi="宋体" w:eastAsia="宋体" w:cs="宋体"/>
          <w:b/>
          <w:bCs/>
          <w:i w:val="0"/>
          <w:iCs w:val="0"/>
          <w:caps w:val="0"/>
          <w:color w:val="333333"/>
          <w:spacing w:val="0"/>
          <w:sz w:val="24"/>
          <w:szCs w:val="24"/>
          <w:shd w:val="clear" w:fill="FFFFFF"/>
          <w:lang w:val="en-US" w:eastAsia="zh-CN"/>
        </w:rPr>
        <w:t>3.1边沟维修改造</w:t>
      </w:r>
    </w:p>
    <w:p w14:paraId="5FF4B9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本项目边沟维修改造起于和共公路桥头K0+000,止于三岔河桥K0+700，现状道路为沥青混凝土路面。边沟为0.6m×0.6m的混凝土盖板沟。</w:t>
      </w:r>
    </w:p>
    <w:p w14:paraId="330B5E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1、拆除边沟砼盖板</w:t>
      </w:r>
    </w:p>
    <w:p w14:paraId="5B0C82C8">
      <w:pPr>
        <w:spacing w:line="360" w:lineRule="auto"/>
        <w:ind w:firstLine="480" w:firstLineChars="200"/>
        <w:jc w:val="left"/>
        <w:rPr>
          <w:rFonts w:hint="eastAsia"/>
          <w:sz w:val="24"/>
          <w:szCs w:val="24"/>
          <w:lang w:val="en-US" w:eastAsia="zh-CN"/>
        </w:rPr>
      </w:pPr>
      <w:r>
        <w:rPr>
          <w:rFonts w:hint="eastAsia"/>
          <w:sz w:val="24"/>
          <w:szCs w:val="24"/>
          <w:lang w:val="en-US" w:eastAsia="zh-CN"/>
        </w:rPr>
        <w:t>现场砼边沟盖板部分已损坏，考虑到本段边沟排水不畅，泥土淤积严重，砼盖板对于清淤不便，结合业主及主管单位的意见，本次将所有砼盖板拆除，并置于新河村村委会院坝。</w:t>
      </w:r>
    </w:p>
    <w:p w14:paraId="7F9B86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2、清淤</w:t>
      </w:r>
    </w:p>
    <w:p w14:paraId="6733FD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本次针对本段边沟泥土淤积严重的情况，针对性的将边沟进行清淤处置，保障排水畅通。</w:t>
      </w:r>
    </w:p>
    <w:p w14:paraId="6A04DE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3、对K0+172-K0+280段左侧埋管段进行破除，新建0.6m×0.6m的混凝土盖板沟，边沟盖板采用φ28钢筋焊接成钢筋盖板，并间隔4m接1m的可拆卸钢筋段，方便清淤。对于挖基坑破除的路面进行恢复。</w:t>
      </w:r>
    </w:p>
    <w:p w14:paraId="67CB51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4、K0+360-K0+373段左侧砼盖板拆除后，边沟盖板采用φ28钢筋焊接成钢筋盖板，最大保障上方雨水进入边沟，并间隔4m接1m的可拆卸钢筋段，方便清淤。</w:t>
      </w:r>
    </w:p>
    <w:p w14:paraId="098AC3F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宋体" w:hAnsi="宋体" w:eastAsia="宋体" w:cs="宋体"/>
          <w:b/>
          <w:bCs/>
          <w:i w:val="0"/>
          <w:iCs w:val="0"/>
          <w:caps w:val="0"/>
          <w:color w:val="333333"/>
          <w:spacing w:val="0"/>
          <w:sz w:val="24"/>
          <w:szCs w:val="24"/>
          <w:shd w:val="clear" w:fill="FFFFFF"/>
          <w:lang w:val="en-US" w:eastAsia="zh-CN"/>
        </w:rPr>
      </w:pPr>
      <w:r>
        <w:rPr>
          <w:rFonts w:hint="eastAsia" w:ascii="宋体" w:hAnsi="宋体" w:eastAsia="宋体" w:cs="宋体"/>
          <w:b/>
          <w:bCs/>
          <w:i w:val="0"/>
          <w:iCs w:val="0"/>
          <w:caps w:val="0"/>
          <w:color w:val="333333"/>
          <w:spacing w:val="0"/>
          <w:sz w:val="24"/>
          <w:szCs w:val="24"/>
          <w:shd w:val="clear" w:fill="FFFFFF"/>
          <w:lang w:val="en-US" w:eastAsia="zh-CN"/>
        </w:rPr>
        <w:t>3.2路面加铺沥青面层设计</w:t>
      </w:r>
    </w:p>
    <w:p w14:paraId="6EAE860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本项目为各条道路均位于新河村1、2组内，均为村组内部道路，本次设计范围内共涉及主要包括6条道路路面和新河村村委会院坝；其各条道路规模如下：</w:t>
      </w:r>
    </w:p>
    <w:tbl>
      <w:tblPr>
        <w:tblStyle w:val="7"/>
        <w:tblW w:w="0" w:type="auto"/>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922"/>
        <w:gridCol w:w="1688"/>
        <w:gridCol w:w="1252"/>
        <w:gridCol w:w="1119"/>
        <w:gridCol w:w="1339"/>
        <w:gridCol w:w="1887"/>
        <w:gridCol w:w="1510"/>
      </w:tblGrid>
      <w:tr w14:paraId="3FF6D4F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922" w:type="dxa"/>
            <w:tcBorders>
              <w:tl2br w:val="nil"/>
              <w:tr2bl w:val="nil"/>
            </w:tcBorders>
            <w:noWrap w:val="0"/>
            <w:vAlign w:val="center"/>
          </w:tcPr>
          <w:p w14:paraId="669EA10C">
            <w:pPr>
              <w:keepNext w:val="0"/>
              <w:keepLines w:val="0"/>
              <w:pageBreakBefore w:val="0"/>
              <w:widowControl w:val="0"/>
              <w:kinsoku/>
              <w:wordWrap/>
              <w:overflowPunct/>
              <w:topLinePunct w:val="0"/>
              <w:autoSpaceDE/>
              <w:autoSpaceDN/>
              <w:bidi w:val="0"/>
              <w:adjustRightInd/>
              <w:snapToGrid/>
              <w:spacing w:line="240" w:lineRule="atLeast"/>
              <w:ind w:left="0" w:leftChars="0"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序号</w:t>
            </w:r>
          </w:p>
        </w:tc>
        <w:tc>
          <w:tcPr>
            <w:tcW w:w="1688" w:type="dxa"/>
            <w:tcBorders>
              <w:tl2br w:val="nil"/>
              <w:tr2bl w:val="nil"/>
            </w:tcBorders>
            <w:noWrap w:val="0"/>
            <w:vAlign w:val="center"/>
          </w:tcPr>
          <w:p w14:paraId="6858768A">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改造道路</w:t>
            </w:r>
          </w:p>
          <w:p w14:paraId="70B6CD9D">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名称</w:t>
            </w:r>
          </w:p>
        </w:tc>
        <w:tc>
          <w:tcPr>
            <w:tcW w:w="1252" w:type="dxa"/>
            <w:tcBorders>
              <w:tl2br w:val="nil"/>
              <w:tr2bl w:val="nil"/>
            </w:tcBorders>
            <w:noWrap w:val="0"/>
            <w:vAlign w:val="center"/>
          </w:tcPr>
          <w:p w14:paraId="4A9CB160">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道路</w:t>
            </w:r>
          </w:p>
          <w:p w14:paraId="636AFE44">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等级</w:t>
            </w:r>
          </w:p>
        </w:tc>
        <w:tc>
          <w:tcPr>
            <w:tcW w:w="1119" w:type="dxa"/>
            <w:tcBorders>
              <w:tl2br w:val="nil"/>
              <w:tr2bl w:val="nil"/>
            </w:tcBorders>
            <w:noWrap w:val="0"/>
            <w:vAlign w:val="center"/>
          </w:tcPr>
          <w:p w14:paraId="5D28D7FE">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设计速度</w:t>
            </w:r>
          </w:p>
          <w:p w14:paraId="787858FC">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（Km/h）</w:t>
            </w:r>
          </w:p>
        </w:tc>
        <w:tc>
          <w:tcPr>
            <w:tcW w:w="1339" w:type="dxa"/>
            <w:tcBorders>
              <w:tl2br w:val="nil"/>
              <w:tr2bl w:val="nil"/>
            </w:tcBorders>
            <w:noWrap w:val="0"/>
            <w:vAlign w:val="center"/>
          </w:tcPr>
          <w:p w14:paraId="67AF06F0">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道路设计长度（m）</w:t>
            </w:r>
          </w:p>
        </w:tc>
        <w:tc>
          <w:tcPr>
            <w:tcW w:w="1887" w:type="dxa"/>
            <w:tcBorders>
              <w:tl2br w:val="nil"/>
              <w:tr2bl w:val="nil"/>
            </w:tcBorders>
            <w:noWrap w:val="0"/>
            <w:vAlign w:val="center"/>
          </w:tcPr>
          <w:p w14:paraId="3CF831F0">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现状</w:t>
            </w:r>
            <w:r>
              <w:rPr>
                <w:rFonts w:hint="eastAsia" w:asciiTheme="minorEastAsia" w:hAnsiTheme="minorEastAsia" w:cstheme="minorEastAsia"/>
                <w:color w:val="auto"/>
                <w:sz w:val="24"/>
                <w:szCs w:val="24"/>
                <w:vertAlign w:val="baseline"/>
                <w:lang w:val="en-US" w:eastAsia="zh-CN"/>
              </w:rPr>
              <w:t>路面面积</w:t>
            </w:r>
            <w:r>
              <w:rPr>
                <w:rFonts w:hint="eastAsia" w:asciiTheme="minorEastAsia" w:hAnsiTheme="minorEastAsia" w:eastAsiaTheme="minorEastAsia" w:cstheme="minorEastAsia"/>
                <w:color w:val="auto"/>
                <w:sz w:val="24"/>
                <w:szCs w:val="24"/>
                <w:vertAlign w:val="baseline"/>
                <w:lang w:val="en-US" w:eastAsia="zh-CN"/>
              </w:rPr>
              <w:t>（</w:t>
            </w:r>
            <w:r>
              <w:rPr>
                <w:rFonts w:hint="eastAsia" w:asciiTheme="minorEastAsia" w:hAnsiTheme="minorEastAsia" w:cstheme="minorEastAsia"/>
                <w:color w:val="auto"/>
                <w:sz w:val="24"/>
                <w:szCs w:val="24"/>
                <w:vertAlign w:val="baseline"/>
                <w:lang w:val="en-US" w:eastAsia="zh-CN"/>
              </w:rPr>
              <w:t>㎡</w:t>
            </w:r>
            <w:r>
              <w:rPr>
                <w:rFonts w:hint="eastAsia" w:asciiTheme="minorEastAsia" w:hAnsiTheme="minorEastAsia" w:eastAsiaTheme="minorEastAsia" w:cstheme="minorEastAsia"/>
                <w:color w:val="auto"/>
                <w:sz w:val="24"/>
                <w:szCs w:val="24"/>
                <w:vertAlign w:val="baseline"/>
                <w:lang w:val="en-US" w:eastAsia="zh-CN"/>
              </w:rPr>
              <w:t>）</w:t>
            </w:r>
          </w:p>
        </w:tc>
        <w:tc>
          <w:tcPr>
            <w:tcW w:w="1510" w:type="dxa"/>
            <w:tcBorders>
              <w:tl2br w:val="nil"/>
              <w:tr2bl w:val="nil"/>
            </w:tcBorders>
            <w:noWrap w:val="0"/>
            <w:vAlign w:val="center"/>
          </w:tcPr>
          <w:p w14:paraId="0CBB8D8B">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备注</w:t>
            </w:r>
          </w:p>
        </w:tc>
      </w:tr>
      <w:tr w14:paraId="4691A73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922" w:type="dxa"/>
            <w:tcBorders>
              <w:tl2br w:val="nil"/>
              <w:tr2bl w:val="nil"/>
            </w:tcBorders>
            <w:noWrap w:val="0"/>
            <w:vAlign w:val="center"/>
          </w:tcPr>
          <w:p w14:paraId="599DD92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1</w:t>
            </w:r>
          </w:p>
        </w:tc>
        <w:tc>
          <w:tcPr>
            <w:tcW w:w="1688" w:type="dxa"/>
            <w:tcBorders>
              <w:tl2br w:val="nil"/>
              <w:tr2bl w:val="nil"/>
            </w:tcBorders>
            <w:noWrap w:val="0"/>
            <w:vAlign w:val="center"/>
          </w:tcPr>
          <w:p w14:paraId="3E01C44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cstheme="minorEastAsia"/>
                <w:color w:val="auto"/>
                <w:sz w:val="24"/>
                <w:szCs w:val="24"/>
                <w:vertAlign w:val="baseline"/>
                <w:lang w:val="en-US" w:eastAsia="zh-CN"/>
              </w:rPr>
              <w:t>A线</w:t>
            </w:r>
          </w:p>
        </w:tc>
        <w:tc>
          <w:tcPr>
            <w:tcW w:w="1252" w:type="dxa"/>
            <w:vMerge w:val="restart"/>
            <w:tcBorders>
              <w:tl2br w:val="nil"/>
              <w:tr2bl w:val="nil"/>
            </w:tcBorders>
            <w:noWrap w:val="0"/>
            <w:vAlign w:val="center"/>
          </w:tcPr>
          <w:p w14:paraId="7B67DB1E">
            <w:pPr>
              <w:keepNext w:val="0"/>
              <w:keepLines w:val="0"/>
              <w:pageBreakBefore w:val="0"/>
              <w:widowControl w:val="0"/>
              <w:tabs>
                <w:tab w:val="left" w:pos="295"/>
              </w:tabs>
              <w:kinsoku/>
              <w:wordWrap/>
              <w:overflowPunct/>
              <w:topLinePunct w:val="0"/>
              <w:autoSpaceDE/>
              <w:autoSpaceDN/>
              <w:bidi w:val="0"/>
              <w:adjustRightInd/>
              <w:snapToGrid/>
              <w:spacing w:line="360" w:lineRule="auto"/>
              <w:ind w:firstLine="0" w:firstLineChars="0"/>
              <w:jc w:val="center"/>
              <w:textAlignment w:val="auto"/>
              <w:rPr>
                <w:rFonts w:hint="default"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cstheme="minorEastAsia"/>
                <w:color w:val="auto"/>
                <w:sz w:val="24"/>
                <w:szCs w:val="24"/>
                <w:vertAlign w:val="baseline"/>
                <w:lang w:val="en-US" w:eastAsia="zh-CN"/>
              </w:rPr>
              <w:t>乡村道路支路</w:t>
            </w:r>
          </w:p>
        </w:tc>
        <w:tc>
          <w:tcPr>
            <w:tcW w:w="1119" w:type="dxa"/>
            <w:vMerge w:val="restart"/>
            <w:tcBorders>
              <w:tl2br w:val="nil"/>
              <w:tr2bl w:val="nil"/>
            </w:tcBorders>
            <w:noWrap w:val="0"/>
            <w:vAlign w:val="center"/>
          </w:tcPr>
          <w:p w14:paraId="55755AD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≤15</w:t>
            </w:r>
          </w:p>
        </w:tc>
        <w:tc>
          <w:tcPr>
            <w:tcW w:w="1339" w:type="dxa"/>
            <w:tcBorders>
              <w:tl2br w:val="nil"/>
              <w:tr2bl w:val="nil"/>
            </w:tcBorders>
            <w:noWrap w:val="0"/>
            <w:vAlign w:val="center"/>
          </w:tcPr>
          <w:p w14:paraId="7109FCA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cstheme="minorEastAsia"/>
                <w:color w:val="auto"/>
                <w:sz w:val="24"/>
                <w:szCs w:val="24"/>
                <w:vertAlign w:val="baseline"/>
                <w:lang w:val="en-US" w:eastAsia="zh-CN"/>
              </w:rPr>
              <w:t>855.357</w:t>
            </w:r>
          </w:p>
        </w:tc>
        <w:tc>
          <w:tcPr>
            <w:tcW w:w="1887" w:type="dxa"/>
            <w:tcBorders>
              <w:tl2br w:val="nil"/>
              <w:tr2bl w:val="nil"/>
            </w:tcBorders>
            <w:noWrap w:val="0"/>
            <w:vAlign w:val="center"/>
          </w:tcPr>
          <w:p w14:paraId="6702EDF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cstheme="minorEastAsia"/>
                <w:color w:val="auto"/>
                <w:sz w:val="24"/>
                <w:szCs w:val="24"/>
                <w:vertAlign w:val="baseline"/>
                <w:lang w:val="en-US" w:eastAsia="zh-CN"/>
              </w:rPr>
              <w:t>4917</w:t>
            </w:r>
          </w:p>
        </w:tc>
        <w:tc>
          <w:tcPr>
            <w:tcW w:w="1510" w:type="dxa"/>
            <w:tcBorders>
              <w:tl2br w:val="nil"/>
              <w:tr2bl w:val="nil"/>
            </w:tcBorders>
            <w:noWrap w:val="0"/>
            <w:vAlign w:val="center"/>
          </w:tcPr>
          <w:p w14:paraId="51456BB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桩代号A</w:t>
            </w:r>
          </w:p>
        </w:tc>
      </w:tr>
      <w:tr w14:paraId="65A9F73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922" w:type="dxa"/>
            <w:tcBorders>
              <w:tl2br w:val="nil"/>
              <w:tr2bl w:val="nil"/>
            </w:tcBorders>
            <w:noWrap w:val="0"/>
            <w:vAlign w:val="center"/>
          </w:tcPr>
          <w:p w14:paraId="72E2CA2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2</w:t>
            </w:r>
          </w:p>
        </w:tc>
        <w:tc>
          <w:tcPr>
            <w:tcW w:w="1688" w:type="dxa"/>
            <w:tcBorders>
              <w:tl2br w:val="nil"/>
              <w:tr2bl w:val="nil"/>
            </w:tcBorders>
            <w:noWrap w:val="0"/>
            <w:vAlign w:val="center"/>
          </w:tcPr>
          <w:p w14:paraId="5C16C46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cstheme="minorEastAsia"/>
                <w:color w:val="auto"/>
                <w:sz w:val="24"/>
                <w:szCs w:val="24"/>
                <w:vertAlign w:val="baseline"/>
                <w:lang w:val="en-US" w:eastAsia="zh-CN"/>
              </w:rPr>
              <w:t>B线</w:t>
            </w:r>
          </w:p>
        </w:tc>
        <w:tc>
          <w:tcPr>
            <w:tcW w:w="1252" w:type="dxa"/>
            <w:vMerge w:val="continue"/>
            <w:tcBorders>
              <w:tl2br w:val="nil"/>
              <w:tr2bl w:val="nil"/>
            </w:tcBorders>
            <w:noWrap w:val="0"/>
            <w:vAlign w:val="center"/>
          </w:tcPr>
          <w:p w14:paraId="6D59817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p>
        </w:tc>
        <w:tc>
          <w:tcPr>
            <w:tcW w:w="1119" w:type="dxa"/>
            <w:vMerge w:val="continue"/>
            <w:tcBorders>
              <w:tl2br w:val="nil"/>
              <w:tr2bl w:val="nil"/>
            </w:tcBorders>
            <w:noWrap w:val="0"/>
            <w:vAlign w:val="center"/>
          </w:tcPr>
          <w:p w14:paraId="518330F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p>
        </w:tc>
        <w:tc>
          <w:tcPr>
            <w:tcW w:w="1339" w:type="dxa"/>
            <w:tcBorders>
              <w:tl2br w:val="nil"/>
              <w:tr2bl w:val="nil"/>
            </w:tcBorders>
            <w:noWrap w:val="0"/>
            <w:vAlign w:val="center"/>
          </w:tcPr>
          <w:p w14:paraId="24F5144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384.895</w:t>
            </w:r>
          </w:p>
        </w:tc>
        <w:tc>
          <w:tcPr>
            <w:tcW w:w="1887" w:type="dxa"/>
            <w:tcBorders>
              <w:tl2br w:val="nil"/>
              <w:tr2bl w:val="nil"/>
            </w:tcBorders>
            <w:noWrap w:val="0"/>
            <w:vAlign w:val="center"/>
          </w:tcPr>
          <w:p w14:paraId="78C6B95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cstheme="minorEastAsia"/>
                <w:color w:val="auto"/>
                <w:sz w:val="24"/>
                <w:szCs w:val="24"/>
                <w:vertAlign w:val="baseline"/>
                <w:lang w:val="en-US" w:eastAsia="zh-CN"/>
              </w:rPr>
              <w:t>2056</w:t>
            </w:r>
          </w:p>
        </w:tc>
        <w:tc>
          <w:tcPr>
            <w:tcW w:w="1510" w:type="dxa"/>
            <w:tcBorders>
              <w:tl2br w:val="nil"/>
              <w:tr2bl w:val="nil"/>
            </w:tcBorders>
            <w:noWrap w:val="0"/>
            <w:vAlign w:val="center"/>
          </w:tcPr>
          <w:p w14:paraId="791AA5C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桩代号B</w:t>
            </w:r>
          </w:p>
        </w:tc>
      </w:tr>
      <w:tr w14:paraId="66CE350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922" w:type="dxa"/>
            <w:tcBorders>
              <w:tl2br w:val="nil"/>
              <w:tr2bl w:val="nil"/>
            </w:tcBorders>
            <w:noWrap w:val="0"/>
            <w:vAlign w:val="center"/>
          </w:tcPr>
          <w:p w14:paraId="097B947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cstheme="minorEastAsia"/>
                <w:color w:val="auto"/>
                <w:sz w:val="24"/>
                <w:szCs w:val="24"/>
                <w:vertAlign w:val="baseline"/>
                <w:lang w:val="en-US" w:eastAsia="zh-CN"/>
              </w:rPr>
              <w:t>3</w:t>
            </w:r>
          </w:p>
        </w:tc>
        <w:tc>
          <w:tcPr>
            <w:tcW w:w="1688" w:type="dxa"/>
            <w:tcBorders>
              <w:tl2br w:val="nil"/>
              <w:tr2bl w:val="nil"/>
            </w:tcBorders>
            <w:noWrap w:val="0"/>
            <w:vAlign w:val="center"/>
          </w:tcPr>
          <w:p w14:paraId="6E39AE1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cstheme="minorEastAsia"/>
                <w:color w:val="auto"/>
                <w:sz w:val="24"/>
                <w:szCs w:val="24"/>
                <w:vertAlign w:val="baseline"/>
                <w:lang w:val="en-US" w:eastAsia="zh-CN"/>
              </w:rPr>
              <w:t>D线</w:t>
            </w:r>
          </w:p>
        </w:tc>
        <w:tc>
          <w:tcPr>
            <w:tcW w:w="1252" w:type="dxa"/>
            <w:vMerge w:val="continue"/>
            <w:tcBorders>
              <w:tl2br w:val="nil"/>
              <w:tr2bl w:val="nil"/>
            </w:tcBorders>
            <w:noWrap w:val="0"/>
            <w:vAlign w:val="center"/>
          </w:tcPr>
          <w:p w14:paraId="3225CE7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p>
        </w:tc>
        <w:tc>
          <w:tcPr>
            <w:tcW w:w="1119" w:type="dxa"/>
            <w:vMerge w:val="continue"/>
            <w:tcBorders>
              <w:tl2br w:val="nil"/>
              <w:tr2bl w:val="nil"/>
            </w:tcBorders>
            <w:noWrap w:val="0"/>
            <w:vAlign w:val="center"/>
          </w:tcPr>
          <w:p w14:paraId="51F733A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p>
        </w:tc>
        <w:tc>
          <w:tcPr>
            <w:tcW w:w="1339" w:type="dxa"/>
            <w:tcBorders>
              <w:tl2br w:val="nil"/>
              <w:tr2bl w:val="nil"/>
            </w:tcBorders>
            <w:noWrap w:val="0"/>
            <w:vAlign w:val="center"/>
          </w:tcPr>
          <w:p w14:paraId="0F3859A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cstheme="minorEastAsia"/>
                <w:color w:val="auto"/>
                <w:sz w:val="24"/>
                <w:szCs w:val="24"/>
                <w:vertAlign w:val="baseline"/>
                <w:lang w:val="en-US" w:eastAsia="zh-CN"/>
              </w:rPr>
              <w:t>120.000</w:t>
            </w:r>
          </w:p>
        </w:tc>
        <w:tc>
          <w:tcPr>
            <w:tcW w:w="1887" w:type="dxa"/>
            <w:tcBorders>
              <w:tl2br w:val="nil"/>
              <w:tr2bl w:val="nil"/>
            </w:tcBorders>
            <w:noWrap w:val="0"/>
            <w:vAlign w:val="center"/>
          </w:tcPr>
          <w:p w14:paraId="5328308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cstheme="minorEastAsia"/>
                <w:color w:val="auto"/>
                <w:sz w:val="24"/>
                <w:szCs w:val="24"/>
                <w:vertAlign w:val="baseline"/>
                <w:lang w:val="en-US" w:eastAsia="zh-CN"/>
              </w:rPr>
              <w:t>453.6</w:t>
            </w:r>
          </w:p>
        </w:tc>
        <w:tc>
          <w:tcPr>
            <w:tcW w:w="1510" w:type="dxa"/>
            <w:tcBorders>
              <w:tl2br w:val="nil"/>
              <w:tr2bl w:val="nil"/>
            </w:tcBorders>
            <w:noWrap w:val="0"/>
            <w:vAlign w:val="center"/>
          </w:tcPr>
          <w:p w14:paraId="1DD6369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桩代号D</w:t>
            </w:r>
          </w:p>
        </w:tc>
      </w:tr>
      <w:tr w14:paraId="5DCD986D">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22" w:type="dxa"/>
            <w:tcBorders>
              <w:tl2br w:val="nil"/>
              <w:tr2bl w:val="nil"/>
            </w:tcBorders>
            <w:noWrap w:val="0"/>
            <w:vAlign w:val="center"/>
          </w:tcPr>
          <w:p w14:paraId="2CE976B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cstheme="minorEastAsia"/>
                <w:color w:val="auto"/>
                <w:sz w:val="24"/>
                <w:szCs w:val="24"/>
                <w:vertAlign w:val="baseline"/>
                <w:lang w:val="en-US" w:eastAsia="zh-CN"/>
              </w:rPr>
              <w:t>4</w:t>
            </w:r>
          </w:p>
        </w:tc>
        <w:tc>
          <w:tcPr>
            <w:tcW w:w="1688" w:type="dxa"/>
            <w:tcBorders>
              <w:tl2br w:val="nil"/>
              <w:tr2bl w:val="nil"/>
            </w:tcBorders>
            <w:noWrap w:val="0"/>
            <w:vAlign w:val="center"/>
          </w:tcPr>
          <w:p w14:paraId="349482A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cstheme="minorEastAsia"/>
                <w:color w:val="auto"/>
                <w:sz w:val="24"/>
                <w:szCs w:val="24"/>
                <w:vertAlign w:val="baseline"/>
                <w:lang w:val="en-US" w:eastAsia="zh-CN"/>
              </w:rPr>
              <w:t>E线</w:t>
            </w:r>
          </w:p>
        </w:tc>
        <w:tc>
          <w:tcPr>
            <w:tcW w:w="1252" w:type="dxa"/>
            <w:vMerge w:val="continue"/>
            <w:tcBorders>
              <w:tl2br w:val="nil"/>
              <w:tr2bl w:val="nil"/>
            </w:tcBorders>
            <w:noWrap w:val="0"/>
            <w:vAlign w:val="center"/>
          </w:tcPr>
          <w:p w14:paraId="26BA428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p>
        </w:tc>
        <w:tc>
          <w:tcPr>
            <w:tcW w:w="1119" w:type="dxa"/>
            <w:vMerge w:val="continue"/>
            <w:tcBorders>
              <w:tl2br w:val="nil"/>
              <w:tr2bl w:val="nil"/>
            </w:tcBorders>
            <w:noWrap w:val="0"/>
            <w:vAlign w:val="center"/>
          </w:tcPr>
          <w:p w14:paraId="63A0A65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p>
        </w:tc>
        <w:tc>
          <w:tcPr>
            <w:tcW w:w="1339" w:type="dxa"/>
            <w:tcBorders>
              <w:tl2br w:val="nil"/>
              <w:tr2bl w:val="nil"/>
            </w:tcBorders>
            <w:noWrap w:val="0"/>
            <w:vAlign w:val="center"/>
          </w:tcPr>
          <w:p w14:paraId="7CFC9BE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cstheme="minorEastAsia"/>
                <w:color w:val="auto"/>
                <w:sz w:val="24"/>
                <w:szCs w:val="24"/>
                <w:vertAlign w:val="baseline"/>
                <w:lang w:val="en-US" w:eastAsia="zh-CN"/>
              </w:rPr>
              <w:t>263.750</w:t>
            </w:r>
          </w:p>
        </w:tc>
        <w:tc>
          <w:tcPr>
            <w:tcW w:w="1887" w:type="dxa"/>
            <w:tcBorders>
              <w:tl2br w:val="nil"/>
              <w:tr2bl w:val="nil"/>
            </w:tcBorders>
            <w:noWrap w:val="0"/>
            <w:vAlign w:val="center"/>
          </w:tcPr>
          <w:p w14:paraId="58EBD33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cstheme="minorEastAsia"/>
                <w:color w:val="auto"/>
                <w:sz w:val="24"/>
                <w:szCs w:val="24"/>
                <w:vertAlign w:val="baseline"/>
                <w:lang w:val="en-US" w:eastAsia="zh-CN"/>
              </w:rPr>
              <w:t>1156.6</w:t>
            </w:r>
          </w:p>
        </w:tc>
        <w:tc>
          <w:tcPr>
            <w:tcW w:w="1510" w:type="dxa"/>
            <w:tcBorders>
              <w:tl2br w:val="nil"/>
              <w:tr2bl w:val="nil"/>
            </w:tcBorders>
            <w:noWrap w:val="0"/>
            <w:vAlign w:val="center"/>
          </w:tcPr>
          <w:p w14:paraId="0971445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桩代号E</w:t>
            </w:r>
          </w:p>
        </w:tc>
      </w:tr>
      <w:tr w14:paraId="72C9D92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922" w:type="dxa"/>
            <w:tcBorders>
              <w:tl2br w:val="nil"/>
              <w:tr2bl w:val="nil"/>
            </w:tcBorders>
            <w:noWrap w:val="0"/>
            <w:vAlign w:val="center"/>
          </w:tcPr>
          <w:p w14:paraId="0F9032D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cstheme="minorEastAsia"/>
                <w:color w:val="auto"/>
                <w:sz w:val="24"/>
                <w:szCs w:val="24"/>
                <w:vertAlign w:val="baseline"/>
                <w:lang w:val="en-US" w:eastAsia="zh-CN"/>
              </w:rPr>
              <w:t>5</w:t>
            </w:r>
          </w:p>
        </w:tc>
        <w:tc>
          <w:tcPr>
            <w:tcW w:w="1688" w:type="dxa"/>
            <w:tcBorders>
              <w:tl2br w:val="nil"/>
              <w:tr2bl w:val="nil"/>
            </w:tcBorders>
            <w:noWrap w:val="0"/>
            <w:vAlign w:val="center"/>
          </w:tcPr>
          <w:p w14:paraId="0932CE2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cstheme="minorEastAsia"/>
                <w:color w:val="auto"/>
                <w:sz w:val="24"/>
                <w:szCs w:val="24"/>
                <w:vertAlign w:val="baseline"/>
                <w:lang w:val="en-US" w:eastAsia="zh-CN"/>
              </w:rPr>
              <w:t>F线</w:t>
            </w:r>
          </w:p>
        </w:tc>
        <w:tc>
          <w:tcPr>
            <w:tcW w:w="1252" w:type="dxa"/>
            <w:vMerge w:val="continue"/>
            <w:tcBorders>
              <w:tl2br w:val="nil"/>
              <w:tr2bl w:val="nil"/>
            </w:tcBorders>
            <w:noWrap w:val="0"/>
            <w:vAlign w:val="center"/>
          </w:tcPr>
          <w:p w14:paraId="3468C10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p>
        </w:tc>
        <w:tc>
          <w:tcPr>
            <w:tcW w:w="1119" w:type="dxa"/>
            <w:vMerge w:val="continue"/>
            <w:tcBorders>
              <w:tl2br w:val="nil"/>
              <w:tr2bl w:val="nil"/>
            </w:tcBorders>
            <w:noWrap w:val="0"/>
            <w:vAlign w:val="center"/>
          </w:tcPr>
          <w:p w14:paraId="15E36CE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p>
        </w:tc>
        <w:tc>
          <w:tcPr>
            <w:tcW w:w="1339" w:type="dxa"/>
            <w:tcBorders>
              <w:tl2br w:val="nil"/>
              <w:tr2bl w:val="nil"/>
            </w:tcBorders>
            <w:noWrap w:val="0"/>
            <w:vAlign w:val="center"/>
          </w:tcPr>
          <w:p w14:paraId="2F8638C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155.124</w:t>
            </w:r>
          </w:p>
        </w:tc>
        <w:tc>
          <w:tcPr>
            <w:tcW w:w="1887" w:type="dxa"/>
            <w:tcBorders>
              <w:tl2br w:val="nil"/>
              <w:tr2bl w:val="nil"/>
            </w:tcBorders>
            <w:noWrap w:val="0"/>
            <w:vAlign w:val="center"/>
          </w:tcPr>
          <w:p w14:paraId="27960C8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cstheme="minorEastAsia"/>
                <w:color w:val="auto"/>
                <w:sz w:val="24"/>
                <w:szCs w:val="24"/>
                <w:vertAlign w:val="baseline"/>
                <w:lang w:val="en-US" w:eastAsia="zh-CN"/>
              </w:rPr>
              <w:t>583</w:t>
            </w:r>
          </w:p>
        </w:tc>
        <w:tc>
          <w:tcPr>
            <w:tcW w:w="1510" w:type="dxa"/>
            <w:tcBorders>
              <w:tl2br w:val="nil"/>
              <w:tr2bl w:val="nil"/>
            </w:tcBorders>
            <w:noWrap w:val="0"/>
            <w:vAlign w:val="center"/>
          </w:tcPr>
          <w:p w14:paraId="41594E7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桩代号F</w:t>
            </w:r>
          </w:p>
        </w:tc>
      </w:tr>
      <w:tr w14:paraId="2BA3F70F">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922" w:type="dxa"/>
            <w:tcBorders>
              <w:tl2br w:val="nil"/>
              <w:tr2bl w:val="nil"/>
            </w:tcBorders>
            <w:noWrap w:val="0"/>
            <w:vAlign w:val="center"/>
          </w:tcPr>
          <w:p w14:paraId="10A37A6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cstheme="minorEastAsia"/>
                <w:color w:val="auto"/>
                <w:sz w:val="24"/>
                <w:szCs w:val="24"/>
                <w:vertAlign w:val="baseline"/>
                <w:lang w:val="en-US" w:eastAsia="zh-CN"/>
              </w:rPr>
              <w:t>6</w:t>
            </w:r>
          </w:p>
        </w:tc>
        <w:tc>
          <w:tcPr>
            <w:tcW w:w="1688" w:type="dxa"/>
            <w:tcBorders>
              <w:tl2br w:val="nil"/>
              <w:tr2bl w:val="nil"/>
            </w:tcBorders>
            <w:noWrap w:val="0"/>
            <w:vAlign w:val="center"/>
          </w:tcPr>
          <w:p w14:paraId="2006149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cstheme="minorEastAsia"/>
                <w:color w:val="auto"/>
                <w:sz w:val="24"/>
                <w:szCs w:val="24"/>
                <w:vertAlign w:val="baseline"/>
                <w:lang w:val="en-US" w:eastAsia="zh-CN"/>
              </w:rPr>
              <w:t>G线</w:t>
            </w:r>
          </w:p>
        </w:tc>
        <w:tc>
          <w:tcPr>
            <w:tcW w:w="1252" w:type="dxa"/>
            <w:vMerge w:val="continue"/>
            <w:tcBorders>
              <w:tl2br w:val="nil"/>
              <w:tr2bl w:val="nil"/>
            </w:tcBorders>
            <w:noWrap w:val="0"/>
            <w:vAlign w:val="center"/>
          </w:tcPr>
          <w:p w14:paraId="7F6047E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p>
        </w:tc>
        <w:tc>
          <w:tcPr>
            <w:tcW w:w="1119" w:type="dxa"/>
            <w:vMerge w:val="continue"/>
            <w:tcBorders>
              <w:tl2br w:val="nil"/>
              <w:tr2bl w:val="nil"/>
            </w:tcBorders>
            <w:noWrap w:val="0"/>
            <w:vAlign w:val="center"/>
          </w:tcPr>
          <w:p w14:paraId="350A1F0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p>
        </w:tc>
        <w:tc>
          <w:tcPr>
            <w:tcW w:w="1339" w:type="dxa"/>
            <w:tcBorders>
              <w:tl2br w:val="nil"/>
              <w:tr2bl w:val="nil"/>
            </w:tcBorders>
            <w:noWrap w:val="0"/>
            <w:vAlign w:val="center"/>
          </w:tcPr>
          <w:p w14:paraId="2EC7266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39.464</w:t>
            </w:r>
          </w:p>
        </w:tc>
        <w:tc>
          <w:tcPr>
            <w:tcW w:w="1887" w:type="dxa"/>
            <w:tcBorders>
              <w:tl2br w:val="nil"/>
              <w:tr2bl w:val="nil"/>
            </w:tcBorders>
            <w:noWrap w:val="0"/>
            <w:vAlign w:val="center"/>
          </w:tcPr>
          <w:p w14:paraId="1E4AC8B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cstheme="minorEastAsia"/>
                <w:color w:val="auto"/>
                <w:sz w:val="24"/>
                <w:szCs w:val="24"/>
                <w:vertAlign w:val="baseline"/>
                <w:lang w:val="en-US" w:eastAsia="zh-CN"/>
              </w:rPr>
              <w:t>195</w:t>
            </w:r>
          </w:p>
        </w:tc>
        <w:tc>
          <w:tcPr>
            <w:tcW w:w="1510" w:type="dxa"/>
            <w:tcBorders>
              <w:tl2br w:val="nil"/>
              <w:tr2bl w:val="nil"/>
            </w:tcBorders>
            <w:noWrap w:val="0"/>
            <w:vAlign w:val="center"/>
          </w:tcPr>
          <w:p w14:paraId="6773445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桩代号G</w:t>
            </w:r>
          </w:p>
        </w:tc>
      </w:tr>
      <w:tr w14:paraId="63D5EB9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922" w:type="dxa"/>
            <w:tcBorders>
              <w:tl2br w:val="nil"/>
              <w:tr2bl w:val="nil"/>
            </w:tcBorders>
            <w:noWrap w:val="0"/>
            <w:vAlign w:val="center"/>
          </w:tcPr>
          <w:p w14:paraId="64EB3CA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cstheme="minorEastAsia"/>
                <w:color w:val="auto"/>
                <w:sz w:val="24"/>
                <w:szCs w:val="24"/>
                <w:vertAlign w:val="baseline"/>
                <w:lang w:val="en-US" w:eastAsia="zh-CN"/>
              </w:rPr>
              <w:t>7</w:t>
            </w:r>
          </w:p>
        </w:tc>
        <w:tc>
          <w:tcPr>
            <w:tcW w:w="5398" w:type="dxa"/>
            <w:gridSpan w:val="4"/>
            <w:tcBorders>
              <w:tl2br w:val="nil"/>
              <w:tr2bl w:val="nil"/>
            </w:tcBorders>
            <w:noWrap w:val="0"/>
            <w:vAlign w:val="center"/>
          </w:tcPr>
          <w:p w14:paraId="55A1D73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cstheme="minorEastAsia"/>
                <w:color w:val="auto"/>
                <w:sz w:val="24"/>
                <w:szCs w:val="24"/>
                <w:vertAlign w:val="baseline"/>
                <w:lang w:val="en-US" w:eastAsia="zh-CN"/>
              </w:rPr>
              <w:t>新河村村委会</w:t>
            </w:r>
          </w:p>
        </w:tc>
        <w:tc>
          <w:tcPr>
            <w:tcW w:w="1887" w:type="dxa"/>
            <w:tcBorders>
              <w:tl2br w:val="nil"/>
              <w:tr2bl w:val="nil"/>
            </w:tcBorders>
            <w:noWrap w:val="0"/>
            <w:vAlign w:val="center"/>
          </w:tcPr>
          <w:p w14:paraId="22B47F6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heme="minorEastAsia" w:hAnsiTheme="minorEastAsia" w:cstheme="minorEastAsia"/>
                <w:color w:val="auto"/>
                <w:sz w:val="24"/>
                <w:szCs w:val="24"/>
                <w:vertAlign w:val="baseline"/>
                <w:lang w:val="en-US" w:eastAsia="zh-CN"/>
              </w:rPr>
            </w:pPr>
            <w:r>
              <w:rPr>
                <w:rFonts w:hint="eastAsia" w:asciiTheme="minorEastAsia" w:hAnsiTheme="minorEastAsia" w:cstheme="minorEastAsia"/>
                <w:color w:val="auto"/>
                <w:sz w:val="24"/>
                <w:szCs w:val="24"/>
                <w:vertAlign w:val="baseline"/>
                <w:lang w:val="en-US" w:eastAsia="zh-CN"/>
              </w:rPr>
              <w:t>924</w:t>
            </w:r>
          </w:p>
        </w:tc>
        <w:tc>
          <w:tcPr>
            <w:tcW w:w="1510" w:type="dxa"/>
            <w:tcBorders>
              <w:tl2br w:val="nil"/>
              <w:tr2bl w:val="nil"/>
            </w:tcBorders>
            <w:noWrap w:val="0"/>
            <w:vAlign w:val="center"/>
          </w:tcPr>
          <w:p w14:paraId="1830343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p>
        </w:tc>
      </w:tr>
    </w:tbl>
    <w:p w14:paraId="7CCD6094">
      <w:pPr>
        <w:spacing w:line="360" w:lineRule="auto"/>
        <w:ind w:firstLine="480" w:firstLineChars="200"/>
        <w:jc w:val="left"/>
        <w:rPr>
          <w:rFonts w:hint="eastAsia"/>
          <w:sz w:val="24"/>
          <w:szCs w:val="24"/>
          <w:lang w:val="en-US" w:eastAsia="zh-CN"/>
        </w:rPr>
      </w:pPr>
      <w:r>
        <w:rPr>
          <w:rFonts w:hint="eastAsia"/>
          <w:sz w:val="24"/>
          <w:szCs w:val="24"/>
          <w:lang w:val="en-US" w:eastAsia="zh-CN"/>
        </w:rPr>
        <w:t>A线：起点AK0+000接现在和共公路路桥头，道路终点AK0+855.357接和公共路洗车场，道路路线全长855.357m；</w:t>
      </w:r>
    </w:p>
    <w:p w14:paraId="26C5D42F">
      <w:pPr>
        <w:spacing w:line="360" w:lineRule="auto"/>
        <w:ind w:firstLine="480" w:firstLineChars="200"/>
        <w:jc w:val="left"/>
        <w:rPr>
          <w:rFonts w:hint="eastAsia"/>
          <w:sz w:val="24"/>
          <w:szCs w:val="24"/>
          <w:lang w:val="en-US" w:eastAsia="zh-CN"/>
        </w:rPr>
      </w:pPr>
      <w:r>
        <w:rPr>
          <w:rFonts w:hint="eastAsia"/>
          <w:sz w:val="24"/>
          <w:szCs w:val="24"/>
          <w:lang w:val="en-US" w:eastAsia="zh-CN"/>
        </w:rPr>
        <w:t>B线：起点BK0+000接现状A线道路AK0+005，道路终点BK0+384.895接A线道路AK0+310，道路全长384.895m；</w:t>
      </w:r>
    </w:p>
    <w:p w14:paraId="5561761F">
      <w:pPr>
        <w:spacing w:line="360" w:lineRule="auto"/>
        <w:ind w:firstLine="480" w:firstLineChars="200"/>
        <w:jc w:val="left"/>
        <w:rPr>
          <w:rFonts w:hint="eastAsia"/>
          <w:sz w:val="24"/>
          <w:szCs w:val="24"/>
          <w:lang w:val="en-US" w:eastAsia="zh-CN"/>
        </w:rPr>
      </w:pPr>
      <w:r>
        <w:rPr>
          <w:rFonts w:hint="eastAsia"/>
          <w:sz w:val="24"/>
          <w:szCs w:val="24"/>
          <w:lang w:val="en-US" w:eastAsia="zh-CN"/>
        </w:rPr>
        <w:t>D线：起点DK0+000接A线道路AK0+270，道路终点DK0+120.000接现状院坝，道路全长120m；</w:t>
      </w:r>
    </w:p>
    <w:p w14:paraId="575B2A95">
      <w:pPr>
        <w:spacing w:line="360" w:lineRule="auto"/>
        <w:ind w:firstLine="480" w:firstLineChars="200"/>
        <w:jc w:val="left"/>
        <w:rPr>
          <w:rFonts w:hint="eastAsia"/>
          <w:sz w:val="24"/>
          <w:szCs w:val="24"/>
          <w:lang w:val="en-US" w:eastAsia="zh-CN"/>
        </w:rPr>
      </w:pPr>
      <w:r>
        <w:rPr>
          <w:rFonts w:hint="eastAsia"/>
          <w:sz w:val="24"/>
          <w:szCs w:val="24"/>
          <w:lang w:val="en-US" w:eastAsia="zh-CN"/>
        </w:rPr>
        <w:t>E线：起点EK0+000接共安彝族乡派出所桥头，道路终点EK0+</w:t>
      </w:r>
      <w:r>
        <w:rPr>
          <w:rFonts w:hint="eastAsia" w:asciiTheme="minorEastAsia" w:hAnsiTheme="minorEastAsia" w:cstheme="minorEastAsia"/>
          <w:color w:val="auto"/>
          <w:sz w:val="24"/>
          <w:szCs w:val="24"/>
          <w:vertAlign w:val="baseline"/>
          <w:lang w:val="en-US" w:eastAsia="zh-CN"/>
        </w:rPr>
        <w:t>263.750</w:t>
      </w:r>
      <w:r>
        <w:rPr>
          <w:rFonts w:hint="eastAsia"/>
          <w:sz w:val="24"/>
          <w:szCs w:val="24"/>
          <w:lang w:val="en-US" w:eastAsia="zh-CN"/>
        </w:rPr>
        <w:t>接现状院坝，道路全长</w:t>
      </w:r>
      <w:r>
        <w:rPr>
          <w:rFonts w:hint="eastAsia" w:asciiTheme="minorEastAsia" w:hAnsiTheme="minorEastAsia" w:cstheme="minorEastAsia"/>
          <w:color w:val="auto"/>
          <w:sz w:val="24"/>
          <w:szCs w:val="24"/>
          <w:vertAlign w:val="baseline"/>
          <w:lang w:val="en-US" w:eastAsia="zh-CN"/>
        </w:rPr>
        <w:t>263.750</w:t>
      </w:r>
      <w:r>
        <w:rPr>
          <w:rFonts w:hint="eastAsia"/>
          <w:sz w:val="24"/>
          <w:szCs w:val="24"/>
          <w:lang w:val="en-US" w:eastAsia="zh-CN"/>
        </w:rPr>
        <w:t>m；</w:t>
      </w:r>
    </w:p>
    <w:p w14:paraId="2C17211D">
      <w:pPr>
        <w:spacing w:line="360" w:lineRule="auto"/>
        <w:ind w:firstLine="480" w:firstLineChars="200"/>
        <w:jc w:val="left"/>
        <w:rPr>
          <w:rFonts w:hint="eastAsia"/>
          <w:sz w:val="24"/>
          <w:szCs w:val="24"/>
          <w:lang w:val="en-US" w:eastAsia="zh-CN"/>
        </w:rPr>
      </w:pPr>
      <w:r>
        <w:rPr>
          <w:rFonts w:hint="eastAsia"/>
          <w:sz w:val="24"/>
          <w:szCs w:val="24"/>
          <w:lang w:val="en-US" w:eastAsia="zh-CN"/>
        </w:rPr>
        <w:t>F线：起点FK0+000接E线道路EK0+196，道路终点FK0+155.124接现状院坝，道路全长155.124m；</w:t>
      </w:r>
    </w:p>
    <w:p w14:paraId="2692BC4F">
      <w:pPr>
        <w:spacing w:line="360" w:lineRule="auto"/>
        <w:ind w:firstLine="480" w:firstLineChars="200"/>
        <w:jc w:val="left"/>
        <w:rPr>
          <w:rFonts w:hint="default"/>
          <w:sz w:val="24"/>
          <w:szCs w:val="24"/>
          <w:lang w:val="en-US" w:eastAsia="zh-CN"/>
        </w:rPr>
      </w:pPr>
      <w:r>
        <w:rPr>
          <w:rFonts w:hint="eastAsia"/>
          <w:sz w:val="24"/>
          <w:szCs w:val="24"/>
          <w:lang w:val="en-US" w:eastAsia="zh-CN"/>
        </w:rPr>
        <w:t>G线：起点GK0+000接E线道路EK0+260，道路终点GK0+039.464接F线道路FK0+100，道路全长39.464m；</w:t>
      </w:r>
    </w:p>
    <w:p w14:paraId="1E6FEEAC">
      <w:pPr>
        <w:spacing w:line="360" w:lineRule="auto"/>
        <w:ind w:firstLine="480" w:firstLineChars="200"/>
        <w:jc w:val="left"/>
        <w:rPr>
          <w:rFonts w:hint="default"/>
          <w:sz w:val="24"/>
          <w:szCs w:val="24"/>
          <w:lang w:val="en-US" w:eastAsia="zh-CN"/>
        </w:rPr>
      </w:pPr>
      <w:r>
        <w:rPr>
          <w:rFonts w:hint="eastAsia"/>
          <w:sz w:val="24"/>
          <w:szCs w:val="24"/>
          <w:lang w:val="en-US" w:eastAsia="zh-CN"/>
        </w:rPr>
        <w:t>1、加铺沥青面层</w:t>
      </w:r>
    </w:p>
    <w:p w14:paraId="483C8A0C">
      <w:pPr>
        <w:spacing w:line="360" w:lineRule="auto"/>
        <w:ind w:firstLine="480" w:firstLineChars="200"/>
        <w:jc w:val="left"/>
        <w:rPr>
          <w:rFonts w:hint="default"/>
          <w:sz w:val="24"/>
          <w:szCs w:val="24"/>
          <w:lang w:val="en-US"/>
        </w:rPr>
      </w:pPr>
      <w:r>
        <w:rPr>
          <w:rFonts w:hint="eastAsia"/>
          <w:sz w:val="24"/>
          <w:szCs w:val="24"/>
        </w:rPr>
        <w:t>根据现场踏勘，</w:t>
      </w:r>
      <w:r>
        <w:rPr>
          <w:rFonts w:hint="eastAsia"/>
          <w:sz w:val="24"/>
          <w:szCs w:val="24"/>
          <w:lang w:val="en-US" w:eastAsia="zh-CN"/>
        </w:rPr>
        <w:t>新河村</w:t>
      </w:r>
      <w:r>
        <w:rPr>
          <w:rFonts w:hint="eastAsia"/>
          <w:sz w:val="24"/>
          <w:szCs w:val="24"/>
        </w:rPr>
        <w:t>现状</w:t>
      </w:r>
      <w:r>
        <w:rPr>
          <w:rFonts w:hint="eastAsia"/>
          <w:sz w:val="24"/>
          <w:szCs w:val="24"/>
          <w:lang w:val="en-US" w:eastAsia="zh-CN"/>
        </w:rPr>
        <w:t>村内水泥混凝土道路、村委会</w:t>
      </w:r>
      <w:r>
        <w:rPr>
          <w:rFonts w:hint="eastAsia"/>
          <w:sz w:val="24"/>
          <w:szCs w:val="24"/>
        </w:rPr>
        <w:t>部分</w:t>
      </w:r>
      <w:r>
        <w:rPr>
          <w:rFonts w:hint="eastAsia"/>
          <w:sz w:val="24"/>
          <w:szCs w:val="24"/>
          <w:lang w:val="en-US" w:eastAsia="zh-CN"/>
        </w:rPr>
        <w:t>路面</w:t>
      </w:r>
      <w:r>
        <w:rPr>
          <w:rFonts w:hint="eastAsia"/>
          <w:sz w:val="24"/>
          <w:szCs w:val="24"/>
        </w:rPr>
        <w:t>情况较好，板块完整</w:t>
      </w:r>
      <w:r>
        <w:rPr>
          <w:rFonts w:hint="eastAsia"/>
          <w:sz w:val="24"/>
          <w:szCs w:val="24"/>
          <w:lang w:eastAsia="zh-CN"/>
        </w:rPr>
        <w:t>。</w:t>
      </w:r>
      <w:r>
        <w:rPr>
          <w:rFonts w:hint="eastAsia"/>
          <w:sz w:val="24"/>
          <w:szCs w:val="24"/>
          <w:lang w:val="en-US" w:eastAsia="zh-CN"/>
        </w:rPr>
        <w:t>现对</w:t>
      </w:r>
      <w:r>
        <w:rPr>
          <w:rFonts w:hint="eastAsia"/>
          <w:sz w:val="24"/>
          <w:szCs w:val="24"/>
        </w:rPr>
        <w:t>既有道路</w:t>
      </w:r>
      <w:r>
        <w:rPr>
          <w:rFonts w:hint="eastAsia"/>
          <w:sz w:val="24"/>
          <w:szCs w:val="24"/>
          <w:lang w:val="en-US" w:eastAsia="zh-CN"/>
        </w:rPr>
        <w:t>技术状况进行简单调查。其中</w:t>
      </w:r>
      <w:r>
        <w:rPr>
          <w:rFonts w:hint="eastAsia"/>
          <w:sz w:val="24"/>
          <w:szCs w:val="24"/>
        </w:rPr>
        <w:t>路面行驶质量指数（RQI）</w:t>
      </w:r>
      <w:r>
        <w:rPr>
          <w:rFonts w:hint="eastAsia"/>
          <w:sz w:val="24"/>
          <w:szCs w:val="24"/>
          <w:lang w:val="en-US" w:eastAsia="zh-CN"/>
        </w:rPr>
        <w:t>为A</w:t>
      </w:r>
      <w:r>
        <w:rPr>
          <w:rFonts w:hint="eastAsia"/>
          <w:sz w:val="24"/>
          <w:szCs w:val="24"/>
        </w:rPr>
        <w:t>、路面状况指数（PCI）</w:t>
      </w:r>
      <w:r>
        <w:rPr>
          <w:rFonts w:hint="eastAsia"/>
          <w:sz w:val="24"/>
          <w:szCs w:val="24"/>
          <w:lang w:val="en-US" w:eastAsia="zh-CN"/>
        </w:rPr>
        <w:t>为A</w:t>
      </w:r>
      <w:r>
        <w:rPr>
          <w:rFonts w:hint="eastAsia"/>
          <w:sz w:val="24"/>
          <w:szCs w:val="24"/>
        </w:rPr>
        <w:t>、路面综合评价指数（PQI）</w:t>
      </w:r>
      <w:r>
        <w:rPr>
          <w:rFonts w:hint="eastAsia"/>
          <w:sz w:val="24"/>
          <w:szCs w:val="24"/>
          <w:lang w:val="en-US" w:eastAsia="zh-CN"/>
        </w:rPr>
        <w:t>为A。综合评定为A，适宜进行道路加铺沥青面层。</w:t>
      </w:r>
    </w:p>
    <w:p w14:paraId="0C2CCF4F">
      <w:pPr>
        <w:spacing w:line="360" w:lineRule="auto"/>
        <w:ind w:firstLine="480" w:firstLineChars="200"/>
        <w:jc w:val="left"/>
        <w:rPr>
          <w:rFonts w:hint="default"/>
          <w:sz w:val="24"/>
          <w:szCs w:val="24"/>
          <w:lang w:val="en-US" w:eastAsia="zh-CN"/>
        </w:rPr>
      </w:pPr>
      <w:r>
        <w:rPr>
          <w:rFonts w:hint="eastAsia"/>
          <w:sz w:val="24"/>
          <w:szCs w:val="24"/>
        </w:rPr>
        <w:t>由于业主未提供与项目相关的竣工文件及基础资料，</w:t>
      </w:r>
      <w:r>
        <w:rPr>
          <w:rFonts w:hint="eastAsia"/>
          <w:sz w:val="24"/>
          <w:szCs w:val="24"/>
          <w:lang w:val="en-US" w:eastAsia="zh-CN"/>
        </w:rPr>
        <w:t>仅</w:t>
      </w:r>
      <w:r>
        <w:rPr>
          <w:rFonts w:hint="eastAsia"/>
          <w:sz w:val="24"/>
          <w:szCs w:val="24"/>
        </w:rPr>
        <w:t>根据现场实际情况并与业主沟通，同时考虑工程造价等因素，结合类似工程建设经验，本次设计在既有</w:t>
      </w:r>
      <w:r>
        <w:rPr>
          <w:rFonts w:hint="eastAsia"/>
          <w:sz w:val="24"/>
          <w:szCs w:val="24"/>
          <w:lang w:val="en-US" w:eastAsia="zh-CN"/>
        </w:rPr>
        <w:t>路面</w:t>
      </w:r>
      <w:r>
        <w:rPr>
          <w:rFonts w:hint="eastAsia"/>
          <w:sz w:val="24"/>
          <w:szCs w:val="24"/>
        </w:rPr>
        <w:t>加铺</w:t>
      </w:r>
      <w:r>
        <w:rPr>
          <w:rFonts w:hint="eastAsia"/>
          <w:sz w:val="24"/>
          <w:szCs w:val="24"/>
          <w:lang w:val="en-US" w:eastAsia="zh-CN"/>
        </w:rPr>
        <w:t>5cm厚</w:t>
      </w:r>
      <w:r>
        <w:rPr>
          <w:rFonts w:hint="eastAsia"/>
          <w:sz w:val="24"/>
          <w:szCs w:val="24"/>
        </w:rPr>
        <w:t>AC-</w:t>
      </w:r>
      <w:r>
        <w:rPr>
          <w:rFonts w:hint="eastAsia"/>
          <w:sz w:val="24"/>
          <w:szCs w:val="24"/>
          <w:lang w:val="en-US" w:eastAsia="zh-CN"/>
        </w:rPr>
        <w:t>16</w:t>
      </w:r>
      <w:r>
        <w:rPr>
          <w:rFonts w:hint="eastAsia"/>
          <w:sz w:val="24"/>
          <w:szCs w:val="24"/>
        </w:rPr>
        <w:t>C</w:t>
      </w:r>
      <w:r>
        <w:rPr>
          <w:rFonts w:hint="eastAsia"/>
          <w:sz w:val="24"/>
          <w:szCs w:val="24"/>
          <w:lang w:val="en-US" w:eastAsia="zh-CN"/>
        </w:rPr>
        <w:t>中</w:t>
      </w:r>
      <w:r>
        <w:rPr>
          <w:rFonts w:hint="eastAsia"/>
          <w:sz w:val="24"/>
          <w:szCs w:val="24"/>
        </w:rPr>
        <w:t>粒式改性沥青混凝土</w:t>
      </w:r>
      <w:r>
        <w:rPr>
          <w:rFonts w:hint="eastAsia"/>
          <w:sz w:val="24"/>
          <w:szCs w:val="24"/>
          <w:lang w:eastAsia="zh-CN"/>
        </w:rPr>
        <w:t>，</w:t>
      </w:r>
      <w:r>
        <w:rPr>
          <w:rFonts w:hint="eastAsia"/>
          <w:sz w:val="24"/>
          <w:szCs w:val="24"/>
          <w:lang w:val="en-US" w:eastAsia="zh-CN"/>
        </w:rPr>
        <w:t>加铺路面结构设计如下（设计使用年限5年）：</w:t>
      </w:r>
    </w:p>
    <w:p w14:paraId="3A5D5898">
      <w:pPr>
        <w:spacing w:line="360" w:lineRule="auto"/>
        <w:ind w:firstLine="480" w:firstLineChars="200"/>
        <w:jc w:val="left"/>
        <w:rPr>
          <w:rFonts w:hint="eastAsia"/>
          <w:sz w:val="24"/>
          <w:szCs w:val="24"/>
        </w:rPr>
      </w:pPr>
      <w:r>
        <w:rPr>
          <w:rFonts w:hint="eastAsia"/>
          <w:sz w:val="24"/>
          <w:szCs w:val="24"/>
          <w:lang w:val="en-US" w:eastAsia="zh-CN"/>
        </w:rPr>
        <w:t>中</w:t>
      </w:r>
      <w:r>
        <w:rPr>
          <w:rFonts w:hint="eastAsia"/>
          <w:sz w:val="24"/>
          <w:szCs w:val="24"/>
        </w:rPr>
        <w:t>粒式改性沥青混凝土(AC-1</w:t>
      </w:r>
      <w:r>
        <w:rPr>
          <w:rFonts w:hint="eastAsia"/>
          <w:sz w:val="24"/>
          <w:szCs w:val="24"/>
          <w:lang w:val="en-US" w:eastAsia="zh-CN"/>
        </w:rPr>
        <w:t>6</w:t>
      </w:r>
      <w:r>
        <w:rPr>
          <w:rFonts w:hint="eastAsia"/>
          <w:sz w:val="24"/>
          <w:szCs w:val="24"/>
        </w:rPr>
        <w:t xml:space="preserve">C)  </w:t>
      </w:r>
      <w:r>
        <w:rPr>
          <w:rFonts w:hint="eastAsia"/>
          <w:sz w:val="24"/>
          <w:szCs w:val="24"/>
          <w:lang w:val="en-US" w:eastAsia="zh-CN"/>
        </w:rPr>
        <w:t>5</w:t>
      </w:r>
      <w:r>
        <w:rPr>
          <w:rFonts w:hint="eastAsia"/>
          <w:sz w:val="24"/>
          <w:szCs w:val="24"/>
        </w:rPr>
        <w:t>cm（压实度大于96%）；</w:t>
      </w:r>
    </w:p>
    <w:p w14:paraId="38FB2C5E">
      <w:pPr>
        <w:spacing w:line="360" w:lineRule="auto"/>
        <w:ind w:firstLine="480" w:firstLineChars="200"/>
        <w:jc w:val="left"/>
        <w:rPr>
          <w:rFonts w:hint="eastAsia"/>
          <w:sz w:val="24"/>
          <w:szCs w:val="24"/>
        </w:rPr>
      </w:pPr>
      <w:r>
        <w:rPr>
          <w:rFonts w:hint="eastAsia"/>
          <w:sz w:val="24"/>
          <w:szCs w:val="24"/>
        </w:rPr>
        <w:t>粘层油PC-3；</w:t>
      </w:r>
    </w:p>
    <w:p w14:paraId="1C3451A3">
      <w:pPr>
        <w:spacing w:line="360" w:lineRule="auto"/>
        <w:ind w:firstLine="480" w:firstLineChars="200"/>
        <w:jc w:val="left"/>
        <w:rPr>
          <w:rFonts w:hint="eastAsia" w:eastAsiaTheme="minorEastAsia"/>
          <w:sz w:val="24"/>
          <w:szCs w:val="24"/>
          <w:lang w:val="en-US" w:eastAsia="zh-CN"/>
        </w:rPr>
      </w:pPr>
      <w:r>
        <w:rPr>
          <w:rFonts w:hint="eastAsia"/>
          <w:sz w:val="24"/>
          <w:szCs w:val="24"/>
          <w:lang w:val="en-US" w:eastAsia="zh-CN"/>
        </w:rPr>
        <w:t>防裂贴</w:t>
      </w:r>
    </w:p>
    <w:p w14:paraId="4EF96065">
      <w:pPr>
        <w:spacing w:line="360" w:lineRule="auto"/>
        <w:ind w:firstLine="480" w:firstLineChars="200"/>
        <w:jc w:val="left"/>
        <w:rPr>
          <w:rFonts w:hint="eastAsia"/>
          <w:sz w:val="24"/>
          <w:szCs w:val="24"/>
        </w:rPr>
      </w:pPr>
      <w:r>
        <w:rPr>
          <w:rFonts w:hint="eastAsia"/>
          <w:sz w:val="24"/>
          <w:szCs w:val="24"/>
        </w:rPr>
        <w:t>现状水泥混凝土</w:t>
      </w:r>
      <w:r>
        <w:rPr>
          <w:rFonts w:hint="eastAsia"/>
          <w:sz w:val="24"/>
          <w:szCs w:val="24"/>
          <w:lang w:val="en-US" w:eastAsia="zh-CN"/>
        </w:rPr>
        <w:t>路面</w:t>
      </w:r>
      <w:r>
        <w:rPr>
          <w:rFonts w:hint="eastAsia"/>
          <w:sz w:val="24"/>
          <w:szCs w:val="24"/>
        </w:rPr>
        <w:t>(</w:t>
      </w:r>
      <w:r>
        <w:rPr>
          <w:rFonts w:hint="eastAsia"/>
          <w:sz w:val="24"/>
          <w:szCs w:val="24"/>
          <w:lang w:val="en-US" w:eastAsia="zh-CN"/>
        </w:rPr>
        <w:t>凿毛</w:t>
      </w:r>
      <w:r>
        <w:rPr>
          <w:rFonts w:hint="eastAsia"/>
          <w:sz w:val="24"/>
          <w:szCs w:val="24"/>
        </w:rPr>
        <w:t>0.5cm)；</w:t>
      </w:r>
    </w:p>
    <w:p w14:paraId="17CD6A3D">
      <w:pPr>
        <w:spacing w:line="360" w:lineRule="auto"/>
        <w:ind w:firstLine="480" w:firstLineChars="200"/>
        <w:jc w:val="left"/>
        <w:rPr>
          <w:rFonts w:hint="eastAsia"/>
          <w:sz w:val="24"/>
          <w:szCs w:val="24"/>
          <w:lang w:val="en-US" w:eastAsia="zh-CN"/>
        </w:rPr>
      </w:pPr>
      <w:r>
        <w:rPr>
          <w:rFonts w:hint="eastAsia"/>
          <w:sz w:val="24"/>
          <w:szCs w:val="24"/>
          <w:lang w:val="en-US" w:eastAsia="zh-CN"/>
        </w:rPr>
        <w:t>2、检查井加固提升</w:t>
      </w:r>
    </w:p>
    <w:p w14:paraId="54B49AE6">
      <w:pPr>
        <w:spacing w:line="360" w:lineRule="auto"/>
        <w:ind w:firstLine="480" w:firstLineChars="200"/>
        <w:jc w:val="left"/>
        <w:rPr>
          <w:rFonts w:hint="default"/>
          <w:sz w:val="24"/>
          <w:szCs w:val="24"/>
          <w:lang w:val="en-US" w:eastAsia="zh-CN"/>
        </w:rPr>
      </w:pPr>
      <w:r>
        <w:rPr>
          <w:rFonts w:hint="eastAsia"/>
          <w:sz w:val="24"/>
          <w:szCs w:val="24"/>
          <w:lang w:val="en-US" w:eastAsia="zh-CN"/>
        </w:rPr>
        <w:t>由于本项目加铺 5cm厚沥青面层，在原检查井的基础上将井圈提升并加固。</w:t>
      </w:r>
    </w:p>
    <w:p w14:paraId="7A8A80C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333333"/>
          <w:spacing w:val="0"/>
          <w:sz w:val="24"/>
          <w:szCs w:val="24"/>
          <w:shd w:val="clear" w:fill="FFFFFF"/>
          <w:lang w:val="en-US" w:eastAsia="zh-CN"/>
        </w:rPr>
      </w:pPr>
      <w:r>
        <w:rPr>
          <w:rFonts w:hint="eastAsia" w:ascii="宋体" w:hAnsi="宋体" w:eastAsia="宋体" w:cs="宋体"/>
          <w:b/>
          <w:bCs/>
          <w:i w:val="0"/>
          <w:iCs w:val="0"/>
          <w:caps w:val="0"/>
          <w:color w:val="333333"/>
          <w:spacing w:val="0"/>
          <w:sz w:val="24"/>
          <w:szCs w:val="24"/>
          <w:shd w:val="clear" w:fill="FFFFFF"/>
          <w:lang w:val="en-US" w:eastAsia="zh-CN"/>
        </w:rPr>
        <w:t>3.3新建公共厕所（详见建筑工程篇章）</w:t>
      </w:r>
    </w:p>
    <w:p w14:paraId="3B06DCF2">
      <w:pPr>
        <w:spacing w:line="360" w:lineRule="auto"/>
        <w:ind w:firstLine="480" w:firstLineChars="200"/>
        <w:jc w:val="left"/>
        <w:rPr>
          <w:rFonts w:hint="default" w:ascii="宋体" w:hAnsi="宋体"/>
          <w:sz w:val="24"/>
          <w:szCs w:val="24"/>
          <w:lang w:val="en-US" w:eastAsia="zh-CN"/>
        </w:rPr>
      </w:pPr>
      <w:r>
        <w:rPr>
          <w:rFonts w:hint="eastAsia" w:ascii="宋体" w:hAnsi="宋体"/>
          <w:sz w:val="24"/>
          <w:szCs w:val="24"/>
          <w:lang w:val="en-US" w:eastAsia="zh-CN"/>
        </w:rPr>
        <w:t>1、</w:t>
      </w:r>
      <w:r>
        <w:rPr>
          <w:rFonts w:hint="default" w:ascii="宋体" w:hAnsi="宋体"/>
          <w:sz w:val="24"/>
          <w:szCs w:val="24"/>
          <w:lang w:val="en-US" w:eastAsia="zh-CN"/>
        </w:rPr>
        <w:t>建筑、结构、给水排水、电气(含强电，部分弱电）。</w:t>
      </w:r>
    </w:p>
    <w:p w14:paraId="31683928">
      <w:pPr>
        <w:spacing w:line="360" w:lineRule="auto"/>
        <w:ind w:firstLine="480" w:firstLineChars="200"/>
        <w:jc w:val="left"/>
        <w:rPr>
          <w:rFonts w:hint="default" w:ascii="宋体" w:hAnsi="宋体"/>
          <w:sz w:val="24"/>
          <w:szCs w:val="24"/>
          <w:lang w:val="en-US" w:eastAsia="zh-CN"/>
        </w:rPr>
      </w:pPr>
      <w:r>
        <w:rPr>
          <w:rFonts w:hint="eastAsia" w:ascii="宋体" w:hAnsi="宋体"/>
          <w:sz w:val="24"/>
          <w:szCs w:val="24"/>
          <w:lang w:val="en-US" w:eastAsia="zh-CN"/>
        </w:rPr>
        <w:t>2、</w:t>
      </w:r>
      <w:r>
        <w:rPr>
          <w:rFonts w:hint="default" w:ascii="宋体" w:hAnsi="宋体"/>
          <w:sz w:val="24"/>
          <w:szCs w:val="24"/>
          <w:lang w:val="en-US" w:eastAsia="zh-CN"/>
        </w:rPr>
        <w:t>本工程采用的门、窗等应由具备相应专项资质的单位承担设计制作，安装。该单位应负责所承担部分的安全及满足相应国家及地方规范的要求:应根据建筑使用功能</w:t>
      </w:r>
      <w:r>
        <w:rPr>
          <w:rFonts w:hint="eastAsia" w:ascii="宋体" w:hAnsi="宋体"/>
          <w:sz w:val="24"/>
          <w:szCs w:val="24"/>
          <w:lang w:val="en-US" w:eastAsia="zh-CN"/>
        </w:rPr>
        <w:t>、</w:t>
      </w:r>
      <w:r>
        <w:rPr>
          <w:rFonts w:hint="default" w:ascii="宋体" w:hAnsi="宋体"/>
          <w:sz w:val="24"/>
          <w:szCs w:val="24"/>
          <w:lang w:val="en-US" w:eastAsia="zh-CN"/>
        </w:rPr>
        <w:t>节能要求、所在地区气候条件等因素综合确定选型，应满足抗风、水密、气密等性能要求，并应综合考虑安全、采光、节能、通风、防火、隔声等要求。同时与施工安装和验收的技术规程协调统一。</w:t>
      </w:r>
    </w:p>
    <w:p w14:paraId="6119200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b/>
          <w:bCs/>
          <w:sz w:val="32"/>
          <w:szCs w:val="32"/>
          <w:lang w:val="en-US" w:eastAsia="zh-CN"/>
        </w:rPr>
      </w:pPr>
      <w:r>
        <w:rPr>
          <w:rFonts w:hint="eastAsia" w:ascii="宋体" w:hAnsi="宋体" w:eastAsia="宋体" w:cs="宋体"/>
          <w:b/>
          <w:bCs/>
          <w:sz w:val="32"/>
          <w:szCs w:val="32"/>
          <w:lang w:val="en-US" w:eastAsia="zh-CN"/>
        </w:rPr>
        <w:t>四、设计及施工要点</w:t>
      </w:r>
    </w:p>
    <w:p w14:paraId="029051D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333333"/>
          <w:spacing w:val="0"/>
          <w:sz w:val="24"/>
          <w:szCs w:val="24"/>
          <w:shd w:val="clear" w:fill="FFFFFF"/>
          <w:lang w:val="en-US" w:eastAsia="zh-CN"/>
        </w:rPr>
      </w:pPr>
      <w:r>
        <w:rPr>
          <w:rFonts w:hint="eastAsia" w:ascii="宋体" w:hAnsi="宋体" w:eastAsia="宋体" w:cs="宋体"/>
          <w:b/>
          <w:bCs/>
          <w:i w:val="0"/>
          <w:iCs w:val="0"/>
          <w:caps w:val="0"/>
          <w:color w:val="333333"/>
          <w:spacing w:val="0"/>
          <w:sz w:val="24"/>
          <w:szCs w:val="24"/>
          <w:shd w:val="clear" w:fill="FFFFFF"/>
          <w:lang w:val="en-US" w:eastAsia="zh-CN"/>
        </w:rPr>
        <w:t>4.1水泥混凝土路面（用于K0+172-K0+280段挖沟损坏路面修补）</w:t>
      </w:r>
    </w:p>
    <w:p w14:paraId="46BA7CF9">
      <w:pPr>
        <w:spacing w:line="360" w:lineRule="auto"/>
        <w:ind w:firstLine="480" w:firstLineChars="200"/>
        <w:jc w:val="left"/>
        <w:rPr>
          <w:rFonts w:hint="eastAsia"/>
          <w:sz w:val="24"/>
          <w:szCs w:val="24"/>
          <w:lang w:val="en-US" w:eastAsia="zh-CN"/>
        </w:rPr>
      </w:pPr>
      <w:r>
        <w:rPr>
          <w:rFonts w:hint="eastAsia"/>
          <w:sz w:val="24"/>
          <w:szCs w:val="24"/>
          <w:lang w:val="en-US" w:eastAsia="zh-CN"/>
        </w:rPr>
        <w:t>1、设计参数</w:t>
      </w:r>
    </w:p>
    <w:p w14:paraId="059D47E0">
      <w:pPr>
        <w:spacing w:line="360" w:lineRule="auto"/>
        <w:ind w:firstLine="480" w:firstLineChars="200"/>
        <w:jc w:val="left"/>
        <w:rPr>
          <w:rFonts w:hint="eastAsia"/>
          <w:sz w:val="24"/>
          <w:szCs w:val="24"/>
          <w:lang w:val="en-US" w:eastAsia="zh-CN"/>
        </w:rPr>
      </w:pPr>
      <w:r>
        <w:rPr>
          <w:rFonts w:hint="eastAsia"/>
          <w:sz w:val="24"/>
          <w:szCs w:val="24"/>
          <w:lang w:val="en-US" w:eastAsia="zh-CN"/>
        </w:rPr>
        <w:t>（1）本项目采用路面结构：20cm厚水泥混凝土面层；</w:t>
      </w:r>
    </w:p>
    <w:p w14:paraId="1B9AEA4E">
      <w:pPr>
        <w:spacing w:line="360" w:lineRule="auto"/>
        <w:ind w:firstLine="480" w:firstLineChars="200"/>
        <w:jc w:val="left"/>
        <w:rPr>
          <w:rFonts w:hint="eastAsia"/>
          <w:sz w:val="24"/>
          <w:szCs w:val="24"/>
          <w:lang w:val="en-US" w:eastAsia="zh-CN"/>
        </w:rPr>
      </w:pPr>
      <w:r>
        <w:rPr>
          <w:rFonts w:hint="eastAsia"/>
          <w:sz w:val="24"/>
          <w:szCs w:val="24"/>
          <w:lang w:val="en-US" w:eastAsia="zh-CN"/>
        </w:rPr>
        <w:t>（2）路面设计抗弯拉强度不低于4.0Mpa；</w:t>
      </w:r>
    </w:p>
    <w:p w14:paraId="05BB1D0B">
      <w:pPr>
        <w:spacing w:line="360" w:lineRule="auto"/>
        <w:ind w:firstLine="480" w:firstLineChars="200"/>
        <w:jc w:val="left"/>
        <w:rPr>
          <w:rFonts w:hint="eastAsia"/>
          <w:sz w:val="24"/>
          <w:szCs w:val="24"/>
          <w:lang w:val="en-US" w:eastAsia="zh-CN"/>
        </w:rPr>
      </w:pPr>
      <w:r>
        <w:rPr>
          <w:rFonts w:hint="eastAsia"/>
          <w:sz w:val="24"/>
          <w:szCs w:val="24"/>
          <w:lang w:val="en-US" w:eastAsia="zh-CN"/>
        </w:rPr>
        <w:t>（3）路床顶面验收标准说明</w:t>
      </w:r>
    </w:p>
    <w:p w14:paraId="5D4FB5A3">
      <w:pPr>
        <w:spacing w:line="360" w:lineRule="auto"/>
        <w:ind w:firstLine="480" w:firstLineChars="200"/>
        <w:jc w:val="left"/>
        <w:rPr>
          <w:rFonts w:hint="eastAsia"/>
          <w:sz w:val="24"/>
          <w:szCs w:val="24"/>
          <w:lang w:val="en-US" w:eastAsia="zh-CN"/>
        </w:rPr>
      </w:pPr>
      <w:r>
        <w:rPr>
          <w:rFonts w:hint="eastAsia"/>
          <w:sz w:val="24"/>
          <w:szCs w:val="24"/>
          <w:lang w:val="en-US" w:eastAsia="zh-CN"/>
        </w:rPr>
        <w:t>根据项目的特殊情形及受投资的影响，路床顶面验收的技术指标为：</w:t>
      </w:r>
    </w:p>
    <w:p w14:paraId="60ECB3D6">
      <w:pPr>
        <w:spacing w:line="360" w:lineRule="auto"/>
        <w:ind w:firstLine="480" w:firstLineChars="200"/>
        <w:jc w:val="left"/>
        <w:rPr>
          <w:rFonts w:hint="eastAsia"/>
          <w:sz w:val="24"/>
          <w:szCs w:val="24"/>
          <w:lang w:val="en-US" w:eastAsia="zh-CN"/>
        </w:rPr>
      </w:pPr>
      <w:r>
        <w:rPr>
          <w:rFonts w:hint="eastAsia"/>
          <w:sz w:val="24"/>
          <w:szCs w:val="24"/>
          <w:lang w:val="en-US" w:eastAsia="zh-CN"/>
        </w:rPr>
        <w:t>1）路基应稳定、密实、匀质，对路面结构提供均匀的支承；</w:t>
      </w:r>
    </w:p>
    <w:p w14:paraId="5D5938C9">
      <w:pPr>
        <w:spacing w:line="360" w:lineRule="auto"/>
        <w:ind w:firstLine="480" w:firstLineChars="200"/>
        <w:jc w:val="left"/>
        <w:rPr>
          <w:rFonts w:hint="eastAsia"/>
          <w:sz w:val="24"/>
          <w:szCs w:val="24"/>
          <w:lang w:val="en-US" w:eastAsia="zh-CN"/>
        </w:rPr>
      </w:pPr>
      <w:r>
        <w:rPr>
          <w:rFonts w:hint="eastAsia"/>
          <w:sz w:val="24"/>
          <w:szCs w:val="24"/>
          <w:lang w:val="en-US" w:eastAsia="zh-CN"/>
        </w:rPr>
        <w:t>2）路床顶面的综合回弹模量值不得低于40MPa；</w:t>
      </w:r>
    </w:p>
    <w:p w14:paraId="6017B62A">
      <w:pPr>
        <w:spacing w:line="360" w:lineRule="auto"/>
        <w:ind w:firstLine="480" w:firstLineChars="200"/>
        <w:jc w:val="left"/>
        <w:rPr>
          <w:rFonts w:hint="eastAsia"/>
          <w:sz w:val="24"/>
          <w:szCs w:val="24"/>
          <w:lang w:val="en-US" w:eastAsia="zh-CN"/>
        </w:rPr>
      </w:pPr>
      <w:r>
        <w:rPr>
          <w:rFonts w:hint="eastAsia"/>
          <w:sz w:val="24"/>
          <w:szCs w:val="24"/>
          <w:lang w:val="en-US" w:eastAsia="zh-CN"/>
        </w:rPr>
        <w:t>3）路基工作应处于中湿或干燥状态；</w:t>
      </w:r>
    </w:p>
    <w:p w14:paraId="51109BC9">
      <w:pPr>
        <w:spacing w:line="360" w:lineRule="auto"/>
        <w:ind w:firstLine="480" w:firstLineChars="200"/>
        <w:jc w:val="left"/>
        <w:rPr>
          <w:rFonts w:hint="eastAsia"/>
          <w:sz w:val="24"/>
          <w:szCs w:val="24"/>
          <w:lang w:val="en-US" w:eastAsia="zh-CN"/>
        </w:rPr>
      </w:pPr>
      <w:r>
        <w:rPr>
          <w:rFonts w:hint="eastAsia"/>
          <w:sz w:val="24"/>
          <w:szCs w:val="24"/>
          <w:lang w:val="en-US" w:eastAsia="zh-CN"/>
        </w:rPr>
        <w:t>4）说明：当路床顶面综合回弹模量达不到要求时，应选用粗颗粒土作路床填料。</w:t>
      </w:r>
    </w:p>
    <w:p w14:paraId="2E9D726A">
      <w:pPr>
        <w:spacing w:line="360" w:lineRule="auto"/>
        <w:ind w:firstLine="480" w:firstLineChars="200"/>
        <w:jc w:val="left"/>
        <w:rPr>
          <w:rFonts w:hint="eastAsia"/>
          <w:sz w:val="24"/>
          <w:szCs w:val="24"/>
          <w:lang w:val="en-US" w:eastAsia="zh-CN"/>
        </w:rPr>
      </w:pPr>
      <w:r>
        <w:rPr>
          <w:rFonts w:hint="eastAsia"/>
          <w:sz w:val="24"/>
          <w:szCs w:val="24"/>
          <w:lang w:val="en-US" w:eastAsia="zh-CN"/>
        </w:rPr>
        <w:t>（4）材料要求</w:t>
      </w:r>
    </w:p>
    <w:p w14:paraId="7BD7A753">
      <w:pPr>
        <w:spacing w:line="360" w:lineRule="auto"/>
        <w:ind w:firstLine="480" w:firstLineChars="200"/>
        <w:jc w:val="left"/>
        <w:rPr>
          <w:rFonts w:hint="eastAsia"/>
          <w:sz w:val="24"/>
          <w:szCs w:val="24"/>
          <w:lang w:val="en-US" w:eastAsia="zh-CN"/>
        </w:rPr>
      </w:pPr>
      <w:r>
        <w:rPr>
          <w:rFonts w:hint="eastAsia"/>
          <w:sz w:val="24"/>
          <w:szCs w:val="24"/>
          <w:lang w:val="en-US" w:eastAsia="zh-CN"/>
        </w:rPr>
        <w:t>1）水泥：采用大厂生产的P.O42.5普通硅酸盐水泥，水泥的存放期不超过3个月，水泥的物理性质及化学成分应符合下列要求。</w:t>
      </w:r>
    </w:p>
    <w:p w14:paraId="27F60BAC">
      <w:pPr>
        <w:spacing w:line="360" w:lineRule="auto"/>
        <w:ind w:firstLine="480" w:firstLineChars="200"/>
        <w:jc w:val="left"/>
        <w:rPr>
          <w:rFonts w:hint="eastAsia"/>
          <w:sz w:val="24"/>
          <w:szCs w:val="24"/>
          <w:lang w:val="en-US" w:eastAsia="zh-CN"/>
        </w:rPr>
      </w:pPr>
    </w:p>
    <w:p w14:paraId="7B04E25C">
      <w:pPr>
        <w:spacing w:line="360" w:lineRule="auto"/>
        <w:ind w:firstLine="480" w:firstLineChars="200"/>
        <w:jc w:val="left"/>
        <w:rPr>
          <w:rFonts w:hint="eastAsia"/>
          <w:sz w:val="24"/>
          <w:szCs w:val="24"/>
          <w:lang w:val="en-US" w:eastAsia="zh-CN"/>
        </w:rPr>
      </w:pPr>
    </w:p>
    <w:p w14:paraId="3579D80C">
      <w:pPr>
        <w:spacing w:line="360" w:lineRule="auto"/>
        <w:ind w:firstLine="480" w:firstLineChars="200"/>
        <w:jc w:val="left"/>
        <w:rPr>
          <w:rFonts w:hint="eastAsia"/>
          <w:sz w:val="24"/>
          <w:szCs w:val="24"/>
          <w:lang w:val="en-US" w:eastAsia="zh-CN"/>
        </w:rPr>
      </w:pPr>
    </w:p>
    <w:p w14:paraId="4848AC22">
      <w:pPr>
        <w:pStyle w:val="12"/>
        <w:overflowPunct/>
        <w:spacing w:line="360" w:lineRule="auto"/>
        <w:ind w:firstLine="0" w:firstLineChars="0"/>
        <w:jc w:val="center"/>
        <w:rPr>
          <w:rFonts w:hint="eastAsia" w:ascii="宋体" w:hAnsi="宋体" w:eastAsia="宋体" w:cs="Times New Roman"/>
          <w:sz w:val="24"/>
          <w:szCs w:val="24"/>
        </w:rPr>
      </w:pPr>
      <w:r>
        <w:rPr>
          <w:rFonts w:hint="eastAsia" w:ascii="宋体" w:hAnsi="宋体" w:eastAsia="宋体" w:cs="Times New Roman"/>
          <w:sz w:val="24"/>
          <w:szCs w:val="24"/>
        </w:rPr>
        <w:t>水泥的化学成分和物理指标</w:t>
      </w:r>
    </w:p>
    <w:tbl>
      <w:tblPr>
        <w:tblStyle w:val="6"/>
        <w:tblW w:w="0" w:type="auto"/>
        <w:tblInd w:w="3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2"/>
        <w:gridCol w:w="6819"/>
      </w:tblGrid>
      <w:tr w14:paraId="37A78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492" w:type="dxa"/>
            <w:noWrap w:val="0"/>
            <w:vAlign w:val="center"/>
          </w:tcPr>
          <w:p w14:paraId="4BEC8ED4">
            <w:pPr>
              <w:pStyle w:val="12"/>
              <w:overflowPunct/>
              <w:spacing w:line="360" w:lineRule="auto"/>
              <w:ind w:firstLine="0" w:firstLineChars="0"/>
              <w:jc w:val="center"/>
              <w:rPr>
                <w:rFonts w:ascii="宋体" w:hAnsi="宋体" w:eastAsia="宋体" w:cs="Times New Roman"/>
                <w:sz w:val="21"/>
                <w:szCs w:val="21"/>
              </w:rPr>
            </w:pPr>
            <w:r>
              <w:rPr>
                <w:rFonts w:hint="eastAsia" w:ascii="宋体" w:hAnsi="宋体" w:eastAsia="宋体" w:cs="Times New Roman"/>
                <w:sz w:val="21"/>
                <w:szCs w:val="21"/>
              </w:rPr>
              <w:t>水泥性能</w:t>
            </w:r>
          </w:p>
        </w:tc>
        <w:tc>
          <w:tcPr>
            <w:tcW w:w="6819" w:type="dxa"/>
            <w:noWrap w:val="0"/>
            <w:vAlign w:val="center"/>
          </w:tcPr>
          <w:p w14:paraId="70CCD611">
            <w:pPr>
              <w:pStyle w:val="12"/>
              <w:overflowPunct/>
              <w:spacing w:line="360" w:lineRule="auto"/>
              <w:ind w:firstLine="0" w:firstLineChars="0"/>
              <w:jc w:val="center"/>
              <w:rPr>
                <w:rFonts w:ascii="宋体" w:hAnsi="宋体" w:eastAsia="宋体" w:cs="Times New Roman"/>
                <w:sz w:val="21"/>
                <w:szCs w:val="21"/>
              </w:rPr>
            </w:pPr>
            <w:r>
              <w:rPr>
                <w:rFonts w:hint="eastAsia" w:ascii="宋体" w:hAnsi="宋体" w:eastAsia="宋体" w:cs="Times New Roman"/>
                <w:sz w:val="21"/>
                <w:szCs w:val="21"/>
              </w:rPr>
              <w:t>要        求</w:t>
            </w:r>
          </w:p>
        </w:tc>
      </w:tr>
      <w:tr w14:paraId="3B0B6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492" w:type="dxa"/>
            <w:noWrap w:val="0"/>
            <w:vAlign w:val="center"/>
          </w:tcPr>
          <w:p w14:paraId="572B309C">
            <w:pPr>
              <w:pStyle w:val="12"/>
              <w:overflowPunct/>
              <w:spacing w:line="360" w:lineRule="auto"/>
              <w:ind w:firstLine="0" w:firstLineChars="0"/>
              <w:jc w:val="center"/>
              <w:rPr>
                <w:rFonts w:ascii="宋体" w:hAnsi="宋体" w:eastAsia="宋体" w:cs="Times New Roman"/>
                <w:sz w:val="21"/>
                <w:szCs w:val="21"/>
              </w:rPr>
            </w:pPr>
            <w:r>
              <w:rPr>
                <w:rFonts w:hint="eastAsia" w:ascii="宋体" w:hAnsi="宋体" w:eastAsia="宋体" w:cs="Times New Roman"/>
                <w:sz w:val="21"/>
                <w:szCs w:val="21"/>
              </w:rPr>
              <w:t>铝酸三钙</w:t>
            </w:r>
          </w:p>
        </w:tc>
        <w:tc>
          <w:tcPr>
            <w:tcW w:w="6819" w:type="dxa"/>
            <w:noWrap w:val="0"/>
            <w:vAlign w:val="center"/>
          </w:tcPr>
          <w:p w14:paraId="30D30AF4">
            <w:pPr>
              <w:pStyle w:val="12"/>
              <w:overflowPunct/>
              <w:spacing w:line="360" w:lineRule="auto"/>
              <w:ind w:firstLine="0" w:firstLineChars="0"/>
              <w:jc w:val="center"/>
              <w:rPr>
                <w:rFonts w:ascii="宋体" w:hAnsi="宋体" w:eastAsia="宋体" w:cs="Times New Roman"/>
                <w:sz w:val="21"/>
                <w:szCs w:val="21"/>
              </w:rPr>
            </w:pPr>
            <w:r>
              <w:rPr>
                <w:rFonts w:hint="eastAsia" w:ascii="宋体" w:hAnsi="宋体" w:eastAsia="宋体" w:cs="Times New Roman"/>
                <w:sz w:val="21"/>
                <w:szCs w:val="21"/>
              </w:rPr>
              <w:t>≯9.0%</w:t>
            </w:r>
          </w:p>
        </w:tc>
      </w:tr>
      <w:tr w14:paraId="6DE4E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492" w:type="dxa"/>
            <w:noWrap w:val="0"/>
            <w:vAlign w:val="center"/>
          </w:tcPr>
          <w:p w14:paraId="0297A156">
            <w:pPr>
              <w:pStyle w:val="12"/>
              <w:overflowPunct/>
              <w:spacing w:line="360" w:lineRule="auto"/>
              <w:ind w:firstLine="0" w:firstLineChars="0"/>
              <w:jc w:val="center"/>
              <w:rPr>
                <w:rFonts w:ascii="宋体" w:hAnsi="宋体" w:eastAsia="宋体" w:cs="Times New Roman"/>
                <w:sz w:val="21"/>
                <w:szCs w:val="21"/>
              </w:rPr>
            </w:pPr>
            <w:r>
              <w:rPr>
                <w:rFonts w:hint="eastAsia" w:ascii="宋体" w:hAnsi="宋体" w:eastAsia="宋体" w:cs="Times New Roman"/>
                <w:sz w:val="21"/>
                <w:szCs w:val="21"/>
              </w:rPr>
              <w:t>铁铝酸四钙</w:t>
            </w:r>
          </w:p>
        </w:tc>
        <w:tc>
          <w:tcPr>
            <w:tcW w:w="6819" w:type="dxa"/>
            <w:noWrap w:val="0"/>
            <w:vAlign w:val="center"/>
          </w:tcPr>
          <w:p w14:paraId="0A03E7EF">
            <w:pPr>
              <w:pStyle w:val="12"/>
              <w:overflowPunct/>
              <w:spacing w:line="360" w:lineRule="auto"/>
              <w:ind w:firstLine="0" w:firstLineChars="0"/>
              <w:jc w:val="center"/>
              <w:rPr>
                <w:rFonts w:ascii="宋体" w:hAnsi="宋体" w:eastAsia="宋体" w:cs="Times New Roman"/>
                <w:sz w:val="21"/>
                <w:szCs w:val="21"/>
              </w:rPr>
            </w:pPr>
            <w:r>
              <w:rPr>
                <w:rFonts w:hint="eastAsia" w:ascii="宋体" w:hAnsi="宋体" w:eastAsia="宋体" w:cs="Times New Roman"/>
                <w:sz w:val="21"/>
                <w:szCs w:val="21"/>
              </w:rPr>
              <w:t>12.0%～20%</w:t>
            </w:r>
          </w:p>
        </w:tc>
      </w:tr>
      <w:tr w14:paraId="3DC6E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492" w:type="dxa"/>
            <w:noWrap w:val="0"/>
            <w:vAlign w:val="center"/>
          </w:tcPr>
          <w:p w14:paraId="6DBC5069">
            <w:pPr>
              <w:pStyle w:val="12"/>
              <w:overflowPunct/>
              <w:spacing w:line="360" w:lineRule="auto"/>
              <w:ind w:firstLine="0" w:firstLineChars="0"/>
              <w:jc w:val="center"/>
              <w:rPr>
                <w:rFonts w:ascii="宋体" w:hAnsi="宋体" w:eastAsia="宋体" w:cs="Times New Roman"/>
                <w:sz w:val="21"/>
                <w:szCs w:val="21"/>
              </w:rPr>
            </w:pPr>
            <w:r>
              <w:rPr>
                <w:rFonts w:hint="eastAsia" w:ascii="宋体" w:hAnsi="宋体" w:eastAsia="宋体" w:cs="Times New Roman"/>
                <w:sz w:val="21"/>
                <w:szCs w:val="21"/>
              </w:rPr>
              <w:t>游离氧化钙</w:t>
            </w:r>
          </w:p>
        </w:tc>
        <w:tc>
          <w:tcPr>
            <w:tcW w:w="6819" w:type="dxa"/>
            <w:noWrap w:val="0"/>
            <w:vAlign w:val="center"/>
          </w:tcPr>
          <w:p w14:paraId="786C9819">
            <w:pPr>
              <w:pStyle w:val="12"/>
              <w:overflowPunct/>
              <w:spacing w:line="360" w:lineRule="auto"/>
              <w:ind w:firstLine="0" w:firstLineChars="0"/>
              <w:jc w:val="center"/>
              <w:rPr>
                <w:rFonts w:ascii="宋体" w:hAnsi="宋体" w:eastAsia="宋体" w:cs="Times New Roman"/>
                <w:sz w:val="21"/>
                <w:szCs w:val="21"/>
              </w:rPr>
            </w:pPr>
            <w:r>
              <w:rPr>
                <w:rFonts w:hint="eastAsia" w:ascii="宋体" w:hAnsi="宋体" w:eastAsia="宋体" w:cs="Times New Roman"/>
                <w:sz w:val="21"/>
                <w:szCs w:val="21"/>
              </w:rPr>
              <w:t>≯1.8%</w:t>
            </w:r>
          </w:p>
        </w:tc>
      </w:tr>
      <w:tr w14:paraId="46892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492" w:type="dxa"/>
            <w:noWrap w:val="0"/>
            <w:vAlign w:val="center"/>
          </w:tcPr>
          <w:p w14:paraId="1CC02F36">
            <w:pPr>
              <w:pStyle w:val="12"/>
              <w:overflowPunct/>
              <w:spacing w:line="360" w:lineRule="auto"/>
              <w:ind w:firstLine="0" w:firstLineChars="0"/>
              <w:jc w:val="center"/>
              <w:rPr>
                <w:rFonts w:ascii="宋体" w:hAnsi="宋体" w:eastAsia="宋体" w:cs="Times New Roman"/>
                <w:sz w:val="21"/>
                <w:szCs w:val="21"/>
              </w:rPr>
            </w:pPr>
            <w:r>
              <w:rPr>
                <w:rFonts w:hint="eastAsia" w:ascii="宋体" w:hAnsi="宋体" w:eastAsia="宋体" w:cs="Times New Roman"/>
                <w:sz w:val="21"/>
                <w:szCs w:val="21"/>
              </w:rPr>
              <w:t>氧化镁</w:t>
            </w:r>
          </w:p>
        </w:tc>
        <w:tc>
          <w:tcPr>
            <w:tcW w:w="6819" w:type="dxa"/>
            <w:noWrap w:val="0"/>
            <w:vAlign w:val="center"/>
          </w:tcPr>
          <w:p w14:paraId="0A190711">
            <w:pPr>
              <w:pStyle w:val="12"/>
              <w:overflowPunct/>
              <w:spacing w:line="360" w:lineRule="auto"/>
              <w:ind w:firstLine="0" w:firstLineChars="0"/>
              <w:jc w:val="center"/>
              <w:rPr>
                <w:rFonts w:ascii="宋体" w:hAnsi="宋体" w:eastAsia="宋体" w:cs="Times New Roman"/>
                <w:sz w:val="21"/>
                <w:szCs w:val="21"/>
              </w:rPr>
            </w:pPr>
            <w:r>
              <w:rPr>
                <w:rFonts w:hint="eastAsia" w:ascii="宋体" w:hAnsi="宋体" w:eastAsia="宋体" w:cs="Times New Roman"/>
                <w:sz w:val="21"/>
                <w:szCs w:val="21"/>
              </w:rPr>
              <w:t>≯6.0%</w:t>
            </w:r>
          </w:p>
        </w:tc>
      </w:tr>
      <w:tr w14:paraId="7A65C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492" w:type="dxa"/>
            <w:noWrap w:val="0"/>
            <w:vAlign w:val="center"/>
          </w:tcPr>
          <w:p w14:paraId="1AFAE102">
            <w:pPr>
              <w:pStyle w:val="12"/>
              <w:overflowPunct/>
              <w:spacing w:line="360" w:lineRule="auto"/>
              <w:ind w:firstLine="0" w:firstLineChars="0"/>
              <w:jc w:val="center"/>
              <w:rPr>
                <w:rFonts w:ascii="宋体" w:hAnsi="宋体" w:eastAsia="宋体" w:cs="Times New Roman"/>
                <w:sz w:val="21"/>
                <w:szCs w:val="21"/>
              </w:rPr>
            </w:pPr>
            <w:r>
              <w:rPr>
                <w:rFonts w:hint="eastAsia" w:ascii="宋体" w:hAnsi="宋体" w:eastAsia="宋体" w:cs="Times New Roman"/>
                <w:sz w:val="21"/>
                <w:szCs w:val="21"/>
              </w:rPr>
              <w:t>二氧化硫</w:t>
            </w:r>
          </w:p>
        </w:tc>
        <w:tc>
          <w:tcPr>
            <w:tcW w:w="6819" w:type="dxa"/>
            <w:noWrap w:val="0"/>
            <w:vAlign w:val="center"/>
          </w:tcPr>
          <w:p w14:paraId="621BF60E">
            <w:pPr>
              <w:pStyle w:val="12"/>
              <w:overflowPunct/>
              <w:spacing w:line="360" w:lineRule="auto"/>
              <w:ind w:firstLine="0" w:firstLineChars="0"/>
              <w:jc w:val="center"/>
              <w:rPr>
                <w:rFonts w:ascii="宋体" w:hAnsi="宋体" w:eastAsia="宋体" w:cs="Times New Roman"/>
                <w:sz w:val="21"/>
                <w:szCs w:val="21"/>
              </w:rPr>
            </w:pPr>
            <w:r>
              <w:rPr>
                <w:rFonts w:hint="eastAsia" w:ascii="宋体" w:hAnsi="宋体" w:eastAsia="宋体" w:cs="Times New Roman"/>
                <w:sz w:val="21"/>
                <w:szCs w:val="21"/>
              </w:rPr>
              <w:t>≯4.0%</w:t>
            </w:r>
          </w:p>
        </w:tc>
      </w:tr>
      <w:tr w14:paraId="3A16D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492" w:type="dxa"/>
            <w:noWrap w:val="0"/>
            <w:vAlign w:val="center"/>
          </w:tcPr>
          <w:p w14:paraId="11ADF136">
            <w:pPr>
              <w:pStyle w:val="12"/>
              <w:overflowPunct/>
              <w:spacing w:line="360" w:lineRule="auto"/>
              <w:ind w:firstLine="0" w:firstLineChars="0"/>
              <w:jc w:val="center"/>
              <w:rPr>
                <w:rFonts w:ascii="宋体" w:hAnsi="宋体" w:eastAsia="宋体" w:cs="Times New Roman"/>
                <w:sz w:val="21"/>
                <w:szCs w:val="21"/>
              </w:rPr>
            </w:pPr>
            <w:r>
              <w:rPr>
                <w:rFonts w:hint="eastAsia" w:ascii="宋体" w:hAnsi="宋体" w:eastAsia="宋体" w:cs="Times New Roman"/>
                <w:sz w:val="21"/>
                <w:szCs w:val="21"/>
              </w:rPr>
              <w:t>碱含量</w:t>
            </w:r>
          </w:p>
        </w:tc>
        <w:tc>
          <w:tcPr>
            <w:tcW w:w="6819" w:type="dxa"/>
            <w:noWrap w:val="0"/>
            <w:vAlign w:val="center"/>
          </w:tcPr>
          <w:p w14:paraId="33C14E4C">
            <w:pPr>
              <w:pStyle w:val="12"/>
              <w:overflowPunct/>
              <w:spacing w:line="360" w:lineRule="auto"/>
              <w:ind w:firstLine="0" w:firstLineChars="0"/>
              <w:jc w:val="center"/>
              <w:rPr>
                <w:rFonts w:ascii="宋体" w:hAnsi="宋体" w:eastAsia="宋体" w:cs="Times New Roman"/>
                <w:sz w:val="21"/>
                <w:szCs w:val="21"/>
              </w:rPr>
            </w:pPr>
            <w:r>
              <w:rPr>
                <w:rFonts w:hint="eastAsia" w:ascii="宋体" w:hAnsi="宋体" w:eastAsia="宋体" w:cs="Times New Roman"/>
                <w:sz w:val="21"/>
                <w:szCs w:val="21"/>
              </w:rPr>
              <w:t>怀疑有碱活性集料时，≤0.6%；无碱活性集料时，≤1.0%</w:t>
            </w:r>
          </w:p>
        </w:tc>
      </w:tr>
      <w:tr w14:paraId="54AFE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492" w:type="dxa"/>
            <w:noWrap w:val="0"/>
            <w:vAlign w:val="center"/>
          </w:tcPr>
          <w:p w14:paraId="5721016D">
            <w:pPr>
              <w:pStyle w:val="12"/>
              <w:overflowPunct/>
              <w:spacing w:line="360" w:lineRule="auto"/>
              <w:ind w:firstLine="0" w:firstLineChars="0"/>
              <w:jc w:val="center"/>
              <w:rPr>
                <w:rFonts w:ascii="宋体" w:hAnsi="宋体" w:eastAsia="宋体" w:cs="Times New Roman"/>
                <w:sz w:val="21"/>
                <w:szCs w:val="21"/>
              </w:rPr>
            </w:pPr>
            <w:r>
              <w:rPr>
                <w:rFonts w:hint="eastAsia" w:ascii="宋体" w:hAnsi="宋体" w:eastAsia="宋体" w:cs="Times New Roman"/>
                <w:sz w:val="21"/>
                <w:szCs w:val="21"/>
              </w:rPr>
              <w:t>混合材料类</w:t>
            </w:r>
          </w:p>
        </w:tc>
        <w:tc>
          <w:tcPr>
            <w:tcW w:w="6819" w:type="dxa"/>
            <w:noWrap w:val="0"/>
            <w:vAlign w:val="center"/>
          </w:tcPr>
          <w:p w14:paraId="48D06B78">
            <w:pPr>
              <w:pStyle w:val="12"/>
              <w:overflowPunct/>
              <w:spacing w:line="360" w:lineRule="auto"/>
              <w:ind w:firstLine="0" w:firstLineChars="0"/>
              <w:jc w:val="center"/>
              <w:rPr>
                <w:rFonts w:ascii="宋体" w:hAnsi="宋体" w:eastAsia="宋体" w:cs="Times New Roman"/>
                <w:sz w:val="21"/>
                <w:szCs w:val="21"/>
              </w:rPr>
            </w:pPr>
            <w:r>
              <w:rPr>
                <w:rFonts w:hint="eastAsia" w:ascii="宋体" w:hAnsi="宋体" w:eastAsia="宋体" w:cs="Times New Roman"/>
                <w:sz w:val="21"/>
                <w:szCs w:val="21"/>
              </w:rPr>
              <w:t>不得掺窑灰、煤矸石、火山灰、黏土以及石灰粉</w:t>
            </w:r>
          </w:p>
        </w:tc>
      </w:tr>
      <w:tr w14:paraId="462EC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492" w:type="dxa"/>
            <w:noWrap w:val="0"/>
            <w:vAlign w:val="center"/>
          </w:tcPr>
          <w:p w14:paraId="65D7A03D">
            <w:pPr>
              <w:pStyle w:val="12"/>
              <w:overflowPunct/>
              <w:spacing w:line="360" w:lineRule="auto"/>
              <w:ind w:firstLine="0" w:firstLineChars="0"/>
              <w:jc w:val="center"/>
              <w:rPr>
                <w:rFonts w:ascii="宋体" w:hAnsi="宋体" w:eastAsia="宋体" w:cs="Times New Roman"/>
                <w:sz w:val="21"/>
                <w:szCs w:val="21"/>
              </w:rPr>
            </w:pPr>
            <w:r>
              <w:rPr>
                <w:rFonts w:hint="eastAsia" w:ascii="宋体" w:hAnsi="宋体" w:eastAsia="宋体" w:cs="Times New Roman"/>
                <w:sz w:val="21"/>
                <w:szCs w:val="21"/>
              </w:rPr>
              <w:t>烧失量</w:t>
            </w:r>
          </w:p>
        </w:tc>
        <w:tc>
          <w:tcPr>
            <w:tcW w:w="6819" w:type="dxa"/>
            <w:noWrap w:val="0"/>
            <w:vAlign w:val="center"/>
          </w:tcPr>
          <w:p w14:paraId="2BE4E9F3">
            <w:pPr>
              <w:pStyle w:val="12"/>
              <w:overflowPunct/>
              <w:spacing w:line="360" w:lineRule="auto"/>
              <w:ind w:firstLine="0" w:firstLineChars="0"/>
              <w:jc w:val="center"/>
              <w:rPr>
                <w:rFonts w:ascii="宋体" w:hAnsi="宋体" w:eastAsia="宋体" w:cs="Times New Roman"/>
                <w:sz w:val="21"/>
                <w:szCs w:val="21"/>
              </w:rPr>
            </w:pPr>
            <w:r>
              <w:rPr>
                <w:rFonts w:hint="eastAsia" w:ascii="宋体" w:hAnsi="宋体" w:eastAsia="宋体" w:cs="Times New Roman"/>
                <w:sz w:val="21"/>
                <w:szCs w:val="21"/>
              </w:rPr>
              <w:t>≯5.0%</w:t>
            </w:r>
          </w:p>
        </w:tc>
      </w:tr>
      <w:tr w14:paraId="7CE83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492" w:type="dxa"/>
            <w:noWrap w:val="0"/>
            <w:vAlign w:val="center"/>
          </w:tcPr>
          <w:p w14:paraId="4CD08397">
            <w:pPr>
              <w:pStyle w:val="12"/>
              <w:overflowPunct/>
              <w:spacing w:line="360" w:lineRule="auto"/>
              <w:ind w:firstLine="0" w:firstLineChars="0"/>
              <w:jc w:val="center"/>
              <w:rPr>
                <w:rFonts w:ascii="宋体" w:hAnsi="宋体" w:eastAsia="宋体" w:cs="Times New Roman"/>
                <w:sz w:val="21"/>
                <w:szCs w:val="21"/>
              </w:rPr>
            </w:pPr>
            <w:r>
              <w:rPr>
                <w:rFonts w:hint="eastAsia" w:ascii="宋体" w:hAnsi="宋体" w:eastAsia="宋体" w:cs="Times New Roman"/>
                <w:sz w:val="21"/>
                <w:szCs w:val="21"/>
              </w:rPr>
              <w:t>细度(80μm)</w:t>
            </w:r>
          </w:p>
        </w:tc>
        <w:tc>
          <w:tcPr>
            <w:tcW w:w="6819" w:type="dxa"/>
            <w:noWrap w:val="0"/>
            <w:vAlign w:val="center"/>
          </w:tcPr>
          <w:p w14:paraId="212A0B34">
            <w:pPr>
              <w:pStyle w:val="12"/>
              <w:overflowPunct/>
              <w:spacing w:line="360" w:lineRule="auto"/>
              <w:ind w:firstLine="0" w:firstLineChars="0"/>
              <w:jc w:val="center"/>
              <w:rPr>
                <w:rFonts w:ascii="宋体" w:hAnsi="宋体" w:eastAsia="宋体" w:cs="Times New Roman"/>
                <w:sz w:val="21"/>
                <w:szCs w:val="21"/>
              </w:rPr>
            </w:pPr>
            <w:r>
              <w:rPr>
                <w:rFonts w:hint="eastAsia" w:ascii="宋体" w:hAnsi="宋体" w:eastAsia="宋体" w:cs="Times New Roman"/>
                <w:sz w:val="21"/>
                <w:szCs w:val="21"/>
              </w:rPr>
              <w:t>筛余量≯10%</w:t>
            </w:r>
          </w:p>
        </w:tc>
      </w:tr>
      <w:tr w14:paraId="1AAFF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492" w:type="dxa"/>
            <w:noWrap w:val="0"/>
            <w:vAlign w:val="center"/>
          </w:tcPr>
          <w:p w14:paraId="570E6FD2">
            <w:pPr>
              <w:pStyle w:val="12"/>
              <w:overflowPunct/>
              <w:spacing w:line="360" w:lineRule="auto"/>
              <w:ind w:firstLine="0" w:firstLineChars="0"/>
              <w:jc w:val="center"/>
              <w:rPr>
                <w:rFonts w:ascii="宋体" w:hAnsi="宋体" w:eastAsia="宋体" w:cs="Times New Roman"/>
                <w:sz w:val="21"/>
                <w:szCs w:val="21"/>
              </w:rPr>
            </w:pPr>
            <w:r>
              <w:rPr>
                <w:rFonts w:hint="eastAsia" w:ascii="宋体" w:hAnsi="宋体" w:eastAsia="宋体" w:cs="Times New Roman"/>
                <w:sz w:val="21"/>
                <w:szCs w:val="21"/>
              </w:rPr>
              <w:t>初凝时间</w:t>
            </w:r>
          </w:p>
        </w:tc>
        <w:tc>
          <w:tcPr>
            <w:tcW w:w="6819" w:type="dxa"/>
            <w:noWrap w:val="0"/>
            <w:vAlign w:val="center"/>
          </w:tcPr>
          <w:p w14:paraId="5AB8D7DD">
            <w:pPr>
              <w:pStyle w:val="12"/>
              <w:overflowPunct/>
              <w:spacing w:line="360" w:lineRule="auto"/>
              <w:ind w:firstLine="0" w:firstLineChars="0"/>
              <w:jc w:val="center"/>
              <w:rPr>
                <w:rFonts w:ascii="宋体" w:hAnsi="宋体" w:eastAsia="宋体" w:cs="Times New Roman"/>
                <w:sz w:val="21"/>
                <w:szCs w:val="21"/>
              </w:rPr>
            </w:pPr>
            <w:r>
              <w:rPr>
                <w:rFonts w:hint="eastAsia" w:ascii="宋体" w:hAnsi="宋体" w:eastAsia="宋体" w:cs="Times New Roman"/>
                <w:sz w:val="21"/>
                <w:szCs w:val="21"/>
              </w:rPr>
              <w:t>不早于0.75h</w:t>
            </w:r>
          </w:p>
        </w:tc>
      </w:tr>
      <w:tr w14:paraId="3B8DD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492" w:type="dxa"/>
            <w:noWrap w:val="0"/>
            <w:vAlign w:val="center"/>
          </w:tcPr>
          <w:p w14:paraId="2411D92E">
            <w:pPr>
              <w:pStyle w:val="12"/>
              <w:overflowPunct/>
              <w:spacing w:line="360" w:lineRule="auto"/>
              <w:ind w:firstLine="0" w:firstLineChars="0"/>
              <w:jc w:val="center"/>
              <w:rPr>
                <w:rFonts w:ascii="宋体" w:hAnsi="宋体" w:eastAsia="宋体" w:cs="Times New Roman"/>
                <w:sz w:val="21"/>
                <w:szCs w:val="21"/>
              </w:rPr>
            </w:pPr>
            <w:r>
              <w:rPr>
                <w:rFonts w:hint="eastAsia" w:ascii="宋体" w:hAnsi="宋体" w:eastAsia="宋体" w:cs="Times New Roman"/>
                <w:sz w:val="21"/>
                <w:szCs w:val="21"/>
              </w:rPr>
              <w:t>终凝时间</w:t>
            </w:r>
          </w:p>
        </w:tc>
        <w:tc>
          <w:tcPr>
            <w:tcW w:w="6819" w:type="dxa"/>
            <w:noWrap w:val="0"/>
            <w:vAlign w:val="center"/>
          </w:tcPr>
          <w:p w14:paraId="5127DA85">
            <w:pPr>
              <w:pStyle w:val="12"/>
              <w:overflowPunct/>
              <w:spacing w:line="360" w:lineRule="auto"/>
              <w:ind w:firstLine="0" w:firstLineChars="0"/>
              <w:jc w:val="center"/>
              <w:rPr>
                <w:rFonts w:ascii="宋体" w:hAnsi="宋体" w:eastAsia="宋体" w:cs="Times New Roman"/>
                <w:sz w:val="21"/>
                <w:szCs w:val="21"/>
              </w:rPr>
            </w:pPr>
            <w:r>
              <w:rPr>
                <w:rFonts w:hint="eastAsia" w:ascii="宋体" w:hAnsi="宋体" w:eastAsia="宋体" w:cs="Times New Roman"/>
                <w:sz w:val="21"/>
                <w:szCs w:val="21"/>
              </w:rPr>
              <w:t>不迟于10h</w:t>
            </w:r>
          </w:p>
        </w:tc>
      </w:tr>
      <w:tr w14:paraId="55474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492" w:type="dxa"/>
            <w:noWrap w:val="0"/>
            <w:vAlign w:val="center"/>
          </w:tcPr>
          <w:p w14:paraId="5D823A04">
            <w:pPr>
              <w:pStyle w:val="12"/>
              <w:overflowPunct/>
              <w:spacing w:line="360" w:lineRule="auto"/>
              <w:ind w:firstLine="0" w:firstLineChars="0"/>
              <w:jc w:val="center"/>
              <w:rPr>
                <w:rFonts w:ascii="宋体" w:hAnsi="宋体" w:eastAsia="宋体" w:cs="Times New Roman"/>
                <w:sz w:val="21"/>
                <w:szCs w:val="21"/>
              </w:rPr>
            </w:pPr>
            <w:r>
              <w:rPr>
                <w:rFonts w:hint="eastAsia" w:ascii="宋体" w:hAnsi="宋体" w:eastAsia="宋体" w:cs="Times New Roman"/>
                <w:sz w:val="21"/>
                <w:szCs w:val="21"/>
              </w:rPr>
              <w:t>安定性</w:t>
            </w:r>
          </w:p>
        </w:tc>
        <w:tc>
          <w:tcPr>
            <w:tcW w:w="6819" w:type="dxa"/>
            <w:noWrap w:val="0"/>
            <w:vAlign w:val="center"/>
          </w:tcPr>
          <w:p w14:paraId="5AF8270C">
            <w:pPr>
              <w:pStyle w:val="12"/>
              <w:overflowPunct/>
              <w:spacing w:line="360" w:lineRule="auto"/>
              <w:ind w:firstLine="0" w:firstLineChars="0"/>
              <w:jc w:val="center"/>
              <w:rPr>
                <w:rFonts w:ascii="宋体" w:hAnsi="宋体" w:eastAsia="宋体" w:cs="Times New Roman"/>
                <w:sz w:val="21"/>
                <w:szCs w:val="21"/>
              </w:rPr>
            </w:pPr>
            <w:r>
              <w:rPr>
                <w:rFonts w:hint="eastAsia" w:ascii="宋体" w:hAnsi="宋体" w:eastAsia="宋体" w:cs="Times New Roman"/>
                <w:sz w:val="21"/>
                <w:szCs w:val="21"/>
              </w:rPr>
              <w:t>蒸煮法检验合格</w:t>
            </w:r>
          </w:p>
        </w:tc>
      </w:tr>
      <w:tr w14:paraId="7BED3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492" w:type="dxa"/>
            <w:noWrap w:val="0"/>
            <w:vAlign w:val="center"/>
          </w:tcPr>
          <w:p w14:paraId="7857A9BC">
            <w:pPr>
              <w:pStyle w:val="12"/>
              <w:overflowPunct/>
              <w:spacing w:line="360" w:lineRule="auto"/>
              <w:ind w:firstLine="0" w:firstLineChars="0"/>
              <w:jc w:val="center"/>
              <w:rPr>
                <w:rFonts w:ascii="宋体" w:hAnsi="宋体" w:eastAsia="宋体" w:cs="Times New Roman"/>
                <w:sz w:val="21"/>
                <w:szCs w:val="21"/>
              </w:rPr>
            </w:pPr>
            <w:r>
              <w:rPr>
                <w:rFonts w:hint="eastAsia" w:ascii="宋体" w:hAnsi="宋体" w:eastAsia="宋体" w:cs="Times New Roman"/>
                <w:sz w:val="21"/>
                <w:szCs w:val="21"/>
              </w:rPr>
              <w:t>28天干缩性</w:t>
            </w:r>
          </w:p>
        </w:tc>
        <w:tc>
          <w:tcPr>
            <w:tcW w:w="6819" w:type="dxa"/>
            <w:noWrap w:val="0"/>
            <w:vAlign w:val="center"/>
          </w:tcPr>
          <w:p w14:paraId="03EB22F4">
            <w:pPr>
              <w:pStyle w:val="12"/>
              <w:overflowPunct/>
              <w:spacing w:line="360" w:lineRule="auto"/>
              <w:ind w:firstLine="0" w:firstLineChars="0"/>
              <w:jc w:val="center"/>
              <w:rPr>
                <w:rFonts w:ascii="宋体" w:hAnsi="宋体" w:eastAsia="宋体" w:cs="Times New Roman"/>
                <w:sz w:val="21"/>
                <w:szCs w:val="21"/>
              </w:rPr>
            </w:pPr>
            <w:r>
              <w:rPr>
                <w:rFonts w:hint="eastAsia" w:ascii="宋体" w:hAnsi="宋体" w:eastAsia="宋体" w:cs="Times New Roman"/>
                <w:sz w:val="21"/>
                <w:szCs w:val="21"/>
              </w:rPr>
              <w:t>≯0.10%</w:t>
            </w:r>
          </w:p>
        </w:tc>
      </w:tr>
      <w:tr w14:paraId="60065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492" w:type="dxa"/>
            <w:noWrap w:val="0"/>
            <w:vAlign w:val="center"/>
          </w:tcPr>
          <w:p w14:paraId="7B03E69E">
            <w:pPr>
              <w:pStyle w:val="12"/>
              <w:overflowPunct/>
              <w:spacing w:line="360" w:lineRule="auto"/>
              <w:ind w:firstLine="0" w:firstLineChars="0"/>
              <w:jc w:val="center"/>
              <w:rPr>
                <w:rFonts w:ascii="宋体" w:hAnsi="宋体" w:eastAsia="宋体" w:cs="Times New Roman"/>
                <w:sz w:val="21"/>
                <w:szCs w:val="21"/>
              </w:rPr>
            </w:pPr>
            <w:r>
              <w:rPr>
                <w:rFonts w:hint="eastAsia" w:ascii="宋体" w:hAnsi="宋体" w:eastAsia="宋体" w:cs="Times New Roman"/>
                <w:sz w:val="21"/>
                <w:szCs w:val="21"/>
              </w:rPr>
              <w:t>耐磨性</w:t>
            </w:r>
          </w:p>
        </w:tc>
        <w:tc>
          <w:tcPr>
            <w:tcW w:w="6819" w:type="dxa"/>
            <w:noWrap w:val="0"/>
            <w:vAlign w:val="center"/>
          </w:tcPr>
          <w:p w14:paraId="6BC615D3">
            <w:pPr>
              <w:pStyle w:val="12"/>
              <w:overflowPunct/>
              <w:spacing w:line="360" w:lineRule="auto"/>
              <w:ind w:firstLine="0" w:firstLineChars="0"/>
              <w:jc w:val="center"/>
              <w:rPr>
                <w:rFonts w:ascii="宋体" w:hAnsi="宋体" w:eastAsia="宋体" w:cs="Times New Roman"/>
                <w:sz w:val="21"/>
                <w:szCs w:val="21"/>
              </w:rPr>
            </w:pPr>
            <w:r>
              <w:rPr>
                <w:rFonts w:hint="eastAsia" w:ascii="宋体" w:hAnsi="宋体" w:eastAsia="宋体" w:cs="Times New Roman"/>
                <w:sz w:val="21"/>
                <w:szCs w:val="21"/>
              </w:rPr>
              <w:t>≯3.6kg/m2</w:t>
            </w:r>
          </w:p>
        </w:tc>
      </w:tr>
      <w:tr w14:paraId="73832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492" w:type="dxa"/>
            <w:noWrap w:val="0"/>
            <w:vAlign w:val="center"/>
          </w:tcPr>
          <w:p w14:paraId="20A9E30C">
            <w:pPr>
              <w:pStyle w:val="12"/>
              <w:overflowPunct/>
              <w:spacing w:line="360" w:lineRule="auto"/>
              <w:ind w:firstLine="0" w:firstLineChars="0"/>
              <w:jc w:val="center"/>
              <w:rPr>
                <w:rFonts w:ascii="宋体" w:hAnsi="宋体" w:eastAsia="宋体" w:cs="Times New Roman"/>
                <w:sz w:val="21"/>
                <w:szCs w:val="21"/>
              </w:rPr>
            </w:pPr>
            <w:r>
              <w:rPr>
                <w:rFonts w:hint="eastAsia" w:ascii="宋体" w:hAnsi="宋体" w:eastAsia="宋体" w:cs="Times New Roman"/>
                <w:sz w:val="21"/>
                <w:szCs w:val="21"/>
              </w:rPr>
              <w:t>水泥抗折强度</w:t>
            </w:r>
          </w:p>
        </w:tc>
        <w:tc>
          <w:tcPr>
            <w:tcW w:w="6819" w:type="dxa"/>
            <w:noWrap w:val="0"/>
            <w:vAlign w:val="center"/>
          </w:tcPr>
          <w:p w14:paraId="11A47F98">
            <w:pPr>
              <w:pStyle w:val="12"/>
              <w:overflowPunct/>
              <w:spacing w:line="360" w:lineRule="auto"/>
              <w:ind w:firstLine="0" w:firstLineChars="0"/>
              <w:jc w:val="center"/>
              <w:rPr>
                <w:rFonts w:ascii="宋体" w:hAnsi="宋体" w:eastAsia="宋体" w:cs="Times New Roman"/>
                <w:sz w:val="21"/>
                <w:szCs w:val="21"/>
              </w:rPr>
            </w:pPr>
            <w:r>
              <w:rPr>
                <w:rFonts w:hint="eastAsia" w:ascii="宋体" w:hAnsi="宋体" w:eastAsia="宋体" w:cs="Times New Roman"/>
                <w:sz w:val="21"/>
                <w:szCs w:val="21"/>
              </w:rPr>
              <w:t>≥7.0</w:t>
            </w:r>
          </w:p>
        </w:tc>
      </w:tr>
    </w:tbl>
    <w:p w14:paraId="23EB6624">
      <w:pPr>
        <w:spacing w:line="360" w:lineRule="auto"/>
        <w:ind w:firstLine="480" w:firstLineChars="200"/>
        <w:jc w:val="left"/>
        <w:rPr>
          <w:rFonts w:hint="eastAsia"/>
          <w:sz w:val="24"/>
          <w:szCs w:val="24"/>
          <w:lang w:val="en-US" w:eastAsia="zh-CN"/>
        </w:rPr>
      </w:pPr>
      <w:r>
        <w:rPr>
          <w:rFonts w:hint="eastAsia"/>
          <w:sz w:val="24"/>
          <w:szCs w:val="24"/>
          <w:lang w:val="en-US" w:eastAsia="zh-CN"/>
        </w:rPr>
        <w:t>2）粗集料：要求质地坚硬、耐久、洁净，应选用10cm以上的卵砾石(并尽量剔除软弱颗粒)制成的碎石，或坚硬的石灰岩轧制成的碎石，形状接近立方体，水洗法＜0.075mm的颗粒含量不大于1.0%，最大公称粒径不超过26.5mm。其技术指标应分别满足下表要求。</w:t>
      </w:r>
    </w:p>
    <w:p w14:paraId="372E2790">
      <w:pPr>
        <w:pStyle w:val="12"/>
        <w:overflowPunct/>
        <w:spacing w:line="360" w:lineRule="auto"/>
        <w:ind w:firstLine="560"/>
        <w:rPr>
          <w:rFonts w:hint="eastAsia" w:ascii="宋体" w:hAnsi="宋体" w:eastAsia="宋体" w:cs="Times New Roman"/>
        </w:rPr>
      </w:pPr>
      <w:r>
        <w:rPr>
          <w:rFonts w:hint="eastAsia" w:asciiTheme="minorHAnsi" w:hAnsiTheme="minorHAnsi" w:eastAsiaTheme="minorEastAsia" w:cstheme="minorBidi"/>
          <w:color w:val="auto"/>
          <w:kern w:val="2"/>
          <w:sz w:val="24"/>
          <w:szCs w:val="24"/>
          <w:lang w:val="en-US" w:eastAsia="zh-CN" w:bidi="ar-SA"/>
        </w:rPr>
        <w:t xml:space="preserve">3）粗集料技术要求        </w:t>
      </w:r>
      <w:r>
        <w:rPr>
          <w:rFonts w:hint="eastAsia" w:ascii="宋体" w:hAnsi="宋体" w:eastAsia="宋体" w:cs="Times New Roman"/>
          <w:sz w:val="28"/>
          <w:szCs w:val="28"/>
        </w:rPr>
        <w:t xml:space="preserve">               </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0"/>
        <w:gridCol w:w="4456"/>
      </w:tblGrid>
      <w:tr w14:paraId="2E9CD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80" w:type="dxa"/>
            <w:noWrap w:val="0"/>
            <w:vAlign w:val="top"/>
          </w:tcPr>
          <w:p w14:paraId="7A7E3937">
            <w:pPr>
              <w:pStyle w:val="12"/>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项    目</w:t>
            </w:r>
          </w:p>
        </w:tc>
        <w:tc>
          <w:tcPr>
            <w:tcW w:w="4456" w:type="dxa"/>
            <w:noWrap w:val="0"/>
            <w:vAlign w:val="top"/>
          </w:tcPr>
          <w:p w14:paraId="18E76D5A">
            <w:pPr>
              <w:pStyle w:val="12"/>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技 术 要 求</w:t>
            </w:r>
          </w:p>
        </w:tc>
      </w:tr>
      <w:tr w14:paraId="6F586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80" w:type="dxa"/>
            <w:noWrap w:val="0"/>
            <w:vAlign w:val="top"/>
          </w:tcPr>
          <w:p w14:paraId="68DF01A5">
            <w:pPr>
              <w:pStyle w:val="12"/>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石料强度</w:t>
            </w:r>
          </w:p>
        </w:tc>
        <w:tc>
          <w:tcPr>
            <w:tcW w:w="4456" w:type="dxa"/>
            <w:noWrap w:val="0"/>
            <w:vAlign w:val="top"/>
          </w:tcPr>
          <w:p w14:paraId="1C1892A4">
            <w:pPr>
              <w:pStyle w:val="12"/>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≥3级</w:t>
            </w:r>
          </w:p>
        </w:tc>
      </w:tr>
      <w:tr w14:paraId="0AD5C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80" w:type="dxa"/>
            <w:noWrap w:val="0"/>
            <w:vAlign w:val="top"/>
          </w:tcPr>
          <w:p w14:paraId="26278ACD">
            <w:pPr>
              <w:pStyle w:val="12"/>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压碎值</w:t>
            </w:r>
          </w:p>
        </w:tc>
        <w:tc>
          <w:tcPr>
            <w:tcW w:w="4456" w:type="dxa"/>
            <w:noWrap w:val="0"/>
            <w:vAlign w:val="top"/>
          </w:tcPr>
          <w:p w14:paraId="0B792EDC">
            <w:pPr>
              <w:pStyle w:val="12"/>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≤16%</w:t>
            </w:r>
          </w:p>
        </w:tc>
      </w:tr>
      <w:tr w14:paraId="0DAED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80" w:type="dxa"/>
            <w:noWrap w:val="0"/>
            <w:vAlign w:val="top"/>
          </w:tcPr>
          <w:p w14:paraId="3018CB78">
            <w:pPr>
              <w:pStyle w:val="12"/>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针片状颗粒含量</w:t>
            </w:r>
          </w:p>
        </w:tc>
        <w:tc>
          <w:tcPr>
            <w:tcW w:w="4456" w:type="dxa"/>
            <w:noWrap w:val="0"/>
            <w:vAlign w:val="top"/>
          </w:tcPr>
          <w:p w14:paraId="467BD533">
            <w:pPr>
              <w:pStyle w:val="12"/>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≤20%</w:t>
            </w:r>
          </w:p>
        </w:tc>
      </w:tr>
      <w:tr w14:paraId="72394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80" w:type="dxa"/>
            <w:noWrap w:val="0"/>
            <w:vAlign w:val="top"/>
          </w:tcPr>
          <w:p w14:paraId="4133CC4E">
            <w:pPr>
              <w:pStyle w:val="12"/>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泥土杂质含量(水洗法)</w:t>
            </w:r>
          </w:p>
        </w:tc>
        <w:tc>
          <w:tcPr>
            <w:tcW w:w="4456" w:type="dxa"/>
            <w:noWrap w:val="0"/>
            <w:vAlign w:val="top"/>
          </w:tcPr>
          <w:p w14:paraId="50B8DBD1">
            <w:pPr>
              <w:pStyle w:val="12"/>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 xml:space="preserve"> ≤2%</w:t>
            </w:r>
          </w:p>
        </w:tc>
      </w:tr>
      <w:tr w14:paraId="6104F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80" w:type="dxa"/>
            <w:noWrap w:val="0"/>
            <w:vAlign w:val="top"/>
          </w:tcPr>
          <w:p w14:paraId="293B66AA">
            <w:pPr>
              <w:pStyle w:val="12"/>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硫化物及硫酸盐含量(折算为SO</w:t>
            </w:r>
            <w:r>
              <w:rPr>
                <w:rFonts w:hint="eastAsia" w:ascii="宋体" w:hAnsi="宋体" w:eastAsia="宋体" w:cs="Times New Roman"/>
                <w:sz w:val="21"/>
                <w:szCs w:val="21"/>
                <w:vertAlign w:val="subscript"/>
              </w:rPr>
              <w:t>3</w:t>
            </w:r>
            <w:r>
              <w:rPr>
                <w:rFonts w:hint="eastAsia" w:ascii="宋体" w:hAnsi="宋体" w:eastAsia="宋体" w:cs="Times New Roman"/>
                <w:sz w:val="21"/>
                <w:szCs w:val="21"/>
              </w:rPr>
              <w:t>)</w:t>
            </w:r>
          </w:p>
        </w:tc>
        <w:tc>
          <w:tcPr>
            <w:tcW w:w="4456" w:type="dxa"/>
            <w:noWrap w:val="0"/>
            <w:vAlign w:val="top"/>
          </w:tcPr>
          <w:p w14:paraId="0C758636">
            <w:pPr>
              <w:pStyle w:val="12"/>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≤1%</w:t>
            </w:r>
          </w:p>
        </w:tc>
      </w:tr>
      <w:tr w14:paraId="63019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80" w:type="dxa"/>
            <w:noWrap w:val="0"/>
            <w:vAlign w:val="top"/>
          </w:tcPr>
          <w:p w14:paraId="69EEF629">
            <w:pPr>
              <w:pStyle w:val="12"/>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软石含量</w:t>
            </w:r>
          </w:p>
        </w:tc>
        <w:tc>
          <w:tcPr>
            <w:tcW w:w="4456" w:type="dxa"/>
            <w:noWrap w:val="0"/>
            <w:vAlign w:val="top"/>
          </w:tcPr>
          <w:p w14:paraId="7731AEB9">
            <w:pPr>
              <w:pStyle w:val="12"/>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≤5%</w:t>
            </w:r>
          </w:p>
        </w:tc>
      </w:tr>
    </w:tbl>
    <w:p w14:paraId="1E9F6A7D">
      <w:pPr>
        <w:spacing w:line="360" w:lineRule="auto"/>
        <w:ind w:firstLine="480" w:firstLineChars="200"/>
        <w:jc w:val="center"/>
        <w:rPr>
          <w:rFonts w:hint="eastAsia"/>
          <w:sz w:val="24"/>
          <w:szCs w:val="24"/>
          <w:lang w:val="en-US" w:eastAsia="zh-CN"/>
        </w:rPr>
      </w:pPr>
      <w:r>
        <w:rPr>
          <w:rFonts w:hint="eastAsia"/>
          <w:sz w:val="24"/>
          <w:szCs w:val="24"/>
          <w:lang w:val="en-US" w:eastAsia="zh-CN"/>
        </w:rPr>
        <w:t>粗集料的级配范围</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3"/>
        <w:gridCol w:w="801"/>
        <w:gridCol w:w="1449"/>
        <w:gridCol w:w="1276"/>
        <w:gridCol w:w="1417"/>
        <w:gridCol w:w="1134"/>
        <w:gridCol w:w="1134"/>
        <w:gridCol w:w="1001"/>
      </w:tblGrid>
      <w:tr w14:paraId="2C7BF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3" w:type="dxa"/>
            <w:vMerge w:val="restart"/>
            <w:noWrap w:val="0"/>
            <w:vAlign w:val="center"/>
          </w:tcPr>
          <w:p w14:paraId="658DDAB1">
            <w:pPr>
              <w:pStyle w:val="12"/>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要求</w:t>
            </w:r>
          </w:p>
          <w:p w14:paraId="5AFCF8BC">
            <w:pPr>
              <w:pStyle w:val="12"/>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Times New Roman"/>
                <w:sz w:val="21"/>
                <w:szCs w:val="21"/>
              </w:rPr>
            </w:pPr>
            <w:r>
              <w:rPr>
                <w:rFonts w:hint="eastAsia" w:ascii="宋体" w:hAnsi="宋体" w:eastAsia="宋体" w:cs="Times New Roman"/>
                <w:sz w:val="21"/>
                <w:szCs w:val="21"/>
              </w:rPr>
              <w:t>级配</w:t>
            </w:r>
          </w:p>
          <w:p w14:paraId="7A968539">
            <w:pPr>
              <w:pStyle w:val="12"/>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范围</w:t>
            </w:r>
          </w:p>
        </w:tc>
        <w:tc>
          <w:tcPr>
            <w:tcW w:w="8212" w:type="dxa"/>
            <w:gridSpan w:val="7"/>
            <w:noWrap w:val="0"/>
            <w:vAlign w:val="center"/>
          </w:tcPr>
          <w:p w14:paraId="292B7150">
            <w:pPr>
              <w:pStyle w:val="12"/>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ascii="宋体" w:hAnsi="宋体" w:eastAsia="宋体" w:cs="Times New Roman"/>
                <w:sz w:val="21"/>
                <w:szCs w:val="21"/>
              </w:rPr>
            </w:pPr>
            <w:r>
              <w:rPr>
                <w:rFonts w:hint="eastAsia" w:ascii="宋体" w:hAnsi="宋体" w:eastAsia="宋体" w:cs="Times New Roman"/>
                <w:sz w:val="21"/>
                <w:szCs w:val="21"/>
              </w:rPr>
              <w:t>通过下列筛孔(mm)的质量百分率</w:t>
            </w:r>
          </w:p>
        </w:tc>
      </w:tr>
      <w:tr w14:paraId="0FA8B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3" w:type="dxa"/>
            <w:vMerge w:val="continue"/>
            <w:noWrap w:val="0"/>
            <w:vAlign w:val="center"/>
          </w:tcPr>
          <w:p w14:paraId="5F3BE453">
            <w:pPr>
              <w:keepNext w:val="0"/>
              <w:keepLines w:val="0"/>
              <w:pageBreakBefore w:val="0"/>
              <w:widowControl/>
              <w:kinsoku/>
              <w:wordWrap/>
              <w:overflowPunct w:val="0"/>
              <w:topLinePunct w:val="0"/>
              <w:autoSpaceDE/>
              <w:autoSpaceDN/>
              <w:bidi w:val="0"/>
              <w:adjustRightInd/>
              <w:snapToGrid/>
              <w:spacing w:line="560" w:lineRule="exact"/>
              <w:ind w:firstLine="0" w:firstLineChars="0"/>
              <w:jc w:val="left"/>
              <w:textAlignment w:val="auto"/>
              <w:rPr>
                <w:rFonts w:ascii="宋体" w:hAnsi="宋体" w:eastAsia="宋体" w:cs="Times New Roman"/>
                <w:color w:val="000000"/>
                <w:kern w:val="0"/>
                <w:sz w:val="21"/>
                <w:szCs w:val="21"/>
              </w:rPr>
            </w:pPr>
          </w:p>
        </w:tc>
        <w:tc>
          <w:tcPr>
            <w:tcW w:w="801" w:type="dxa"/>
            <w:noWrap w:val="0"/>
            <w:vAlign w:val="center"/>
          </w:tcPr>
          <w:p w14:paraId="78EB65CC">
            <w:pPr>
              <w:pStyle w:val="12"/>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ascii="宋体" w:hAnsi="宋体" w:eastAsia="宋体" w:cs="Times New Roman"/>
                <w:sz w:val="21"/>
                <w:szCs w:val="21"/>
              </w:rPr>
            </w:pPr>
            <w:r>
              <w:rPr>
                <w:rFonts w:hint="eastAsia" w:ascii="宋体" w:hAnsi="宋体" w:eastAsia="宋体" w:cs="Times New Roman"/>
                <w:sz w:val="21"/>
                <w:szCs w:val="21"/>
              </w:rPr>
              <w:t>31.5</w:t>
            </w:r>
          </w:p>
        </w:tc>
        <w:tc>
          <w:tcPr>
            <w:tcW w:w="1449" w:type="dxa"/>
            <w:noWrap w:val="0"/>
            <w:vAlign w:val="center"/>
          </w:tcPr>
          <w:p w14:paraId="4E06014C">
            <w:pPr>
              <w:pStyle w:val="12"/>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ascii="宋体" w:hAnsi="宋体" w:eastAsia="宋体" w:cs="Times New Roman"/>
                <w:sz w:val="21"/>
                <w:szCs w:val="21"/>
              </w:rPr>
            </w:pPr>
            <w:r>
              <w:rPr>
                <w:rFonts w:hint="eastAsia" w:ascii="宋体" w:hAnsi="宋体" w:eastAsia="宋体" w:cs="Times New Roman"/>
                <w:sz w:val="21"/>
                <w:szCs w:val="21"/>
              </w:rPr>
              <w:t>26.5</w:t>
            </w:r>
          </w:p>
        </w:tc>
        <w:tc>
          <w:tcPr>
            <w:tcW w:w="1276" w:type="dxa"/>
            <w:noWrap w:val="0"/>
            <w:vAlign w:val="center"/>
          </w:tcPr>
          <w:p w14:paraId="176E8D92">
            <w:pPr>
              <w:pStyle w:val="12"/>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ascii="宋体" w:hAnsi="宋体" w:eastAsia="宋体" w:cs="Times New Roman"/>
                <w:sz w:val="21"/>
                <w:szCs w:val="21"/>
              </w:rPr>
            </w:pPr>
            <w:r>
              <w:rPr>
                <w:rFonts w:hint="eastAsia" w:ascii="宋体" w:hAnsi="宋体" w:eastAsia="宋体" w:cs="Times New Roman"/>
                <w:sz w:val="21"/>
                <w:szCs w:val="21"/>
              </w:rPr>
              <w:t>19.0</w:t>
            </w:r>
          </w:p>
        </w:tc>
        <w:tc>
          <w:tcPr>
            <w:tcW w:w="1417" w:type="dxa"/>
            <w:noWrap w:val="0"/>
            <w:vAlign w:val="center"/>
          </w:tcPr>
          <w:p w14:paraId="0CB04BEF">
            <w:pPr>
              <w:pStyle w:val="12"/>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ascii="宋体" w:hAnsi="宋体" w:eastAsia="宋体" w:cs="Times New Roman"/>
                <w:sz w:val="21"/>
                <w:szCs w:val="21"/>
              </w:rPr>
            </w:pPr>
            <w:r>
              <w:rPr>
                <w:rFonts w:hint="eastAsia" w:ascii="宋体" w:hAnsi="宋体" w:eastAsia="宋体" w:cs="Times New Roman"/>
                <w:sz w:val="21"/>
                <w:szCs w:val="21"/>
              </w:rPr>
              <w:t>16</w:t>
            </w:r>
          </w:p>
        </w:tc>
        <w:tc>
          <w:tcPr>
            <w:tcW w:w="1134" w:type="dxa"/>
            <w:noWrap w:val="0"/>
            <w:vAlign w:val="center"/>
          </w:tcPr>
          <w:p w14:paraId="6C945F29">
            <w:pPr>
              <w:pStyle w:val="12"/>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ascii="宋体" w:hAnsi="宋体" w:eastAsia="宋体" w:cs="Times New Roman"/>
                <w:sz w:val="21"/>
                <w:szCs w:val="21"/>
              </w:rPr>
            </w:pPr>
            <w:r>
              <w:rPr>
                <w:rFonts w:hint="eastAsia" w:ascii="宋体" w:hAnsi="宋体" w:eastAsia="宋体" w:cs="Times New Roman"/>
                <w:sz w:val="21"/>
                <w:szCs w:val="21"/>
              </w:rPr>
              <w:t>9.5</w:t>
            </w:r>
          </w:p>
        </w:tc>
        <w:tc>
          <w:tcPr>
            <w:tcW w:w="1134" w:type="dxa"/>
            <w:noWrap w:val="0"/>
            <w:vAlign w:val="center"/>
          </w:tcPr>
          <w:p w14:paraId="3A1AAF8B">
            <w:pPr>
              <w:pStyle w:val="12"/>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ascii="宋体" w:hAnsi="宋体" w:eastAsia="宋体" w:cs="Times New Roman"/>
                <w:sz w:val="21"/>
                <w:szCs w:val="21"/>
              </w:rPr>
            </w:pPr>
            <w:r>
              <w:rPr>
                <w:rFonts w:hint="eastAsia" w:ascii="宋体" w:hAnsi="宋体" w:eastAsia="宋体" w:cs="Times New Roman"/>
                <w:sz w:val="21"/>
                <w:szCs w:val="21"/>
              </w:rPr>
              <w:t>4.75</w:t>
            </w:r>
          </w:p>
        </w:tc>
        <w:tc>
          <w:tcPr>
            <w:tcW w:w="1001" w:type="dxa"/>
            <w:noWrap w:val="0"/>
            <w:vAlign w:val="center"/>
          </w:tcPr>
          <w:p w14:paraId="7A489D42">
            <w:pPr>
              <w:pStyle w:val="12"/>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ascii="宋体" w:hAnsi="宋体" w:eastAsia="宋体" w:cs="Times New Roman"/>
                <w:sz w:val="21"/>
                <w:szCs w:val="21"/>
              </w:rPr>
            </w:pPr>
            <w:r>
              <w:rPr>
                <w:rFonts w:hint="eastAsia" w:ascii="宋体" w:hAnsi="宋体" w:eastAsia="宋体" w:cs="Times New Roman"/>
                <w:sz w:val="21"/>
                <w:szCs w:val="21"/>
              </w:rPr>
              <w:t>2.36</w:t>
            </w:r>
          </w:p>
        </w:tc>
      </w:tr>
      <w:tr w14:paraId="1FFF3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3" w:type="dxa"/>
            <w:vMerge w:val="continue"/>
            <w:noWrap w:val="0"/>
            <w:vAlign w:val="center"/>
          </w:tcPr>
          <w:p w14:paraId="5B682878">
            <w:pPr>
              <w:keepNext w:val="0"/>
              <w:keepLines w:val="0"/>
              <w:pageBreakBefore w:val="0"/>
              <w:widowControl/>
              <w:kinsoku/>
              <w:wordWrap/>
              <w:overflowPunct w:val="0"/>
              <w:topLinePunct w:val="0"/>
              <w:autoSpaceDE/>
              <w:autoSpaceDN/>
              <w:bidi w:val="0"/>
              <w:adjustRightInd/>
              <w:snapToGrid/>
              <w:spacing w:line="560" w:lineRule="exact"/>
              <w:ind w:firstLine="0" w:firstLineChars="0"/>
              <w:jc w:val="left"/>
              <w:textAlignment w:val="auto"/>
              <w:rPr>
                <w:rFonts w:ascii="宋体" w:hAnsi="宋体" w:eastAsia="宋体" w:cs="Times New Roman"/>
                <w:color w:val="000000"/>
                <w:kern w:val="0"/>
                <w:sz w:val="21"/>
                <w:szCs w:val="21"/>
              </w:rPr>
            </w:pPr>
          </w:p>
        </w:tc>
        <w:tc>
          <w:tcPr>
            <w:tcW w:w="801" w:type="dxa"/>
            <w:noWrap w:val="0"/>
            <w:vAlign w:val="center"/>
          </w:tcPr>
          <w:p w14:paraId="4E151EC0">
            <w:pPr>
              <w:pStyle w:val="12"/>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ascii="宋体" w:hAnsi="宋体" w:eastAsia="宋体" w:cs="Times New Roman"/>
                <w:sz w:val="21"/>
                <w:szCs w:val="21"/>
              </w:rPr>
            </w:pPr>
            <w:r>
              <w:rPr>
                <w:rFonts w:hint="eastAsia" w:ascii="宋体" w:hAnsi="宋体" w:eastAsia="宋体" w:cs="Times New Roman"/>
                <w:sz w:val="21"/>
                <w:szCs w:val="21"/>
              </w:rPr>
              <w:t>100</w:t>
            </w:r>
          </w:p>
        </w:tc>
        <w:tc>
          <w:tcPr>
            <w:tcW w:w="1449" w:type="dxa"/>
            <w:noWrap w:val="0"/>
            <w:vAlign w:val="center"/>
          </w:tcPr>
          <w:p w14:paraId="52283B2E">
            <w:pPr>
              <w:pStyle w:val="12"/>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ascii="宋体" w:hAnsi="宋体" w:eastAsia="宋体" w:cs="Times New Roman"/>
                <w:sz w:val="21"/>
                <w:szCs w:val="21"/>
              </w:rPr>
            </w:pPr>
            <w:r>
              <w:rPr>
                <w:rFonts w:hint="eastAsia" w:ascii="宋体" w:hAnsi="宋体" w:eastAsia="宋体" w:cs="Times New Roman"/>
                <w:sz w:val="21"/>
                <w:szCs w:val="21"/>
              </w:rPr>
              <w:t>90～100</w:t>
            </w:r>
          </w:p>
        </w:tc>
        <w:tc>
          <w:tcPr>
            <w:tcW w:w="1276" w:type="dxa"/>
            <w:noWrap w:val="0"/>
            <w:vAlign w:val="center"/>
          </w:tcPr>
          <w:p w14:paraId="31079585">
            <w:pPr>
              <w:pStyle w:val="12"/>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ascii="宋体" w:hAnsi="宋体" w:eastAsia="宋体" w:cs="Times New Roman"/>
                <w:sz w:val="21"/>
                <w:szCs w:val="21"/>
              </w:rPr>
            </w:pPr>
            <w:r>
              <w:rPr>
                <w:rFonts w:hint="eastAsia" w:ascii="宋体" w:hAnsi="宋体" w:eastAsia="宋体" w:cs="Times New Roman"/>
                <w:sz w:val="21"/>
                <w:szCs w:val="21"/>
              </w:rPr>
              <w:t>60～75</w:t>
            </w:r>
          </w:p>
        </w:tc>
        <w:tc>
          <w:tcPr>
            <w:tcW w:w="1417" w:type="dxa"/>
            <w:noWrap w:val="0"/>
            <w:vAlign w:val="center"/>
          </w:tcPr>
          <w:p w14:paraId="744C16CB">
            <w:pPr>
              <w:pStyle w:val="12"/>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ascii="宋体" w:hAnsi="宋体" w:eastAsia="宋体" w:cs="Times New Roman"/>
                <w:sz w:val="21"/>
                <w:szCs w:val="21"/>
              </w:rPr>
            </w:pPr>
            <w:r>
              <w:rPr>
                <w:rFonts w:hint="eastAsia" w:ascii="宋体" w:hAnsi="宋体" w:eastAsia="宋体" w:cs="Times New Roman"/>
                <w:sz w:val="21"/>
                <w:szCs w:val="21"/>
              </w:rPr>
              <w:t>30～50</w:t>
            </w:r>
          </w:p>
        </w:tc>
        <w:tc>
          <w:tcPr>
            <w:tcW w:w="1134" w:type="dxa"/>
            <w:noWrap w:val="0"/>
            <w:vAlign w:val="center"/>
          </w:tcPr>
          <w:p w14:paraId="4A5E54BD">
            <w:pPr>
              <w:pStyle w:val="12"/>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ascii="宋体" w:hAnsi="宋体" w:eastAsia="宋体" w:cs="Times New Roman"/>
                <w:sz w:val="21"/>
                <w:szCs w:val="21"/>
              </w:rPr>
            </w:pPr>
            <w:r>
              <w:rPr>
                <w:rFonts w:hint="eastAsia" w:ascii="宋体" w:hAnsi="宋体" w:eastAsia="宋体" w:cs="Times New Roman"/>
                <w:sz w:val="21"/>
                <w:szCs w:val="21"/>
              </w:rPr>
              <w:t>10～30</w:t>
            </w:r>
          </w:p>
        </w:tc>
        <w:tc>
          <w:tcPr>
            <w:tcW w:w="1134" w:type="dxa"/>
            <w:noWrap w:val="0"/>
            <w:vAlign w:val="center"/>
          </w:tcPr>
          <w:p w14:paraId="74EDAB00">
            <w:pPr>
              <w:pStyle w:val="12"/>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ascii="宋体" w:hAnsi="宋体" w:eastAsia="宋体" w:cs="Times New Roman"/>
                <w:sz w:val="21"/>
                <w:szCs w:val="21"/>
              </w:rPr>
            </w:pPr>
            <w:r>
              <w:rPr>
                <w:rFonts w:hint="eastAsia" w:ascii="宋体" w:hAnsi="宋体" w:eastAsia="宋体" w:cs="Times New Roman"/>
                <w:sz w:val="21"/>
                <w:szCs w:val="21"/>
              </w:rPr>
              <w:t>0～10</w:t>
            </w:r>
          </w:p>
        </w:tc>
        <w:tc>
          <w:tcPr>
            <w:tcW w:w="1001" w:type="dxa"/>
            <w:noWrap w:val="0"/>
            <w:vAlign w:val="center"/>
          </w:tcPr>
          <w:p w14:paraId="3BA17576">
            <w:pPr>
              <w:pStyle w:val="12"/>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ascii="宋体" w:hAnsi="宋体" w:eastAsia="宋体" w:cs="Times New Roman"/>
                <w:sz w:val="21"/>
                <w:szCs w:val="21"/>
              </w:rPr>
            </w:pPr>
            <w:r>
              <w:rPr>
                <w:rFonts w:hint="eastAsia" w:ascii="宋体" w:hAnsi="宋体" w:eastAsia="宋体" w:cs="Times New Roman"/>
                <w:sz w:val="21"/>
                <w:szCs w:val="21"/>
              </w:rPr>
              <w:t>0～5</w:t>
            </w:r>
          </w:p>
        </w:tc>
      </w:tr>
    </w:tbl>
    <w:p w14:paraId="7E4F8855">
      <w:pPr>
        <w:spacing w:line="360" w:lineRule="auto"/>
        <w:ind w:firstLine="480" w:firstLineChars="200"/>
        <w:jc w:val="left"/>
        <w:rPr>
          <w:rFonts w:hint="eastAsia"/>
          <w:sz w:val="24"/>
          <w:szCs w:val="24"/>
          <w:lang w:val="en-US" w:eastAsia="zh-CN"/>
        </w:rPr>
      </w:pPr>
      <w:r>
        <w:rPr>
          <w:rFonts w:hint="eastAsia"/>
          <w:sz w:val="24"/>
          <w:szCs w:val="24"/>
          <w:lang w:val="en-US" w:eastAsia="zh-CN"/>
        </w:rPr>
        <w:t xml:space="preserve"> 4）细集料：采用天然河沙，要求质地坚硬、耐久、洁净，细度模数宜在2.5以上。</w:t>
      </w:r>
    </w:p>
    <w:p w14:paraId="3327077A">
      <w:pPr>
        <w:spacing w:line="360" w:lineRule="auto"/>
        <w:ind w:firstLine="480" w:firstLineChars="200"/>
        <w:jc w:val="center"/>
        <w:rPr>
          <w:rFonts w:hint="eastAsia"/>
          <w:sz w:val="24"/>
          <w:szCs w:val="24"/>
          <w:lang w:val="en-US" w:eastAsia="zh-CN"/>
        </w:rPr>
      </w:pPr>
      <w:r>
        <w:rPr>
          <w:rFonts w:hint="eastAsia"/>
          <w:sz w:val="24"/>
          <w:szCs w:val="24"/>
          <w:lang w:val="en-US" w:eastAsia="zh-CN"/>
        </w:rPr>
        <w:t>细集料技术要求</w:t>
      </w:r>
    </w:p>
    <w:tbl>
      <w:tblPr>
        <w:tblStyle w:val="6"/>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78"/>
        <w:gridCol w:w="4660"/>
      </w:tblGrid>
      <w:tr w14:paraId="401C8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08" w:type="dxa"/>
            <w:noWrap w:val="0"/>
            <w:vAlign w:val="top"/>
          </w:tcPr>
          <w:p w14:paraId="0C642D27">
            <w:pPr>
              <w:pStyle w:val="12"/>
              <w:overflowPunct/>
              <w:snapToGrid w:val="0"/>
              <w:spacing w:line="360" w:lineRule="auto"/>
              <w:ind w:firstLine="0" w:firstLineChars="0"/>
              <w:rPr>
                <w:rFonts w:ascii="宋体" w:hAnsi="宋体" w:eastAsia="宋体" w:cs="Times New Roman"/>
                <w:sz w:val="21"/>
                <w:szCs w:val="21"/>
              </w:rPr>
            </w:pPr>
            <w:r>
              <w:rPr>
                <w:rFonts w:hint="eastAsia" w:ascii="宋体" w:hAnsi="宋体" w:eastAsia="宋体" w:cs="Times New Roman"/>
                <w:sz w:val="21"/>
                <w:szCs w:val="21"/>
              </w:rPr>
              <w:t>项     目</w:t>
            </w:r>
          </w:p>
        </w:tc>
        <w:tc>
          <w:tcPr>
            <w:tcW w:w="4781" w:type="dxa"/>
            <w:noWrap w:val="0"/>
            <w:vAlign w:val="top"/>
          </w:tcPr>
          <w:p w14:paraId="429817D0">
            <w:pPr>
              <w:pStyle w:val="12"/>
              <w:overflowPunct/>
              <w:snapToGrid w:val="0"/>
              <w:spacing w:line="360" w:lineRule="auto"/>
              <w:ind w:firstLine="0" w:firstLineChars="0"/>
              <w:rPr>
                <w:rFonts w:ascii="宋体" w:hAnsi="宋体" w:eastAsia="宋体" w:cs="Times New Roman"/>
                <w:sz w:val="21"/>
                <w:szCs w:val="21"/>
              </w:rPr>
            </w:pPr>
            <w:r>
              <w:rPr>
                <w:rFonts w:hint="eastAsia" w:ascii="宋体" w:hAnsi="宋体" w:eastAsia="宋体" w:cs="Times New Roman"/>
                <w:sz w:val="21"/>
                <w:szCs w:val="21"/>
              </w:rPr>
              <w:t>技 术 要 求</w:t>
            </w:r>
          </w:p>
        </w:tc>
      </w:tr>
      <w:tr w14:paraId="5A913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08" w:type="dxa"/>
            <w:noWrap w:val="0"/>
            <w:vAlign w:val="top"/>
          </w:tcPr>
          <w:p w14:paraId="10FD3B8A">
            <w:pPr>
              <w:pStyle w:val="12"/>
              <w:overflowPunct/>
              <w:snapToGrid w:val="0"/>
              <w:spacing w:line="360" w:lineRule="auto"/>
              <w:ind w:firstLine="0" w:firstLineChars="0"/>
              <w:rPr>
                <w:rFonts w:ascii="宋体" w:hAnsi="宋体" w:eastAsia="宋体" w:cs="Times New Roman"/>
                <w:sz w:val="21"/>
                <w:szCs w:val="21"/>
              </w:rPr>
            </w:pPr>
            <w:r>
              <w:rPr>
                <w:rFonts w:hint="eastAsia" w:ascii="宋体" w:hAnsi="宋体" w:eastAsia="宋体" w:cs="Times New Roman"/>
                <w:sz w:val="21"/>
                <w:szCs w:val="21"/>
              </w:rPr>
              <w:t>含泥量(水洗法)</w:t>
            </w:r>
          </w:p>
        </w:tc>
        <w:tc>
          <w:tcPr>
            <w:tcW w:w="4781" w:type="dxa"/>
            <w:noWrap w:val="0"/>
            <w:vAlign w:val="top"/>
          </w:tcPr>
          <w:p w14:paraId="0B1762DB">
            <w:pPr>
              <w:pStyle w:val="12"/>
              <w:overflowPunct/>
              <w:snapToGrid w:val="0"/>
              <w:spacing w:line="360" w:lineRule="auto"/>
              <w:ind w:firstLine="0" w:firstLineChars="0"/>
              <w:rPr>
                <w:rFonts w:ascii="宋体" w:hAnsi="宋体" w:eastAsia="宋体" w:cs="Times New Roman"/>
                <w:sz w:val="21"/>
                <w:szCs w:val="21"/>
              </w:rPr>
            </w:pPr>
            <w:r>
              <w:rPr>
                <w:rFonts w:hint="eastAsia" w:ascii="宋体" w:hAnsi="宋体" w:eastAsia="宋体" w:cs="Times New Roman"/>
                <w:sz w:val="21"/>
                <w:szCs w:val="21"/>
              </w:rPr>
              <w:t>≤3%</w:t>
            </w:r>
          </w:p>
        </w:tc>
      </w:tr>
      <w:tr w14:paraId="373CD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08" w:type="dxa"/>
            <w:noWrap w:val="0"/>
            <w:vAlign w:val="top"/>
          </w:tcPr>
          <w:p w14:paraId="6D23B511">
            <w:pPr>
              <w:pStyle w:val="12"/>
              <w:overflowPunct/>
              <w:snapToGrid w:val="0"/>
              <w:spacing w:line="360" w:lineRule="auto"/>
              <w:ind w:firstLine="0" w:firstLineChars="0"/>
              <w:rPr>
                <w:rFonts w:ascii="宋体" w:hAnsi="宋体" w:eastAsia="宋体" w:cs="Times New Roman"/>
                <w:sz w:val="21"/>
                <w:szCs w:val="21"/>
              </w:rPr>
            </w:pPr>
            <w:r>
              <w:rPr>
                <w:rFonts w:hint="eastAsia" w:ascii="宋体" w:hAnsi="宋体" w:eastAsia="宋体" w:cs="Times New Roman"/>
                <w:sz w:val="21"/>
                <w:szCs w:val="21"/>
              </w:rPr>
              <w:t>硫化物及硫酸盐含量(折算为SO3)</w:t>
            </w:r>
          </w:p>
        </w:tc>
        <w:tc>
          <w:tcPr>
            <w:tcW w:w="4781" w:type="dxa"/>
            <w:noWrap w:val="0"/>
            <w:vAlign w:val="top"/>
          </w:tcPr>
          <w:p w14:paraId="042227A2">
            <w:pPr>
              <w:pStyle w:val="12"/>
              <w:overflowPunct/>
              <w:snapToGrid w:val="0"/>
              <w:spacing w:line="360" w:lineRule="auto"/>
              <w:ind w:firstLine="0" w:firstLineChars="0"/>
              <w:rPr>
                <w:rFonts w:ascii="宋体" w:hAnsi="宋体" w:eastAsia="宋体" w:cs="Times New Roman"/>
                <w:sz w:val="21"/>
                <w:szCs w:val="21"/>
              </w:rPr>
            </w:pPr>
            <w:r>
              <w:rPr>
                <w:rFonts w:hint="eastAsia" w:ascii="宋体" w:hAnsi="宋体" w:eastAsia="宋体" w:cs="Times New Roman"/>
                <w:sz w:val="21"/>
                <w:szCs w:val="21"/>
              </w:rPr>
              <w:t>≤0.5%</w:t>
            </w:r>
          </w:p>
        </w:tc>
      </w:tr>
      <w:tr w14:paraId="7159B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08" w:type="dxa"/>
            <w:noWrap w:val="0"/>
            <w:vAlign w:val="top"/>
          </w:tcPr>
          <w:p w14:paraId="214F0F5D">
            <w:pPr>
              <w:pStyle w:val="12"/>
              <w:overflowPunct/>
              <w:snapToGrid w:val="0"/>
              <w:spacing w:line="360" w:lineRule="auto"/>
              <w:ind w:firstLine="0" w:firstLineChars="0"/>
              <w:rPr>
                <w:rFonts w:ascii="宋体" w:hAnsi="宋体" w:eastAsia="宋体" w:cs="Times New Roman"/>
                <w:sz w:val="21"/>
                <w:szCs w:val="21"/>
              </w:rPr>
            </w:pPr>
            <w:r>
              <w:rPr>
                <w:rFonts w:hint="eastAsia" w:ascii="宋体" w:hAnsi="宋体" w:eastAsia="宋体" w:cs="Times New Roman"/>
                <w:sz w:val="21"/>
                <w:szCs w:val="21"/>
              </w:rPr>
              <w:t>有机物含量(比色法)</w:t>
            </w:r>
          </w:p>
        </w:tc>
        <w:tc>
          <w:tcPr>
            <w:tcW w:w="4781" w:type="dxa"/>
            <w:noWrap w:val="0"/>
            <w:vAlign w:val="top"/>
          </w:tcPr>
          <w:p w14:paraId="3456A93E">
            <w:pPr>
              <w:pStyle w:val="12"/>
              <w:overflowPunct/>
              <w:snapToGrid w:val="0"/>
              <w:spacing w:line="360" w:lineRule="auto"/>
              <w:ind w:firstLine="0" w:firstLineChars="0"/>
              <w:rPr>
                <w:rFonts w:ascii="宋体" w:hAnsi="宋体" w:eastAsia="宋体" w:cs="Times New Roman"/>
                <w:sz w:val="21"/>
                <w:szCs w:val="21"/>
              </w:rPr>
            </w:pPr>
            <w:r>
              <w:rPr>
                <w:rFonts w:hint="eastAsia" w:ascii="宋体" w:hAnsi="宋体" w:eastAsia="宋体" w:cs="Times New Roman"/>
                <w:sz w:val="21"/>
                <w:szCs w:val="21"/>
              </w:rPr>
              <w:t>合格</w:t>
            </w:r>
          </w:p>
        </w:tc>
      </w:tr>
      <w:tr w14:paraId="2F619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08" w:type="dxa"/>
            <w:noWrap w:val="0"/>
            <w:vAlign w:val="top"/>
          </w:tcPr>
          <w:p w14:paraId="24CB0B74">
            <w:pPr>
              <w:pStyle w:val="12"/>
              <w:overflowPunct/>
              <w:snapToGrid w:val="0"/>
              <w:spacing w:line="360" w:lineRule="auto"/>
              <w:ind w:firstLine="0" w:firstLineChars="0"/>
              <w:rPr>
                <w:rFonts w:ascii="宋体" w:hAnsi="宋体" w:eastAsia="宋体" w:cs="Times New Roman"/>
                <w:sz w:val="21"/>
                <w:szCs w:val="21"/>
              </w:rPr>
            </w:pPr>
            <w:r>
              <w:rPr>
                <w:rFonts w:hint="eastAsia" w:ascii="宋体" w:hAnsi="宋体" w:eastAsia="宋体" w:cs="Times New Roman"/>
                <w:sz w:val="21"/>
                <w:szCs w:val="21"/>
              </w:rPr>
              <w:t>云母含量</w:t>
            </w:r>
          </w:p>
        </w:tc>
        <w:tc>
          <w:tcPr>
            <w:tcW w:w="4781" w:type="dxa"/>
            <w:noWrap w:val="0"/>
            <w:vAlign w:val="top"/>
          </w:tcPr>
          <w:p w14:paraId="5743F604">
            <w:pPr>
              <w:pStyle w:val="12"/>
              <w:overflowPunct/>
              <w:snapToGrid w:val="0"/>
              <w:spacing w:line="360" w:lineRule="auto"/>
              <w:ind w:firstLine="0" w:firstLineChars="0"/>
              <w:rPr>
                <w:rFonts w:ascii="宋体" w:hAnsi="宋体" w:eastAsia="宋体" w:cs="Times New Roman"/>
                <w:sz w:val="21"/>
                <w:szCs w:val="21"/>
              </w:rPr>
            </w:pPr>
            <w:r>
              <w:rPr>
                <w:rFonts w:hint="eastAsia" w:ascii="宋体" w:hAnsi="宋体" w:eastAsia="宋体" w:cs="Times New Roman"/>
                <w:sz w:val="21"/>
                <w:szCs w:val="21"/>
              </w:rPr>
              <w:t>≤2%</w:t>
            </w:r>
          </w:p>
        </w:tc>
      </w:tr>
    </w:tbl>
    <w:p w14:paraId="2F8436FF">
      <w:pPr>
        <w:spacing w:line="360" w:lineRule="auto"/>
        <w:ind w:firstLine="480" w:firstLineChars="200"/>
        <w:jc w:val="center"/>
        <w:rPr>
          <w:rFonts w:hint="eastAsia"/>
          <w:sz w:val="24"/>
          <w:szCs w:val="24"/>
          <w:lang w:val="en-US" w:eastAsia="zh-CN"/>
        </w:rPr>
      </w:pPr>
      <w:r>
        <w:rPr>
          <w:rFonts w:hint="eastAsia"/>
          <w:sz w:val="24"/>
          <w:szCs w:val="24"/>
          <w:lang w:val="en-US" w:eastAsia="zh-CN"/>
        </w:rPr>
        <w:t xml:space="preserve"> 细集料的级配范围   </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1464"/>
        <w:gridCol w:w="1466"/>
        <w:gridCol w:w="1464"/>
        <w:gridCol w:w="1464"/>
        <w:gridCol w:w="1465"/>
        <w:gridCol w:w="1470"/>
      </w:tblGrid>
      <w:tr w14:paraId="1224F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2" w:type="dxa"/>
            <w:vMerge w:val="restart"/>
            <w:noWrap w:val="0"/>
            <w:vAlign w:val="center"/>
          </w:tcPr>
          <w:p w14:paraId="79F240EA">
            <w:pPr>
              <w:pStyle w:val="12"/>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砂分级</w:t>
            </w:r>
          </w:p>
        </w:tc>
        <w:tc>
          <w:tcPr>
            <w:tcW w:w="8793" w:type="dxa"/>
            <w:gridSpan w:val="6"/>
            <w:noWrap w:val="0"/>
            <w:vAlign w:val="top"/>
          </w:tcPr>
          <w:p w14:paraId="4E0F4AD5">
            <w:pPr>
              <w:pStyle w:val="12"/>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方孔筛尺寸(mm)</w:t>
            </w:r>
          </w:p>
        </w:tc>
      </w:tr>
      <w:tr w14:paraId="4A978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2" w:type="dxa"/>
            <w:vMerge w:val="continue"/>
            <w:noWrap w:val="0"/>
            <w:vAlign w:val="center"/>
          </w:tcPr>
          <w:p w14:paraId="55AC6A15">
            <w:pPr>
              <w:keepNext w:val="0"/>
              <w:keepLines w:val="0"/>
              <w:pageBreakBefore w:val="0"/>
              <w:widowControl/>
              <w:kinsoku/>
              <w:wordWrap/>
              <w:overflowPunct w:val="0"/>
              <w:topLinePunct w:val="0"/>
              <w:autoSpaceDE/>
              <w:autoSpaceDN/>
              <w:bidi w:val="0"/>
              <w:adjustRightInd/>
              <w:snapToGrid/>
              <w:spacing w:line="360" w:lineRule="auto"/>
              <w:ind w:firstLine="0" w:firstLineChars="0"/>
              <w:jc w:val="left"/>
              <w:textAlignment w:val="auto"/>
              <w:rPr>
                <w:rFonts w:ascii="宋体" w:hAnsi="宋体" w:eastAsia="宋体" w:cs="Times New Roman"/>
                <w:color w:val="000000"/>
                <w:kern w:val="0"/>
                <w:sz w:val="21"/>
                <w:szCs w:val="21"/>
              </w:rPr>
            </w:pPr>
          </w:p>
        </w:tc>
        <w:tc>
          <w:tcPr>
            <w:tcW w:w="1464" w:type="dxa"/>
            <w:noWrap w:val="0"/>
            <w:vAlign w:val="top"/>
          </w:tcPr>
          <w:p w14:paraId="761164F1">
            <w:pPr>
              <w:pStyle w:val="12"/>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0.15</w:t>
            </w:r>
          </w:p>
        </w:tc>
        <w:tc>
          <w:tcPr>
            <w:tcW w:w="1466" w:type="dxa"/>
            <w:noWrap w:val="0"/>
            <w:vAlign w:val="top"/>
          </w:tcPr>
          <w:p w14:paraId="0A4B4EF8">
            <w:pPr>
              <w:pStyle w:val="12"/>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0.30</w:t>
            </w:r>
          </w:p>
        </w:tc>
        <w:tc>
          <w:tcPr>
            <w:tcW w:w="1464" w:type="dxa"/>
            <w:noWrap w:val="0"/>
            <w:vAlign w:val="top"/>
          </w:tcPr>
          <w:p w14:paraId="65314B3A">
            <w:pPr>
              <w:pStyle w:val="12"/>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0.60</w:t>
            </w:r>
          </w:p>
        </w:tc>
        <w:tc>
          <w:tcPr>
            <w:tcW w:w="1464" w:type="dxa"/>
            <w:noWrap w:val="0"/>
            <w:vAlign w:val="top"/>
          </w:tcPr>
          <w:p w14:paraId="53981A7F">
            <w:pPr>
              <w:pStyle w:val="12"/>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1.18</w:t>
            </w:r>
          </w:p>
        </w:tc>
        <w:tc>
          <w:tcPr>
            <w:tcW w:w="1465" w:type="dxa"/>
            <w:noWrap w:val="0"/>
            <w:vAlign w:val="top"/>
          </w:tcPr>
          <w:p w14:paraId="5EB5DF45">
            <w:pPr>
              <w:pStyle w:val="12"/>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2.36</w:t>
            </w:r>
          </w:p>
        </w:tc>
        <w:tc>
          <w:tcPr>
            <w:tcW w:w="1470" w:type="dxa"/>
            <w:noWrap w:val="0"/>
            <w:vAlign w:val="top"/>
          </w:tcPr>
          <w:p w14:paraId="21DF1B62">
            <w:pPr>
              <w:pStyle w:val="12"/>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0.075</w:t>
            </w:r>
          </w:p>
        </w:tc>
      </w:tr>
      <w:tr w14:paraId="31CEF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2" w:type="dxa"/>
            <w:vMerge w:val="continue"/>
            <w:noWrap w:val="0"/>
            <w:vAlign w:val="center"/>
          </w:tcPr>
          <w:p w14:paraId="5362E85C">
            <w:pPr>
              <w:keepNext w:val="0"/>
              <w:keepLines w:val="0"/>
              <w:pageBreakBefore w:val="0"/>
              <w:widowControl/>
              <w:kinsoku/>
              <w:wordWrap/>
              <w:overflowPunct w:val="0"/>
              <w:topLinePunct w:val="0"/>
              <w:autoSpaceDE/>
              <w:autoSpaceDN/>
              <w:bidi w:val="0"/>
              <w:adjustRightInd/>
              <w:snapToGrid/>
              <w:spacing w:line="360" w:lineRule="auto"/>
              <w:ind w:firstLine="0" w:firstLineChars="0"/>
              <w:jc w:val="left"/>
              <w:textAlignment w:val="auto"/>
              <w:rPr>
                <w:rFonts w:ascii="宋体" w:hAnsi="宋体" w:eastAsia="宋体" w:cs="Times New Roman"/>
                <w:color w:val="000000"/>
                <w:kern w:val="0"/>
                <w:sz w:val="21"/>
                <w:szCs w:val="21"/>
              </w:rPr>
            </w:pPr>
          </w:p>
        </w:tc>
        <w:tc>
          <w:tcPr>
            <w:tcW w:w="8793" w:type="dxa"/>
            <w:gridSpan w:val="6"/>
            <w:noWrap w:val="0"/>
            <w:vAlign w:val="top"/>
          </w:tcPr>
          <w:p w14:paraId="429A5F07">
            <w:pPr>
              <w:pStyle w:val="12"/>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累计筛余(以质量计0(%)</w:t>
            </w:r>
          </w:p>
        </w:tc>
      </w:tr>
      <w:tr w14:paraId="7D0B6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2" w:type="dxa"/>
            <w:noWrap w:val="0"/>
            <w:vAlign w:val="top"/>
          </w:tcPr>
          <w:p w14:paraId="73AC7A22">
            <w:pPr>
              <w:pStyle w:val="12"/>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粗砂</w:t>
            </w:r>
          </w:p>
        </w:tc>
        <w:tc>
          <w:tcPr>
            <w:tcW w:w="1464" w:type="dxa"/>
            <w:noWrap w:val="0"/>
            <w:vAlign w:val="top"/>
          </w:tcPr>
          <w:p w14:paraId="31E3A330">
            <w:pPr>
              <w:pStyle w:val="12"/>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90～100</w:t>
            </w:r>
          </w:p>
        </w:tc>
        <w:tc>
          <w:tcPr>
            <w:tcW w:w="1466" w:type="dxa"/>
            <w:noWrap w:val="0"/>
            <w:vAlign w:val="top"/>
          </w:tcPr>
          <w:p w14:paraId="612897D4">
            <w:pPr>
              <w:pStyle w:val="12"/>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80～95</w:t>
            </w:r>
          </w:p>
        </w:tc>
        <w:tc>
          <w:tcPr>
            <w:tcW w:w="1464" w:type="dxa"/>
            <w:noWrap w:val="0"/>
            <w:vAlign w:val="top"/>
          </w:tcPr>
          <w:p w14:paraId="68190F95">
            <w:pPr>
              <w:pStyle w:val="12"/>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71～85</w:t>
            </w:r>
          </w:p>
        </w:tc>
        <w:tc>
          <w:tcPr>
            <w:tcW w:w="1464" w:type="dxa"/>
            <w:noWrap w:val="0"/>
            <w:vAlign w:val="top"/>
          </w:tcPr>
          <w:p w14:paraId="4D18723D">
            <w:pPr>
              <w:pStyle w:val="12"/>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35～65</w:t>
            </w:r>
          </w:p>
        </w:tc>
        <w:tc>
          <w:tcPr>
            <w:tcW w:w="1465" w:type="dxa"/>
            <w:noWrap w:val="0"/>
            <w:vAlign w:val="top"/>
          </w:tcPr>
          <w:p w14:paraId="61DE8815">
            <w:pPr>
              <w:pStyle w:val="12"/>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5～35</w:t>
            </w:r>
          </w:p>
        </w:tc>
        <w:tc>
          <w:tcPr>
            <w:tcW w:w="1470" w:type="dxa"/>
            <w:noWrap w:val="0"/>
            <w:vAlign w:val="top"/>
          </w:tcPr>
          <w:p w14:paraId="4B68FD96">
            <w:pPr>
              <w:pStyle w:val="12"/>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0～10</w:t>
            </w:r>
          </w:p>
        </w:tc>
      </w:tr>
      <w:tr w14:paraId="4F8A0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2" w:type="dxa"/>
            <w:noWrap w:val="0"/>
            <w:vAlign w:val="top"/>
          </w:tcPr>
          <w:p w14:paraId="665C928A">
            <w:pPr>
              <w:pStyle w:val="12"/>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中砂</w:t>
            </w:r>
          </w:p>
        </w:tc>
        <w:tc>
          <w:tcPr>
            <w:tcW w:w="1464" w:type="dxa"/>
            <w:noWrap w:val="0"/>
            <w:vAlign w:val="top"/>
          </w:tcPr>
          <w:p w14:paraId="0850A6C8">
            <w:pPr>
              <w:pStyle w:val="12"/>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90～100</w:t>
            </w:r>
          </w:p>
        </w:tc>
        <w:tc>
          <w:tcPr>
            <w:tcW w:w="1466" w:type="dxa"/>
            <w:noWrap w:val="0"/>
            <w:vAlign w:val="top"/>
          </w:tcPr>
          <w:p w14:paraId="02CAC4CE">
            <w:pPr>
              <w:pStyle w:val="12"/>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70～92</w:t>
            </w:r>
          </w:p>
        </w:tc>
        <w:tc>
          <w:tcPr>
            <w:tcW w:w="1464" w:type="dxa"/>
            <w:noWrap w:val="0"/>
            <w:vAlign w:val="top"/>
          </w:tcPr>
          <w:p w14:paraId="540A0784">
            <w:pPr>
              <w:pStyle w:val="12"/>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41～70</w:t>
            </w:r>
          </w:p>
        </w:tc>
        <w:tc>
          <w:tcPr>
            <w:tcW w:w="1464" w:type="dxa"/>
            <w:noWrap w:val="0"/>
            <w:vAlign w:val="top"/>
          </w:tcPr>
          <w:p w14:paraId="21A9282B">
            <w:pPr>
              <w:pStyle w:val="12"/>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10～50</w:t>
            </w:r>
          </w:p>
        </w:tc>
        <w:tc>
          <w:tcPr>
            <w:tcW w:w="1465" w:type="dxa"/>
            <w:noWrap w:val="0"/>
            <w:vAlign w:val="top"/>
          </w:tcPr>
          <w:p w14:paraId="0D57FA56">
            <w:pPr>
              <w:pStyle w:val="12"/>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0～25</w:t>
            </w:r>
          </w:p>
        </w:tc>
        <w:tc>
          <w:tcPr>
            <w:tcW w:w="1470" w:type="dxa"/>
            <w:noWrap w:val="0"/>
            <w:vAlign w:val="top"/>
          </w:tcPr>
          <w:p w14:paraId="672409A1">
            <w:pPr>
              <w:pStyle w:val="12"/>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0～10</w:t>
            </w:r>
          </w:p>
        </w:tc>
      </w:tr>
      <w:tr w14:paraId="639AC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2" w:type="dxa"/>
            <w:noWrap w:val="0"/>
            <w:vAlign w:val="top"/>
          </w:tcPr>
          <w:p w14:paraId="2BDC2D2B">
            <w:pPr>
              <w:pStyle w:val="12"/>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细砂</w:t>
            </w:r>
          </w:p>
        </w:tc>
        <w:tc>
          <w:tcPr>
            <w:tcW w:w="1464" w:type="dxa"/>
            <w:noWrap w:val="0"/>
            <w:vAlign w:val="top"/>
          </w:tcPr>
          <w:p w14:paraId="146676A8">
            <w:pPr>
              <w:pStyle w:val="12"/>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90～100</w:t>
            </w:r>
          </w:p>
        </w:tc>
        <w:tc>
          <w:tcPr>
            <w:tcW w:w="1466" w:type="dxa"/>
            <w:noWrap w:val="0"/>
            <w:vAlign w:val="top"/>
          </w:tcPr>
          <w:p w14:paraId="75ED86D6">
            <w:pPr>
              <w:pStyle w:val="12"/>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55～85</w:t>
            </w:r>
          </w:p>
        </w:tc>
        <w:tc>
          <w:tcPr>
            <w:tcW w:w="1464" w:type="dxa"/>
            <w:noWrap w:val="0"/>
            <w:vAlign w:val="top"/>
          </w:tcPr>
          <w:p w14:paraId="46F669EB">
            <w:pPr>
              <w:pStyle w:val="12"/>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16～40</w:t>
            </w:r>
          </w:p>
        </w:tc>
        <w:tc>
          <w:tcPr>
            <w:tcW w:w="1464" w:type="dxa"/>
            <w:noWrap w:val="0"/>
            <w:vAlign w:val="top"/>
          </w:tcPr>
          <w:p w14:paraId="3C5027C0">
            <w:pPr>
              <w:pStyle w:val="12"/>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0～25</w:t>
            </w:r>
          </w:p>
        </w:tc>
        <w:tc>
          <w:tcPr>
            <w:tcW w:w="1465" w:type="dxa"/>
            <w:noWrap w:val="0"/>
            <w:vAlign w:val="top"/>
          </w:tcPr>
          <w:p w14:paraId="7E9E062C">
            <w:pPr>
              <w:pStyle w:val="12"/>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0～15</w:t>
            </w:r>
          </w:p>
        </w:tc>
        <w:tc>
          <w:tcPr>
            <w:tcW w:w="1470" w:type="dxa"/>
            <w:noWrap w:val="0"/>
            <w:vAlign w:val="top"/>
          </w:tcPr>
          <w:p w14:paraId="76512ADD">
            <w:pPr>
              <w:pStyle w:val="12"/>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ascii="宋体" w:hAnsi="宋体" w:eastAsia="宋体" w:cs="Times New Roman"/>
                <w:sz w:val="21"/>
                <w:szCs w:val="21"/>
              </w:rPr>
            </w:pPr>
            <w:r>
              <w:rPr>
                <w:rFonts w:hint="eastAsia" w:ascii="宋体" w:hAnsi="宋体" w:eastAsia="宋体" w:cs="Times New Roman"/>
                <w:sz w:val="21"/>
                <w:szCs w:val="21"/>
              </w:rPr>
              <w:t>0～10</w:t>
            </w:r>
          </w:p>
        </w:tc>
      </w:tr>
    </w:tbl>
    <w:p w14:paraId="5DD64E11">
      <w:pPr>
        <w:spacing w:line="360" w:lineRule="auto"/>
        <w:ind w:firstLine="480" w:firstLineChars="200"/>
        <w:jc w:val="left"/>
        <w:rPr>
          <w:rFonts w:hint="eastAsia"/>
          <w:sz w:val="24"/>
          <w:szCs w:val="24"/>
          <w:lang w:val="en-US" w:eastAsia="zh-CN"/>
        </w:rPr>
      </w:pPr>
      <w:r>
        <w:rPr>
          <w:rFonts w:hint="eastAsia"/>
          <w:sz w:val="24"/>
          <w:szCs w:val="24"/>
          <w:lang w:val="en-US" w:eastAsia="zh-CN"/>
        </w:rPr>
        <w:t>5）水：用于水泥混凝土的水不应含有影响砼质量的物质；</w:t>
      </w:r>
    </w:p>
    <w:p w14:paraId="0BADF131">
      <w:pPr>
        <w:spacing w:line="360" w:lineRule="auto"/>
        <w:ind w:firstLine="480" w:firstLineChars="200"/>
        <w:jc w:val="left"/>
        <w:rPr>
          <w:rFonts w:hint="eastAsia"/>
          <w:sz w:val="24"/>
          <w:szCs w:val="24"/>
          <w:lang w:val="en-US" w:eastAsia="zh-CN"/>
        </w:rPr>
      </w:pPr>
      <w:r>
        <w:rPr>
          <w:rFonts w:hint="eastAsia"/>
          <w:sz w:val="24"/>
          <w:szCs w:val="24"/>
          <w:lang w:val="en-US" w:eastAsia="zh-CN"/>
        </w:rPr>
        <w:t>6）路面设计抗弯拉强度不低于4.0MPa；</w:t>
      </w:r>
    </w:p>
    <w:p w14:paraId="0C130078">
      <w:pPr>
        <w:spacing w:line="360" w:lineRule="auto"/>
        <w:ind w:firstLine="480" w:firstLineChars="200"/>
        <w:jc w:val="left"/>
        <w:rPr>
          <w:rFonts w:hint="eastAsia"/>
          <w:sz w:val="24"/>
          <w:szCs w:val="24"/>
          <w:lang w:val="en-US" w:eastAsia="zh-CN"/>
        </w:rPr>
      </w:pPr>
      <w:r>
        <w:rPr>
          <w:rFonts w:hint="eastAsia"/>
          <w:sz w:val="24"/>
          <w:szCs w:val="24"/>
          <w:lang w:val="en-US" w:eastAsia="zh-CN"/>
        </w:rPr>
        <w:t>7）最大水灰比为0.48；</w:t>
      </w:r>
    </w:p>
    <w:p w14:paraId="0C422085">
      <w:pPr>
        <w:spacing w:line="360" w:lineRule="auto"/>
        <w:ind w:firstLine="480" w:firstLineChars="200"/>
        <w:jc w:val="left"/>
        <w:rPr>
          <w:rFonts w:hint="eastAsia"/>
          <w:sz w:val="24"/>
          <w:szCs w:val="24"/>
          <w:lang w:val="en-US" w:eastAsia="zh-CN"/>
        </w:rPr>
      </w:pPr>
      <w:r>
        <w:rPr>
          <w:rFonts w:hint="eastAsia"/>
          <w:sz w:val="24"/>
          <w:szCs w:val="24"/>
          <w:lang w:val="en-US" w:eastAsia="zh-CN"/>
        </w:rPr>
        <w:t>8）胀缝接缝板要求：</w:t>
      </w:r>
    </w:p>
    <w:p w14:paraId="2398069A">
      <w:pPr>
        <w:spacing w:line="360" w:lineRule="auto"/>
        <w:ind w:firstLine="480" w:firstLineChars="200"/>
        <w:jc w:val="left"/>
        <w:rPr>
          <w:rFonts w:hint="eastAsia"/>
          <w:sz w:val="24"/>
          <w:szCs w:val="24"/>
          <w:lang w:val="en-US" w:eastAsia="zh-CN"/>
        </w:rPr>
      </w:pPr>
      <w:r>
        <w:rPr>
          <w:rFonts w:hint="eastAsia"/>
          <w:sz w:val="24"/>
          <w:szCs w:val="24"/>
          <w:lang w:val="en-US" w:eastAsia="zh-CN"/>
        </w:rPr>
        <w:t xml:space="preserve">①填缝料：应具有与混凝土板壁黏结牢固、回弹性好、不溶于水、不渗水，高温时不挤出、不流淌、低温不脆裂、耐久性好的聚胺酯类填缝料。 </w:t>
      </w:r>
    </w:p>
    <w:tbl>
      <w:tblPr>
        <w:tblStyle w:val="6"/>
        <w:tblW w:w="102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5"/>
        <w:gridCol w:w="2555"/>
        <w:gridCol w:w="2555"/>
        <w:gridCol w:w="2555"/>
      </w:tblGrid>
      <w:tr w14:paraId="188C8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55" w:type="dxa"/>
            <w:vMerge w:val="restart"/>
            <w:noWrap w:val="0"/>
            <w:vAlign w:val="top"/>
          </w:tcPr>
          <w:p w14:paraId="4E0032E5">
            <w:pPr>
              <w:pStyle w:val="12"/>
              <w:overflowPunct/>
              <w:spacing w:line="360" w:lineRule="auto"/>
              <w:ind w:firstLine="0" w:firstLineChars="0"/>
              <w:rPr>
                <w:rFonts w:ascii="宋体" w:hAnsi="宋体" w:eastAsia="宋体" w:cs="Times New Roman"/>
                <w:sz w:val="21"/>
                <w:szCs w:val="21"/>
              </w:rPr>
            </w:pPr>
          </w:p>
          <w:p w14:paraId="43FDFBCF">
            <w:pPr>
              <w:pStyle w:val="12"/>
              <w:overflowPunct/>
              <w:spacing w:line="360" w:lineRule="auto"/>
              <w:ind w:firstLine="0" w:firstLineChars="0"/>
              <w:rPr>
                <w:rFonts w:ascii="宋体" w:hAnsi="宋体" w:eastAsia="宋体" w:cs="Times New Roman"/>
                <w:sz w:val="21"/>
                <w:szCs w:val="21"/>
              </w:rPr>
            </w:pPr>
            <w:r>
              <w:rPr>
                <w:rFonts w:hint="eastAsia" w:ascii="宋体" w:hAnsi="宋体" w:eastAsia="宋体" w:cs="Times New Roman"/>
                <w:sz w:val="21"/>
                <w:szCs w:val="21"/>
              </w:rPr>
              <w:t>试验项目</w:t>
            </w:r>
          </w:p>
        </w:tc>
        <w:tc>
          <w:tcPr>
            <w:tcW w:w="7665" w:type="dxa"/>
            <w:gridSpan w:val="3"/>
            <w:noWrap w:val="0"/>
            <w:vAlign w:val="top"/>
          </w:tcPr>
          <w:p w14:paraId="4712D200">
            <w:pPr>
              <w:pStyle w:val="12"/>
              <w:overflowPunct/>
              <w:spacing w:line="360" w:lineRule="auto"/>
              <w:ind w:firstLine="0" w:firstLineChars="0"/>
              <w:rPr>
                <w:rFonts w:ascii="宋体" w:hAnsi="宋体" w:eastAsia="宋体" w:cs="Times New Roman"/>
                <w:sz w:val="21"/>
                <w:szCs w:val="21"/>
              </w:rPr>
            </w:pPr>
            <w:r>
              <w:rPr>
                <w:rFonts w:hint="eastAsia" w:ascii="宋体" w:hAnsi="宋体" w:eastAsia="宋体" w:cs="Times New Roman"/>
                <w:sz w:val="21"/>
                <w:szCs w:val="21"/>
              </w:rPr>
              <w:t>胀缝板种类</w:t>
            </w:r>
          </w:p>
        </w:tc>
      </w:tr>
      <w:tr w14:paraId="7AADB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55" w:type="dxa"/>
            <w:vMerge w:val="continue"/>
            <w:noWrap w:val="0"/>
            <w:vAlign w:val="center"/>
          </w:tcPr>
          <w:p w14:paraId="5C7857FA">
            <w:pPr>
              <w:widowControl/>
              <w:overflowPunct w:val="0"/>
              <w:spacing w:line="560" w:lineRule="exact"/>
              <w:ind w:firstLine="420" w:firstLineChars="200"/>
              <w:jc w:val="left"/>
              <w:rPr>
                <w:rFonts w:ascii="宋体" w:hAnsi="宋体" w:eastAsia="宋体" w:cs="Times New Roman"/>
                <w:color w:val="000000"/>
                <w:kern w:val="0"/>
                <w:sz w:val="21"/>
                <w:szCs w:val="21"/>
              </w:rPr>
            </w:pPr>
          </w:p>
        </w:tc>
        <w:tc>
          <w:tcPr>
            <w:tcW w:w="2555" w:type="dxa"/>
            <w:noWrap w:val="0"/>
            <w:vAlign w:val="top"/>
          </w:tcPr>
          <w:p w14:paraId="3F37B54A">
            <w:pPr>
              <w:pStyle w:val="12"/>
              <w:overflowPunct/>
              <w:spacing w:line="360" w:lineRule="auto"/>
              <w:ind w:firstLine="0" w:firstLineChars="0"/>
              <w:rPr>
                <w:rFonts w:ascii="宋体" w:hAnsi="宋体" w:eastAsia="宋体" w:cs="Times New Roman"/>
                <w:sz w:val="21"/>
                <w:szCs w:val="21"/>
              </w:rPr>
            </w:pPr>
            <w:r>
              <w:rPr>
                <w:rFonts w:hint="eastAsia" w:ascii="宋体" w:hAnsi="宋体" w:eastAsia="宋体" w:cs="Times New Roman"/>
                <w:sz w:val="21"/>
                <w:szCs w:val="21"/>
              </w:rPr>
              <w:t>木材类</w:t>
            </w:r>
          </w:p>
        </w:tc>
        <w:tc>
          <w:tcPr>
            <w:tcW w:w="2555" w:type="dxa"/>
            <w:noWrap w:val="0"/>
            <w:vAlign w:val="top"/>
          </w:tcPr>
          <w:p w14:paraId="7934B6C9">
            <w:pPr>
              <w:pStyle w:val="12"/>
              <w:overflowPunct/>
              <w:spacing w:line="360" w:lineRule="auto"/>
              <w:ind w:firstLine="0" w:firstLineChars="0"/>
              <w:rPr>
                <w:rFonts w:ascii="宋体" w:hAnsi="宋体" w:eastAsia="宋体" w:cs="Times New Roman"/>
                <w:sz w:val="21"/>
                <w:szCs w:val="21"/>
              </w:rPr>
            </w:pPr>
            <w:r>
              <w:rPr>
                <w:rFonts w:hint="eastAsia" w:ascii="宋体" w:hAnsi="宋体" w:eastAsia="宋体" w:cs="Times New Roman"/>
                <w:sz w:val="21"/>
                <w:szCs w:val="21"/>
              </w:rPr>
              <w:t>塑料(橡胶)泡沫类</w:t>
            </w:r>
          </w:p>
        </w:tc>
        <w:tc>
          <w:tcPr>
            <w:tcW w:w="2555" w:type="dxa"/>
            <w:noWrap w:val="0"/>
            <w:vAlign w:val="top"/>
          </w:tcPr>
          <w:p w14:paraId="2AB43D8A">
            <w:pPr>
              <w:pStyle w:val="12"/>
              <w:overflowPunct/>
              <w:spacing w:line="360" w:lineRule="auto"/>
              <w:ind w:firstLine="0" w:firstLineChars="0"/>
              <w:rPr>
                <w:rFonts w:ascii="宋体" w:hAnsi="宋体" w:eastAsia="宋体" w:cs="Times New Roman"/>
                <w:sz w:val="21"/>
                <w:szCs w:val="21"/>
              </w:rPr>
            </w:pPr>
            <w:r>
              <w:rPr>
                <w:rFonts w:hint="eastAsia" w:ascii="宋体" w:hAnsi="宋体" w:eastAsia="宋体" w:cs="Times New Roman"/>
                <w:sz w:val="21"/>
                <w:szCs w:val="21"/>
              </w:rPr>
              <w:t>纤维类</w:t>
            </w:r>
          </w:p>
        </w:tc>
      </w:tr>
      <w:tr w14:paraId="390B3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55" w:type="dxa"/>
            <w:noWrap w:val="0"/>
            <w:vAlign w:val="top"/>
          </w:tcPr>
          <w:p w14:paraId="5DA882B7">
            <w:pPr>
              <w:pStyle w:val="12"/>
              <w:overflowPunct/>
              <w:spacing w:line="360" w:lineRule="auto"/>
              <w:ind w:firstLine="0" w:firstLineChars="0"/>
              <w:rPr>
                <w:rFonts w:ascii="宋体" w:hAnsi="宋体" w:eastAsia="宋体" w:cs="Times New Roman"/>
                <w:sz w:val="21"/>
                <w:szCs w:val="21"/>
              </w:rPr>
            </w:pPr>
            <w:r>
              <w:rPr>
                <w:rFonts w:hint="eastAsia" w:ascii="宋体" w:hAnsi="宋体" w:eastAsia="宋体" w:cs="Times New Roman"/>
                <w:sz w:val="21"/>
                <w:szCs w:val="21"/>
              </w:rPr>
              <w:t>压缩应力(MPa)</w:t>
            </w:r>
          </w:p>
        </w:tc>
        <w:tc>
          <w:tcPr>
            <w:tcW w:w="2555" w:type="dxa"/>
            <w:noWrap w:val="0"/>
            <w:vAlign w:val="top"/>
          </w:tcPr>
          <w:p w14:paraId="61AC8D0C">
            <w:pPr>
              <w:pStyle w:val="12"/>
              <w:overflowPunct/>
              <w:spacing w:line="360" w:lineRule="auto"/>
              <w:ind w:firstLine="0" w:firstLineChars="0"/>
              <w:rPr>
                <w:rFonts w:ascii="宋体" w:hAnsi="宋体" w:eastAsia="宋体" w:cs="Times New Roman"/>
                <w:sz w:val="21"/>
                <w:szCs w:val="21"/>
              </w:rPr>
            </w:pPr>
            <w:r>
              <w:rPr>
                <w:rFonts w:hint="eastAsia" w:ascii="宋体" w:hAnsi="宋体" w:eastAsia="宋体" w:cs="Times New Roman"/>
                <w:sz w:val="21"/>
                <w:szCs w:val="21"/>
              </w:rPr>
              <w:t>5.0-20.0</w:t>
            </w:r>
          </w:p>
        </w:tc>
        <w:tc>
          <w:tcPr>
            <w:tcW w:w="2555" w:type="dxa"/>
            <w:noWrap w:val="0"/>
            <w:vAlign w:val="top"/>
          </w:tcPr>
          <w:p w14:paraId="45E30320">
            <w:pPr>
              <w:pStyle w:val="12"/>
              <w:overflowPunct/>
              <w:spacing w:line="360" w:lineRule="auto"/>
              <w:ind w:firstLine="0" w:firstLineChars="0"/>
              <w:rPr>
                <w:rFonts w:ascii="宋体" w:hAnsi="宋体" w:eastAsia="宋体" w:cs="Times New Roman"/>
                <w:sz w:val="21"/>
                <w:szCs w:val="21"/>
              </w:rPr>
            </w:pPr>
            <w:r>
              <w:rPr>
                <w:rFonts w:hint="eastAsia" w:ascii="宋体" w:hAnsi="宋体" w:eastAsia="宋体" w:cs="Times New Roman"/>
                <w:sz w:val="21"/>
                <w:szCs w:val="21"/>
              </w:rPr>
              <w:t>0.2-0.6</w:t>
            </w:r>
          </w:p>
        </w:tc>
        <w:tc>
          <w:tcPr>
            <w:tcW w:w="2555" w:type="dxa"/>
            <w:noWrap w:val="0"/>
            <w:vAlign w:val="top"/>
          </w:tcPr>
          <w:p w14:paraId="497695F9">
            <w:pPr>
              <w:pStyle w:val="12"/>
              <w:overflowPunct/>
              <w:spacing w:line="360" w:lineRule="auto"/>
              <w:ind w:firstLine="0" w:firstLineChars="0"/>
              <w:rPr>
                <w:rFonts w:ascii="宋体" w:hAnsi="宋体" w:eastAsia="宋体" w:cs="Times New Roman"/>
                <w:sz w:val="21"/>
                <w:szCs w:val="21"/>
              </w:rPr>
            </w:pPr>
            <w:r>
              <w:rPr>
                <w:rFonts w:hint="eastAsia" w:ascii="宋体" w:hAnsi="宋体" w:eastAsia="宋体" w:cs="Times New Roman"/>
                <w:sz w:val="21"/>
                <w:szCs w:val="21"/>
              </w:rPr>
              <w:t>2.0-10.0</w:t>
            </w:r>
          </w:p>
        </w:tc>
      </w:tr>
      <w:tr w14:paraId="7F576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55" w:type="dxa"/>
            <w:noWrap w:val="0"/>
            <w:vAlign w:val="top"/>
          </w:tcPr>
          <w:p w14:paraId="072B523C">
            <w:pPr>
              <w:pStyle w:val="12"/>
              <w:overflowPunct/>
              <w:spacing w:line="360" w:lineRule="auto"/>
              <w:ind w:firstLine="0" w:firstLineChars="0"/>
              <w:rPr>
                <w:rFonts w:ascii="宋体" w:hAnsi="宋体" w:eastAsia="宋体" w:cs="Times New Roman"/>
                <w:sz w:val="21"/>
                <w:szCs w:val="21"/>
              </w:rPr>
            </w:pPr>
            <w:r>
              <w:rPr>
                <w:rFonts w:hint="eastAsia" w:ascii="宋体" w:hAnsi="宋体" w:eastAsia="宋体" w:cs="Times New Roman"/>
                <w:sz w:val="21"/>
                <w:szCs w:val="21"/>
              </w:rPr>
              <w:t>弹性复原力(%)</w:t>
            </w:r>
          </w:p>
        </w:tc>
        <w:tc>
          <w:tcPr>
            <w:tcW w:w="2555" w:type="dxa"/>
            <w:noWrap w:val="0"/>
            <w:vAlign w:val="top"/>
          </w:tcPr>
          <w:p w14:paraId="53EB9E79">
            <w:pPr>
              <w:pStyle w:val="12"/>
              <w:overflowPunct/>
              <w:spacing w:line="360" w:lineRule="auto"/>
              <w:ind w:firstLine="0" w:firstLineChars="0"/>
              <w:rPr>
                <w:rFonts w:ascii="宋体" w:hAnsi="宋体" w:eastAsia="宋体" w:cs="Times New Roman"/>
                <w:sz w:val="21"/>
                <w:szCs w:val="21"/>
              </w:rPr>
            </w:pPr>
            <w:r>
              <w:rPr>
                <w:rFonts w:hint="eastAsia" w:ascii="宋体" w:hAnsi="宋体" w:eastAsia="宋体" w:cs="Times New Roman"/>
                <w:sz w:val="21"/>
                <w:szCs w:val="21"/>
              </w:rPr>
              <w:t>&gt;55</w:t>
            </w:r>
          </w:p>
        </w:tc>
        <w:tc>
          <w:tcPr>
            <w:tcW w:w="2555" w:type="dxa"/>
            <w:noWrap w:val="0"/>
            <w:vAlign w:val="top"/>
          </w:tcPr>
          <w:p w14:paraId="2678EEE0">
            <w:pPr>
              <w:pStyle w:val="12"/>
              <w:overflowPunct/>
              <w:spacing w:line="360" w:lineRule="auto"/>
              <w:ind w:firstLine="0" w:firstLineChars="0"/>
              <w:rPr>
                <w:rFonts w:ascii="宋体" w:hAnsi="宋体" w:eastAsia="宋体" w:cs="Times New Roman"/>
                <w:sz w:val="21"/>
                <w:szCs w:val="21"/>
              </w:rPr>
            </w:pPr>
            <w:r>
              <w:rPr>
                <w:rFonts w:hint="eastAsia" w:ascii="宋体" w:hAnsi="宋体" w:eastAsia="宋体" w:cs="Times New Roman"/>
                <w:sz w:val="21"/>
                <w:szCs w:val="21"/>
              </w:rPr>
              <w:t>&gt;90</w:t>
            </w:r>
          </w:p>
        </w:tc>
        <w:tc>
          <w:tcPr>
            <w:tcW w:w="2555" w:type="dxa"/>
            <w:noWrap w:val="0"/>
            <w:vAlign w:val="top"/>
          </w:tcPr>
          <w:p w14:paraId="3D3B10C5">
            <w:pPr>
              <w:pStyle w:val="12"/>
              <w:overflowPunct/>
              <w:spacing w:line="360" w:lineRule="auto"/>
              <w:ind w:firstLine="0" w:firstLineChars="0"/>
              <w:rPr>
                <w:rFonts w:ascii="宋体" w:hAnsi="宋体" w:eastAsia="宋体" w:cs="Times New Roman"/>
                <w:sz w:val="21"/>
                <w:szCs w:val="21"/>
              </w:rPr>
            </w:pPr>
            <w:r>
              <w:rPr>
                <w:rFonts w:hint="eastAsia" w:ascii="宋体" w:hAnsi="宋体" w:eastAsia="宋体" w:cs="Times New Roman"/>
                <w:sz w:val="21"/>
                <w:szCs w:val="21"/>
              </w:rPr>
              <w:t>&gt;65</w:t>
            </w:r>
          </w:p>
        </w:tc>
      </w:tr>
      <w:tr w14:paraId="1520B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55" w:type="dxa"/>
            <w:noWrap w:val="0"/>
            <w:vAlign w:val="top"/>
          </w:tcPr>
          <w:p w14:paraId="4866F286">
            <w:pPr>
              <w:pStyle w:val="12"/>
              <w:overflowPunct/>
              <w:spacing w:line="360" w:lineRule="auto"/>
              <w:ind w:firstLine="0" w:firstLineChars="0"/>
              <w:rPr>
                <w:rFonts w:ascii="宋体" w:hAnsi="宋体" w:eastAsia="宋体" w:cs="Times New Roman"/>
                <w:sz w:val="21"/>
                <w:szCs w:val="21"/>
              </w:rPr>
            </w:pPr>
            <w:r>
              <w:rPr>
                <w:rFonts w:hint="eastAsia" w:ascii="宋体" w:hAnsi="宋体" w:eastAsia="宋体" w:cs="Times New Roman"/>
                <w:sz w:val="21"/>
                <w:szCs w:val="21"/>
              </w:rPr>
              <w:t>挤出量(mm)</w:t>
            </w:r>
          </w:p>
        </w:tc>
        <w:tc>
          <w:tcPr>
            <w:tcW w:w="2555" w:type="dxa"/>
            <w:noWrap w:val="0"/>
            <w:vAlign w:val="top"/>
          </w:tcPr>
          <w:p w14:paraId="03F62CC6">
            <w:pPr>
              <w:pStyle w:val="12"/>
              <w:overflowPunct/>
              <w:spacing w:line="360" w:lineRule="auto"/>
              <w:ind w:firstLine="0" w:firstLineChars="0"/>
              <w:rPr>
                <w:rFonts w:ascii="宋体" w:hAnsi="宋体" w:eastAsia="宋体" w:cs="Times New Roman"/>
                <w:sz w:val="21"/>
                <w:szCs w:val="21"/>
              </w:rPr>
            </w:pPr>
            <w:r>
              <w:rPr>
                <w:rFonts w:hint="eastAsia" w:ascii="宋体" w:hAnsi="宋体" w:eastAsia="宋体" w:cs="Times New Roman"/>
                <w:sz w:val="21"/>
                <w:szCs w:val="21"/>
              </w:rPr>
              <w:t>&lt;5.5</w:t>
            </w:r>
          </w:p>
        </w:tc>
        <w:tc>
          <w:tcPr>
            <w:tcW w:w="2555" w:type="dxa"/>
            <w:noWrap w:val="0"/>
            <w:vAlign w:val="top"/>
          </w:tcPr>
          <w:p w14:paraId="6C862CD3">
            <w:pPr>
              <w:pStyle w:val="12"/>
              <w:overflowPunct/>
              <w:spacing w:line="360" w:lineRule="auto"/>
              <w:ind w:firstLine="0" w:firstLineChars="0"/>
              <w:rPr>
                <w:rFonts w:ascii="宋体" w:hAnsi="宋体" w:eastAsia="宋体" w:cs="Times New Roman"/>
                <w:sz w:val="21"/>
                <w:szCs w:val="21"/>
              </w:rPr>
            </w:pPr>
            <w:r>
              <w:rPr>
                <w:rFonts w:hint="eastAsia" w:ascii="宋体" w:hAnsi="宋体" w:eastAsia="宋体" w:cs="Times New Roman"/>
                <w:sz w:val="21"/>
                <w:szCs w:val="21"/>
              </w:rPr>
              <w:t>&lt;5.0</w:t>
            </w:r>
          </w:p>
        </w:tc>
        <w:tc>
          <w:tcPr>
            <w:tcW w:w="2555" w:type="dxa"/>
            <w:noWrap w:val="0"/>
            <w:vAlign w:val="top"/>
          </w:tcPr>
          <w:p w14:paraId="3F06F719">
            <w:pPr>
              <w:pStyle w:val="12"/>
              <w:overflowPunct/>
              <w:spacing w:line="360" w:lineRule="auto"/>
              <w:ind w:firstLine="0" w:firstLineChars="0"/>
              <w:rPr>
                <w:rFonts w:ascii="宋体" w:hAnsi="宋体" w:eastAsia="宋体" w:cs="Times New Roman"/>
                <w:sz w:val="21"/>
                <w:szCs w:val="21"/>
              </w:rPr>
            </w:pPr>
            <w:r>
              <w:rPr>
                <w:rFonts w:hint="eastAsia" w:ascii="宋体" w:hAnsi="宋体" w:eastAsia="宋体" w:cs="Times New Roman"/>
                <w:sz w:val="21"/>
                <w:szCs w:val="21"/>
              </w:rPr>
              <w:t>&lt;4.0</w:t>
            </w:r>
          </w:p>
        </w:tc>
      </w:tr>
    </w:tbl>
    <w:p w14:paraId="1C288AA4">
      <w:pPr>
        <w:pStyle w:val="12"/>
        <w:overflowPunct/>
        <w:spacing w:line="360" w:lineRule="auto"/>
        <w:ind w:firstLine="1680" w:firstLineChars="600"/>
        <w:rPr>
          <w:rFonts w:hint="eastAsia" w:ascii="宋体" w:hAnsi="宋体" w:eastAsia="宋体" w:cs="Times New Roman"/>
          <w:sz w:val="28"/>
          <w:szCs w:val="28"/>
        </w:rPr>
      </w:pPr>
      <w:r>
        <w:rPr>
          <w:rFonts w:hint="eastAsia" w:ascii="宋体" w:hAnsi="宋体" w:eastAsia="宋体" w:cs="Times New Roman"/>
          <w:sz w:val="28"/>
          <w:szCs w:val="28"/>
        </w:rPr>
        <w:t xml:space="preserve">         </w:t>
      </w:r>
      <w:r>
        <w:rPr>
          <w:rFonts w:hint="eastAsia" w:ascii="宋体" w:hAnsi="宋体" w:eastAsia="宋体" w:cs="Times New Roman"/>
          <w:sz w:val="24"/>
          <w:szCs w:val="24"/>
        </w:rPr>
        <w:t xml:space="preserve">  聚胺酯类填缝料技术要求      </w:t>
      </w:r>
      <w:r>
        <w:rPr>
          <w:rFonts w:hint="eastAsia" w:ascii="宋体" w:hAnsi="宋体" w:eastAsia="宋体" w:cs="Times New Roman"/>
          <w:sz w:val="28"/>
          <w:szCs w:val="28"/>
        </w:rPr>
        <w:t xml:space="preserve">               </w:t>
      </w:r>
      <w:r>
        <w:rPr>
          <w:rFonts w:hint="eastAsia" w:ascii="宋体" w:hAnsi="宋体" w:eastAsia="宋体" w:cs="Times New Roman"/>
        </w:rPr>
        <w:t xml:space="preserve">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11"/>
        <w:gridCol w:w="5112"/>
      </w:tblGrid>
      <w:tr w14:paraId="66AAB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111" w:type="dxa"/>
            <w:noWrap w:val="0"/>
            <w:vAlign w:val="top"/>
          </w:tcPr>
          <w:p w14:paraId="2A9C3A42">
            <w:pPr>
              <w:pStyle w:val="12"/>
              <w:overflowPunct/>
              <w:spacing w:line="360" w:lineRule="auto"/>
              <w:ind w:firstLine="0" w:firstLineChars="0"/>
              <w:rPr>
                <w:rFonts w:ascii="宋体" w:hAnsi="宋体" w:eastAsia="宋体" w:cs="Times New Roman"/>
                <w:sz w:val="21"/>
                <w:szCs w:val="21"/>
              </w:rPr>
            </w:pPr>
            <w:r>
              <w:rPr>
                <w:rFonts w:hint="eastAsia" w:ascii="宋体" w:hAnsi="宋体" w:eastAsia="宋体" w:cs="Times New Roman"/>
                <w:sz w:val="21"/>
                <w:szCs w:val="21"/>
              </w:rPr>
              <w:t>试 验 项 目</w:t>
            </w:r>
          </w:p>
        </w:tc>
        <w:tc>
          <w:tcPr>
            <w:tcW w:w="5112" w:type="dxa"/>
            <w:noWrap w:val="0"/>
            <w:vAlign w:val="top"/>
          </w:tcPr>
          <w:p w14:paraId="1CD4E8CF">
            <w:pPr>
              <w:pStyle w:val="12"/>
              <w:overflowPunct/>
              <w:spacing w:line="360" w:lineRule="auto"/>
              <w:ind w:firstLine="0" w:firstLineChars="0"/>
              <w:rPr>
                <w:rFonts w:ascii="宋体" w:hAnsi="宋体" w:eastAsia="宋体" w:cs="Times New Roman"/>
                <w:sz w:val="21"/>
                <w:szCs w:val="21"/>
              </w:rPr>
            </w:pPr>
            <w:r>
              <w:rPr>
                <w:rFonts w:hint="eastAsia" w:ascii="宋体" w:hAnsi="宋体" w:eastAsia="宋体" w:cs="Times New Roman"/>
                <w:sz w:val="21"/>
                <w:szCs w:val="21"/>
              </w:rPr>
              <w:t>技术要求</w:t>
            </w:r>
          </w:p>
        </w:tc>
      </w:tr>
      <w:tr w14:paraId="2BD9D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111" w:type="dxa"/>
            <w:noWrap w:val="0"/>
            <w:vAlign w:val="top"/>
          </w:tcPr>
          <w:p w14:paraId="5CF33C9F">
            <w:pPr>
              <w:pStyle w:val="12"/>
              <w:overflowPunct/>
              <w:spacing w:line="360" w:lineRule="auto"/>
              <w:ind w:firstLine="0" w:firstLineChars="0"/>
              <w:rPr>
                <w:rFonts w:ascii="宋体" w:hAnsi="宋体" w:eastAsia="宋体" w:cs="Times New Roman"/>
                <w:sz w:val="21"/>
                <w:szCs w:val="21"/>
              </w:rPr>
            </w:pPr>
            <w:r>
              <w:rPr>
                <w:rFonts w:hint="eastAsia" w:ascii="宋体" w:hAnsi="宋体" w:eastAsia="宋体" w:cs="Times New Roman"/>
                <w:sz w:val="21"/>
                <w:szCs w:val="21"/>
              </w:rPr>
              <w:t>失粘(固化)时间(h)</w:t>
            </w:r>
          </w:p>
        </w:tc>
        <w:tc>
          <w:tcPr>
            <w:tcW w:w="5112" w:type="dxa"/>
            <w:noWrap w:val="0"/>
            <w:vAlign w:val="top"/>
          </w:tcPr>
          <w:p w14:paraId="538BFEB6">
            <w:pPr>
              <w:pStyle w:val="12"/>
              <w:overflowPunct/>
              <w:spacing w:line="360" w:lineRule="auto"/>
              <w:ind w:firstLine="0" w:firstLineChars="0"/>
              <w:rPr>
                <w:rFonts w:ascii="宋体" w:hAnsi="宋体" w:eastAsia="宋体" w:cs="Times New Roman"/>
                <w:sz w:val="21"/>
                <w:szCs w:val="21"/>
              </w:rPr>
            </w:pPr>
            <w:r>
              <w:rPr>
                <w:rFonts w:hint="eastAsia" w:ascii="宋体" w:hAnsi="宋体" w:eastAsia="宋体" w:cs="Times New Roman"/>
                <w:sz w:val="21"/>
                <w:szCs w:val="21"/>
              </w:rPr>
              <w:t>3～16</w:t>
            </w:r>
          </w:p>
        </w:tc>
      </w:tr>
      <w:tr w14:paraId="37442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111" w:type="dxa"/>
            <w:noWrap w:val="0"/>
            <w:vAlign w:val="top"/>
          </w:tcPr>
          <w:p w14:paraId="2467D385">
            <w:pPr>
              <w:pStyle w:val="12"/>
              <w:overflowPunct/>
              <w:spacing w:line="360" w:lineRule="auto"/>
              <w:ind w:firstLine="0" w:firstLineChars="0"/>
              <w:rPr>
                <w:rFonts w:ascii="宋体" w:hAnsi="宋体" w:eastAsia="宋体" w:cs="Times New Roman"/>
                <w:sz w:val="21"/>
                <w:szCs w:val="21"/>
              </w:rPr>
            </w:pPr>
            <w:r>
              <w:rPr>
                <w:rFonts w:hint="eastAsia" w:ascii="宋体" w:hAnsi="宋体" w:eastAsia="宋体" w:cs="Times New Roman"/>
                <w:sz w:val="21"/>
                <w:szCs w:val="21"/>
              </w:rPr>
              <w:t>弹性复原率(%)</w:t>
            </w:r>
          </w:p>
        </w:tc>
        <w:tc>
          <w:tcPr>
            <w:tcW w:w="5112" w:type="dxa"/>
            <w:noWrap w:val="0"/>
            <w:vAlign w:val="top"/>
          </w:tcPr>
          <w:p w14:paraId="271797B6">
            <w:pPr>
              <w:pStyle w:val="12"/>
              <w:overflowPunct/>
              <w:spacing w:line="360" w:lineRule="auto"/>
              <w:ind w:firstLine="0" w:firstLineChars="0"/>
              <w:rPr>
                <w:rFonts w:ascii="宋体" w:hAnsi="宋体" w:eastAsia="宋体" w:cs="Times New Roman"/>
                <w:sz w:val="21"/>
                <w:szCs w:val="21"/>
              </w:rPr>
            </w:pPr>
            <w:r>
              <w:rPr>
                <w:rFonts w:hint="eastAsia" w:ascii="宋体" w:hAnsi="宋体" w:eastAsia="宋体" w:cs="Times New Roman"/>
                <w:sz w:val="21"/>
                <w:szCs w:val="21"/>
              </w:rPr>
              <w:t>≥90</w:t>
            </w:r>
          </w:p>
        </w:tc>
      </w:tr>
      <w:tr w14:paraId="4C0A5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111" w:type="dxa"/>
            <w:noWrap w:val="0"/>
            <w:vAlign w:val="top"/>
          </w:tcPr>
          <w:p w14:paraId="6A7F86A2">
            <w:pPr>
              <w:pStyle w:val="12"/>
              <w:overflowPunct/>
              <w:spacing w:line="360" w:lineRule="auto"/>
              <w:ind w:firstLine="0" w:firstLineChars="0"/>
              <w:rPr>
                <w:rFonts w:ascii="宋体" w:hAnsi="宋体" w:eastAsia="宋体" w:cs="Times New Roman"/>
                <w:sz w:val="21"/>
                <w:szCs w:val="21"/>
              </w:rPr>
            </w:pPr>
            <w:r>
              <w:rPr>
                <w:rFonts w:hint="eastAsia" w:ascii="宋体" w:hAnsi="宋体" w:eastAsia="宋体" w:cs="Times New Roman"/>
                <w:sz w:val="21"/>
                <w:szCs w:val="21"/>
              </w:rPr>
              <w:t>流动性(mm)</w:t>
            </w:r>
          </w:p>
        </w:tc>
        <w:tc>
          <w:tcPr>
            <w:tcW w:w="5112" w:type="dxa"/>
            <w:noWrap w:val="0"/>
            <w:vAlign w:val="top"/>
          </w:tcPr>
          <w:p w14:paraId="42ED4641">
            <w:pPr>
              <w:pStyle w:val="12"/>
              <w:overflowPunct/>
              <w:spacing w:line="360" w:lineRule="auto"/>
              <w:ind w:firstLine="0" w:firstLineChars="0"/>
              <w:rPr>
                <w:rFonts w:ascii="宋体" w:hAnsi="宋体" w:eastAsia="宋体" w:cs="Times New Roman"/>
                <w:sz w:val="21"/>
                <w:szCs w:val="21"/>
              </w:rPr>
            </w:pPr>
            <w:r>
              <w:rPr>
                <w:rFonts w:hint="eastAsia" w:ascii="宋体" w:hAnsi="宋体" w:eastAsia="宋体" w:cs="Times New Roman"/>
                <w:sz w:val="21"/>
                <w:szCs w:val="21"/>
              </w:rPr>
              <w:t>0</w:t>
            </w:r>
          </w:p>
        </w:tc>
      </w:tr>
      <w:tr w14:paraId="34107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111" w:type="dxa"/>
            <w:noWrap w:val="0"/>
            <w:vAlign w:val="top"/>
          </w:tcPr>
          <w:p w14:paraId="37DAD8FA">
            <w:pPr>
              <w:pStyle w:val="12"/>
              <w:overflowPunct/>
              <w:spacing w:line="360" w:lineRule="auto"/>
              <w:ind w:firstLine="0" w:firstLineChars="0"/>
              <w:rPr>
                <w:rFonts w:ascii="宋体" w:hAnsi="宋体" w:eastAsia="宋体" w:cs="Times New Roman"/>
                <w:sz w:val="21"/>
                <w:szCs w:val="21"/>
              </w:rPr>
            </w:pPr>
            <w:r>
              <w:rPr>
                <w:rFonts w:hint="eastAsia" w:ascii="宋体" w:hAnsi="宋体" w:eastAsia="宋体" w:cs="Times New Roman"/>
                <w:sz w:val="21"/>
                <w:szCs w:val="21"/>
              </w:rPr>
              <w:t>(-10℃)拉伸量(mm)</w:t>
            </w:r>
          </w:p>
        </w:tc>
        <w:tc>
          <w:tcPr>
            <w:tcW w:w="5112" w:type="dxa"/>
            <w:noWrap w:val="0"/>
            <w:vAlign w:val="top"/>
          </w:tcPr>
          <w:p w14:paraId="1122EE40">
            <w:pPr>
              <w:pStyle w:val="12"/>
              <w:overflowPunct/>
              <w:spacing w:line="360" w:lineRule="auto"/>
              <w:ind w:firstLine="0" w:firstLineChars="0"/>
              <w:rPr>
                <w:rFonts w:ascii="宋体" w:hAnsi="宋体" w:eastAsia="宋体" w:cs="Times New Roman"/>
                <w:sz w:val="21"/>
                <w:szCs w:val="21"/>
              </w:rPr>
            </w:pPr>
            <w:r>
              <w:rPr>
                <w:rFonts w:hint="eastAsia" w:ascii="宋体" w:hAnsi="宋体" w:eastAsia="宋体" w:cs="Times New Roman"/>
                <w:sz w:val="21"/>
                <w:szCs w:val="21"/>
              </w:rPr>
              <w:t>≥25</w:t>
            </w:r>
          </w:p>
        </w:tc>
      </w:tr>
      <w:tr w14:paraId="309C2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111" w:type="dxa"/>
            <w:noWrap w:val="0"/>
            <w:vAlign w:val="top"/>
          </w:tcPr>
          <w:p w14:paraId="43C8A3B6">
            <w:pPr>
              <w:pStyle w:val="12"/>
              <w:overflowPunct/>
              <w:spacing w:line="360" w:lineRule="auto"/>
              <w:ind w:firstLine="0" w:firstLineChars="0"/>
              <w:rPr>
                <w:rFonts w:ascii="宋体" w:hAnsi="宋体" w:eastAsia="宋体" w:cs="Times New Roman"/>
                <w:sz w:val="21"/>
                <w:szCs w:val="21"/>
              </w:rPr>
            </w:pPr>
            <w:r>
              <w:rPr>
                <w:rFonts w:hint="eastAsia" w:ascii="宋体" w:hAnsi="宋体" w:eastAsia="宋体" w:cs="Times New Roman"/>
                <w:sz w:val="21"/>
                <w:szCs w:val="21"/>
              </w:rPr>
              <w:t>与混凝土黏结强度(MPa)</w:t>
            </w:r>
          </w:p>
        </w:tc>
        <w:tc>
          <w:tcPr>
            <w:tcW w:w="5112" w:type="dxa"/>
            <w:noWrap w:val="0"/>
            <w:vAlign w:val="top"/>
          </w:tcPr>
          <w:p w14:paraId="738D642A">
            <w:pPr>
              <w:pStyle w:val="12"/>
              <w:overflowPunct/>
              <w:spacing w:line="360" w:lineRule="auto"/>
              <w:ind w:firstLine="0" w:firstLineChars="0"/>
              <w:rPr>
                <w:rFonts w:ascii="宋体" w:hAnsi="宋体" w:eastAsia="宋体" w:cs="Times New Roman"/>
                <w:sz w:val="21"/>
                <w:szCs w:val="21"/>
              </w:rPr>
            </w:pPr>
            <w:r>
              <w:rPr>
                <w:rFonts w:hint="eastAsia" w:ascii="宋体" w:hAnsi="宋体" w:eastAsia="宋体" w:cs="Times New Roman"/>
                <w:sz w:val="21"/>
                <w:szCs w:val="21"/>
              </w:rPr>
              <w:t>≥0.4</w:t>
            </w:r>
          </w:p>
        </w:tc>
      </w:tr>
      <w:tr w14:paraId="266BE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111" w:type="dxa"/>
            <w:noWrap w:val="0"/>
            <w:vAlign w:val="top"/>
          </w:tcPr>
          <w:p w14:paraId="64C2544E">
            <w:pPr>
              <w:pStyle w:val="12"/>
              <w:overflowPunct/>
              <w:spacing w:line="360" w:lineRule="auto"/>
              <w:ind w:firstLine="0" w:firstLineChars="0"/>
              <w:rPr>
                <w:rFonts w:ascii="宋体" w:hAnsi="宋体" w:eastAsia="宋体" w:cs="Times New Roman"/>
                <w:sz w:val="21"/>
                <w:szCs w:val="21"/>
              </w:rPr>
            </w:pPr>
            <w:r>
              <w:rPr>
                <w:rFonts w:hint="eastAsia" w:ascii="宋体" w:hAnsi="宋体" w:eastAsia="宋体" w:cs="Times New Roman"/>
                <w:sz w:val="21"/>
                <w:szCs w:val="21"/>
              </w:rPr>
              <w:t>黏结延伸率(%)</w:t>
            </w:r>
          </w:p>
        </w:tc>
        <w:tc>
          <w:tcPr>
            <w:tcW w:w="5112" w:type="dxa"/>
            <w:noWrap w:val="0"/>
            <w:vAlign w:val="top"/>
          </w:tcPr>
          <w:p w14:paraId="25A6BBFC">
            <w:pPr>
              <w:pStyle w:val="12"/>
              <w:overflowPunct/>
              <w:spacing w:line="360" w:lineRule="auto"/>
              <w:ind w:firstLine="0" w:firstLineChars="0"/>
              <w:rPr>
                <w:rFonts w:ascii="宋体" w:hAnsi="宋体" w:eastAsia="宋体" w:cs="Times New Roman"/>
                <w:sz w:val="21"/>
                <w:szCs w:val="21"/>
              </w:rPr>
            </w:pPr>
            <w:r>
              <w:rPr>
                <w:rFonts w:hint="eastAsia" w:ascii="宋体" w:hAnsi="宋体" w:eastAsia="宋体" w:cs="Times New Roman"/>
                <w:sz w:val="21"/>
                <w:szCs w:val="21"/>
              </w:rPr>
              <w:t>≥400</w:t>
            </w:r>
          </w:p>
        </w:tc>
      </w:tr>
    </w:tbl>
    <w:p w14:paraId="72E455DF">
      <w:pPr>
        <w:spacing w:line="360" w:lineRule="auto"/>
        <w:ind w:firstLine="480" w:firstLineChars="200"/>
        <w:jc w:val="left"/>
        <w:rPr>
          <w:rFonts w:hint="eastAsia"/>
          <w:sz w:val="24"/>
          <w:szCs w:val="24"/>
          <w:lang w:val="en-US" w:eastAsia="zh-CN"/>
        </w:rPr>
      </w:pPr>
      <w:r>
        <w:rPr>
          <w:rFonts w:hint="eastAsia"/>
          <w:sz w:val="24"/>
          <w:szCs w:val="24"/>
          <w:lang w:val="en-US" w:eastAsia="zh-CN"/>
        </w:rPr>
        <w:t>2、水泥混凝土面层施工</w:t>
      </w:r>
    </w:p>
    <w:p w14:paraId="2EA58420">
      <w:pPr>
        <w:spacing w:line="360" w:lineRule="auto"/>
        <w:ind w:firstLine="480" w:firstLineChars="200"/>
        <w:jc w:val="left"/>
        <w:rPr>
          <w:rFonts w:hint="eastAsia"/>
          <w:sz w:val="24"/>
          <w:szCs w:val="24"/>
          <w:lang w:val="en-US" w:eastAsia="zh-CN"/>
        </w:rPr>
      </w:pPr>
      <w:r>
        <w:rPr>
          <w:rFonts w:hint="eastAsia"/>
          <w:sz w:val="24"/>
          <w:szCs w:val="24"/>
          <w:lang w:val="en-US" w:eastAsia="zh-CN"/>
        </w:rPr>
        <w:t>（1）水泥混凝土路面的施工应按照《公路水泥砼路面施工技术细则》(JTG/T F30-2014)的有关规定执行，砼路面施工前应选择具有代表性的实验段，待各项技术标准符合相关技术要求后，方可进行大面积施工。</w:t>
      </w:r>
    </w:p>
    <w:p w14:paraId="5819C1F7">
      <w:pPr>
        <w:spacing w:line="360" w:lineRule="auto"/>
        <w:ind w:firstLine="480" w:firstLineChars="200"/>
        <w:jc w:val="left"/>
        <w:rPr>
          <w:rFonts w:hint="eastAsia"/>
          <w:sz w:val="24"/>
          <w:szCs w:val="24"/>
          <w:lang w:val="en-US" w:eastAsia="zh-CN"/>
        </w:rPr>
      </w:pPr>
      <w:r>
        <w:rPr>
          <w:rFonts w:hint="eastAsia"/>
          <w:sz w:val="24"/>
          <w:szCs w:val="24"/>
          <w:lang w:val="en-US" w:eastAsia="zh-CN"/>
        </w:rPr>
        <w:t>（2）支模要纵向顺直，立面垂直，顶面平整。</w:t>
      </w:r>
    </w:p>
    <w:p w14:paraId="753FBF9E">
      <w:pPr>
        <w:spacing w:line="360" w:lineRule="auto"/>
        <w:ind w:firstLine="480" w:firstLineChars="200"/>
        <w:jc w:val="left"/>
        <w:rPr>
          <w:rFonts w:hint="eastAsia"/>
          <w:sz w:val="24"/>
          <w:szCs w:val="24"/>
          <w:lang w:val="en-US" w:eastAsia="zh-CN"/>
        </w:rPr>
      </w:pPr>
      <w:r>
        <w:rPr>
          <w:rFonts w:hint="eastAsia"/>
          <w:sz w:val="24"/>
          <w:szCs w:val="24"/>
          <w:lang w:val="en-US" w:eastAsia="zh-CN"/>
        </w:rPr>
        <w:t>（3）严格控制用水量，应每天测定砂、石含水量，以调整用水量。材料应准确计量，水、水泥及水允许误差为±1％，砂和石料允许误差为±3％。外加剂允许误差为±2％。</w:t>
      </w:r>
    </w:p>
    <w:p w14:paraId="2AFBC6A6">
      <w:pPr>
        <w:spacing w:line="360" w:lineRule="auto"/>
        <w:ind w:firstLine="480" w:firstLineChars="200"/>
        <w:jc w:val="left"/>
        <w:rPr>
          <w:rFonts w:hint="eastAsia"/>
          <w:sz w:val="24"/>
          <w:szCs w:val="24"/>
          <w:lang w:val="en-US" w:eastAsia="zh-CN"/>
        </w:rPr>
      </w:pPr>
      <w:r>
        <w:rPr>
          <w:rFonts w:hint="eastAsia"/>
          <w:sz w:val="24"/>
          <w:szCs w:val="24"/>
          <w:lang w:val="en-US" w:eastAsia="zh-CN"/>
        </w:rPr>
        <w:t>（4）按本设计严格控制砼用的碎石粒径及级配，砂的细度模数不小于2.5，在进行砼配合比设计和试验时，不能以加大水泥用量的方法来达到砼设计强度的要求。</w:t>
      </w:r>
    </w:p>
    <w:p w14:paraId="55F269ED">
      <w:pPr>
        <w:spacing w:line="360" w:lineRule="auto"/>
        <w:ind w:firstLine="480" w:firstLineChars="200"/>
        <w:jc w:val="left"/>
        <w:rPr>
          <w:rFonts w:hint="eastAsia"/>
          <w:sz w:val="24"/>
          <w:szCs w:val="24"/>
          <w:lang w:val="en-US" w:eastAsia="zh-CN"/>
        </w:rPr>
      </w:pPr>
      <w:r>
        <w:rPr>
          <w:rFonts w:hint="eastAsia"/>
          <w:sz w:val="24"/>
          <w:szCs w:val="24"/>
          <w:lang w:val="en-US" w:eastAsia="zh-CN"/>
        </w:rPr>
        <w:t>（5）混凝土振捣：先用振捣棒振捣，再用振动梁振捣，而后用提浆筒来滚压，最后找平。</w:t>
      </w:r>
    </w:p>
    <w:p w14:paraId="2A189521">
      <w:pPr>
        <w:spacing w:line="360" w:lineRule="auto"/>
        <w:ind w:firstLine="480" w:firstLineChars="200"/>
        <w:jc w:val="left"/>
        <w:rPr>
          <w:rFonts w:hint="eastAsia"/>
          <w:sz w:val="24"/>
          <w:szCs w:val="24"/>
          <w:lang w:val="en-US" w:eastAsia="zh-CN"/>
        </w:rPr>
      </w:pPr>
      <w:r>
        <w:rPr>
          <w:rFonts w:hint="eastAsia"/>
          <w:sz w:val="24"/>
          <w:szCs w:val="24"/>
          <w:lang w:val="en-US" w:eastAsia="zh-CN"/>
        </w:rPr>
        <w:t>（6）养生：在表面喷洒薄膜养生剂，洒布要均匀，用量要足够。也可采用湿草袋或麻袋覆盖养生，每天需洒水2～3次。</w:t>
      </w:r>
    </w:p>
    <w:p w14:paraId="330E1D11">
      <w:pPr>
        <w:spacing w:line="360" w:lineRule="auto"/>
        <w:ind w:firstLine="480" w:firstLineChars="200"/>
        <w:jc w:val="left"/>
        <w:rPr>
          <w:rFonts w:hint="eastAsia"/>
          <w:sz w:val="24"/>
          <w:szCs w:val="24"/>
          <w:lang w:val="en-US" w:eastAsia="zh-CN"/>
        </w:rPr>
      </w:pPr>
      <w:r>
        <w:rPr>
          <w:rFonts w:hint="eastAsia"/>
          <w:sz w:val="24"/>
          <w:szCs w:val="24"/>
          <w:lang w:val="en-US" w:eastAsia="zh-CN"/>
        </w:rPr>
        <w:t>（7）路面混凝土所用水泥应采用质量稳定的大厂生产的水泥，并应进行抽检，合格后方能用于施工。不合格施工用材禁止使用。</w:t>
      </w:r>
    </w:p>
    <w:p w14:paraId="3E7B0EB5">
      <w:pPr>
        <w:spacing w:line="360" w:lineRule="auto"/>
        <w:ind w:firstLine="480" w:firstLineChars="200"/>
        <w:jc w:val="left"/>
        <w:rPr>
          <w:rFonts w:hint="eastAsia"/>
          <w:sz w:val="24"/>
          <w:szCs w:val="24"/>
          <w:lang w:val="en-US" w:eastAsia="zh-CN"/>
        </w:rPr>
      </w:pPr>
      <w:r>
        <w:rPr>
          <w:rFonts w:hint="eastAsia"/>
          <w:sz w:val="24"/>
          <w:szCs w:val="24"/>
          <w:lang w:val="en-US" w:eastAsia="zh-CN"/>
        </w:rPr>
        <w:t>（8）路面所需粗集料应按实验确定级配，细集料的含泥量应严格控制。</w:t>
      </w:r>
    </w:p>
    <w:p w14:paraId="56CF78F8">
      <w:pPr>
        <w:spacing w:line="360" w:lineRule="auto"/>
        <w:ind w:firstLine="480" w:firstLineChars="200"/>
        <w:jc w:val="left"/>
        <w:rPr>
          <w:rFonts w:hint="eastAsia"/>
          <w:sz w:val="24"/>
          <w:szCs w:val="24"/>
          <w:lang w:val="en-US" w:eastAsia="zh-CN"/>
        </w:rPr>
      </w:pPr>
      <w:r>
        <w:rPr>
          <w:rFonts w:hint="eastAsia"/>
          <w:sz w:val="24"/>
          <w:szCs w:val="24"/>
          <w:lang w:val="en-US" w:eastAsia="zh-CN"/>
        </w:rPr>
        <w:t>（9）砼拌合物的运输宜采用自卸机动车运输，砼拌合物从搅拌站出料运至铺筑点进行摊铺、振捣、抹面直至浇筑完毕允许的最长时间，由试验根据水泥初凝时间确定，并应符合以下规定：施工气温5～10℃时，允许最长时间2小时，10～20℃允许最长时间为1.5小时，20～30℃允许最长时间为1小时。装运砼拌合物的车辆不允漏浆，出料及铺筑时的卸料高度不应超过1.5米。运输过程中应防止离折，当有明显离折时，应在铺筑时重新拌匀。</w:t>
      </w:r>
    </w:p>
    <w:p w14:paraId="0BF8A664">
      <w:pPr>
        <w:spacing w:line="360" w:lineRule="auto"/>
        <w:ind w:firstLine="480" w:firstLineChars="200"/>
        <w:jc w:val="left"/>
        <w:rPr>
          <w:rFonts w:hint="eastAsia"/>
          <w:sz w:val="24"/>
          <w:szCs w:val="24"/>
          <w:lang w:val="en-US" w:eastAsia="zh-CN"/>
        </w:rPr>
      </w:pPr>
      <w:r>
        <w:rPr>
          <w:rFonts w:hint="eastAsia"/>
          <w:sz w:val="24"/>
          <w:szCs w:val="24"/>
          <w:lang w:val="en-US" w:eastAsia="zh-CN"/>
        </w:rPr>
        <w:t>（10）路面浇筑后应进行捣实抹平，抹面时严禁在面板砼上洒水和撒水泥粉。</w:t>
      </w:r>
    </w:p>
    <w:p w14:paraId="7238CBCF">
      <w:pPr>
        <w:spacing w:line="360" w:lineRule="auto"/>
        <w:ind w:firstLine="480" w:firstLineChars="200"/>
        <w:jc w:val="left"/>
        <w:rPr>
          <w:rFonts w:hint="eastAsia"/>
          <w:sz w:val="24"/>
          <w:szCs w:val="24"/>
          <w:lang w:val="en-US" w:eastAsia="zh-CN"/>
        </w:rPr>
      </w:pPr>
      <w:r>
        <w:rPr>
          <w:rFonts w:hint="eastAsia"/>
          <w:sz w:val="24"/>
          <w:szCs w:val="24"/>
          <w:lang w:val="en-US" w:eastAsia="zh-CN"/>
        </w:rPr>
        <w:t>（11）当砼达到设计强度的25～30％时，应及时采用切缝机进行缩缝切割，切缝时，刀片冷却用水的水压不低于0.2MPa。切缝后应尽快灌注填缝料。</w:t>
      </w:r>
    </w:p>
    <w:p w14:paraId="2ECA69FF">
      <w:pPr>
        <w:spacing w:line="360" w:lineRule="auto"/>
        <w:ind w:firstLine="480" w:firstLineChars="200"/>
        <w:jc w:val="left"/>
        <w:rPr>
          <w:rFonts w:hint="eastAsia"/>
          <w:sz w:val="24"/>
          <w:szCs w:val="24"/>
          <w:lang w:val="en-US" w:eastAsia="zh-CN"/>
        </w:rPr>
      </w:pPr>
      <w:r>
        <w:rPr>
          <w:rFonts w:hint="eastAsia"/>
          <w:sz w:val="24"/>
          <w:szCs w:val="24"/>
          <w:lang w:val="en-US" w:eastAsia="zh-CN"/>
        </w:rPr>
        <w:t>（12）水泥砼面层均采用刻槽机刻槽，刻槽深度0.5～1mm，槽宽3mm，槽间距12～24mm之间。施工时应注意适时刻槽，并要求对面层砼进行良好养生，当烈日曝晒或有干旱风吹时，宜在遮阴棚下进行，并随时做好防雨准备工作，以保证路面的施工质量。</w:t>
      </w:r>
    </w:p>
    <w:p w14:paraId="593D67A9">
      <w:pPr>
        <w:spacing w:line="360" w:lineRule="auto"/>
        <w:ind w:firstLine="480" w:firstLineChars="200"/>
        <w:jc w:val="left"/>
        <w:rPr>
          <w:rFonts w:hint="eastAsia"/>
          <w:sz w:val="24"/>
          <w:szCs w:val="24"/>
          <w:lang w:val="en-US" w:eastAsia="zh-CN"/>
        </w:rPr>
      </w:pPr>
      <w:r>
        <w:rPr>
          <w:rFonts w:hint="eastAsia"/>
          <w:sz w:val="24"/>
          <w:szCs w:val="24"/>
          <w:lang w:val="en-US" w:eastAsia="zh-CN"/>
        </w:rPr>
        <w:t>（13）砼板在养护期间和未浇填缝料前应禁止车辆通行，在达到设计强度的40％以后，方可允许行人通行。养护时间应根据砼强度增长情况而定，一般为14～21天。砼达到设计强度后才能允许开放交通。若特殊情况需要提前开放交通时，砼板强度应达到设计强度的80％以上，其车辆荷载不得大于设计荷载。</w:t>
      </w:r>
    </w:p>
    <w:p w14:paraId="5C48D4C5">
      <w:pPr>
        <w:spacing w:line="360" w:lineRule="auto"/>
        <w:ind w:firstLine="480" w:firstLineChars="200"/>
        <w:jc w:val="left"/>
        <w:rPr>
          <w:rFonts w:hint="eastAsia"/>
          <w:sz w:val="24"/>
          <w:szCs w:val="24"/>
          <w:lang w:val="en-US" w:eastAsia="zh-CN"/>
        </w:rPr>
      </w:pPr>
      <w:r>
        <w:rPr>
          <w:rFonts w:hint="eastAsia"/>
          <w:sz w:val="24"/>
          <w:szCs w:val="24"/>
          <w:lang w:val="en-US" w:eastAsia="zh-CN"/>
        </w:rPr>
        <w:t>（14）为保证正确的线型使路面美观，砼面板浇筑后板边应切割整齐，路肩宽度应与设计一致。</w:t>
      </w:r>
    </w:p>
    <w:p w14:paraId="452A13B9">
      <w:pPr>
        <w:spacing w:line="360" w:lineRule="auto"/>
        <w:ind w:firstLine="480" w:firstLineChars="200"/>
        <w:jc w:val="left"/>
        <w:rPr>
          <w:rFonts w:hint="eastAsia"/>
          <w:sz w:val="24"/>
          <w:szCs w:val="24"/>
          <w:lang w:val="en-US" w:eastAsia="zh-CN"/>
        </w:rPr>
      </w:pPr>
      <w:r>
        <w:rPr>
          <w:rFonts w:hint="eastAsia"/>
          <w:sz w:val="24"/>
          <w:szCs w:val="24"/>
          <w:lang w:val="en-US" w:eastAsia="zh-CN"/>
        </w:rPr>
        <w:t>（15）本公路建议采用机械化连续施工，施工前应对各种机具作全面检查，并经调试证明处于良好状态。机械数量应足够，施工能力应配套，重要机械宜有备用设备。</w:t>
      </w:r>
    </w:p>
    <w:p w14:paraId="3EE8F420">
      <w:pPr>
        <w:spacing w:line="360" w:lineRule="auto"/>
        <w:ind w:firstLine="480" w:firstLineChars="200"/>
        <w:jc w:val="left"/>
        <w:rPr>
          <w:rFonts w:hint="eastAsia"/>
          <w:sz w:val="24"/>
          <w:szCs w:val="24"/>
          <w:lang w:val="en-US" w:eastAsia="zh-CN"/>
        </w:rPr>
      </w:pPr>
      <w:r>
        <w:rPr>
          <w:rFonts w:hint="eastAsia"/>
          <w:sz w:val="24"/>
          <w:szCs w:val="24"/>
          <w:lang w:val="en-US" w:eastAsia="zh-CN"/>
        </w:rPr>
        <w:t>（16）建议加强各工序间的配合，如路基施工至路床标高并经检验合格后，应尽快铺筑路面各结构层，避免路床未经隔水处理下渗软化路基，造成通车后路面破坏。</w:t>
      </w:r>
    </w:p>
    <w:p w14:paraId="0C32DCE3">
      <w:pPr>
        <w:spacing w:line="360" w:lineRule="auto"/>
        <w:ind w:firstLine="480" w:firstLineChars="200"/>
        <w:jc w:val="left"/>
        <w:rPr>
          <w:rFonts w:hint="eastAsia"/>
          <w:sz w:val="24"/>
          <w:szCs w:val="24"/>
          <w:lang w:val="en-US" w:eastAsia="zh-CN"/>
        </w:rPr>
      </w:pPr>
      <w:r>
        <w:rPr>
          <w:rFonts w:hint="eastAsia"/>
          <w:sz w:val="24"/>
          <w:szCs w:val="24"/>
          <w:lang w:val="en-US" w:eastAsia="zh-CN"/>
        </w:rPr>
        <w:t>（17）因项目为单车道，路面应进行整体浇筑，路面结构采用满铺。</w:t>
      </w:r>
    </w:p>
    <w:p w14:paraId="5DB90B4A">
      <w:pPr>
        <w:spacing w:line="360" w:lineRule="auto"/>
        <w:ind w:firstLine="480" w:firstLineChars="200"/>
        <w:jc w:val="left"/>
        <w:rPr>
          <w:rFonts w:hint="eastAsia"/>
          <w:sz w:val="24"/>
          <w:szCs w:val="24"/>
          <w:lang w:val="en-US" w:eastAsia="zh-CN"/>
        </w:rPr>
      </w:pPr>
      <w:r>
        <w:rPr>
          <w:rFonts w:hint="eastAsia"/>
          <w:sz w:val="24"/>
          <w:szCs w:val="24"/>
          <w:lang w:val="en-US" w:eastAsia="zh-CN"/>
        </w:rPr>
        <w:t>（18）施工时应注意天气预报，加强工地现场与拌和场之间的联系，各工序应紧衔接。当遇雨或原路面潮湿时，不得摊铺水泥砼。</w:t>
      </w:r>
    </w:p>
    <w:p w14:paraId="68F8B0BA">
      <w:pPr>
        <w:spacing w:line="360" w:lineRule="auto"/>
        <w:ind w:firstLine="480" w:firstLineChars="200"/>
        <w:jc w:val="left"/>
        <w:rPr>
          <w:rFonts w:hint="eastAsia"/>
          <w:sz w:val="24"/>
          <w:szCs w:val="24"/>
          <w:lang w:val="en-US" w:eastAsia="zh-CN"/>
        </w:rPr>
      </w:pPr>
      <w:r>
        <w:rPr>
          <w:rFonts w:hint="eastAsia"/>
          <w:sz w:val="24"/>
          <w:szCs w:val="24"/>
          <w:lang w:val="en-US" w:eastAsia="zh-CN"/>
        </w:rPr>
        <w:t>（19）未尽事宜请参照《公路水泥混凝土路面施工技术细则》（JTG/T F30-2014)。</w:t>
      </w:r>
    </w:p>
    <w:p w14:paraId="11FFD8AE">
      <w:pPr>
        <w:spacing w:line="360" w:lineRule="auto"/>
        <w:ind w:firstLine="480" w:firstLineChars="200"/>
        <w:jc w:val="left"/>
        <w:rPr>
          <w:rFonts w:hint="default"/>
          <w:sz w:val="24"/>
          <w:szCs w:val="24"/>
          <w:lang w:val="en-US" w:eastAsia="zh-CN"/>
        </w:rPr>
      </w:pPr>
      <w:r>
        <w:rPr>
          <w:rFonts w:hint="eastAsia"/>
          <w:sz w:val="24"/>
          <w:szCs w:val="24"/>
          <w:lang w:val="en-US" w:eastAsia="zh-CN"/>
        </w:rPr>
        <w:t>3、C25砼边沟</w:t>
      </w:r>
    </w:p>
    <w:p w14:paraId="43151D91">
      <w:pPr>
        <w:spacing w:line="360" w:lineRule="auto"/>
        <w:ind w:firstLine="480" w:firstLineChars="200"/>
        <w:jc w:val="left"/>
        <w:rPr>
          <w:rFonts w:hint="eastAsia"/>
          <w:sz w:val="24"/>
          <w:szCs w:val="24"/>
          <w:lang w:val="en-US" w:eastAsia="zh-CN"/>
        </w:rPr>
      </w:pPr>
      <w:r>
        <w:rPr>
          <w:rFonts w:hint="eastAsia"/>
          <w:sz w:val="24"/>
          <w:szCs w:val="24"/>
          <w:lang w:val="en-US" w:eastAsia="zh-CN"/>
        </w:rPr>
        <w:t>强度等级：</w:t>
      </w:r>
    </w:p>
    <w:p w14:paraId="405028BE">
      <w:pPr>
        <w:spacing w:line="360" w:lineRule="auto"/>
        <w:ind w:firstLine="480" w:firstLineChars="200"/>
        <w:jc w:val="left"/>
        <w:rPr>
          <w:rFonts w:hint="eastAsia"/>
          <w:sz w:val="24"/>
          <w:szCs w:val="24"/>
          <w:lang w:val="en-US" w:eastAsia="zh-CN"/>
        </w:rPr>
      </w:pPr>
      <w:r>
        <w:rPr>
          <w:rFonts w:hint="eastAsia"/>
          <w:sz w:val="24"/>
          <w:szCs w:val="24"/>
          <w:lang w:val="en-US" w:eastAsia="zh-CN"/>
        </w:rPr>
        <w:t>C25混凝土的28天抗压强度为25MPa。</w:t>
      </w:r>
    </w:p>
    <w:p w14:paraId="166E048D">
      <w:pPr>
        <w:spacing w:line="360" w:lineRule="auto"/>
        <w:ind w:firstLine="480" w:firstLineChars="200"/>
        <w:jc w:val="left"/>
        <w:rPr>
          <w:rFonts w:hint="eastAsia"/>
          <w:sz w:val="24"/>
          <w:szCs w:val="24"/>
          <w:lang w:val="en-US" w:eastAsia="zh-CN"/>
        </w:rPr>
      </w:pPr>
      <w:r>
        <w:rPr>
          <w:rFonts w:hint="eastAsia"/>
          <w:sz w:val="24"/>
          <w:szCs w:val="24"/>
          <w:lang w:val="en-US" w:eastAsia="zh-CN"/>
        </w:rPr>
        <w:t>材料要求：</w:t>
      </w:r>
    </w:p>
    <w:p w14:paraId="41D52001">
      <w:pPr>
        <w:spacing w:line="360" w:lineRule="auto"/>
        <w:ind w:firstLine="480" w:firstLineChars="200"/>
        <w:jc w:val="left"/>
        <w:rPr>
          <w:rFonts w:hint="eastAsia"/>
          <w:sz w:val="24"/>
          <w:szCs w:val="24"/>
          <w:lang w:val="en-US" w:eastAsia="zh-CN"/>
        </w:rPr>
      </w:pPr>
      <w:r>
        <w:rPr>
          <w:rFonts w:hint="eastAsia"/>
          <w:sz w:val="24"/>
          <w:szCs w:val="24"/>
          <w:lang w:val="en-US" w:eastAsia="zh-CN"/>
        </w:rPr>
        <w:t>水泥强度等级通常为32.5到42.5MPa。</w:t>
      </w:r>
    </w:p>
    <w:p w14:paraId="0957ACE0">
      <w:pPr>
        <w:spacing w:line="360" w:lineRule="auto"/>
        <w:ind w:firstLine="480" w:firstLineChars="200"/>
        <w:jc w:val="left"/>
        <w:rPr>
          <w:rFonts w:hint="eastAsia"/>
          <w:sz w:val="24"/>
          <w:szCs w:val="24"/>
          <w:lang w:val="en-US" w:eastAsia="zh-CN"/>
        </w:rPr>
      </w:pPr>
      <w:r>
        <w:rPr>
          <w:rFonts w:hint="eastAsia"/>
          <w:sz w:val="24"/>
          <w:szCs w:val="24"/>
          <w:lang w:val="en-US" w:eastAsia="zh-CN"/>
        </w:rPr>
        <w:t>砂子为中砂，含泥量不超过4%。</w:t>
      </w:r>
    </w:p>
    <w:p w14:paraId="0C87CF15">
      <w:pPr>
        <w:spacing w:line="360" w:lineRule="auto"/>
        <w:ind w:firstLine="480" w:firstLineChars="200"/>
        <w:jc w:val="left"/>
        <w:rPr>
          <w:rFonts w:hint="eastAsia"/>
          <w:sz w:val="24"/>
          <w:szCs w:val="24"/>
          <w:lang w:val="en-US" w:eastAsia="zh-CN"/>
        </w:rPr>
      </w:pPr>
      <w:r>
        <w:rPr>
          <w:rFonts w:hint="eastAsia"/>
          <w:sz w:val="24"/>
          <w:szCs w:val="24"/>
          <w:lang w:val="en-US" w:eastAsia="zh-CN"/>
        </w:rPr>
        <w:t>石子最大粒径一般为20mm。</w:t>
      </w:r>
    </w:p>
    <w:p w14:paraId="30CB0EAA">
      <w:pPr>
        <w:spacing w:line="360" w:lineRule="auto"/>
        <w:ind w:firstLine="480" w:firstLineChars="200"/>
        <w:jc w:val="left"/>
        <w:rPr>
          <w:rFonts w:hint="eastAsia"/>
          <w:sz w:val="24"/>
          <w:szCs w:val="24"/>
          <w:lang w:val="en-US" w:eastAsia="zh-CN"/>
        </w:rPr>
      </w:pPr>
      <w:r>
        <w:rPr>
          <w:rFonts w:hint="eastAsia"/>
          <w:sz w:val="24"/>
          <w:szCs w:val="24"/>
          <w:lang w:val="en-US" w:eastAsia="zh-CN"/>
        </w:rPr>
        <w:t>混凝土坍落度在30至50mm之间。</w:t>
      </w:r>
    </w:p>
    <w:p w14:paraId="799D04F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333333"/>
          <w:spacing w:val="0"/>
          <w:sz w:val="24"/>
          <w:szCs w:val="24"/>
          <w:shd w:val="clear" w:fill="FFFFFF"/>
          <w:lang w:val="en-US" w:eastAsia="zh-CN"/>
        </w:rPr>
      </w:pPr>
      <w:r>
        <w:rPr>
          <w:rFonts w:hint="eastAsia" w:ascii="宋体" w:hAnsi="宋体" w:eastAsia="宋体" w:cs="宋体"/>
          <w:b/>
          <w:bCs/>
          <w:i w:val="0"/>
          <w:iCs w:val="0"/>
          <w:caps w:val="0"/>
          <w:color w:val="333333"/>
          <w:spacing w:val="0"/>
          <w:sz w:val="24"/>
          <w:szCs w:val="24"/>
          <w:shd w:val="clear" w:fill="FFFFFF"/>
          <w:lang w:val="en-US" w:eastAsia="zh-CN"/>
        </w:rPr>
        <w:t>4.2沥青混凝土面层</w:t>
      </w:r>
    </w:p>
    <w:p w14:paraId="14807DB6">
      <w:pPr>
        <w:spacing w:line="360" w:lineRule="auto"/>
        <w:ind w:firstLine="480" w:firstLineChars="200"/>
        <w:jc w:val="left"/>
        <w:rPr>
          <w:rFonts w:hint="eastAsia"/>
          <w:sz w:val="24"/>
          <w:szCs w:val="24"/>
          <w:lang w:val="en-US" w:eastAsia="zh-CN"/>
        </w:rPr>
      </w:pPr>
      <w:r>
        <w:rPr>
          <w:rFonts w:hint="eastAsia"/>
          <w:sz w:val="24"/>
          <w:szCs w:val="24"/>
          <w:lang w:val="en-US" w:eastAsia="zh-CN"/>
        </w:rPr>
        <w:t>本项目路面用沥青砼均从商品沥青混凝土拌合站购买。</w:t>
      </w:r>
    </w:p>
    <w:p w14:paraId="430545CD">
      <w:pPr>
        <w:spacing w:line="360" w:lineRule="auto"/>
        <w:ind w:firstLine="480" w:firstLineChars="200"/>
        <w:jc w:val="left"/>
        <w:rPr>
          <w:rFonts w:hint="eastAsia"/>
          <w:sz w:val="24"/>
          <w:szCs w:val="24"/>
          <w:lang w:val="en-US" w:eastAsia="zh-CN"/>
        </w:rPr>
      </w:pPr>
      <w:r>
        <w:rPr>
          <w:rFonts w:hint="eastAsia"/>
          <w:sz w:val="24"/>
          <w:szCs w:val="24"/>
          <w:lang w:val="en-US" w:eastAsia="zh-CN"/>
        </w:rPr>
        <w:t>1、沥青混凝土材料组成及施工要求</w:t>
      </w:r>
    </w:p>
    <w:p w14:paraId="6AFA6781">
      <w:pPr>
        <w:spacing w:line="360" w:lineRule="auto"/>
        <w:ind w:firstLine="480" w:firstLineChars="200"/>
        <w:jc w:val="left"/>
        <w:rPr>
          <w:rFonts w:hint="eastAsia"/>
          <w:sz w:val="24"/>
          <w:szCs w:val="24"/>
          <w:lang w:val="en-US" w:eastAsia="zh-CN"/>
        </w:rPr>
      </w:pPr>
      <w:r>
        <w:rPr>
          <w:rFonts w:hint="eastAsia"/>
          <w:sz w:val="24"/>
          <w:szCs w:val="24"/>
          <w:lang w:val="en-US" w:eastAsia="zh-CN"/>
        </w:rPr>
        <w:t>（1）沥青混凝土材料</w:t>
      </w:r>
    </w:p>
    <w:p w14:paraId="7B671405">
      <w:pPr>
        <w:spacing w:line="360" w:lineRule="auto"/>
        <w:ind w:firstLine="480" w:firstLineChars="200"/>
        <w:jc w:val="left"/>
        <w:rPr>
          <w:rFonts w:hint="eastAsia"/>
          <w:sz w:val="24"/>
          <w:szCs w:val="24"/>
          <w:lang w:val="en-US" w:eastAsia="zh-CN"/>
        </w:rPr>
      </w:pPr>
      <w:r>
        <w:rPr>
          <w:rFonts w:hint="eastAsia"/>
          <w:sz w:val="24"/>
          <w:szCs w:val="24"/>
          <w:lang w:val="en-US" w:eastAsia="zh-CN"/>
        </w:rPr>
        <w:t>面层设计为改性沥青混凝土路面，路面施工前必须先对基层进行验收，达到要求后方可施工面层。</w:t>
      </w:r>
    </w:p>
    <w:p w14:paraId="04CC67AA">
      <w:pPr>
        <w:spacing w:line="360" w:lineRule="auto"/>
        <w:ind w:firstLine="480" w:firstLineChars="200"/>
        <w:jc w:val="left"/>
        <w:rPr>
          <w:rFonts w:hint="eastAsia"/>
          <w:sz w:val="24"/>
          <w:szCs w:val="24"/>
          <w:lang w:val="en-US" w:eastAsia="zh-CN"/>
        </w:rPr>
      </w:pPr>
      <w:r>
        <w:rPr>
          <w:rFonts w:hint="eastAsia"/>
          <w:sz w:val="24"/>
          <w:szCs w:val="24"/>
          <w:lang w:val="en-US" w:eastAsia="zh-CN"/>
        </w:rPr>
        <w:t>热拌普通沥青混合料施工环境温度不应低于5℃，热拌改性沥青混合料施工环境温度不应低于10℃。沥青混合料分层摊铺时，应避免层间污染。</w:t>
      </w:r>
    </w:p>
    <w:p w14:paraId="56BD003B">
      <w:pPr>
        <w:spacing w:line="360" w:lineRule="auto"/>
        <w:ind w:firstLine="480" w:firstLineChars="200"/>
        <w:jc w:val="left"/>
        <w:rPr>
          <w:rFonts w:hint="eastAsia"/>
          <w:sz w:val="24"/>
          <w:szCs w:val="24"/>
          <w:lang w:val="en-US" w:eastAsia="zh-CN"/>
        </w:rPr>
      </w:pPr>
      <w:r>
        <w:rPr>
          <w:rFonts w:hint="eastAsia"/>
          <w:sz w:val="24"/>
          <w:szCs w:val="24"/>
          <w:lang w:val="en-US" w:eastAsia="zh-CN"/>
        </w:rPr>
        <w:t>材料组成及性能要求：</w:t>
      </w:r>
    </w:p>
    <w:p w14:paraId="6B9242CD">
      <w:pPr>
        <w:spacing w:line="360" w:lineRule="auto"/>
        <w:ind w:firstLine="480" w:firstLineChars="200"/>
        <w:jc w:val="left"/>
        <w:rPr>
          <w:rFonts w:hint="eastAsia"/>
          <w:sz w:val="24"/>
          <w:szCs w:val="24"/>
          <w:lang w:val="en-US" w:eastAsia="zh-CN"/>
        </w:rPr>
      </w:pPr>
      <w:r>
        <w:rPr>
          <w:rFonts w:hint="eastAsia"/>
          <w:sz w:val="24"/>
          <w:szCs w:val="24"/>
          <w:lang w:val="en-US" w:eastAsia="zh-CN"/>
        </w:rPr>
        <w:t>1）沥青</w:t>
      </w:r>
    </w:p>
    <w:p w14:paraId="39549DFB">
      <w:pPr>
        <w:spacing w:line="360" w:lineRule="auto"/>
        <w:ind w:firstLine="480" w:firstLineChars="200"/>
        <w:jc w:val="left"/>
        <w:rPr>
          <w:rFonts w:hint="eastAsia"/>
          <w:sz w:val="24"/>
          <w:szCs w:val="24"/>
          <w:lang w:val="en-US" w:eastAsia="zh-CN"/>
        </w:rPr>
      </w:pPr>
      <w:r>
        <w:rPr>
          <w:rFonts w:hint="eastAsia"/>
          <w:sz w:val="24"/>
          <w:szCs w:val="24"/>
          <w:lang w:val="en-US" w:eastAsia="zh-CN"/>
        </w:rPr>
        <w:t xml:space="preserve">全路段沥青混凝土面层采用A级70号道路石油沥青，其性能应符合下表规定。 </w:t>
      </w:r>
    </w:p>
    <w:p w14:paraId="507BA1DC">
      <w:pPr>
        <w:overflowPunct/>
        <w:autoSpaceDE w:val="0"/>
        <w:autoSpaceDN w:val="0"/>
        <w:adjustRightInd w:val="0"/>
        <w:spacing w:line="360" w:lineRule="auto"/>
        <w:ind w:firstLine="0" w:firstLineChars="0"/>
        <w:jc w:val="center"/>
        <w:rPr>
          <w:rFonts w:hint="eastAsia" w:ascii="宋体" w:hAnsi="宋体" w:eastAsia="宋体" w:cs="宋体"/>
          <w:b/>
          <w:bCs/>
          <w:kern w:val="2"/>
          <w:sz w:val="24"/>
          <w:szCs w:val="24"/>
        </w:rPr>
      </w:pPr>
      <w:r>
        <w:rPr>
          <w:rFonts w:hint="eastAsia"/>
          <w:sz w:val="24"/>
          <w:szCs w:val="24"/>
          <w:lang w:val="en-US" w:eastAsia="zh-CN"/>
        </w:rPr>
        <w:t xml:space="preserve">   </w:t>
      </w:r>
      <w:r>
        <w:rPr>
          <w:rFonts w:hint="eastAsia" w:ascii="宋体" w:hAnsi="宋体" w:eastAsia="宋体" w:cs="宋体"/>
          <w:b/>
          <w:bCs/>
          <w:kern w:val="2"/>
          <w:sz w:val="28"/>
          <w:szCs w:val="28"/>
        </w:rPr>
        <w:t xml:space="preserve">  </w:t>
      </w:r>
      <w:r>
        <w:rPr>
          <w:rFonts w:hint="eastAsia" w:ascii="宋体" w:hAnsi="宋体" w:eastAsia="宋体" w:cs="宋体"/>
          <w:b/>
          <w:bCs/>
          <w:kern w:val="2"/>
          <w:sz w:val="24"/>
          <w:szCs w:val="24"/>
        </w:rPr>
        <w:t xml:space="preserve">  道路石油沥青技术要求</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2"/>
        <w:gridCol w:w="4821"/>
        <w:gridCol w:w="921"/>
        <w:gridCol w:w="1628"/>
        <w:gridCol w:w="1610"/>
      </w:tblGrid>
      <w:tr w14:paraId="6A6ED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04" w:type="dxa"/>
            <w:gridSpan w:val="3"/>
            <w:tcBorders>
              <w:top w:val="single" w:color="auto" w:sz="4" w:space="0"/>
              <w:left w:val="single" w:color="auto" w:sz="4" w:space="0"/>
              <w:bottom w:val="single" w:color="auto" w:sz="4" w:space="0"/>
              <w:right w:val="single" w:color="auto" w:sz="4" w:space="0"/>
            </w:tcBorders>
            <w:noWrap w:val="0"/>
            <w:vAlign w:val="center"/>
          </w:tcPr>
          <w:p w14:paraId="417828E6">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自然区划</w:t>
            </w:r>
          </w:p>
        </w:tc>
        <w:tc>
          <w:tcPr>
            <w:tcW w:w="3238" w:type="dxa"/>
            <w:gridSpan w:val="2"/>
            <w:tcBorders>
              <w:top w:val="single" w:color="auto" w:sz="4" w:space="0"/>
              <w:left w:val="nil"/>
              <w:bottom w:val="single" w:color="auto" w:sz="4" w:space="0"/>
              <w:right w:val="single" w:color="auto" w:sz="4" w:space="0"/>
            </w:tcBorders>
            <w:noWrap w:val="0"/>
            <w:vAlign w:val="center"/>
          </w:tcPr>
          <w:p w14:paraId="1A0C96D8">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V</w:t>
            </w:r>
            <w:r>
              <w:rPr>
                <w:rFonts w:hint="eastAsia" w:ascii="宋体" w:hAnsi="宋体" w:eastAsia="宋体" w:cs="宋体"/>
                <w:kern w:val="2"/>
                <w:sz w:val="24"/>
                <w:szCs w:val="24"/>
                <w:vertAlign w:val="subscript"/>
              </w:rPr>
              <w:t>2</w:t>
            </w:r>
          </w:p>
        </w:tc>
      </w:tr>
      <w:tr w14:paraId="1CFCF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04" w:type="dxa"/>
            <w:gridSpan w:val="3"/>
            <w:tcBorders>
              <w:top w:val="single" w:color="auto" w:sz="4" w:space="0"/>
              <w:left w:val="single" w:color="auto" w:sz="4" w:space="0"/>
              <w:bottom w:val="single" w:color="auto" w:sz="4" w:space="0"/>
              <w:right w:val="single" w:color="auto" w:sz="4" w:space="0"/>
            </w:tcBorders>
            <w:noWrap w:val="0"/>
            <w:vAlign w:val="center"/>
          </w:tcPr>
          <w:p w14:paraId="60093248">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气候分区</w:t>
            </w:r>
          </w:p>
        </w:tc>
        <w:tc>
          <w:tcPr>
            <w:tcW w:w="3238" w:type="dxa"/>
            <w:gridSpan w:val="2"/>
            <w:tcBorders>
              <w:top w:val="single" w:color="auto" w:sz="4" w:space="0"/>
              <w:left w:val="nil"/>
              <w:bottom w:val="single" w:color="auto" w:sz="4" w:space="0"/>
              <w:right w:val="single" w:color="auto" w:sz="4" w:space="0"/>
            </w:tcBorders>
            <w:noWrap w:val="0"/>
            <w:vAlign w:val="center"/>
          </w:tcPr>
          <w:p w14:paraId="41EC2FCC">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1-4-2</w:t>
            </w:r>
          </w:p>
        </w:tc>
      </w:tr>
      <w:tr w14:paraId="6B9C0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83" w:type="dxa"/>
            <w:gridSpan w:val="2"/>
            <w:tcBorders>
              <w:top w:val="single" w:color="auto" w:sz="4" w:space="0"/>
              <w:left w:val="single" w:color="auto" w:sz="4" w:space="0"/>
              <w:bottom w:val="single" w:color="auto" w:sz="4" w:space="0"/>
              <w:right w:val="single" w:color="auto" w:sz="4" w:space="0"/>
            </w:tcBorders>
            <w:noWrap w:val="0"/>
            <w:vAlign w:val="center"/>
          </w:tcPr>
          <w:p w14:paraId="0E68AAC2">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指标</w:t>
            </w:r>
          </w:p>
        </w:tc>
        <w:tc>
          <w:tcPr>
            <w:tcW w:w="921" w:type="dxa"/>
            <w:tcBorders>
              <w:top w:val="single" w:color="auto" w:sz="4" w:space="0"/>
              <w:left w:val="nil"/>
              <w:bottom w:val="single" w:color="auto" w:sz="4" w:space="0"/>
              <w:right w:val="single" w:color="auto" w:sz="4" w:space="0"/>
            </w:tcBorders>
            <w:noWrap w:val="0"/>
            <w:vAlign w:val="center"/>
          </w:tcPr>
          <w:p w14:paraId="59E56BED">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单位</w:t>
            </w:r>
          </w:p>
        </w:tc>
        <w:tc>
          <w:tcPr>
            <w:tcW w:w="1628" w:type="dxa"/>
            <w:tcBorders>
              <w:top w:val="single" w:color="auto" w:sz="4" w:space="0"/>
              <w:left w:val="nil"/>
              <w:bottom w:val="single" w:color="auto" w:sz="4" w:space="0"/>
              <w:right w:val="single" w:color="auto" w:sz="4" w:space="0"/>
            </w:tcBorders>
            <w:noWrap w:val="0"/>
            <w:vAlign w:val="center"/>
          </w:tcPr>
          <w:p w14:paraId="1165FF36">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70号</w:t>
            </w:r>
          </w:p>
        </w:tc>
        <w:tc>
          <w:tcPr>
            <w:tcW w:w="1610" w:type="dxa"/>
            <w:tcBorders>
              <w:top w:val="single" w:color="auto" w:sz="4" w:space="0"/>
              <w:left w:val="nil"/>
              <w:bottom w:val="single" w:color="auto" w:sz="4" w:space="0"/>
              <w:right w:val="single" w:color="auto" w:sz="4" w:space="0"/>
            </w:tcBorders>
            <w:noWrap w:val="0"/>
            <w:vAlign w:val="center"/>
          </w:tcPr>
          <w:p w14:paraId="007B142D">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试验方法</w:t>
            </w:r>
          </w:p>
        </w:tc>
      </w:tr>
      <w:tr w14:paraId="58BF6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83" w:type="dxa"/>
            <w:gridSpan w:val="2"/>
            <w:tcBorders>
              <w:top w:val="single" w:color="auto" w:sz="4" w:space="0"/>
              <w:left w:val="single" w:color="auto" w:sz="4" w:space="0"/>
              <w:bottom w:val="single" w:color="auto" w:sz="4" w:space="0"/>
              <w:right w:val="single" w:color="auto" w:sz="4" w:space="0"/>
            </w:tcBorders>
            <w:noWrap w:val="0"/>
            <w:vAlign w:val="center"/>
          </w:tcPr>
          <w:p w14:paraId="5306978C">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针入度（25℃，100g,5s）</w:t>
            </w:r>
          </w:p>
        </w:tc>
        <w:tc>
          <w:tcPr>
            <w:tcW w:w="921" w:type="dxa"/>
            <w:tcBorders>
              <w:top w:val="single" w:color="auto" w:sz="4" w:space="0"/>
              <w:left w:val="nil"/>
              <w:bottom w:val="single" w:color="auto" w:sz="4" w:space="0"/>
              <w:right w:val="single" w:color="auto" w:sz="4" w:space="0"/>
            </w:tcBorders>
            <w:noWrap w:val="0"/>
            <w:vAlign w:val="center"/>
          </w:tcPr>
          <w:p w14:paraId="7D972AEC">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0.1mm</w:t>
            </w:r>
          </w:p>
        </w:tc>
        <w:tc>
          <w:tcPr>
            <w:tcW w:w="1628" w:type="dxa"/>
            <w:tcBorders>
              <w:top w:val="single" w:color="auto" w:sz="4" w:space="0"/>
              <w:left w:val="nil"/>
              <w:bottom w:val="single" w:color="auto" w:sz="4" w:space="0"/>
              <w:right w:val="single" w:color="auto" w:sz="4" w:space="0"/>
            </w:tcBorders>
            <w:noWrap w:val="0"/>
            <w:vAlign w:val="center"/>
          </w:tcPr>
          <w:p w14:paraId="3E07AE76">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60-80</w:t>
            </w:r>
          </w:p>
        </w:tc>
        <w:tc>
          <w:tcPr>
            <w:tcW w:w="1610" w:type="dxa"/>
            <w:tcBorders>
              <w:top w:val="single" w:color="auto" w:sz="4" w:space="0"/>
              <w:left w:val="nil"/>
              <w:bottom w:val="single" w:color="auto" w:sz="4" w:space="0"/>
              <w:right w:val="single" w:color="auto" w:sz="4" w:space="0"/>
            </w:tcBorders>
            <w:noWrap w:val="0"/>
            <w:vAlign w:val="center"/>
          </w:tcPr>
          <w:p w14:paraId="39FD2637">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T0604</w:t>
            </w:r>
          </w:p>
        </w:tc>
      </w:tr>
      <w:tr w14:paraId="3AC5D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83" w:type="dxa"/>
            <w:gridSpan w:val="2"/>
            <w:tcBorders>
              <w:top w:val="single" w:color="auto" w:sz="4" w:space="0"/>
              <w:left w:val="single" w:color="auto" w:sz="4" w:space="0"/>
              <w:bottom w:val="single" w:color="auto" w:sz="4" w:space="0"/>
              <w:right w:val="single" w:color="auto" w:sz="4" w:space="0"/>
            </w:tcBorders>
            <w:noWrap w:val="0"/>
            <w:vAlign w:val="center"/>
          </w:tcPr>
          <w:p w14:paraId="0D3ACF78">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针入度指数PI</w:t>
            </w:r>
          </w:p>
        </w:tc>
        <w:tc>
          <w:tcPr>
            <w:tcW w:w="921" w:type="dxa"/>
            <w:tcBorders>
              <w:top w:val="single" w:color="auto" w:sz="4" w:space="0"/>
              <w:left w:val="nil"/>
              <w:bottom w:val="single" w:color="auto" w:sz="4" w:space="0"/>
              <w:right w:val="single" w:color="auto" w:sz="4" w:space="0"/>
            </w:tcBorders>
            <w:noWrap w:val="0"/>
            <w:vAlign w:val="center"/>
          </w:tcPr>
          <w:p w14:paraId="787FD847">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p>
        </w:tc>
        <w:tc>
          <w:tcPr>
            <w:tcW w:w="1628" w:type="dxa"/>
            <w:tcBorders>
              <w:top w:val="single" w:color="auto" w:sz="4" w:space="0"/>
              <w:left w:val="nil"/>
              <w:bottom w:val="single" w:color="auto" w:sz="4" w:space="0"/>
              <w:right w:val="single" w:color="auto" w:sz="4" w:space="0"/>
            </w:tcBorders>
            <w:noWrap w:val="0"/>
            <w:vAlign w:val="center"/>
          </w:tcPr>
          <w:p w14:paraId="4E887BF8">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-1.5～+1.0</w:t>
            </w:r>
          </w:p>
        </w:tc>
        <w:tc>
          <w:tcPr>
            <w:tcW w:w="1610" w:type="dxa"/>
            <w:tcBorders>
              <w:top w:val="single" w:color="auto" w:sz="4" w:space="0"/>
              <w:left w:val="nil"/>
              <w:bottom w:val="single" w:color="auto" w:sz="4" w:space="0"/>
              <w:right w:val="single" w:color="auto" w:sz="4" w:space="0"/>
            </w:tcBorders>
            <w:noWrap w:val="0"/>
            <w:vAlign w:val="center"/>
          </w:tcPr>
          <w:p w14:paraId="7F2E5B2A">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T0604</w:t>
            </w:r>
          </w:p>
        </w:tc>
      </w:tr>
      <w:tr w14:paraId="07615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83" w:type="dxa"/>
            <w:gridSpan w:val="2"/>
            <w:tcBorders>
              <w:top w:val="single" w:color="auto" w:sz="4" w:space="0"/>
              <w:left w:val="single" w:color="auto" w:sz="4" w:space="0"/>
              <w:bottom w:val="single" w:color="auto" w:sz="4" w:space="0"/>
              <w:right w:val="single" w:color="auto" w:sz="4" w:space="0"/>
            </w:tcBorders>
            <w:noWrap w:val="0"/>
            <w:vAlign w:val="center"/>
          </w:tcPr>
          <w:p w14:paraId="325B287C">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延度(5cm/min，10℃)  不小于</w:t>
            </w:r>
          </w:p>
        </w:tc>
        <w:tc>
          <w:tcPr>
            <w:tcW w:w="921" w:type="dxa"/>
            <w:tcBorders>
              <w:top w:val="single" w:color="auto" w:sz="4" w:space="0"/>
              <w:left w:val="nil"/>
              <w:bottom w:val="single" w:color="auto" w:sz="4" w:space="0"/>
              <w:right w:val="single" w:color="auto" w:sz="4" w:space="0"/>
            </w:tcBorders>
            <w:noWrap w:val="0"/>
            <w:vAlign w:val="center"/>
          </w:tcPr>
          <w:p w14:paraId="201E77EC">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cm</w:t>
            </w:r>
          </w:p>
        </w:tc>
        <w:tc>
          <w:tcPr>
            <w:tcW w:w="1628" w:type="dxa"/>
            <w:tcBorders>
              <w:top w:val="single" w:color="auto" w:sz="4" w:space="0"/>
              <w:left w:val="nil"/>
              <w:bottom w:val="single" w:color="auto" w:sz="4" w:space="0"/>
              <w:right w:val="single" w:color="auto" w:sz="4" w:space="0"/>
            </w:tcBorders>
            <w:noWrap w:val="0"/>
            <w:vAlign w:val="center"/>
          </w:tcPr>
          <w:p w14:paraId="651D0EB4">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15</w:t>
            </w:r>
          </w:p>
        </w:tc>
        <w:tc>
          <w:tcPr>
            <w:tcW w:w="1610" w:type="dxa"/>
            <w:tcBorders>
              <w:top w:val="single" w:color="auto" w:sz="4" w:space="0"/>
              <w:left w:val="nil"/>
              <w:bottom w:val="single" w:color="auto" w:sz="4" w:space="0"/>
              <w:right w:val="single" w:color="auto" w:sz="4" w:space="0"/>
            </w:tcBorders>
            <w:noWrap w:val="0"/>
            <w:vAlign w:val="center"/>
          </w:tcPr>
          <w:p w14:paraId="731C5CB9">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T0605</w:t>
            </w:r>
          </w:p>
        </w:tc>
      </w:tr>
      <w:tr w14:paraId="47DE0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83" w:type="dxa"/>
            <w:gridSpan w:val="2"/>
            <w:tcBorders>
              <w:top w:val="single" w:color="auto" w:sz="4" w:space="0"/>
              <w:left w:val="single" w:color="auto" w:sz="4" w:space="0"/>
              <w:bottom w:val="single" w:color="auto" w:sz="4" w:space="0"/>
              <w:right w:val="single" w:color="auto" w:sz="4" w:space="0"/>
            </w:tcBorders>
            <w:noWrap w:val="0"/>
            <w:vAlign w:val="center"/>
          </w:tcPr>
          <w:p w14:paraId="54AE4527">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软化点(R&amp;B)   不小于</w:t>
            </w:r>
          </w:p>
        </w:tc>
        <w:tc>
          <w:tcPr>
            <w:tcW w:w="921" w:type="dxa"/>
            <w:tcBorders>
              <w:top w:val="single" w:color="auto" w:sz="4" w:space="0"/>
              <w:left w:val="nil"/>
              <w:bottom w:val="single" w:color="auto" w:sz="4" w:space="0"/>
              <w:right w:val="single" w:color="auto" w:sz="4" w:space="0"/>
            </w:tcBorders>
            <w:noWrap w:val="0"/>
            <w:vAlign w:val="center"/>
          </w:tcPr>
          <w:p w14:paraId="5E6AD42D">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w:t>
            </w:r>
          </w:p>
        </w:tc>
        <w:tc>
          <w:tcPr>
            <w:tcW w:w="1628" w:type="dxa"/>
            <w:tcBorders>
              <w:top w:val="single" w:color="auto" w:sz="4" w:space="0"/>
              <w:left w:val="nil"/>
              <w:bottom w:val="single" w:color="auto" w:sz="4" w:space="0"/>
              <w:right w:val="single" w:color="auto" w:sz="4" w:space="0"/>
            </w:tcBorders>
            <w:noWrap w:val="0"/>
            <w:vAlign w:val="center"/>
          </w:tcPr>
          <w:p w14:paraId="1B943C6F">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46</w:t>
            </w:r>
          </w:p>
        </w:tc>
        <w:tc>
          <w:tcPr>
            <w:tcW w:w="1610" w:type="dxa"/>
            <w:tcBorders>
              <w:top w:val="single" w:color="auto" w:sz="4" w:space="0"/>
              <w:left w:val="nil"/>
              <w:bottom w:val="single" w:color="auto" w:sz="4" w:space="0"/>
              <w:right w:val="single" w:color="auto" w:sz="4" w:space="0"/>
            </w:tcBorders>
            <w:noWrap w:val="0"/>
            <w:vAlign w:val="center"/>
          </w:tcPr>
          <w:p w14:paraId="268EE4A1">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T0606</w:t>
            </w:r>
          </w:p>
        </w:tc>
      </w:tr>
      <w:tr w14:paraId="03C18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83" w:type="dxa"/>
            <w:gridSpan w:val="2"/>
            <w:tcBorders>
              <w:top w:val="single" w:color="auto" w:sz="4" w:space="0"/>
              <w:left w:val="single" w:color="auto" w:sz="4" w:space="0"/>
              <w:bottom w:val="single" w:color="auto" w:sz="4" w:space="0"/>
              <w:right w:val="single" w:color="auto" w:sz="4" w:space="0"/>
            </w:tcBorders>
            <w:noWrap w:val="0"/>
            <w:vAlign w:val="center"/>
          </w:tcPr>
          <w:p w14:paraId="407C5813">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60℃动力粘度   不小于</w:t>
            </w:r>
          </w:p>
        </w:tc>
        <w:tc>
          <w:tcPr>
            <w:tcW w:w="921" w:type="dxa"/>
            <w:tcBorders>
              <w:top w:val="single" w:color="auto" w:sz="4" w:space="0"/>
              <w:left w:val="nil"/>
              <w:bottom w:val="single" w:color="auto" w:sz="4" w:space="0"/>
              <w:right w:val="single" w:color="auto" w:sz="4" w:space="0"/>
            </w:tcBorders>
            <w:noWrap w:val="0"/>
            <w:vAlign w:val="center"/>
          </w:tcPr>
          <w:p w14:paraId="5B4390A0">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Pa.s</w:t>
            </w:r>
          </w:p>
        </w:tc>
        <w:tc>
          <w:tcPr>
            <w:tcW w:w="1628" w:type="dxa"/>
            <w:tcBorders>
              <w:top w:val="single" w:color="auto" w:sz="4" w:space="0"/>
              <w:left w:val="nil"/>
              <w:bottom w:val="single" w:color="auto" w:sz="4" w:space="0"/>
              <w:right w:val="single" w:color="auto" w:sz="4" w:space="0"/>
            </w:tcBorders>
            <w:noWrap w:val="0"/>
            <w:vAlign w:val="center"/>
          </w:tcPr>
          <w:p w14:paraId="509B442E">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180</w:t>
            </w:r>
          </w:p>
        </w:tc>
        <w:tc>
          <w:tcPr>
            <w:tcW w:w="1610" w:type="dxa"/>
            <w:tcBorders>
              <w:top w:val="single" w:color="auto" w:sz="4" w:space="0"/>
              <w:left w:val="nil"/>
              <w:bottom w:val="single" w:color="auto" w:sz="4" w:space="0"/>
              <w:right w:val="single" w:color="auto" w:sz="4" w:space="0"/>
            </w:tcBorders>
            <w:noWrap w:val="0"/>
            <w:vAlign w:val="center"/>
          </w:tcPr>
          <w:p w14:paraId="53A56C6B">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T0620</w:t>
            </w:r>
          </w:p>
        </w:tc>
      </w:tr>
      <w:tr w14:paraId="05FAC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83" w:type="dxa"/>
            <w:gridSpan w:val="2"/>
            <w:tcBorders>
              <w:top w:val="single" w:color="auto" w:sz="4" w:space="0"/>
              <w:left w:val="single" w:color="auto" w:sz="4" w:space="0"/>
              <w:bottom w:val="single" w:color="auto" w:sz="4" w:space="0"/>
              <w:right w:val="single" w:color="auto" w:sz="4" w:space="0"/>
            </w:tcBorders>
            <w:noWrap w:val="0"/>
            <w:vAlign w:val="center"/>
          </w:tcPr>
          <w:p w14:paraId="0639FB98">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蜡含量( 蒸馏法)   不大于</w:t>
            </w:r>
          </w:p>
        </w:tc>
        <w:tc>
          <w:tcPr>
            <w:tcW w:w="921" w:type="dxa"/>
            <w:tcBorders>
              <w:top w:val="single" w:color="auto" w:sz="4" w:space="0"/>
              <w:left w:val="nil"/>
              <w:bottom w:val="single" w:color="auto" w:sz="4" w:space="0"/>
              <w:right w:val="single" w:color="auto" w:sz="4" w:space="0"/>
            </w:tcBorders>
            <w:noWrap w:val="0"/>
            <w:vAlign w:val="center"/>
          </w:tcPr>
          <w:p w14:paraId="255001B4">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w:t>
            </w:r>
          </w:p>
        </w:tc>
        <w:tc>
          <w:tcPr>
            <w:tcW w:w="1628" w:type="dxa"/>
            <w:tcBorders>
              <w:top w:val="single" w:color="auto" w:sz="4" w:space="0"/>
              <w:left w:val="nil"/>
              <w:bottom w:val="single" w:color="auto" w:sz="4" w:space="0"/>
              <w:right w:val="single" w:color="auto" w:sz="4" w:space="0"/>
            </w:tcBorders>
            <w:noWrap w:val="0"/>
            <w:vAlign w:val="center"/>
          </w:tcPr>
          <w:p w14:paraId="485F762B">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2.2</w:t>
            </w:r>
          </w:p>
        </w:tc>
        <w:tc>
          <w:tcPr>
            <w:tcW w:w="1610" w:type="dxa"/>
            <w:tcBorders>
              <w:top w:val="single" w:color="auto" w:sz="4" w:space="0"/>
              <w:left w:val="nil"/>
              <w:bottom w:val="single" w:color="auto" w:sz="4" w:space="0"/>
              <w:right w:val="single" w:color="auto" w:sz="4" w:space="0"/>
            </w:tcBorders>
            <w:noWrap w:val="0"/>
            <w:vAlign w:val="center"/>
          </w:tcPr>
          <w:p w14:paraId="7C6EBB09">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T0615</w:t>
            </w:r>
          </w:p>
        </w:tc>
      </w:tr>
      <w:tr w14:paraId="32997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83" w:type="dxa"/>
            <w:gridSpan w:val="2"/>
            <w:tcBorders>
              <w:top w:val="single" w:color="auto" w:sz="4" w:space="0"/>
              <w:left w:val="single" w:color="auto" w:sz="4" w:space="0"/>
              <w:bottom w:val="single" w:color="auto" w:sz="4" w:space="0"/>
              <w:right w:val="single" w:color="auto" w:sz="4" w:space="0"/>
            </w:tcBorders>
            <w:noWrap w:val="0"/>
            <w:vAlign w:val="center"/>
          </w:tcPr>
          <w:p w14:paraId="014CD175">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闪点  不小于</w:t>
            </w:r>
          </w:p>
        </w:tc>
        <w:tc>
          <w:tcPr>
            <w:tcW w:w="921" w:type="dxa"/>
            <w:tcBorders>
              <w:top w:val="single" w:color="auto" w:sz="4" w:space="0"/>
              <w:left w:val="nil"/>
              <w:bottom w:val="single" w:color="auto" w:sz="4" w:space="0"/>
              <w:right w:val="single" w:color="auto" w:sz="4" w:space="0"/>
            </w:tcBorders>
            <w:noWrap w:val="0"/>
            <w:vAlign w:val="center"/>
          </w:tcPr>
          <w:p w14:paraId="7A9109B6">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w:t>
            </w:r>
          </w:p>
        </w:tc>
        <w:tc>
          <w:tcPr>
            <w:tcW w:w="1628" w:type="dxa"/>
            <w:tcBorders>
              <w:top w:val="single" w:color="auto" w:sz="4" w:space="0"/>
              <w:left w:val="nil"/>
              <w:bottom w:val="single" w:color="auto" w:sz="4" w:space="0"/>
              <w:right w:val="single" w:color="auto" w:sz="4" w:space="0"/>
            </w:tcBorders>
            <w:noWrap w:val="0"/>
            <w:vAlign w:val="center"/>
          </w:tcPr>
          <w:p w14:paraId="428B141C">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260</w:t>
            </w:r>
          </w:p>
        </w:tc>
        <w:tc>
          <w:tcPr>
            <w:tcW w:w="1610" w:type="dxa"/>
            <w:tcBorders>
              <w:top w:val="single" w:color="auto" w:sz="4" w:space="0"/>
              <w:left w:val="nil"/>
              <w:bottom w:val="single" w:color="auto" w:sz="4" w:space="0"/>
              <w:right w:val="single" w:color="auto" w:sz="4" w:space="0"/>
            </w:tcBorders>
            <w:noWrap w:val="0"/>
            <w:vAlign w:val="center"/>
          </w:tcPr>
          <w:p w14:paraId="2C93603A">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T0611</w:t>
            </w:r>
          </w:p>
        </w:tc>
      </w:tr>
      <w:tr w14:paraId="3E7F7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83" w:type="dxa"/>
            <w:gridSpan w:val="2"/>
            <w:tcBorders>
              <w:top w:val="single" w:color="auto" w:sz="4" w:space="0"/>
              <w:left w:val="single" w:color="auto" w:sz="4" w:space="0"/>
              <w:bottom w:val="single" w:color="auto" w:sz="4" w:space="0"/>
              <w:right w:val="single" w:color="auto" w:sz="4" w:space="0"/>
            </w:tcBorders>
            <w:noWrap w:val="0"/>
            <w:vAlign w:val="center"/>
          </w:tcPr>
          <w:p w14:paraId="3F90AF36">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密度(15℃)</w:t>
            </w:r>
          </w:p>
        </w:tc>
        <w:tc>
          <w:tcPr>
            <w:tcW w:w="921" w:type="dxa"/>
            <w:tcBorders>
              <w:top w:val="single" w:color="auto" w:sz="4" w:space="0"/>
              <w:left w:val="nil"/>
              <w:bottom w:val="single" w:color="auto" w:sz="4" w:space="0"/>
              <w:right w:val="single" w:color="auto" w:sz="4" w:space="0"/>
            </w:tcBorders>
            <w:noWrap w:val="0"/>
            <w:vAlign w:val="center"/>
          </w:tcPr>
          <w:p w14:paraId="6DB89688">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g/cm³</w:t>
            </w:r>
          </w:p>
        </w:tc>
        <w:tc>
          <w:tcPr>
            <w:tcW w:w="1628" w:type="dxa"/>
            <w:tcBorders>
              <w:top w:val="single" w:color="auto" w:sz="4" w:space="0"/>
              <w:left w:val="nil"/>
              <w:bottom w:val="single" w:color="auto" w:sz="4" w:space="0"/>
              <w:right w:val="single" w:color="auto" w:sz="4" w:space="0"/>
            </w:tcBorders>
            <w:noWrap w:val="0"/>
            <w:vAlign w:val="center"/>
          </w:tcPr>
          <w:p w14:paraId="4B5F4F13">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实测记录</w:t>
            </w:r>
          </w:p>
        </w:tc>
        <w:tc>
          <w:tcPr>
            <w:tcW w:w="1610" w:type="dxa"/>
            <w:tcBorders>
              <w:top w:val="single" w:color="auto" w:sz="4" w:space="0"/>
              <w:left w:val="nil"/>
              <w:bottom w:val="single" w:color="auto" w:sz="4" w:space="0"/>
              <w:right w:val="single" w:color="auto" w:sz="4" w:space="0"/>
            </w:tcBorders>
            <w:noWrap w:val="0"/>
            <w:vAlign w:val="center"/>
          </w:tcPr>
          <w:p w14:paraId="23EAF162">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T0603</w:t>
            </w:r>
          </w:p>
        </w:tc>
      </w:tr>
      <w:tr w14:paraId="08DCB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83" w:type="dxa"/>
            <w:gridSpan w:val="2"/>
            <w:tcBorders>
              <w:top w:val="single" w:color="auto" w:sz="4" w:space="0"/>
              <w:left w:val="single" w:color="auto" w:sz="4" w:space="0"/>
              <w:bottom w:val="single" w:color="auto" w:sz="4" w:space="0"/>
              <w:right w:val="single" w:color="auto" w:sz="4" w:space="0"/>
            </w:tcBorders>
            <w:noWrap w:val="0"/>
            <w:vAlign w:val="center"/>
          </w:tcPr>
          <w:p w14:paraId="270F0323">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溶解度    不小于</w:t>
            </w:r>
          </w:p>
        </w:tc>
        <w:tc>
          <w:tcPr>
            <w:tcW w:w="921" w:type="dxa"/>
            <w:tcBorders>
              <w:top w:val="single" w:color="auto" w:sz="4" w:space="0"/>
              <w:left w:val="nil"/>
              <w:bottom w:val="single" w:color="auto" w:sz="4" w:space="0"/>
              <w:right w:val="single" w:color="auto" w:sz="4" w:space="0"/>
            </w:tcBorders>
            <w:noWrap w:val="0"/>
            <w:vAlign w:val="center"/>
          </w:tcPr>
          <w:p w14:paraId="1922ABF7">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w:t>
            </w:r>
          </w:p>
        </w:tc>
        <w:tc>
          <w:tcPr>
            <w:tcW w:w="1628" w:type="dxa"/>
            <w:tcBorders>
              <w:top w:val="single" w:color="auto" w:sz="4" w:space="0"/>
              <w:left w:val="nil"/>
              <w:bottom w:val="single" w:color="auto" w:sz="4" w:space="0"/>
              <w:right w:val="single" w:color="auto" w:sz="4" w:space="0"/>
            </w:tcBorders>
            <w:noWrap w:val="0"/>
            <w:vAlign w:val="center"/>
          </w:tcPr>
          <w:p w14:paraId="0FB0C9F6">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99.5</w:t>
            </w:r>
          </w:p>
        </w:tc>
        <w:tc>
          <w:tcPr>
            <w:tcW w:w="1610" w:type="dxa"/>
            <w:tcBorders>
              <w:top w:val="single" w:color="auto" w:sz="4" w:space="0"/>
              <w:left w:val="nil"/>
              <w:bottom w:val="single" w:color="auto" w:sz="4" w:space="0"/>
              <w:right w:val="single" w:color="auto" w:sz="4" w:space="0"/>
            </w:tcBorders>
            <w:noWrap w:val="0"/>
            <w:vAlign w:val="center"/>
          </w:tcPr>
          <w:p w14:paraId="688BEF6D">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T0607</w:t>
            </w:r>
          </w:p>
        </w:tc>
      </w:tr>
      <w:tr w14:paraId="67755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2" w:type="dxa"/>
            <w:vMerge w:val="restart"/>
            <w:tcBorders>
              <w:top w:val="nil"/>
              <w:left w:val="single" w:color="auto" w:sz="4" w:space="0"/>
              <w:bottom w:val="single" w:color="auto" w:sz="4" w:space="0"/>
              <w:right w:val="single" w:color="auto" w:sz="4" w:space="0"/>
            </w:tcBorders>
            <w:noWrap w:val="0"/>
            <w:vAlign w:val="center"/>
          </w:tcPr>
          <w:p w14:paraId="42F6491A">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TFOT(或RTFOT)后</w:t>
            </w:r>
          </w:p>
        </w:tc>
        <w:tc>
          <w:tcPr>
            <w:tcW w:w="4821" w:type="dxa"/>
            <w:tcBorders>
              <w:top w:val="single" w:color="auto" w:sz="4" w:space="0"/>
              <w:left w:val="nil"/>
              <w:bottom w:val="single" w:color="auto" w:sz="4" w:space="0"/>
              <w:right w:val="single" w:color="auto" w:sz="4" w:space="0"/>
            </w:tcBorders>
            <w:noWrap w:val="0"/>
            <w:vAlign w:val="center"/>
          </w:tcPr>
          <w:p w14:paraId="7346AE35">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质量变化       不大于</w:t>
            </w:r>
          </w:p>
        </w:tc>
        <w:tc>
          <w:tcPr>
            <w:tcW w:w="921" w:type="dxa"/>
            <w:tcBorders>
              <w:top w:val="single" w:color="auto" w:sz="4" w:space="0"/>
              <w:left w:val="nil"/>
              <w:bottom w:val="single" w:color="auto" w:sz="4" w:space="0"/>
              <w:right w:val="single" w:color="auto" w:sz="4" w:space="0"/>
            </w:tcBorders>
            <w:noWrap w:val="0"/>
            <w:vAlign w:val="center"/>
          </w:tcPr>
          <w:p w14:paraId="02D968DB">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w:t>
            </w:r>
          </w:p>
        </w:tc>
        <w:tc>
          <w:tcPr>
            <w:tcW w:w="1628" w:type="dxa"/>
            <w:tcBorders>
              <w:top w:val="single" w:color="auto" w:sz="4" w:space="0"/>
              <w:left w:val="nil"/>
              <w:bottom w:val="single" w:color="auto" w:sz="4" w:space="0"/>
              <w:right w:val="single" w:color="auto" w:sz="4" w:space="0"/>
            </w:tcBorders>
            <w:noWrap w:val="0"/>
            <w:vAlign w:val="center"/>
          </w:tcPr>
          <w:p w14:paraId="66AE90EE">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±0.8</w:t>
            </w:r>
          </w:p>
        </w:tc>
        <w:tc>
          <w:tcPr>
            <w:tcW w:w="1610" w:type="dxa"/>
            <w:tcBorders>
              <w:top w:val="single" w:color="auto" w:sz="4" w:space="0"/>
              <w:left w:val="nil"/>
              <w:bottom w:val="single" w:color="auto" w:sz="4" w:space="0"/>
              <w:right w:val="single" w:color="auto" w:sz="4" w:space="0"/>
            </w:tcBorders>
            <w:noWrap w:val="0"/>
            <w:vAlign w:val="center"/>
          </w:tcPr>
          <w:p w14:paraId="3B289EA0">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T0610或 T0609</w:t>
            </w:r>
          </w:p>
        </w:tc>
      </w:tr>
      <w:tr w14:paraId="425F2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2" w:type="dxa"/>
            <w:vMerge w:val="continue"/>
            <w:tcBorders>
              <w:top w:val="nil"/>
              <w:left w:val="single" w:color="auto" w:sz="4" w:space="0"/>
              <w:bottom w:val="single" w:color="auto" w:sz="4" w:space="0"/>
              <w:right w:val="single" w:color="auto" w:sz="4" w:space="0"/>
            </w:tcBorders>
            <w:noWrap w:val="0"/>
            <w:vAlign w:val="center"/>
          </w:tcPr>
          <w:p w14:paraId="3E074101">
            <w:pPr>
              <w:widowControl/>
              <w:overflowPunct/>
              <w:spacing w:line="240" w:lineRule="auto"/>
              <w:ind w:firstLine="0" w:firstLineChars="0"/>
              <w:jc w:val="center"/>
              <w:rPr>
                <w:rFonts w:hint="eastAsia" w:ascii="宋体" w:hAnsi="宋体" w:eastAsia="宋体" w:cs="宋体"/>
                <w:kern w:val="2"/>
                <w:sz w:val="24"/>
                <w:szCs w:val="24"/>
              </w:rPr>
            </w:pPr>
          </w:p>
        </w:tc>
        <w:tc>
          <w:tcPr>
            <w:tcW w:w="4821" w:type="dxa"/>
            <w:tcBorders>
              <w:top w:val="single" w:color="auto" w:sz="4" w:space="0"/>
              <w:left w:val="nil"/>
              <w:bottom w:val="single" w:color="auto" w:sz="4" w:space="0"/>
              <w:right w:val="single" w:color="auto" w:sz="4" w:space="0"/>
            </w:tcBorders>
            <w:noWrap w:val="0"/>
            <w:vAlign w:val="center"/>
          </w:tcPr>
          <w:p w14:paraId="3161B9E0">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残留针入度比（25℃）   不小于</w:t>
            </w:r>
          </w:p>
        </w:tc>
        <w:tc>
          <w:tcPr>
            <w:tcW w:w="921" w:type="dxa"/>
            <w:tcBorders>
              <w:top w:val="single" w:color="auto" w:sz="4" w:space="0"/>
              <w:left w:val="nil"/>
              <w:bottom w:val="single" w:color="auto" w:sz="4" w:space="0"/>
              <w:right w:val="single" w:color="auto" w:sz="4" w:space="0"/>
            </w:tcBorders>
            <w:noWrap w:val="0"/>
            <w:vAlign w:val="center"/>
          </w:tcPr>
          <w:p w14:paraId="7E3D9D5E">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w:t>
            </w:r>
          </w:p>
        </w:tc>
        <w:tc>
          <w:tcPr>
            <w:tcW w:w="1628" w:type="dxa"/>
            <w:tcBorders>
              <w:top w:val="single" w:color="auto" w:sz="4" w:space="0"/>
              <w:left w:val="nil"/>
              <w:bottom w:val="single" w:color="auto" w:sz="4" w:space="0"/>
              <w:right w:val="single" w:color="auto" w:sz="4" w:space="0"/>
            </w:tcBorders>
            <w:noWrap w:val="0"/>
            <w:vAlign w:val="center"/>
          </w:tcPr>
          <w:p w14:paraId="221F2C15">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61</w:t>
            </w:r>
          </w:p>
        </w:tc>
        <w:tc>
          <w:tcPr>
            <w:tcW w:w="1610" w:type="dxa"/>
            <w:tcBorders>
              <w:top w:val="single" w:color="auto" w:sz="4" w:space="0"/>
              <w:left w:val="nil"/>
              <w:bottom w:val="single" w:color="auto" w:sz="4" w:space="0"/>
              <w:right w:val="single" w:color="auto" w:sz="4" w:space="0"/>
            </w:tcBorders>
            <w:noWrap w:val="0"/>
            <w:vAlign w:val="center"/>
          </w:tcPr>
          <w:p w14:paraId="514823D7">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T0604</w:t>
            </w:r>
          </w:p>
        </w:tc>
      </w:tr>
      <w:tr w14:paraId="084B9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2" w:type="dxa"/>
            <w:vMerge w:val="continue"/>
            <w:tcBorders>
              <w:top w:val="nil"/>
              <w:left w:val="single" w:color="auto" w:sz="4" w:space="0"/>
              <w:bottom w:val="single" w:color="auto" w:sz="4" w:space="0"/>
              <w:right w:val="single" w:color="auto" w:sz="4" w:space="0"/>
            </w:tcBorders>
            <w:noWrap w:val="0"/>
            <w:vAlign w:val="center"/>
          </w:tcPr>
          <w:p w14:paraId="446AB78F">
            <w:pPr>
              <w:widowControl/>
              <w:overflowPunct/>
              <w:spacing w:line="240" w:lineRule="auto"/>
              <w:ind w:firstLine="0" w:firstLineChars="0"/>
              <w:jc w:val="center"/>
              <w:rPr>
                <w:rFonts w:hint="eastAsia" w:ascii="宋体" w:hAnsi="宋体" w:eastAsia="宋体" w:cs="宋体"/>
                <w:kern w:val="2"/>
                <w:sz w:val="24"/>
                <w:szCs w:val="24"/>
              </w:rPr>
            </w:pPr>
          </w:p>
        </w:tc>
        <w:tc>
          <w:tcPr>
            <w:tcW w:w="4821" w:type="dxa"/>
            <w:tcBorders>
              <w:top w:val="single" w:color="auto" w:sz="4" w:space="0"/>
              <w:left w:val="nil"/>
              <w:bottom w:val="single" w:color="auto" w:sz="4" w:space="0"/>
              <w:right w:val="single" w:color="auto" w:sz="4" w:space="0"/>
            </w:tcBorders>
            <w:noWrap w:val="0"/>
            <w:vAlign w:val="center"/>
          </w:tcPr>
          <w:p w14:paraId="7739E8CD">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残留延度（10℃）       不小于</w:t>
            </w:r>
          </w:p>
        </w:tc>
        <w:tc>
          <w:tcPr>
            <w:tcW w:w="921" w:type="dxa"/>
            <w:tcBorders>
              <w:top w:val="single" w:color="auto" w:sz="4" w:space="0"/>
              <w:left w:val="nil"/>
              <w:bottom w:val="single" w:color="auto" w:sz="4" w:space="0"/>
              <w:right w:val="single" w:color="auto" w:sz="4" w:space="0"/>
            </w:tcBorders>
            <w:noWrap w:val="0"/>
            <w:vAlign w:val="center"/>
          </w:tcPr>
          <w:p w14:paraId="53683098">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cm</w:t>
            </w:r>
          </w:p>
        </w:tc>
        <w:tc>
          <w:tcPr>
            <w:tcW w:w="1628" w:type="dxa"/>
            <w:tcBorders>
              <w:top w:val="single" w:color="auto" w:sz="4" w:space="0"/>
              <w:left w:val="nil"/>
              <w:bottom w:val="single" w:color="auto" w:sz="4" w:space="0"/>
              <w:right w:val="single" w:color="auto" w:sz="4" w:space="0"/>
            </w:tcBorders>
            <w:noWrap w:val="0"/>
            <w:vAlign w:val="center"/>
          </w:tcPr>
          <w:p w14:paraId="726A05F5">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6</w:t>
            </w:r>
          </w:p>
        </w:tc>
        <w:tc>
          <w:tcPr>
            <w:tcW w:w="1610" w:type="dxa"/>
            <w:tcBorders>
              <w:top w:val="single" w:color="auto" w:sz="4" w:space="0"/>
              <w:left w:val="nil"/>
              <w:bottom w:val="single" w:color="auto" w:sz="4" w:space="0"/>
              <w:right w:val="single" w:color="auto" w:sz="4" w:space="0"/>
            </w:tcBorders>
            <w:noWrap w:val="0"/>
            <w:vAlign w:val="center"/>
          </w:tcPr>
          <w:p w14:paraId="52BB3622">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T0605</w:t>
            </w:r>
          </w:p>
        </w:tc>
      </w:tr>
    </w:tbl>
    <w:p w14:paraId="606A1A62">
      <w:pPr>
        <w:spacing w:line="360" w:lineRule="auto"/>
        <w:ind w:firstLine="480" w:firstLineChars="200"/>
        <w:jc w:val="left"/>
        <w:rPr>
          <w:rFonts w:hint="eastAsia"/>
          <w:sz w:val="24"/>
          <w:szCs w:val="24"/>
          <w:lang w:val="en-US" w:eastAsia="zh-CN"/>
        </w:rPr>
      </w:pPr>
      <w:r>
        <w:rPr>
          <w:rFonts w:hint="eastAsia"/>
          <w:sz w:val="24"/>
          <w:szCs w:val="24"/>
          <w:lang w:val="en-US" w:eastAsia="zh-CN"/>
        </w:rPr>
        <w:t>沥青面层采用成品改性沥青，改性剂掺量为2.5%(具体掺量通过相关试验结合改性沥青技术要求及沥青混合料性能技术要求确定)。改性沥青技术要求如下表：</w:t>
      </w:r>
    </w:p>
    <w:p w14:paraId="5ECC87FF">
      <w:pPr>
        <w:spacing w:line="360" w:lineRule="auto"/>
        <w:ind w:firstLine="482" w:firstLineChars="200"/>
        <w:jc w:val="center"/>
        <w:rPr>
          <w:rFonts w:hint="eastAsia"/>
          <w:b/>
          <w:bCs/>
          <w:sz w:val="24"/>
          <w:szCs w:val="24"/>
          <w:lang w:val="en-US" w:eastAsia="zh-CN"/>
        </w:rPr>
      </w:pPr>
      <w:r>
        <w:rPr>
          <w:rFonts w:hint="eastAsia"/>
          <w:b/>
          <w:bCs/>
          <w:sz w:val="24"/>
          <w:szCs w:val="24"/>
          <w:lang w:val="en-US" w:eastAsia="zh-CN"/>
        </w:rPr>
        <w:t>SBS改性沥青技术要求</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76"/>
        <w:gridCol w:w="953"/>
        <w:gridCol w:w="1684"/>
        <w:gridCol w:w="1665"/>
      </w:tblGrid>
      <w:tr w14:paraId="42D09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76" w:type="dxa"/>
            <w:vMerge w:val="restart"/>
            <w:tcBorders>
              <w:top w:val="single" w:color="auto" w:sz="4" w:space="0"/>
              <w:left w:val="single" w:color="auto" w:sz="4" w:space="0"/>
              <w:bottom w:val="single" w:color="auto" w:sz="4" w:space="0"/>
              <w:right w:val="single" w:color="auto" w:sz="4" w:space="0"/>
            </w:tcBorders>
            <w:noWrap w:val="0"/>
            <w:vAlign w:val="center"/>
          </w:tcPr>
          <w:p w14:paraId="07824CC6">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指标</w:t>
            </w:r>
          </w:p>
        </w:tc>
        <w:tc>
          <w:tcPr>
            <w:tcW w:w="953" w:type="dxa"/>
            <w:vMerge w:val="restart"/>
            <w:tcBorders>
              <w:top w:val="single" w:color="auto" w:sz="4" w:space="0"/>
              <w:left w:val="nil"/>
              <w:bottom w:val="single" w:color="auto" w:sz="4" w:space="0"/>
              <w:right w:val="single" w:color="auto" w:sz="4" w:space="0"/>
            </w:tcBorders>
            <w:noWrap w:val="0"/>
            <w:vAlign w:val="center"/>
          </w:tcPr>
          <w:p w14:paraId="42DC16C5">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单位</w:t>
            </w:r>
          </w:p>
        </w:tc>
        <w:tc>
          <w:tcPr>
            <w:tcW w:w="1684" w:type="dxa"/>
            <w:tcBorders>
              <w:top w:val="single" w:color="auto" w:sz="4" w:space="0"/>
              <w:left w:val="nil"/>
              <w:bottom w:val="single" w:color="auto" w:sz="4" w:space="0"/>
              <w:right w:val="single" w:color="auto" w:sz="4" w:space="0"/>
            </w:tcBorders>
            <w:noWrap w:val="0"/>
            <w:vAlign w:val="center"/>
          </w:tcPr>
          <w:p w14:paraId="5DD83050">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70号</w:t>
            </w:r>
          </w:p>
        </w:tc>
        <w:tc>
          <w:tcPr>
            <w:tcW w:w="1665" w:type="dxa"/>
            <w:vMerge w:val="restart"/>
            <w:tcBorders>
              <w:top w:val="single" w:color="auto" w:sz="4" w:space="0"/>
              <w:left w:val="nil"/>
              <w:bottom w:val="single" w:color="auto" w:sz="4" w:space="0"/>
              <w:right w:val="single" w:color="auto" w:sz="4" w:space="0"/>
            </w:tcBorders>
            <w:noWrap w:val="0"/>
            <w:vAlign w:val="center"/>
          </w:tcPr>
          <w:p w14:paraId="0CFFEC83">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试验方法</w:t>
            </w:r>
          </w:p>
        </w:tc>
      </w:tr>
      <w:tr w14:paraId="4B0D9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76" w:type="dxa"/>
            <w:vMerge w:val="continue"/>
            <w:tcBorders>
              <w:top w:val="single" w:color="auto" w:sz="4" w:space="0"/>
              <w:left w:val="single" w:color="auto" w:sz="4" w:space="0"/>
              <w:bottom w:val="single" w:color="auto" w:sz="4" w:space="0"/>
              <w:right w:val="single" w:color="auto" w:sz="4" w:space="0"/>
            </w:tcBorders>
            <w:noWrap w:val="0"/>
            <w:vAlign w:val="center"/>
          </w:tcPr>
          <w:p w14:paraId="408762C0">
            <w:pPr>
              <w:widowControl/>
              <w:overflowPunct/>
              <w:spacing w:line="240" w:lineRule="auto"/>
              <w:ind w:firstLine="0" w:firstLineChars="0"/>
              <w:jc w:val="left"/>
              <w:rPr>
                <w:rFonts w:hint="eastAsia" w:ascii="宋体" w:hAnsi="宋体" w:eastAsia="宋体" w:cs="宋体"/>
                <w:kern w:val="2"/>
                <w:sz w:val="24"/>
                <w:szCs w:val="24"/>
              </w:rPr>
            </w:pPr>
          </w:p>
        </w:tc>
        <w:tc>
          <w:tcPr>
            <w:tcW w:w="953" w:type="dxa"/>
            <w:vMerge w:val="continue"/>
            <w:tcBorders>
              <w:top w:val="single" w:color="auto" w:sz="4" w:space="0"/>
              <w:left w:val="nil"/>
              <w:bottom w:val="single" w:color="auto" w:sz="4" w:space="0"/>
              <w:right w:val="single" w:color="auto" w:sz="4" w:space="0"/>
            </w:tcBorders>
            <w:noWrap w:val="0"/>
            <w:vAlign w:val="center"/>
          </w:tcPr>
          <w:p w14:paraId="444C12BB">
            <w:pPr>
              <w:widowControl/>
              <w:overflowPunct/>
              <w:spacing w:line="240" w:lineRule="auto"/>
              <w:ind w:firstLine="0" w:firstLineChars="0"/>
              <w:jc w:val="left"/>
              <w:rPr>
                <w:rFonts w:hint="eastAsia" w:ascii="宋体" w:hAnsi="宋体" w:eastAsia="宋体" w:cs="宋体"/>
                <w:kern w:val="2"/>
                <w:sz w:val="24"/>
                <w:szCs w:val="24"/>
              </w:rPr>
            </w:pPr>
          </w:p>
        </w:tc>
        <w:tc>
          <w:tcPr>
            <w:tcW w:w="1684" w:type="dxa"/>
            <w:tcBorders>
              <w:top w:val="single" w:color="auto" w:sz="4" w:space="0"/>
              <w:left w:val="nil"/>
              <w:bottom w:val="single" w:color="auto" w:sz="4" w:space="0"/>
              <w:right w:val="single" w:color="auto" w:sz="4" w:space="0"/>
            </w:tcBorders>
            <w:noWrap w:val="0"/>
            <w:vAlign w:val="center"/>
          </w:tcPr>
          <w:p w14:paraId="6257B113">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I-D</w:t>
            </w:r>
          </w:p>
        </w:tc>
        <w:tc>
          <w:tcPr>
            <w:tcW w:w="1665" w:type="dxa"/>
            <w:vMerge w:val="continue"/>
            <w:tcBorders>
              <w:top w:val="single" w:color="auto" w:sz="4" w:space="0"/>
              <w:left w:val="nil"/>
              <w:bottom w:val="single" w:color="auto" w:sz="4" w:space="0"/>
              <w:right w:val="single" w:color="auto" w:sz="4" w:space="0"/>
            </w:tcBorders>
            <w:noWrap w:val="0"/>
            <w:vAlign w:val="center"/>
          </w:tcPr>
          <w:p w14:paraId="39453A42">
            <w:pPr>
              <w:widowControl/>
              <w:overflowPunct/>
              <w:spacing w:line="240" w:lineRule="auto"/>
              <w:ind w:firstLine="0" w:firstLineChars="0"/>
              <w:jc w:val="left"/>
              <w:rPr>
                <w:rFonts w:hint="eastAsia" w:ascii="宋体" w:hAnsi="宋体" w:eastAsia="宋体" w:cs="宋体"/>
                <w:kern w:val="2"/>
                <w:sz w:val="24"/>
                <w:szCs w:val="24"/>
              </w:rPr>
            </w:pPr>
          </w:p>
        </w:tc>
      </w:tr>
      <w:tr w14:paraId="3FA3F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76" w:type="dxa"/>
            <w:tcBorders>
              <w:top w:val="single" w:color="auto" w:sz="4" w:space="0"/>
              <w:left w:val="single" w:color="auto" w:sz="4" w:space="0"/>
              <w:bottom w:val="single" w:color="auto" w:sz="4" w:space="0"/>
              <w:right w:val="single" w:color="auto" w:sz="4" w:space="0"/>
            </w:tcBorders>
            <w:noWrap w:val="0"/>
            <w:vAlign w:val="center"/>
          </w:tcPr>
          <w:p w14:paraId="12431DD0">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针入度（25℃，100g,5s）</w:t>
            </w:r>
          </w:p>
        </w:tc>
        <w:tc>
          <w:tcPr>
            <w:tcW w:w="953" w:type="dxa"/>
            <w:tcBorders>
              <w:top w:val="single" w:color="auto" w:sz="4" w:space="0"/>
              <w:left w:val="nil"/>
              <w:bottom w:val="single" w:color="auto" w:sz="4" w:space="0"/>
              <w:right w:val="single" w:color="auto" w:sz="4" w:space="0"/>
            </w:tcBorders>
            <w:noWrap w:val="0"/>
            <w:vAlign w:val="center"/>
          </w:tcPr>
          <w:p w14:paraId="7CB8671F">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0.1mm</w:t>
            </w:r>
          </w:p>
        </w:tc>
        <w:tc>
          <w:tcPr>
            <w:tcW w:w="1684" w:type="dxa"/>
            <w:tcBorders>
              <w:top w:val="single" w:color="auto" w:sz="4" w:space="0"/>
              <w:left w:val="nil"/>
              <w:bottom w:val="single" w:color="auto" w:sz="4" w:space="0"/>
              <w:right w:val="single" w:color="auto" w:sz="4" w:space="0"/>
            </w:tcBorders>
            <w:noWrap w:val="0"/>
            <w:vAlign w:val="center"/>
          </w:tcPr>
          <w:p w14:paraId="3722B746">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40-60</w:t>
            </w:r>
          </w:p>
        </w:tc>
        <w:tc>
          <w:tcPr>
            <w:tcW w:w="1665" w:type="dxa"/>
            <w:tcBorders>
              <w:top w:val="single" w:color="auto" w:sz="4" w:space="0"/>
              <w:left w:val="nil"/>
              <w:bottom w:val="single" w:color="auto" w:sz="4" w:space="0"/>
              <w:right w:val="single" w:color="auto" w:sz="4" w:space="0"/>
            </w:tcBorders>
            <w:noWrap w:val="0"/>
            <w:vAlign w:val="center"/>
          </w:tcPr>
          <w:p w14:paraId="3FC4FA18">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T0604</w:t>
            </w:r>
          </w:p>
        </w:tc>
      </w:tr>
      <w:tr w14:paraId="10618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76" w:type="dxa"/>
            <w:tcBorders>
              <w:top w:val="single" w:color="auto" w:sz="4" w:space="0"/>
              <w:left w:val="single" w:color="auto" w:sz="4" w:space="0"/>
              <w:bottom w:val="single" w:color="auto" w:sz="4" w:space="0"/>
              <w:right w:val="single" w:color="auto" w:sz="4" w:space="0"/>
            </w:tcBorders>
            <w:noWrap w:val="0"/>
            <w:vAlign w:val="center"/>
          </w:tcPr>
          <w:p w14:paraId="653EC83C">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针入度指数PI      不小于</w:t>
            </w:r>
          </w:p>
        </w:tc>
        <w:tc>
          <w:tcPr>
            <w:tcW w:w="953" w:type="dxa"/>
            <w:tcBorders>
              <w:top w:val="single" w:color="auto" w:sz="4" w:space="0"/>
              <w:left w:val="nil"/>
              <w:bottom w:val="single" w:color="auto" w:sz="4" w:space="0"/>
              <w:right w:val="single" w:color="auto" w:sz="4" w:space="0"/>
            </w:tcBorders>
            <w:noWrap w:val="0"/>
            <w:vAlign w:val="center"/>
          </w:tcPr>
          <w:p w14:paraId="4FFB582B">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p>
        </w:tc>
        <w:tc>
          <w:tcPr>
            <w:tcW w:w="1684" w:type="dxa"/>
            <w:tcBorders>
              <w:top w:val="single" w:color="auto" w:sz="4" w:space="0"/>
              <w:left w:val="nil"/>
              <w:bottom w:val="single" w:color="auto" w:sz="4" w:space="0"/>
              <w:right w:val="single" w:color="auto" w:sz="4" w:space="0"/>
            </w:tcBorders>
            <w:noWrap w:val="0"/>
            <w:vAlign w:val="center"/>
          </w:tcPr>
          <w:p w14:paraId="5C1F3A0A">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0</w:t>
            </w:r>
          </w:p>
        </w:tc>
        <w:tc>
          <w:tcPr>
            <w:tcW w:w="1665" w:type="dxa"/>
            <w:tcBorders>
              <w:top w:val="single" w:color="auto" w:sz="4" w:space="0"/>
              <w:left w:val="nil"/>
              <w:bottom w:val="single" w:color="auto" w:sz="4" w:space="0"/>
              <w:right w:val="single" w:color="auto" w:sz="4" w:space="0"/>
            </w:tcBorders>
            <w:noWrap w:val="0"/>
            <w:vAlign w:val="center"/>
          </w:tcPr>
          <w:p w14:paraId="3BAC0EA9">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T0604</w:t>
            </w:r>
          </w:p>
        </w:tc>
      </w:tr>
      <w:tr w14:paraId="05C8C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76" w:type="dxa"/>
            <w:tcBorders>
              <w:top w:val="single" w:color="auto" w:sz="4" w:space="0"/>
              <w:left w:val="single" w:color="auto" w:sz="4" w:space="0"/>
              <w:bottom w:val="single" w:color="auto" w:sz="4" w:space="0"/>
              <w:right w:val="single" w:color="auto" w:sz="4" w:space="0"/>
            </w:tcBorders>
            <w:noWrap w:val="0"/>
            <w:vAlign w:val="center"/>
          </w:tcPr>
          <w:p w14:paraId="0B8C6B62">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延度(5cm/min，5℃)  不小于</w:t>
            </w:r>
          </w:p>
        </w:tc>
        <w:tc>
          <w:tcPr>
            <w:tcW w:w="953" w:type="dxa"/>
            <w:tcBorders>
              <w:top w:val="single" w:color="auto" w:sz="4" w:space="0"/>
              <w:left w:val="nil"/>
              <w:bottom w:val="single" w:color="auto" w:sz="4" w:space="0"/>
              <w:right w:val="single" w:color="auto" w:sz="4" w:space="0"/>
            </w:tcBorders>
            <w:noWrap w:val="0"/>
            <w:vAlign w:val="center"/>
          </w:tcPr>
          <w:p w14:paraId="2C166AF2">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cm</w:t>
            </w:r>
          </w:p>
        </w:tc>
        <w:tc>
          <w:tcPr>
            <w:tcW w:w="1684" w:type="dxa"/>
            <w:tcBorders>
              <w:top w:val="single" w:color="auto" w:sz="4" w:space="0"/>
              <w:left w:val="nil"/>
              <w:bottom w:val="single" w:color="auto" w:sz="4" w:space="0"/>
              <w:right w:val="single" w:color="auto" w:sz="4" w:space="0"/>
            </w:tcBorders>
            <w:noWrap w:val="0"/>
            <w:vAlign w:val="center"/>
          </w:tcPr>
          <w:p w14:paraId="0CD4D9A4">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20</w:t>
            </w:r>
          </w:p>
        </w:tc>
        <w:tc>
          <w:tcPr>
            <w:tcW w:w="1665" w:type="dxa"/>
            <w:tcBorders>
              <w:top w:val="single" w:color="auto" w:sz="4" w:space="0"/>
              <w:left w:val="nil"/>
              <w:bottom w:val="single" w:color="auto" w:sz="4" w:space="0"/>
              <w:right w:val="single" w:color="auto" w:sz="4" w:space="0"/>
            </w:tcBorders>
            <w:noWrap w:val="0"/>
            <w:vAlign w:val="center"/>
          </w:tcPr>
          <w:p w14:paraId="628DE873">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T0605</w:t>
            </w:r>
          </w:p>
        </w:tc>
      </w:tr>
      <w:tr w14:paraId="70A3D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76" w:type="dxa"/>
            <w:tcBorders>
              <w:top w:val="single" w:color="auto" w:sz="4" w:space="0"/>
              <w:left w:val="single" w:color="auto" w:sz="4" w:space="0"/>
              <w:bottom w:val="single" w:color="auto" w:sz="4" w:space="0"/>
              <w:right w:val="single" w:color="auto" w:sz="4" w:space="0"/>
            </w:tcBorders>
            <w:noWrap w:val="0"/>
            <w:vAlign w:val="center"/>
          </w:tcPr>
          <w:p w14:paraId="65EC4DB5">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软化点(R&amp;B)   不小于</w:t>
            </w:r>
          </w:p>
        </w:tc>
        <w:tc>
          <w:tcPr>
            <w:tcW w:w="953" w:type="dxa"/>
            <w:tcBorders>
              <w:top w:val="single" w:color="auto" w:sz="4" w:space="0"/>
              <w:left w:val="nil"/>
              <w:bottom w:val="single" w:color="auto" w:sz="4" w:space="0"/>
              <w:right w:val="single" w:color="auto" w:sz="4" w:space="0"/>
            </w:tcBorders>
            <w:noWrap w:val="0"/>
            <w:vAlign w:val="center"/>
          </w:tcPr>
          <w:p w14:paraId="6A1AAF8F">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w:t>
            </w:r>
          </w:p>
        </w:tc>
        <w:tc>
          <w:tcPr>
            <w:tcW w:w="1684" w:type="dxa"/>
            <w:tcBorders>
              <w:top w:val="single" w:color="auto" w:sz="4" w:space="0"/>
              <w:left w:val="nil"/>
              <w:bottom w:val="single" w:color="auto" w:sz="4" w:space="0"/>
              <w:right w:val="single" w:color="auto" w:sz="4" w:space="0"/>
            </w:tcBorders>
            <w:noWrap w:val="0"/>
            <w:vAlign w:val="center"/>
          </w:tcPr>
          <w:p w14:paraId="13643578">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60</w:t>
            </w:r>
          </w:p>
        </w:tc>
        <w:tc>
          <w:tcPr>
            <w:tcW w:w="1665" w:type="dxa"/>
            <w:tcBorders>
              <w:top w:val="single" w:color="auto" w:sz="4" w:space="0"/>
              <w:left w:val="nil"/>
              <w:bottom w:val="single" w:color="auto" w:sz="4" w:space="0"/>
              <w:right w:val="single" w:color="auto" w:sz="4" w:space="0"/>
            </w:tcBorders>
            <w:noWrap w:val="0"/>
            <w:vAlign w:val="center"/>
          </w:tcPr>
          <w:p w14:paraId="2E6D2A03">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T0606</w:t>
            </w:r>
          </w:p>
        </w:tc>
      </w:tr>
      <w:tr w14:paraId="4B374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76" w:type="dxa"/>
            <w:tcBorders>
              <w:top w:val="single" w:color="auto" w:sz="4" w:space="0"/>
              <w:left w:val="single" w:color="auto" w:sz="4" w:space="0"/>
              <w:bottom w:val="single" w:color="auto" w:sz="4" w:space="0"/>
              <w:right w:val="single" w:color="auto" w:sz="4" w:space="0"/>
            </w:tcBorders>
            <w:noWrap w:val="0"/>
            <w:vAlign w:val="center"/>
          </w:tcPr>
          <w:p w14:paraId="7B00ABAD">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动力粘度(135℃) 不小于</w:t>
            </w:r>
          </w:p>
        </w:tc>
        <w:tc>
          <w:tcPr>
            <w:tcW w:w="953" w:type="dxa"/>
            <w:tcBorders>
              <w:top w:val="single" w:color="auto" w:sz="4" w:space="0"/>
              <w:left w:val="nil"/>
              <w:bottom w:val="single" w:color="auto" w:sz="4" w:space="0"/>
              <w:right w:val="single" w:color="auto" w:sz="4" w:space="0"/>
            </w:tcBorders>
            <w:noWrap w:val="0"/>
            <w:vAlign w:val="center"/>
          </w:tcPr>
          <w:p w14:paraId="5BCEDCC9">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Pa.s</w:t>
            </w:r>
          </w:p>
        </w:tc>
        <w:tc>
          <w:tcPr>
            <w:tcW w:w="1684" w:type="dxa"/>
            <w:tcBorders>
              <w:top w:val="single" w:color="auto" w:sz="4" w:space="0"/>
              <w:left w:val="nil"/>
              <w:bottom w:val="single" w:color="auto" w:sz="4" w:space="0"/>
              <w:right w:val="single" w:color="auto" w:sz="4" w:space="0"/>
            </w:tcBorders>
            <w:noWrap w:val="0"/>
            <w:vAlign w:val="center"/>
          </w:tcPr>
          <w:p w14:paraId="347AB836">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3</w:t>
            </w:r>
          </w:p>
        </w:tc>
        <w:tc>
          <w:tcPr>
            <w:tcW w:w="1665" w:type="dxa"/>
            <w:tcBorders>
              <w:top w:val="single" w:color="auto" w:sz="4" w:space="0"/>
              <w:left w:val="nil"/>
              <w:bottom w:val="single" w:color="auto" w:sz="4" w:space="0"/>
              <w:right w:val="single" w:color="auto" w:sz="4" w:space="0"/>
            </w:tcBorders>
            <w:noWrap w:val="0"/>
            <w:vAlign w:val="center"/>
          </w:tcPr>
          <w:p w14:paraId="7523590C">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T0625/T0619</w:t>
            </w:r>
          </w:p>
        </w:tc>
      </w:tr>
      <w:tr w14:paraId="004F8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76" w:type="dxa"/>
            <w:tcBorders>
              <w:top w:val="single" w:color="auto" w:sz="4" w:space="0"/>
              <w:left w:val="single" w:color="auto" w:sz="4" w:space="0"/>
              <w:bottom w:val="single" w:color="auto" w:sz="4" w:space="0"/>
              <w:right w:val="single" w:color="auto" w:sz="4" w:space="0"/>
            </w:tcBorders>
            <w:noWrap w:val="0"/>
            <w:vAlign w:val="center"/>
          </w:tcPr>
          <w:p w14:paraId="58F9078B">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弹性恢复25℃   不大于</w:t>
            </w:r>
          </w:p>
        </w:tc>
        <w:tc>
          <w:tcPr>
            <w:tcW w:w="953" w:type="dxa"/>
            <w:tcBorders>
              <w:top w:val="single" w:color="auto" w:sz="4" w:space="0"/>
              <w:left w:val="nil"/>
              <w:bottom w:val="single" w:color="auto" w:sz="4" w:space="0"/>
              <w:right w:val="single" w:color="auto" w:sz="4" w:space="0"/>
            </w:tcBorders>
            <w:noWrap w:val="0"/>
            <w:vAlign w:val="center"/>
          </w:tcPr>
          <w:p w14:paraId="4D692D7F">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w:t>
            </w:r>
          </w:p>
        </w:tc>
        <w:tc>
          <w:tcPr>
            <w:tcW w:w="1684" w:type="dxa"/>
            <w:tcBorders>
              <w:top w:val="single" w:color="auto" w:sz="4" w:space="0"/>
              <w:left w:val="nil"/>
              <w:bottom w:val="single" w:color="auto" w:sz="4" w:space="0"/>
              <w:right w:val="single" w:color="auto" w:sz="4" w:space="0"/>
            </w:tcBorders>
            <w:noWrap w:val="0"/>
            <w:vAlign w:val="center"/>
          </w:tcPr>
          <w:p w14:paraId="6B7523E0">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75</w:t>
            </w:r>
          </w:p>
        </w:tc>
        <w:tc>
          <w:tcPr>
            <w:tcW w:w="1665" w:type="dxa"/>
            <w:tcBorders>
              <w:top w:val="single" w:color="auto" w:sz="4" w:space="0"/>
              <w:left w:val="nil"/>
              <w:bottom w:val="single" w:color="auto" w:sz="4" w:space="0"/>
              <w:right w:val="single" w:color="auto" w:sz="4" w:space="0"/>
            </w:tcBorders>
            <w:noWrap w:val="0"/>
            <w:vAlign w:val="center"/>
          </w:tcPr>
          <w:p w14:paraId="0EDABD50">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T0662</w:t>
            </w:r>
          </w:p>
        </w:tc>
      </w:tr>
      <w:tr w14:paraId="62161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76" w:type="dxa"/>
            <w:tcBorders>
              <w:top w:val="single" w:color="auto" w:sz="4" w:space="0"/>
              <w:left w:val="single" w:color="auto" w:sz="4" w:space="0"/>
              <w:bottom w:val="single" w:color="auto" w:sz="4" w:space="0"/>
              <w:right w:val="single" w:color="auto" w:sz="4" w:space="0"/>
            </w:tcBorders>
            <w:noWrap w:val="0"/>
            <w:vAlign w:val="center"/>
          </w:tcPr>
          <w:p w14:paraId="373344DD">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闪点  不小于</w:t>
            </w:r>
          </w:p>
        </w:tc>
        <w:tc>
          <w:tcPr>
            <w:tcW w:w="953" w:type="dxa"/>
            <w:tcBorders>
              <w:top w:val="single" w:color="auto" w:sz="4" w:space="0"/>
              <w:left w:val="nil"/>
              <w:bottom w:val="single" w:color="auto" w:sz="4" w:space="0"/>
              <w:right w:val="single" w:color="auto" w:sz="4" w:space="0"/>
            </w:tcBorders>
            <w:noWrap w:val="0"/>
            <w:vAlign w:val="center"/>
          </w:tcPr>
          <w:p w14:paraId="4EB095DB">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w:t>
            </w:r>
          </w:p>
        </w:tc>
        <w:tc>
          <w:tcPr>
            <w:tcW w:w="1684" w:type="dxa"/>
            <w:tcBorders>
              <w:top w:val="single" w:color="auto" w:sz="4" w:space="0"/>
              <w:left w:val="nil"/>
              <w:bottom w:val="single" w:color="auto" w:sz="4" w:space="0"/>
              <w:right w:val="single" w:color="auto" w:sz="4" w:space="0"/>
            </w:tcBorders>
            <w:noWrap w:val="0"/>
            <w:vAlign w:val="center"/>
          </w:tcPr>
          <w:p w14:paraId="0F7F2499">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230</w:t>
            </w:r>
          </w:p>
        </w:tc>
        <w:tc>
          <w:tcPr>
            <w:tcW w:w="1665" w:type="dxa"/>
            <w:tcBorders>
              <w:top w:val="single" w:color="auto" w:sz="4" w:space="0"/>
              <w:left w:val="nil"/>
              <w:bottom w:val="single" w:color="auto" w:sz="4" w:space="0"/>
              <w:right w:val="single" w:color="auto" w:sz="4" w:space="0"/>
            </w:tcBorders>
            <w:noWrap w:val="0"/>
            <w:vAlign w:val="center"/>
          </w:tcPr>
          <w:p w14:paraId="551CB7DD">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T0611</w:t>
            </w:r>
          </w:p>
        </w:tc>
      </w:tr>
      <w:tr w14:paraId="70C6F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76" w:type="dxa"/>
            <w:tcBorders>
              <w:top w:val="single" w:color="auto" w:sz="4" w:space="0"/>
              <w:left w:val="single" w:color="auto" w:sz="4" w:space="0"/>
              <w:bottom w:val="single" w:color="auto" w:sz="4" w:space="0"/>
              <w:right w:val="single" w:color="auto" w:sz="4" w:space="0"/>
            </w:tcBorders>
            <w:noWrap w:val="0"/>
            <w:vAlign w:val="center"/>
          </w:tcPr>
          <w:p w14:paraId="511DCDC9">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贮存稳定性离析，48h软化点差 不大于</w:t>
            </w:r>
          </w:p>
        </w:tc>
        <w:tc>
          <w:tcPr>
            <w:tcW w:w="953" w:type="dxa"/>
            <w:tcBorders>
              <w:top w:val="single" w:color="auto" w:sz="4" w:space="0"/>
              <w:left w:val="nil"/>
              <w:bottom w:val="single" w:color="auto" w:sz="4" w:space="0"/>
              <w:right w:val="single" w:color="auto" w:sz="4" w:space="0"/>
            </w:tcBorders>
            <w:noWrap w:val="0"/>
            <w:vAlign w:val="center"/>
          </w:tcPr>
          <w:p w14:paraId="64EE1949">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w:t>
            </w:r>
          </w:p>
        </w:tc>
        <w:tc>
          <w:tcPr>
            <w:tcW w:w="1684" w:type="dxa"/>
            <w:tcBorders>
              <w:top w:val="single" w:color="auto" w:sz="4" w:space="0"/>
              <w:left w:val="nil"/>
              <w:bottom w:val="single" w:color="auto" w:sz="4" w:space="0"/>
              <w:right w:val="single" w:color="auto" w:sz="4" w:space="0"/>
            </w:tcBorders>
            <w:noWrap w:val="0"/>
            <w:vAlign w:val="center"/>
          </w:tcPr>
          <w:p w14:paraId="2365D8C3">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2.5</w:t>
            </w:r>
          </w:p>
        </w:tc>
        <w:tc>
          <w:tcPr>
            <w:tcW w:w="1665" w:type="dxa"/>
            <w:tcBorders>
              <w:top w:val="single" w:color="auto" w:sz="4" w:space="0"/>
              <w:left w:val="nil"/>
              <w:bottom w:val="single" w:color="auto" w:sz="4" w:space="0"/>
              <w:right w:val="single" w:color="auto" w:sz="4" w:space="0"/>
            </w:tcBorders>
            <w:noWrap w:val="0"/>
            <w:vAlign w:val="center"/>
          </w:tcPr>
          <w:p w14:paraId="4C239636">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T0661</w:t>
            </w:r>
          </w:p>
        </w:tc>
      </w:tr>
      <w:tr w14:paraId="27DFD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76" w:type="dxa"/>
            <w:tcBorders>
              <w:top w:val="single" w:color="auto" w:sz="4" w:space="0"/>
              <w:left w:val="single" w:color="auto" w:sz="4" w:space="0"/>
              <w:bottom w:val="single" w:color="auto" w:sz="4" w:space="0"/>
              <w:right w:val="single" w:color="auto" w:sz="4" w:space="0"/>
            </w:tcBorders>
            <w:noWrap w:val="0"/>
            <w:vAlign w:val="center"/>
          </w:tcPr>
          <w:p w14:paraId="65A3A6A3">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溶解度  不小于</w:t>
            </w:r>
          </w:p>
        </w:tc>
        <w:tc>
          <w:tcPr>
            <w:tcW w:w="953" w:type="dxa"/>
            <w:tcBorders>
              <w:top w:val="single" w:color="auto" w:sz="4" w:space="0"/>
              <w:left w:val="nil"/>
              <w:bottom w:val="single" w:color="auto" w:sz="4" w:space="0"/>
              <w:right w:val="single" w:color="auto" w:sz="4" w:space="0"/>
            </w:tcBorders>
            <w:noWrap w:val="0"/>
            <w:vAlign w:val="center"/>
          </w:tcPr>
          <w:p w14:paraId="4C59741A">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w:t>
            </w:r>
          </w:p>
        </w:tc>
        <w:tc>
          <w:tcPr>
            <w:tcW w:w="1684" w:type="dxa"/>
            <w:tcBorders>
              <w:top w:val="single" w:color="auto" w:sz="4" w:space="0"/>
              <w:left w:val="nil"/>
              <w:bottom w:val="single" w:color="auto" w:sz="4" w:space="0"/>
              <w:right w:val="single" w:color="auto" w:sz="4" w:space="0"/>
            </w:tcBorders>
            <w:noWrap w:val="0"/>
            <w:vAlign w:val="center"/>
          </w:tcPr>
          <w:p w14:paraId="31FFA927">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99.0</w:t>
            </w:r>
          </w:p>
        </w:tc>
        <w:tc>
          <w:tcPr>
            <w:tcW w:w="1665" w:type="dxa"/>
            <w:tcBorders>
              <w:top w:val="single" w:color="auto" w:sz="4" w:space="0"/>
              <w:left w:val="nil"/>
              <w:bottom w:val="single" w:color="auto" w:sz="4" w:space="0"/>
              <w:right w:val="single" w:color="auto" w:sz="4" w:space="0"/>
            </w:tcBorders>
            <w:noWrap w:val="0"/>
            <w:vAlign w:val="center"/>
          </w:tcPr>
          <w:p w14:paraId="0013BDE1">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T0607</w:t>
            </w:r>
          </w:p>
        </w:tc>
      </w:tr>
      <w:tr w14:paraId="0F339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278" w:type="dxa"/>
            <w:gridSpan w:val="4"/>
            <w:tcBorders>
              <w:top w:val="single" w:color="auto" w:sz="4" w:space="0"/>
              <w:left w:val="single" w:color="auto" w:sz="4" w:space="0"/>
              <w:bottom w:val="single" w:color="auto" w:sz="4" w:space="0"/>
              <w:right w:val="single" w:color="auto" w:sz="4" w:space="0"/>
            </w:tcBorders>
            <w:noWrap w:val="0"/>
            <w:vAlign w:val="center"/>
          </w:tcPr>
          <w:p w14:paraId="1408BB15">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TFOT(或RTPFOT)后残留物</w:t>
            </w:r>
          </w:p>
        </w:tc>
      </w:tr>
      <w:tr w14:paraId="18A4C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76" w:type="dxa"/>
            <w:tcBorders>
              <w:top w:val="single" w:color="auto" w:sz="4" w:space="0"/>
              <w:left w:val="single" w:color="auto" w:sz="4" w:space="0"/>
              <w:bottom w:val="single" w:color="auto" w:sz="4" w:space="0"/>
              <w:right w:val="single" w:color="auto" w:sz="4" w:space="0"/>
            </w:tcBorders>
            <w:noWrap w:val="0"/>
            <w:vAlign w:val="center"/>
          </w:tcPr>
          <w:p w14:paraId="7847956B">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质量变化   不大于</w:t>
            </w:r>
          </w:p>
        </w:tc>
        <w:tc>
          <w:tcPr>
            <w:tcW w:w="953" w:type="dxa"/>
            <w:tcBorders>
              <w:top w:val="single" w:color="auto" w:sz="4" w:space="0"/>
              <w:left w:val="nil"/>
              <w:bottom w:val="single" w:color="auto" w:sz="4" w:space="0"/>
              <w:right w:val="single" w:color="auto" w:sz="4" w:space="0"/>
            </w:tcBorders>
            <w:noWrap w:val="0"/>
            <w:vAlign w:val="center"/>
          </w:tcPr>
          <w:p w14:paraId="606E3FE4">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w:t>
            </w:r>
          </w:p>
        </w:tc>
        <w:tc>
          <w:tcPr>
            <w:tcW w:w="1684" w:type="dxa"/>
            <w:tcBorders>
              <w:top w:val="single" w:color="auto" w:sz="4" w:space="0"/>
              <w:left w:val="nil"/>
              <w:bottom w:val="single" w:color="auto" w:sz="4" w:space="0"/>
              <w:right w:val="single" w:color="auto" w:sz="4" w:space="0"/>
            </w:tcBorders>
            <w:noWrap w:val="0"/>
            <w:vAlign w:val="center"/>
          </w:tcPr>
          <w:p w14:paraId="6BA07A3D">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±1.0</w:t>
            </w:r>
          </w:p>
        </w:tc>
        <w:tc>
          <w:tcPr>
            <w:tcW w:w="1665" w:type="dxa"/>
            <w:tcBorders>
              <w:top w:val="single" w:color="auto" w:sz="4" w:space="0"/>
              <w:left w:val="nil"/>
              <w:bottom w:val="single" w:color="auto" w:sz="4" w:space="0"/>
              <w:right w:val="single" w:color="auto" w:sz="4" w:space="0"/>
            </w:tcBorders>
            <w:noWrap w:val="0"/>
            <w:vAlign w:val="center"/>
          </w:tcPr>
          <w:p w14:paraId="75D07E40">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T0610或 T0609</w:t>
            </w:r>
          </w:p>
        </w:tc>
      </w:tr>
      <w:tr w14:paraId="0C154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76" w:type="dxa"/>
            <w:tcBorders>
              <w:top w:val="single" w:color="auto" w:sz="4" w:space="0"/>
              <w:left w:val="single" w:color="auto" w:sz="4" w:space="0"/>
              <w:bottom w:val="single" w:color="auto" w:sz="4" w:space="0"/>
              <w:right w:val="single" w:color="auto" w:sz="4" w:space="0"/>
            </w:tcBorders>
            <w:noWrap w:val="0"/>
            <w:vAlign w:val="center"/>
          </w:tcPr>
          <w:p w14:paraId="47CC2A3D">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针入度比25℃   不小于</w:t>
            </w:r>
          </w:p>
        </w:tc>
        <w:tc>
          <w:tcPr>
            <w:tcW w:w="953" w:type="dxa"/>
            <w:tcBorders>
              <w:top w:val="single" w:color="auto" w:sz="4" w:space="0"/>
              <w:left w:val="nil"/>
              <w:bottom w:val="single" w:color="auto" w:sz="4" w:space="0"/>
              <w:right w:val="single" w:color="auto" w:sz="4" w:space="0"/>
            </w:tcBorders>
            <w:noWrap w:val="0"/>
            <w:vAlign w:val="center"/>
          </w:tcPr>
          <w:p w14:paraId="45F892C0">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w:t>
            </w:r>
          </w:p>
        </w:tc>
        <w:tc>
          <w:tcPr>
            <w:tcW w:w="1684" w:type="dxa"/>
            <w:tcBorders>
              <w:top w:val="single" w:color="auto" w:sz="4" w:space="0"/>
              <w:left w:val="nil"/>
              <w:bottom w:val="single" w:color="auto" w:sz="4" w:space="0"/>
              <w:right w:val="single" w:color="auto" w:sz="4" w:space="0"/>
            </w:tcBorders>
            <w:noWrap w:val="0"/>
            <w:vAlign w:val="center"/>
          </w:tcPr>
          <w:p w14:paraId="59C0BE8D">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65</w:t>
            </w:r>
          </w:p>
        </w:tc>
        <w:tc>
          <w:tcPr>
            <w:tcW w:w="1665" w:type="dxa"/>
            <w:tcBorders>
              <w:top w:val="single" w:color="auto" w:sz="4" w:space="0"/>
              <w:left w:val="nil"/>
              <w:bottom w:val="single" w:color="auto" w:sz="4" w:space="0"/>
              <w:right w:val="single" w:color="auto" w:sz="4" w:space="0"/>
            </w:tcBorders>
            <w:noWrap w:val="0"/>
            <w:vAlign w:val="center"/>
          </w:tcPr>
          <w:p w14:paraId="02D2B6A6">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T0604</w:t>
            </w:r>
          </w:p>
        </w:tc>
      </w:tr>
      <w:tr w14:paraId="39918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76" w:type="dxa"/>
            <w:tcBorders>
              <w:top w:val="single" w:color="auto" w:sz="4" w:space="0"/>
              <w:left w:val="single" w:color="auto" w:sz="4" w:space="0"/>
              <w:bottom w:val="single" w:color="auto" w:sz="4" w:space="0"/>
              <w:right w:val="single" w:color="auto" w:sz="4" w:space="0"/>
            </w:tcBorders>
            <w:noWrap w:val="0"/>
            <w:vAlign w:val="center"/>
          </w:tcPr>
          <w:p w14:paraId="01D0FBB0">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延度5℃   不小于</w:t>
            </w:r>
          </w:p>
        </w:tc>
        <w:tc>
          <w:tcPr>
            <w:tcW w:w="953" w:type="dxa"/>
            <w:tcBorders>
              <w:top w:val="single" w:color="auto" w:sz="4" w:space="0"/>
              <w:left w:val="nil"/>
              <w:bottom w:val="single" w:color="auto" w:sz="4" w:space="0"/>
              <w:right w:val="single" w:color="auto" w:sz="4" w:space="0"/>
            </w:tcBorders>
            <w:noWrap w:val="0"/>
            <w:vAlign w:val="center"/>
          </w:tcPr>
          <w:p w14:paraId="6AE17648">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cm</w:t>
            </w:r>
          </w:p>
        </w:tc>
        <w:tc>
          <w:tcPr>
            <w:tcW w:w="1684" w:type="dxa"/>
            <w:tcBorders>
              <w:top w:val="single" w:color="auto" w:sz="4" w:space="0"/>
              <w:left w:val="nil"/>
              <w:bottom w:val="single" w:color="auto" w:sz="4" w:space="0"/>
              <w:right w:val="single" w:color="auto" w:sz="4" w:space="0"/>
            </w:tcBorders>
            <w:noWrap w:val="0"/>
            <w:vAlign w:val="center"/>
          </w:tcPr>
          <w:p w14:paraId="5B41231E">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15</w:t>
            </w:r>
          </w:p>
        </w:tc>
        <w:tc>
          <w:tcPr>
            <w:tcW w:w="1665" w:type="dxa"/>
            <w:tcBorders>
              <w:top w:val="single" w:color="auto" w:sz="4" w:space="0"/>
              <w:left w:val="nil"/>
              <w:bottom w:val="single" w:color="auto" w:sz="4" w:space="0"/>
              <w:right w:val="single" w:color="auto" w:sz="4" w:space="0"/>
            </w:tcBorders>
            <w:noWrap w:val="0"/>
            <w:vAlign w:val="center"/>
          </w:tcPr>
          <w:p w14:paraId="00A84AF8">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T0605</w:t>
            </w:r>
          </w:p>
        </w:tc>
      </w:tr>
    </w:tbl>
    <w:p w14:paraId="3E37C209">
      <w:pPr>
        <w:spacing w:line="360" w:lineRule="auto"/>
        <w:ind w:firstLine="480" w:firstLineChars="200"/>
        <w:jc w:val="left"/>
        <w:rPr>
          <w:rFonts w:hint="eastAsia"/>
          <w:sz w:val="24"/>
          <w:szCs w:val="24"/>
          <w:lang w:val="en-US" w:eastAsia="zh-CN"/>
        </w:rPr>
      </w:pPr>
      <w:r>
        <w:rPr>
          <w:rFonts w:hint="eastAsia"/>
          <w:sz w:val="24"/>
          <w:szCs w:val="24"/>
          <w:lang w:val="en-US" w:eastAsia="zh-CN"/>
        </w:rPr>
        <w:t>2）粗集料</w:t>
      </w:r>
    </w:p>
    <w:p w14:paraId="4E17A445">
      <w:pPr>
        <w:spacing w:line="360" w:lineRule="auto"/>
        <w:ind w:firstLine="480" w:firstLineChars="200"/>
        <w:jc w:val="left"/>
        <w:rPr>
          <w:rFonts w:hint="eastAsia"/>
          <w:sz w:val="24"/>
          <w:szCs w:val="24"/>
          <w:lang w:val="en-US" w:eastAsia="zh-CN"/>
        </w:rPr>
      </w:pPr>
      <w:r>
        <w:rPr>
          <w:rFonts w:hint="eastAsia"/>
          <w:sz w:val="24"/>
          <w:szCs w:val="24"/>
          <w:lang w:val="en-US" w:eastAsia="zh-CN"/>
        </w:rPr>
        <w:t xml:space="preserve">沥青面层的粗集料应洁净、干燥、表面粗糙、无风化、无杂志，具有足够的强度、耐磨耗性，必须严格限制集料的细长扁平颗粒含量。粗集料应具有良好的颗粒形状，为保证粗集料规格、棱角，控制针片状含量，应采用反击式破碎工艺生产，不能采用颚式破碎机加工。同时统一砸石机的型号和规格，以及筛分设备的型号和筛孔尺寸，由大石场集中加工。其质量技术应满足下表       </w:t>
      </w:r>
    </w:p>
    <w:p w14:paraId="39955663">
      <w:pPr>
        <w:spacing w:line="360" w:lineRule="auto"/>
        <w:ind w:firstLine="482" w:firstLineChars="200"/>
        <w:jc w:val="center"/>
        <w:rPr>
          <w:rFonts w:hint="eastAsia"/>
          <w:b/>
          <w:bCs/>
          <w:sz w:val="24"/>
          <w:szCs w:val="24"/>
          <w:lang w:val="en-US" w:eastAsia="zh-CN"/>
        </w:rPr>
      </w:pPr>
      <w:r>
        <w:rPr>
          <w:rFonts w:hint="eastAsia"/>
          <w:b/>
          <w:bCs/>
          <w:sz w:val="24"/>
          <w:szCs w:val="24"/>
          <w:lang w:val="en-US" w:eastAsia="zh-CN"/>
        </w:rPr>
        <w:t>沥青面层用粗集料质量技术要求表</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4460"/>
        <w:gridCol w:w="923"/>
        <w:gridCol w:w="2770"/>
        <w:gridCol w:w="2116"/>
      </w:tblGrid>
      <w:tr w14:paraId="19652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9" w:hRule="atLeast"/>
        </w:trPr>
        <w:tc>
          <w:tcPr>
            <w:tcW w:w="2171" w:type="pct"/>
            <w:tcBorders>
              <w:top w:val="single" w:color="auto" w:sz="4" w:space="0"/>
              <w:left w:val="single" w:color="auto" w:sz="4" w:space="0"/>
              <w:bottom w:val="single" w:color="auto" w:sz="4" w:space="0"/>
              <w:right w:val="single" w:color="auto" w:sz="4" w:space="0"/>
            </w:tcBorders>
            <w:noWrap w:val="0"/>
            <w:vAlign w:val="center"/>
          </w:tcPr>
          <w:p w14:paraId="65A4F952">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指标</w:t>
            </w:r>
          </w:p>
        </w:tc>
        <w:tc>
          <w:tcPr>
            <w:tcW w:w="449" w:type="pct"/>
            <w:tcBorders>
              <w:top w:val="single" w:color="auto" w:sz="4" w:space="0"/>
              <w:left w:val="nil"/>
              <w:bottom w:val="single" w:color="auto" w:sz="4" w:space="0"/>
              <w:right w:val="single" w:color="auto" w:sz="4" w:space="0"/>
            </w:tcBorders>
            <w:noWrap w:val="0"/>
            <w:vAlign w:val="center"/>
          </w:tcPr>
          <w:p w14:paraId="2E406B46">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单位</w:t>
            </w:r>
          </w:p>
        </w:tc>
        <w:tc>
          <w:tcPr>
            <w:tcW w:w="1348" w:type="pct"/>
            <w:tcBorders>
              <w:top w:val="single" w:color="auto" w:sz="4" w:space="0"/>
              <w:left w:val="nil"/>
              <w:bottom w:val="single" w:color="auto" w:sz="4" w:space="0"/>
              <w:right w:val="single" w:color="auto" w:sz="4" w:space="0"/>
            </w:tcBorders>
            <w:noWrap w:val="0"/>
            <w:vAlign w:val="center"/>
          </w:tcPr>
          <w:p w14:paraId="2496B111">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表面层</w:t>
            </w:r>
          </w:p>
        </w:tc>
        <w:tc>
          <w:tcPr>
            <w:tcW w:w="1030" w:type="pct"/>
            <w:tcBorders>
              <w:top w:val="single" w:color="auto" w:sz="4" w:space="0"/>
              <w:left w:val="nil"/>
              <w:bottom w:val="single" w:color="auto" w:sz="4" w:space="0"/>
              <w:right w:val="single" w:color="auto" w:sz="4" w:space="0"/>
            </w:tcBorders>
            <w:noWrap w:val="0"/>
            <w:vAlign w:val="center"/>
          </w:tcPr>
          <w:p w14:paraId="78AB5149">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试验方法</w:t>
            </w:r>
          </w:p>
        </w:tc>
      </w:tr>
      <w:tr w14:paraId="2BA02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9" w:hRule="atLeast"/>
        </w:trPr>
        <w:tc>
          <w:tcPr>
            <w:tcW w:w="2171" w:type="pct"/>
            <w:tcBorders>
              <w:top w:val="single" w:color="auto" w:sz="4" w:space="0"/>
              <w:left w:val="single" w:color="auto" w:sz="4" w:space="0"/>
              <w:bottom w:val="single" w:color="auto" w:sz="4" w:space="0"/>
              <w:right w:val="single" w:color="auto" w:sz="4" w:space="0"/>
            </w:tcBorders>
            <w:noWrap w:val="0"/>
            <w:vAlign w:val="center"/>
          </w:tcPr>
          <w:p w14:paraId="1F39C02E">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石料压碎值    不大于</w:t>
            </w:r>
          </w:p>
        </w:tc>
        <w:tc>
          <w:tcPr>
            <w:tcW w:w="449" w:type="pct"/>
            <w:tcBorders>
              <w:top w:val="single" w:color="auto" w:sz="4" w:space="0"/>
              <w:left w:val="nil"/>
              <w:bottom w:val="single" w:color="auto" w:sz="4" w:space="0"/>
              <w:right w:val="single" w:color="auto" w:sz="4" w:space="0"/>
            </w:tcBorders>
            <w:noWrap w:val="0"/>
            <w:vAlign w:val="center"/>
          </w:tcPr>
          <w:p w14:paraId="6A3CA1BA">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 xml:space="preserve"> %</w:t>
            </w:r>
          </w:p>
        </w:tc>
        <w:tc>
          <w:tcPr>
            <w:tcW w:w="1348" w:type="pct"/>
            <w:tcBorders>
              <w:top w:val="single" w:color="auto" w:sz="4" w:space="0"/>
              <w:left w:val="nil"/>
              <w:bottom w:val="single" w:color="auto" w:sz="4" w:space="0"/>
              <w:right w:val="single" w:color="auto" w:sz="4" w:space="0"/>
            </w:tcBorders>
            <w:noWrap w:val="0"/>
            <w:vAlign w:val="center"/>
          </w:tcPr>
          <w:p w14:paraId="761E9D2F">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26</w:t>
            </w:r>
          </w:p>
        </w:tc>
        <w:tc>
          <w:tcPr>
            <w:tcW w:w="1030" w:type="pct"/>
            <w:tcBorders>
              <w:top w:val="single" w:color="auto" w:sz="4" w:space="0"/>
              <w:left w:val="nil"/>
              <w:bottom w:val="single" w:color="auto" w:sz="4" w:space="0"/>
              <w:right w:val="single" w:color="auto" w:sz="4" w:space="0"/>
            </w:tcBorders>
            <w:noWrap w:val="0"/>
            <w:vAlign w:val="center"/>
          </w:tcPr>
          <w:p w14:paraId="3A003470">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T0316</w:t>
            </w:r>
          </w:p>
        </w:tc>
      </w:tr>
      <w:tr w14:paraId="42366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9" w:hRule="atLeast"/>
        </w:trPr>
        <w:tc>
          <w:tcPr>
            <w:tcW w:w="2171" w:type="pct"/>
            <w:tcBorders>
              <w:top w:val="single" w:color="auto" w:sz="4" w:space="0"/>
              <w:left w:val="single" w:color="auto" w:sz="4" w:space="0"/>
              <w:bottom w:val="single" w:color="auto" w:sz="4" w:space="0"/>
              <w:right w:val="single" w:color="auto" w:sz="4" w:space="0"/>
            </w:tcBorders>
            <w:noWrap w:val="0"/>
            <w:vAlign w:val="center"/>
          </w:tcPr>
          <w:p w14:paraId="034DA81A">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洛杉矶磨耗损失   不大于</w:t>
            </w:r>
          </w:p>
        </w:tc>
        <w:tc>
          <w:tcPr>
            <w:tcW w:w="449" w:type="pct"/>
            <w:tcBorders>
              <w:top w:val="single" w:color="auto" w:sz="4" w:space="0"/>
              <w:left w:val="nil"/>
              <w:bottom w:val="single" w:color="auto" w:sz="4" w:space="0"/>
              <w:right w:val="single" w:color="auto" w:sz="4" w:space="0"/>
            </w:tcBorders>
            <w:noWrap w:val="0"/>
            <w:vAlign w:val="center"/>
          </w:tcPr>
          <w:p w14:paraId="4F2FFF22">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w:t>
            </w:r>
          </w:p>
        </w:tc>
        <w:tc>
          <w:tcPr>
            <w:tcW w:w="1348" w:type="pct"/>
            <w:tcBorders>
              <w:top w:val="single" w:color="auto" w:sz="4" w:space="0"/>
              <w:left w:val="nil"/>
              <w:bottom w:val="single" w:color="auto" w:sz="4" w:space="0"/>
              <w:right w:val="single" w:color="auto" w:sz="4" w:space="0"/>
            </w:tcBorders>
            <w:noWrap w:val="0"/>
            <w:vAlign w:val="center"/>
          </w:tcPr>
          <w:p w14:paraId="4C74A72B">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28</w:t>
            </w:r>
          </w:p>
        </w:tc>
        <w:tc>
          <w:tcPr>
            <w:tcW w:w="1030" w:type="pct"/>
            <w:tcBorders>
              <w:top w:val="single" w:color="auto" w:sz="4" w:space="0"/>
              <w:left w:val="nil"/>
              <w:bottom w:val="single" w:color="auto" w:sz="4" w:space="0"/>
              <w:right w:val="single" w:color="auto" w:sz="4" w:space="0"/>
            </w:tcBorders>
            <w:noWrap w:val="0"/>
            <w:vAlign w:val="center"/>
          </w:tcPr>
          <w:p w14:paraId="5B43B103">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T0317</w:t>
            </w:r>
          </w:p>
        </w:tc>
      </w:tr>
      <w:tr w14:paraId="1BC75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9" w:hRule="atLeast"/>
        </w:trPr>
        <w:tc>
          <w:tcPr>
            <w:tcW w:w="2171" w:type="pct"/>
            <w:tcBorders>
              <w:top w:val="single" w:color="auto" w:sz="4" w:space="0"/>
              <w:left w:val="single" w:color="auto" w:sz="4" w:space="0"/>
              <w:bottom w:val="single" w:color="auto" w:sz="4" w:space="0"/>
              <w:right w:val="single" w:color="auto" w:sz="4" w:space="0"/>
            </w:tcBorders>
            <w:noWrap w:val="0"/>
            <w:vAlign w:val="center"/>
          </w:tcPr>
          <w:p w14:paraId="23F93F67">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表面相对密度   不小于</w:t>
            </w:r>
          </w:p>
        </w:tc>
        <w:tc>
          <w:tcPr>
            <w:tcW w:w="449" w:type="pct"/>
            <w:tcBorders>
              <w:top w:val="single" w:color="auto" w:sz="4" w:space="0"/>
              <w:left w:val="nil"/>
              <w:bottom w:val="single" w:color="auto" w:sz="4" w:space="0"/>
              <w:right w:val="single" w:color="auto" w:sz="4" w:space="0"/>
            </w:tcBorders>
            <w:noWrap w:val="0"/>
            <w:vAlign w:val="center"/>
          </w:tcPr>
          <w:p w14:paraId="279A6FCE">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p>
        </w:tc>
        <w:tc>
          <w:tcPr>
            <w:tcW w:w="1348" w:type="pct"/>
            <w:tcBorders>
              <w:top w:val="single" w:color="auto" w:sz="4" w:space="0"/>
              <w:left w:val="nil"/>
              <w:bottom w:val="single" w:color="auto" w:sz="4" w:space="0"/>
              <w:right w:val="single" w:color="auto" w:sz="4" w:space="0"/>
            </w:tcBorders>
            <w:noWrap w:val="0"/>
            <w:vAlign w:val="center"/>
          </w:tcPr>
          <w:p w14:paraId="0CD850FC">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2.60</w:t>
            </w:r>
          </w:p>
        </w:tc>
        <w:tc>
          <w:tcPr>
            <w:tcW w:w="1030" w:type="pct"/>
            <w:tcBorders>
              <w:top w:val="single" w:color="auto" w:sz="4" w:space="0"/>
              <w:left w:val="nil"/>
              <w:bottom w:val="single" w:color="auto" w:sz="4" w:space="0"/>
              <w:right w:val="single" w:color="auto" w:sz="4" w:space="0"/>
            </w:tcBorders>
            <w:noWrap w:val="0"/>
            <w:vAlign w:val="center"/>
          </w:tcPr>
          <w:p w14:paraId="7727F448">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T0304</w:t>
            </w:r>
          </w:p>
        </w:tc>
      </w:tr>
      <w:tr w14:paraId="2B732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9" w:hRule="atLeast"/>
        </w:trPr>
        <w:tc>
          <w:tcPr>
            <w:tcW w:w="2171" w:type="pct"/>
            <w:tcBorders>
              <w:top w:val="single" w:color="auto" w:sz="4" w:space="0"/>
              <w:left w:val="single" w:color="auto" w:sz="4" w:space="0"/>
              <w:bottom w:val="single" w:color="auto" w:sz="4" w:space="0"/>
              <w:right w:val="single" w:color="auto" w:sz="4" w:space="0"/>
            </w:tcBorders>
            <w:noWrap w:val="0"/>
            <w:vAlign w:val="center"/>
          </w:tcPr>
          <w:p w14:paraId="0D79929C">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吸水率      不大于</w:t>
            </w:r>
          </w:p>
        </w:tc>
        <w:tc>
          <w:tcPr>
            <w:tcW w:w="449" w:type="pct"/>
            <w:tcBorders>
              <w:top w:val="single" w:color="auto" w:sz="4" w:space="0"/>
              <w:left w:val="nil"/>
              <w:bottom w:val="single" w:color="auto" w:sz="4" w:space="0"/>
              <w:right w:val="single" w:color="auto" w:sz="4" w:space="0"/>
            </w:tcBorders>
            <w:noWrap w:val="0"/>
            <w:vAlign w:val="center"/>
          </w:tcPr>
          <w:p w14:paraId="32B13F72">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w:t>
            </w:r>
          </w:p>
        </w:tc>
        <w:tc>
          <w:tcPr>
            <w:tcW w:w="1348" w:type="pct"/>
            <w:tcBorders>
              <w:top w:val="single" w:color="auto" w:sz="4" w:space="0"/>
              <w:left w:val="nil"/>
              <w:bottom w:val="single" w:color="auto" w:sz="4" w:space="0"/>
              <w:right w:val="single" w:color="auto" w:sz="4" w:space="0"/>
            </w:tcBorders>
            <w:noWrap w:val="0"/>
            <w:vAlign w:val="center"/>
          </w:tcPr>
          <w:p w14:paraId="660A6C5D">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2.0</w:t>
            </w:r>
          </w:p>
        </w:tc>
        <w:tc>
          <w:tcPr>
            <w:tcW w:w="1030" w:type="pct"/>
            <w:tcBorders>
              <w:top w:val="single" w:color="auto" w:sz="4" w:space="0"/>
              <w:left w:val="nil"/>
              <w:bottom w:val="single" w:color="auto" w:sz="4" w:space="0"/>
              <w:right w:val="single" w:color="auto" w:sz="4" w:space="0"/>
            </w:tcBorders>
            <w:noWrap w:val="0"/>
            <w:vAlign w:val="center"/>
          </w:tcPr>
          <w:p w14:paraId="5CF23968">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T0304</w:t>
            </w:r>
          </w:p>
        </w:tc>
      </w:tr>
      <w:tr w14:paraId="69782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9" w:hRule="atLeast"/>
        </w:trPr>
        <w:tc>
          <w:tcPr>
            <w:tcW w:w="2171" w:type="pct"/>
            <w:tcBorders>
              <w:top w:val="single" w:color="auto" w:sz="4" w:space="0"/>
              <w:left w:val="single" w:color="auto" w:sz="4" w:space="0"/>
              <w:bottom w:val="single" w:color="auto" w:sz="4" w:space="0"/>
              <w:right w:val="single" w:color="auto" w:sz="4" w:space="0"/>
            </w:tcBorders>
            <w:noWrap w:val="0"/>
            <w:vAlign w:val="center"/>
          </w:tcPr>
          <w:p w14:paraId="5A309E1B">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坚固性   不大于</w:t>
            </w:r>
          </w:p>
        </w:tc>
        <w:tc>
          <w:tcPr>
            <w:tcW w:w="449" w:type="pct"/>
            <w:tcBorders>
              <w:top w:val="single" w:color="auto" w:sz="4" w:space="0"/>
              <w:left w:val="nil"/>
              <w:bottom w:val="single" w:color="auto" w:sz="4" w:space="0"/>
              <w:right w:val="single" w:color="auto" w:sz="4" w:space="0"/>
            </w:tcBorders>
            <w:noWrap w:val="0"/>
            <w:vAlign w:val="center"/>
          </w:tcPr>
          <w:p w14:paraId="09B59601">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w:t>
            </w:r>
          </w:p>
        </w:tc>
        <w:tc>
          <w:tcPr>
            <w:tcW w:w="1348" w:type="pct"/>
            <w:tcBorders>
              <w:top w:val="single" w:color="auto" w:sz="4" w:space="0"/>
              <w:left w:val="nil"/>
              <w:bottom w:val="single" w:color="auto" w:sz="4" w:space="0"/>
              <w:right w:val="single" w:color="auto" w:sz="4" w:space="0"/>
            </w:tcBorders>
            <w:noWrap w:val="0"/>
            <w:vAlign w:val="center"/>
          </w:tcPr>
          <w:p w14:paraId="62466348">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12</w:t>
            </w:r>
          </w:p>
        </w:tc>
        <w:tc>
          <w:tcPr>
            <w:tcW w:w="1030" w:type="pct"/>
            <w:tcBorders>
              <w:top w:val="single" w:color="auto" w:sz="4" w:space="0"/>
              <w:left w:val="nil"/>
              <w:bottom w:val="single" w:color="auto" w:sz="4" w:space="0"/>
              <w:right w:val="single" w:color="auto" w:sz="4" w:space="0"/>
            </w:tcBorders>
            <w:noWrap w:val="0"/>
            <w:vAlign w:val="center"/>
          </w:tcPr>
          <w:p w14:paraId="6A891961">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T0314</w:t>
            </w:r>
          </w:p>
        </w:tc>
      </w:tr>
      <w:tr w14:paraId="0E4BF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499" w:hRule="atLeast"/>
        </w:trPr>
        <w:tc>
          <w:tcPr>
            <w:tcW w:w="2171" w:type="pct"/>
            <w:tcBorders>
              <w:top w:val="single" w:color="auto" w:sz="4" w:space="0"/>
              <w:left w:val="single" w:color="auto" w:sz="4" w:space="0"/>
              <w:bottom w:val="single" w:color="auto" w:sz="4" w:space="0"/>
              <w:right w:val="single" w:color="auto" w:sz="4" w:space="0"/>
            </w:tcBorders>
            <w:noWrap w:val="0"/>
            <w:vAlign w:val="center"/>
          </w:tcPr>
          <w:p w14:paraId="43B6D8D4">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针片状颗粒含量(混合料) 不大于</w:t>
            </w:r>
          </w:p>
          <w:p w14:paraId="4BF4A34B">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其中粒径大于9.5mm  不大于</w:t>
            </w:r>
          </w:p>
          <w:p w14:paraId="7633F505">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其中粒径小于9.5mm  不大于</w:t>
            </w:r>
          </w:p>
        </w:tc>
        <w:tc>
          <w:tcPr>
            <w:tcW w:w="449" w:type="pct"/>
            <w:tcBorders>
              <w:top w:val="single" w:color="auto" w:sz="4" w:space="0"/>
              <w:left w:val="nil"/>
              <w:bottom w:val="single" w:color="auto" w:sz="4" w:space="0"/>
              <w:right w:val="single" w:color="auto" w:sz="4" w:space="0"/>
            </w:tcBorders>
            <w:noWrap w:val="0"/>
            <w:vAlign w:val="center"/>
          </w:tcPr>
          <w:p w14:paraId="141AADB4">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w:t>
            </w:r>
          </w:p>
        </w:tc>
        <w:tc>
          <w:tcPr>
            <w:tcW w:w="1348" w:type="pct"/>
            <w:tcBorders>
              <w:top w:val="single" w:color="auto" w:sz="4" w:space="0"/>
              <w:left w:val="nil"/>
              <w:bottom w:val="single" w:color="auto" w:sz="4" w:space="0"/>
              <w:right w:val="single" w:color="auto" w:sz="4" w:space="0"/>
            </w:tcBorders>
            <w:noWrap w:val="0"/>
            <w:vAlign w:val="center"/>
          </w:tcPr>
          <w:p w14:paraId="76DDA834">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15</w:t>
            </w:r>
          </w:p>
          <w:p w14:paraId="363672A2">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12</w:t>
            </w:r>
          </w:p>
          <w:p w14:paraId="19858350">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18</w:t>
            </w:r>
          </w:p>
        </w:tc>
        <w:tc>
          <w:tcPr>
            <w:tcW w:w="1030" w:type="pct"/>
            <w:tcBorders>
              <w:top w:val="single" w:color="auto" w:sz="4" w:space="0"/>
              <w:left w:val="nil"/>
              <w:bottom w:val="single" w:color="auto" w:sz="4" w:space="0"/>
              <w:right w:val="single" w:color="auto" w:sz="4" w:space="0"/>
            </w:tcBorders>
            <w:noWrap w:val="0"/>
            <w:vAlign w:val="center"/>
          </w:tcPr>
          <w:p w14:paraId="188E309D">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T0312</w:t>
            </w:r>
          </w:p>
        </w:tc>
      </w:tr>
      <w:tr w14:paraId="5596F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9" w:hRule="atLeast"/>
        </w:trPr>
        <w:tc>
          <w:tcPr>
            <w:tcW w:w="2171" w:type="pct"/>
            <w:tcBorders>
              <w:top w:val="single" w:color="auto" w:sz="4" w:space="0"/>
              <w:left w:val="single" w:color="auto" w:sz="4" w:space="0"/>
              <w:bottom w:val="single" w:color="auto" w:sz="4" w:space="0"/>
              <w:right w:val="single" w:color="auto" w:sz="4" w:space="0"/>
            </w:tcBorders>
            <w:noWrap w:val="0"/>
            <w:vAlign w:val="center"/>
          </w:tcPr>
          <w:p w14:paraId="09CABB6A">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水洗法&lt;0.075mm颗粒含量 不大于</w:t>
            </w:r>
          </w:p>
        </w:tc>
        <w:tc>
          <w:tcPr>
            <w:tcW w:w="449" w:type="pct"/>
            <w:tcBorders>
              <w:top w:val="single" w:color="auto" w:sz="4" w:space="0"/>
              <w:left w:val="nil"/>
              <w:bottom w:val="single" w:color="auto" w:sz="4" w:space="0"/>
              <w:right w:val="single" w:color="auto" w:sz="4" w:space="0"/>
            </w:tcBorders>
            <w:noWrap w:val="0"/>
            <w:vAlign w:val="center"/>
          </w:tcPr>
          <w:p w14:paraId="3ECF8DAE">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w:t>
            </w:r>
          </w:p>
        </w:tc>
        <w:tc>
          <w:tcPr>
            <w:tcW w:w="1348" w:type="pct"/>
            <w:tcBorders>
              <w:top w:val="single" w:color="auto" w:sz="4" w:space="0"/>
              <w:left w:val="nil"/>
              <w:bottom w:val="single" w:color="auto" w:sz="4" w:space="0"/>
              <w:right w:val="single" w:color="auto" w:sz="4" w:space="0"/>
            </w:tcBorders>
            <w:noWrap w:val="0"/>
            <w:vAlign w:val="center"/>
          </w:tcPr>
          <w:p w14:paraId="1FD11A50">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1</w:t>
            </w:r>
          </w:p>
        </w:tc>
        <w:tc>
          <w:tcPr>
            <w:tcW w:w="1030" w:type="pct"/>
            <w:tcBorders>
              <w:top w:val="single" w:color="auto" w:sz="4" w:space="0"/>
              <w:left w:val="nil"/>
              <w:bottom w:val="single" w:color="auto" w:sz="4" w:space="0"/>
              <w:right w:val="single" w:color="auto" w:sz="4" w:space="0"/>
            </w:tcBorders>
            <w:noWrap w:val="0"/>
            <w:vAlign w:val="center"/>
          </w:tcPr>
          <w:p w14:paraId="46EAFC16">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T0310</w:t>
            </w:r>
          </w:p>
        </w:tc>
      </w:tr>
      <w:tr w14:paraId="2C471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9" w:hRule="atLeast"/>
        </w:trPr>
        <w:tc>
          <w:tcPr>
            <w:tcW w:w="2171" w:type="pct"/>
            <w:tcBorders>
              <w:top w:val="single" w:color="auto" w:sz="4" w:space="0"/>
              <w:left w:val="single" w:color="auto" w:sz="4" w:space="0"/>
              <w:bottom w:val="single" w:color="auto" w:sz="4" w:space="0"/>
              <w:right w:val="single" w:color="auto" w:sz="4" w:space="0"/>
            </w:tcBorders>
            <w:noWrap w:val="0"/>
            <w:vAlign w:val="center"/>
          </w:tcPr>
          <w:p w14:paraId="5E24BCDD">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软石含量  不大于</w:t>
            </w:r>
          </w:p>
        </w:tc>
        <w:tc>
          <w:tcPr>
            <w:tcW w:w="449" w:type="pct"/>
            <w:tcBorders>
              <w:top w:val="single" w:color="auto" w:sz="4" w:space="0"/>
              <w:left w:val="nil"/>
              <w:bottom w:val="single" w:color="auto" w:sz="4" w:space="0"/>
              <w:right w:val="single" w:color="auto" w:sz="4" w:space="0"/>
            </w:tcBorders>
            <w:noWrap w:val="0"/>
            <w:vAlign w:val="center"/>
          </w:tcPr>
          <w:p w14:paraId="3D5EEB7E">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w:t>
            </w:r>
          </w:p>
        </w:tc>
        <w:tc>
          <w:tcPr>
            <w:tcW w:w="1348" w:type="pct"/>
            <w:tcBorders>
              <w:top w:val="single" w:color="auto" w:sz="4" w:space="0"/>
              <w:left w:val="nil"/>
              <w:bottom w:val="single" w:color="auto" w:sz="4" w:space="0"/>
              <w:right w:val="single" w:color="auto" w:sz="4" w:space="0"/>
            </w:tcBorders>
            <w:noWrap w:val="0"/>
            <w:vAlign w:val="center"/>
          </w:tcPr>
          <w:p w14:paraId="46D2A280">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3</w:t>
            </w:r>
          </w:p>
        </w:tc>
        <w:tc>
          <w:tcPr>
            <w:tcW w:w="1030" w:type="pct"/>
            <w:tcBorders>
              <w:top w:val="single" w:color="auto" w:sz="4" w:space="0"/>
              <w:left w:val="nil"/>
              <w:bottom w:val="single" w:color="auto" w:sz="4" w:space="0"/>
              <w:right w:val="single" w:color="auto" w:sz="4" w:space="0"/>
            </w:tcBorders>
            <w:noWrap w:val="0"/>
            <w:vAlign w:val="center"/>
          </w:tcPr>
          <w:p w14:paraId="7993839E">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T0320</w:t>
            </w:r>
          </w:p>
        </w:tc>
      </w:tr>
      <w:tr w14:paraId="76295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9" w:hRule="atLeast"/>
        </w:trPr>
        <w:tc>
          <w:tcPr>
            <w:tcW w:w="2171" w:type="pct"/>
            <w:tcBorders>
              <w:top w:val="single" w:color="auto" w:sz="4" w:space="0"/>
              <w:left w:val="single" w:color="auto" w:sz="4" w:space="0"/>
              <w:bottom w:val="single" w:color="auto" w:sz="4" w:space="0"/>
              <w:right w:val="single" w:color="auto" w:sz="4" w:space="0"/>
            </w:tcBorders>
            <w:noWrap w:val="0"/>
            <w:vAlign w:val="center"/>
          </w:tcPr>
          <w:p w14:paraId="7B34ECB2">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磨光值PSV 不小于</w:t>
            </w:r>
          </w:p>
        </w:tc>
        <w:tc>
          <w:tcPr>
            <w:tcW w:w="449" w:type="pct"/>
            <w:tcBorders>
              <w:top w:val="single" w:color="auto" w:sz="4" w:space="0"/>
              <w:left w:val="nil"/>
              <w:bottom w:val="single" w:color="auto" w:sz="4" w:space="0"/>
              <w:right w:val="single" w:color="auto" w:sz="4" w:space="0"/>
            </w:tcBorders>
            <w:noWrap w:val="0"/>
            <w:vAlign w:val="center"/>
          </w:tcPr>
          <w:p w14:paraId="23702DF6">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p>
        </w:tc>
        <w:tc>
          <w:tcPr>
            <w:tcW w:w="1348" w:type="pct"/>
            <w:tcBorders>
              <w:top w:val="single" w:color="auto" w:sz="4" w:space="0"/>
              <w:left w:val="nil"/>
              <w:bottom w:val="single" w:color="auto" w:sz="4" w:space="0"/>
              <w:right w:val="single" w:color="auto" w:sz="4" w:space="0"/>
            </w:tcBorders>
            <w:noWrap w:val="0"/>
            <w:vAlign w:val="center"/>
          </w:tcPr>
          <w:p w14:paraId="76AA22A9">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42</w:t>
            </w:r>
          </w:p>
        </w:tc>
        <w:tc>
          <w:tcPr>
            <w:tcW w:w="1030" w:type="pct"/>
            <w:tcBorders>
              <w:top w:val="single" w:color="auto" w:sz="4" w:space="0"/>
              <w:left w:val="nil"/>
              <w:bottom w:val="single" w:color="auto" w:sz="4" w:space="0"/>
              <w:right w:val="single" w:color="auto" w:sz="4" w:space="0"/>
            </w:tcBorders>
            <w:noWrap w:val="0"/>
            <w:vAlign w:val="center"/>
          </w:tcPr>
          <w:p w14:paraId="61884DDF">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T0321</w:t>
            </w:r>
          </w:p>
        </w:tc>
      </w:tr>
      <w:tr w14:paraId="574EA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52" w:hRule="atLeast"/>
        </w:trPr>
        <w:tc>
          <w:tcPr>
            <w:tcW w:w="2171" w:type="pct"/>
            <w:tcBorders>
              <w:top w:val="single" w:color="auto" w:sz="4" w:space="0"/>
              <w:left w:val="single" w:color="auto" w:sz="4" w:space="0"/>
              <w:bottom w:val="single" w:color="auto" w:sz="4" w:space="0"/>
              <w:right w:val="single" w:color="auto" w:sz="4" w:space="0"/>
            </w:tcBorders>
            <w:noWrap w:val="0"/>
            <w:vAlign w:val="center"/>
          </w:tcPr>
          <w:p w14:paraId="2C771AC5">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与沥青的黏附性  不小于</w:t>
            </w:r>
          </w:p>
        </w:tc>
        <w:tc>
          <w:tcPr>
            <w:tcW w:w="449" w:type="pct"/>
            <w:tcBorders>
              <w:top w:val="single" w:color="auto" w:sz="4" w:space="0"/>
              <w:left w:val="nil"/>
              <w:bottom w:val="single" w:color="auto" w:sz="4" w:space="0"/>
              <w:right w:val="single" w:color="auto" w:sz="4" w:space="0"/>
            </w:tcBorders>
            <w:noWrap w:val="0"/>
            <w:vAlign w:val="center"/>
          </w:tcPr>
          <w:p w14:paraId="425262BF">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p>
        </w:tc>
        <w:tc>
          <w:tcPr>
            <w:tcW w:w="1348" w:type="pct"/>
            <w:tcBorders>
              <w:top w:val="single" w:color="auto" w:sz="4" w:space="0"/>
              <w:left w:val="nil"/>
              <w:bottom w:val="single" w:color="auto" w:sz="4" w:space="0"/>
              <w:right w:val="single" w:color="auto" w:sz="4" w:space="0"/>
            </w:tcBorders>
            <w:noWrap w:val="0"/>
            <w:vAlign w:val="center"/>
          </w:tcPr>
          <w:p w14:paraId="391F3ED5">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5级</w:t>
            </w:r>
          </w:p>
        </w:tc>
        <w:tc>
          <w:tcPr>
            <w:tcW w:w="1030" w:type="pct"/>
            <w:tcBorders>
              <w:top w:val="single" w:color="auto" w:sz="4" w:space="0"/>
              <w:left w:val="nil"/>
              <w:bottom w:val="single" w:color="auto" w:sz="4" w:space="0"/>
              <w:right w:val="single" w:color="auto" w:sz="4" w:space="0"/>
            </w:tcBorders>
            <w:noWrap w:val="0"/>
            <w:vAlign w:val="center"/>
          </w:tcPr>
          <w:p w14:paraId="6488B7AF">
            <w:pPr>
              <w:overflowPunct/>
              <w:autoSpaceDE w:val="0"/>
              <w:autoSpaceDN w:val="0"/>
              <w:adjustRightInd w:val="0"/>
              <w:spacing w:line="24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T0663  T0616</w:t>
            </w:r>
          </w:p>
        </w:tc>
      </w:tr>
    </w:tbl>
    <w:p w14:paraId="414D55D0">
      <w:pPr>
        <w:spacing w:line="360" w:lineRule="auto"/>
        <w:ind w:firstLine="482" w:firstLineChars="200"/>
        <w:jc w:val="center"/>
        <w:rPr>
          <w:rFonts w:hint="eastAsia"/>
          <w:b/>
          <w:bCs/>
          <w:sz w:val="24"/>
          <w:szCs w:val="24"/>
          <w:lang w:val="en-US" w:eastAsia="zh-CN"/>
        </w:rPr>
      </w:pPr>
      <w:r>
        <w:rPr>
          <w:rFonts w:hint="eastAsia"/>
          <w:b/>
          <w:bCs/>
          <w:sz w:val="24"/>
          <w:szCs w:val="24"/>
          <w:lang w:val="en-US" w:eastAsia="zh-CN"/>
        </w:rPr>
        <w:t>粗集料对破碎面的要求</w:t>
      </w:r>
    </w:p>
    <w:tbl>
      <w:tblPr>
        <w:tblStyle w:val="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0"/>
        <w:gridCol w:w="2569"/>
        <w:gridCol w:w="2526"/>
        <w:gridCol w:w="2448"/>
      </w:tblGrid>
      <w:tr w14:paraId="028B5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2500" w:type="dxa"/>
            <w:tcBorders>
              <w:top w:val="single" w:color="auto" w:sz="4" w:space="0"/>
              <w:left w:val="single" w:color="auto" w:sz="4" w:space="0"/>
              <w:bottom w:val="single" w:color="auto" w:sz="4" w:space="0"/>
              <w:right w:val="single" w:color="auto" w:sz="4" w:space="0"/>
            </w:tcBorders>
            <w:noWrap w:val="0"/>
            <w:vAlign w:val="center"/>
          </w:tcPr>
          <w:p w14:paraId="072453D2">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混合料类型</w:t>
            </w:r>
          </w:p>
        </w:tc>
        <w:tc>
          <w:tcPr>
            <w:tcW w:w="5095" w:type="dxa"/>
            <w:gridSpan w:val="2"/>
            <w:tcBorders>
              <w:top w:val="single" w:color="auto" w:sz="4" w:space="0"/>
              <w:left w:val="nil"/>
              <w:bottom w:val="single" w:color="auto" w:sz="4" w:space="0"/>
              <w:right w:val="single" w:color="auto" w:sz="4" w:space="0"/>
            </w:tcBorders>
            <w:noWrap w:val="0"/>
            <w:vAlign w:val="center"/>
          </w:tcPr>
          <w:p w14:paraId="1D4FEB89">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具有一定数量破碎面颗粒的含量(%)</w:t>
            </w:r>
          </w:p>
        </w:tc>
        <w:tc>
          <w:tcPr>
            <w:tcW w:w="2448" w:type="dxa"/>
            <w:tcBorders>
              <w:top w:val="single" w:color="auto" w:sz="4" w:space="0"/>
              <w:left w:val="nil"/>
              <w:bottom w:val="single" w:color="auto" w:sz="4" w:space="0"/>
              <w:right w:val="single" w:color="auto" w:sz="4" w:space="0"/>
            </w:tcBorders>
            <w:noWrap w:val="0"/>
            <w:vAlign w:val="center"/>
          </w:tcPr>
          <w:p w14:paraId="2555EA4D">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试验方法</w:t>
            </w:r>
          </w:p>
        </w:tc>
      </w:tr>
      <w:tr w14:paraId="16884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500" w:type="dxa"/>
            <w:tcBorders>
              <w:top w:val="single" w:color="auto" w:sz="4" w:space="0"/>
              <w:left w:val="single" w:color="auto" w:sz="4" w:space="0"/>
              <w:bottom w:val="single" w:color="auto" w:sz="4" w:space="0"/>
              <w:right w:val="single" w:color="auto" w:sz="4" w:space="0"/>
            </w:tcBorders>
            <w:noWrap w:val="0"/>
            <w:vAlign w:val="center"/>
          </w:tcPr>
          <w:p w14:paraId="570E67B2">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p>
        </w:tc>
        <w:tc>
          <w:tcPr>
            <w:tcW w:w="2569" w:type="dxa"/>
            <w:tcBorders>
              <w:top w:val="single" w:color="auto" w:sz="4" w:space="0"/>
              <w:left w:val="nil"/>
              <w:bottom w:val="single" w:color="auto" w:sz="4" w:space="0"/>
              <w:right w:val="single" w:color="auto" w:sz="4" w:space="0"/>
            </w:tcBorders>
            <w:noWrap w:val="0"/>
            <w:vAlign w:val="center"/>
          </w:tcPr>
          <w:p w14:paraId="4BA959E2">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1个破碎面</w:t>
            </w:r>
          </w:p>
        </w:tc>
        <w:tc>
          <w:tcPr>
            <w:tcW w:w="2526" w:type="dxa"/>
            <w:tcBorders>
              <w:top w:val="single" w:color="auto" w:sz="4" w:space="0"/>
              <w:left w:val="nil"/>
              <w:bottom w:val="single" w:color="auto" w:sz="4" w:space="0"/>
              <w:right w:val="single" w:color="auto" w:sz="4" w:space="0"/>
            </w:tcBorders>
            <w:noWrap w:val="0"/>
            <w:vAlign w:val="center"/>
          </w:tcPr>
          <w:p w14:paraId="51F43DCA">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2个或2个破碎面以上</w:t>
            </w:r>
          </w:p>
        </w:tc>
        <w:tc>
          <w:tcPr>
            <w:tcW w:w="2448" w:type="dxa"/>
            <w:tcBorders>
              <w:top w:val="single" w:color="auto" w:sz="4" w:space="0"/>
              <w:left w:val="nil"/>
              <w:bottom w:val="single" w:color="auto" w:sz="4" w:space="0"/>
              <w:right w:val="single" w:color="auto" w:sz="4" w:space="0"/>
            </w:tcBorders>
            <w:noWrap w:val="0"/>
            <w:vAlign w:val="center"/>
          </w:tcPr>
          <w:p w14:paraId="55B1C9E8">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p>
        </w:tc>
      </w:tr>
      <w:tr w14:paraId="1C458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2500" w:type="dxa"/>
            <w:tcBorders>
              <w:top w:val="single" w:color="auto" w:sz="4" w:space="0"/>
              <w:left w:val="single" w:color="auto" w:sz="4" w:space="0"/>
              <w:bottom w:val="single" w:color="auto" w:sz="4" w:space="0"/>
              <w:right w:val="single" w:color="auto" w:sz="4" w:space="0"/>
            </w:tcBorders>
            <w:noWrap w:val="0"/>
            <w:vAlign w:val="center"/>
          </w:tcPr>
          <w:p w14:paraId="0B2C2F3A">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表面层      不小于</w:t>
            </w:r>
          </w:p>
        </w:tc>
        <w:tc>
          <w:tcPr>
            <w:tcW w:w="2569" w:type="dxa"/>
            <w:tcBorders>
              <w:top w:val="single" w:color="auto" w:sz="4" w:space="0"/>
              <w:left w:val="nil"/>
              <w:bottom w:val="single" w:color="auto" w:sz="4" w:space="0"/>
              <w:right w:val="single" w:color="auto" w:sz="4" w:space="0"/>
            </w:tcBorders>
            <w:noWrap w:val="0"/>
            <w:vAlign w:val="center"/>
          </w:tcPr>
          <w:p w14:paraId="4E10025F">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100</w:t>
            </w:r>
          </w:p>
        </w:tc>
        <w:tc>
          <w:tcPr>
            <w:tcW w:w="2526" w:type="dxa"/>
            <w:tcBorders>
              <w:top w:val="single" w:color="auto" w:sz="4" w:space="0"/>
              <w:left w:val="nil"/>
              <w:bottom w:val="single" w:color="auto" w:sz="4" w:space="0"/>
              <w:right w:val="single" w:color="auto" w:sz="4" w:space="0"/>
            </w:tcBorders>
            <w:noWrap w:val="0"/>
            <w:vAlign w:val="center"/>
          </w:tcPr>
          <w:p w14:paraId="50F5E9B5">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90</w:t>
            </w:r>
          </w:p>
        </w:tc>
        <w:tc>
          <w:tcPr>
            <w:tcW w:w="2448" w:type="dxa"/>
            <w:vMerge w:val="restart"/>
            <w:tcBorders>
              <w:top w:val="nil"/>
              <w:left w:val="nil"/>
              <w:bottom w:val="single" w:color="auto" w:sz="4" w:space="0"/>
              <w:right w:val="single" w:color="auto" w:sz="4" w:space="0"/>
            </w:tcBorders>
            <w:noWrap w:val="0"/>
            <w:vAlign w:val="center"/>
          </w:tcPr>
          <w:p w14:paraId="21CB1DBA">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T0346</w:t>
            </w:r>
          </w:p>
        </w:tc>
      </w:tr>
      <w:tr w14:paraId="6697B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2500" w:type="dxa"/>
            <w:tcBorders>
              <w:top w:val="single" w:color="auto" w:sz="4" w:space="0"/>
              <w:left w:val="single" w:color="auto" w:sz="4" w:space="0"/>
              <w:bottom w:val="single" w:color="auto" w:sz="4" w:space="0"/>
              <w:right w:val="single" w:color="auto" w:sz="4" w:space="0"/>
            </w:tcBorders>
            <w:noWrap w:val="0"/>
            <w:vAlign w:val="center"/>
          </w:tcPr>
          <w:p w14:paraId="1C7A5938">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中、下面层  不小于</w:t>
            </w:r>
          </w:p>
        </w:tc>
        <w:tc>
          <w:tcPr>
            <w:tcW w:w="2569" w:type="dxa"/>
            <w:tcBorders>
              <w:top w:val="single" w:color="auto" w:sz="4" w:space="0"/>
              <w:left w:val="nil"/>
              <w:bottom w:val="single" w:color="auto" w:sz="4" w:space="0"/>
              <w:right w:val="single" w:color="auto" w:sz="4" w:space="0"/>
            </w:tcBorders>
            <w:noWrap w:val="0"/>
            <w:vAlign w:val="center"/>
          </w:tcPr>
          <w:p w14:paraId="0A327A5A">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90</w:t>
            </w:r>
          </w:p>
        </w:tc>
        <w:tc>
          <w:tcPr>
            <w:tcW w:w="2526" w:type="dxa"/>
            <w:tcBorders>
              <w:top w:val="single" w:color="auto" w:sz="4" w:space="0"/>
              <w:left w:val="nil"/>
              <w:bottom w:val="single" w:color="auto" w:sz="4" w:space="0"/>
              <w:right w:val="single" w:color="auto" w:sz="4" w:space="0"/>
            </w:tcBorders>
            <w:noWrap w:val="0"/>
            <w:vAlign w:val="center"/>
          </w:tcPr>
          <w:p w14:paraId="5C626FBC">
            <w:pPr>
              <w:overflowPunct/>
              <w:autoSpaceDE w:val="0"/>
              <w:autoSpaceDN w:val="0"/>
              <w:adjustRightInd w:val="0"/>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80</w:t>
            </w:r>
          </w:p>
        </w:tc>
        <w:tc>
          <w:tcPr>
            <w:tcW w:w="2448" w:type="dxa"/>
            <w:vMerge w:val="continue"/>
            <w:tcBorders>
              <w:top w:val="nil"/>
              <w:left w:val="nil"/>
              <w:bottom w:val="single" w:color="auto" w:sz="4" w:space="0"/>
              <w:right w:val="single" w:color="auto" w:sz="4" w:space="0"/>
            </w:tcBorders>
            <w:noWrap w:val="0"/>
            <w:vAlign w:val="center"/>
          </w:tcPr>
          <w:p w14:paraId="159C8B61">
            <w:pPr>
              <w:widowControl/>
              <w:overflowPunct/>
              <w:spacing w:line="240" w:lineRule="auto"/>
              <w:ind w:firstLine="0" w:firstLineChars="0"/>
              <w:jc w:val="center"/>
              <w:rPr>
                <w:rFonts w:hint="eastAsia" w:ascii="宋体" w:hAnsi="宋体" w:eastAsia="宋体" w:cs="宋体"/>
                <w:kern w:val="2"/>
                <w:sz w:val="24"/>
                <w:szCs w:val="24"/>
              </w:rPr>
            </w:pPr>
          </w:p>
        </w:tc>
      </w:tr>
    </w:tbl>
    <w:p w14:paraId="7950122F">
      <w:pPr>
        <w:spacing w:line="360" w:lineRule="auto"/>
        <w:ind w:firstLine="480" w:firstLineChars="200"/>
        <w:jc w:val="left"/>
        <w:rPr>
          <w:rFonts w:hint="eastAsia"/>
          <w:sz w:val="24"/>
          <w:szCs w:val="24"/>
          <w:lang w:val="en-US" w:eastAsia="zh-CN"/>
        </w:rPr>
      </w:pPr>
      <w:r>
        <w:rPr>
          <w:rFonts w:hint="eastAsia"/>
          <w:sz w:val="24"/>
          <w:szCs w:val="24"/>
          <w:lang w:val="en-US" w:eastAsia="zh-CN"/>
        </w:rPr>
        <w:t>如果粗集料与沥青粘附性不能满足要求，可掺入适量的消石灰，以提高沥青与集料间的粘性力，具体的掺入量应通过沥青混合料的水稳性检验确定。</w:t>
      </w:r>
    </w:p>
    <w:p w14:paraId="56839070">
      <w:pPr>
        <w:spacing w:line="360" w:lineRule="auto"/>
        <w:ind w:firstLine="480" w:firstLineChars="200"/>
        <w:jc w:val="left"/>
        <w:rPr>
          <w:rFonts w:hint="eastAsia"/>
          <w:sz w:val="24"/>
          <w:szCs w:val="24"/>
          <w:lang w:val="en-US" w:eastAsia="zh-CN"/>
        </w:rPr>
      </w:pPr>
      <w:r>
        <w:rPr>
          <w:rFonts w:hint="eastAsia"/>
          <w:sz w:val="24"/>
          <w:szCs w:val="24"/>
          <w:lang w:val="en-US" w:eastAsia="zh-CN"/>
        </w:rPr>
        <w:t>沥青与抗剥落剂的混合液在静置不用的状态下，不宜超过24小时，否则应重新搅拌一次。</w:t>
      </w:r>
    </w:p>
    <w:p w14:paraId="388A2C12">
      <w:pPr>
        <w:spacing w:line="360" w:lineRule="auto"/>
        <w:ind w:firstLine="480" w:firstLineChars="200"/>
        <w:jc w:val="left"/>
        <w:rPr>
          <w:rFonts w:hint="eastAsia"/>
          <w:sz w:val="24"/>
          <w:szCs w:val="24"/>
          <w:lang w:val="en-US" w:eastAsia="zh-CN"/>
        </w:rPr>
      </w:pPr>
      <w:r>
        <w:rPr>
          <w:rFonts w:hint="eastAsia"/>
          <w:sz w:val="24"/>
          <w:szCs w:val="24"/>
          <w:lang w:val="en-US" w:eastAsia="zh-CN"/>
        </w:rPr>
        <w:t>3）细集料</w:t>
      </w:r>
    </w:p>
    <w:p w14:paraId="7F4EDEF9">
      <w:pPr>
        <w:spacing w:line="360" w:lineRule="auto"/>
        <w:ind w:firstLine="480" w:firstLineChars="200"/>
        <w:jc w:val="left"/>
        <w:rPr>
          <w:rFonts w:hint="eastAsia"/>
          <w:sz w:val="24"/>
          <w:szCs w:val="24"/>
          <w:lang w:val="en-US" w:eastAsia="zh-CN"/>
        </w:rPr>
      </w:pPr>
      <w:r>
        <w:rPr>
          <w:rFonts w:hint="eastAsia"/>
          <w:sz w:val="24"/>
          <w:szCs w:val="24"/>
          <w:lang w:val="en-US" w:eastAsia="zh-CN"/>
        </w:rPr>
        <w:t>细集料应洁净、干燥、无风化、无杂质，并有适当的颗粒组成，同时细集料应与沥青有良好的粘性力，严格控制其含泥量、砂当量或亚甲蓝值。细集料必须由具有生产许可证的采石场、采矿厂生产。石屑应采用粗集料破碎石料时通过4.75mm或2.36mm的筛余部分，在生产石屑的过程中应具有抽吸设备，严禁将覆盖层或夹层的泥土混入石屑中。细集料的质量应满足下表的要求。</w:t>
      </w:r>
    </w:p>
    <w:p w14:paraId="7B2D4FB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b/>
          <w:bCs/>
          <w:sz w:val="24"/>
          <w:szCs w:val="24"/>
          <w:lang w:val="en-US" w:eastAsia="zh-CN"/>
        </w:rPr>
      </w:pPr>
      <w:r>
        <w:rPr>
          <w:rFonts w:hint="eastAsia" w:ascii="宋体" w:hAnsi="宋体" w:eastAsia="宋体" w:cs="宋体"/>
          <w:b/>
          <w:bCs/>
          <w:kern w:val="2"/>
          <w:sz w:val="24"/>
          <w:szCs w:val="24"/>
        </w:rPr>
        <w:t xml:space="preserve">   </w:t>
      </w:r>
      <w:r>
        <w:rPr>
          <w:rFonts w:hint="eastAsia" w:ascii="宋体" w:hAnsi="宋体" w:eastAsia="宋体" w:cs="宋体"/>
          <w:b/>
          <w:bCs/>
          <w:kern w:val="2"/>
          <w:sz w:val="28"/>
          <w:szCs w:val="28"/>
        </w:rPr>
        <w:t xml:space="preserve">    </w:t>
      </w:r>
      <w:r>
        <w:rPr>
          <w:rFonts w:hint="eastAsia"/>
          <w:b/>
          <w:bCs/>
          <w:sz w:val="24"/>
          <w:szCs w:val="24"/>
          <w:lang w:val="en-US" w:eastAsia="zh-CN"/>
        </w:rPr>
        <w:t xml:space="preserve"> 沥青混合料用细集料质量技术要求</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2"/>
        <w:gridCol w:w="2189"/>
        <w:gridCol w:w="2183"/>
      </w:tblGrid>
      <w:tr w14:paraId="2335F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5402" w:type="dxa"/>
            <w:tcBorders>
              <w:top w:val="single" w:color="auto" w:sz="4" w:space="0"/>
              <w:left w:val="single" w:color="auto" w:sz="4" w:space="0"/>
              <w:bottom w:val="single" w:color="auto" w:sz="4" w:space="0"/>
              <w:right w:val="single" w:color="auto" w:sz="4" w:space="0"/>
            </w:tcBorders>
            <w:noWrap w:val="0"/>
            <w:vAlign w:val="center"/>
          </w:tcPr>
          <w:p w14:paraId="5D2A1AE2">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指    标</w:t>
            </w:r>
          </w:p>
        </w:tc>
        <w:tc>
          <w:tcPr>
            <w:tcW w:w="2189" w:type="dxa"/>
            <w:tcBorders>
              <w:top w:val="single" w:color="auto" w:sz="4" w:space="0"/>
              <w:left w:val="nil"/>
              <w:bottom w:val="single" w:color="auto" w:sz="4" w:space="0"/>
              <w:right w:val="single" w:color="auto" w:sz="4" w:space="0"/>
            </w:tcBorders>
            <w:noWrap w:val="0"/>
            <w:vAlign w:val="center"/>
          </w:tcPr>
          <w:p w14:paraId="1B34CB1D">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要求</w:t>
            </w:r>
          </w:p>
        </w:tc>
        <w:tc>
          <w:tcPr>
            <w:tcW w:w="2183" w:type="dxa"/>
            <w:tcBorders>
              <w:top w:val="single" w:color="auto" w:sz="4" w:space="0"/>
              <w:left w:val="nil"/>
              <w:bottom w:val="single" w:color="auto" w:sz="4" w:space="0"/>
              <w:right w:val="single" w:color="auto" w:sz="4" w:space="0"/>
            </w:tcBorders>
            <w:noWrap w:val="0"/>
            <w:vAlign w:val="center"/>
          </w:tcPr>
          <w:p w14:paraId="7597326F">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试验方法</w:t>
            </w:r>
          </w:p>
        </w:tc>
      </w:tr>
      <w:tr w14:paraId="4A8A1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5402" w:type="dxa"/>
            <w:tcBorders>
              <w:top w:val="single" w:color="auto" w:sz="4" w:space="0"/>
              <w:left w:val="single" w:color="auto" w:sz="4" w:space="0"/>
              <w:bottom w:val="single" w:color="auto" w:sz="4" w:space="0"/>
              <w:right w:val="single" w:color="auto" w:sz="4" w:space="0"/>
            </w:tcBorders>
            <w:noWrap w:val="0"/>
            <w:vAlign w:val="center"/>
          </w:tcPr>
          <w:p w14:paraId="5FD7E2AA">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表面相对密度</w:t>
            </w:r>
          </w:p>
        </w:tc>
        <w:tc>
          <w:tcPr>
            <w:tcW w:w="2189" w:type="dxa"/>
            <w:tcBorders>
              <w:top w:val="single" w:color="auto" w:sz="4" w:space="0"/>
              <w:left w:val="nil"/>
              <w:bottom w:val="single" w:color="auto" w:sz="4" w:space="0"/>
              <w:right w:val="single" w:color="auto" w:sz="4" w:space="0"/>
            </w:tcBorders>
            <w:noWrap w:val="0"/>
            <w:vAlign w:val="center"/>
          </w:tcPr>
          <w:p w14:paraId="70CFC311">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不小于2.5</w:t>
            </w:r>
          </w:p>
        </w:tc>
        <w:tc>
          <w:tcPr>
            <w:tcW w:w="2183" w:type="dxa"/>
            <w:tcBorders>
              <w:top w:val="single" w:color="auto" w:sz="4" w:space="0"/>
              <w:left w:val="nil"/>
              <w:bottom w:val="single" w:color="auto" w:sz="4" w:space="0"/>
              <w:right w:val="single" w:color="auto" w:sz="4" w:space="0"/>
            </w:tcBorders>
            <w:noWrap w:val="0"/>
            <w:vAlign w:val="center"/>
          </w:tcPr>
          <w:p w14:paraId="0970CDCB">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T0328</w:t>
            </w:r>
          </w:p>
        </w:tc>
      </w:tr>
      <w:tr w14:paraId="60E01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5402" w:type="dxa"/>
            <w:tcBorders>
              <w:top w:val="single" w:color="auto" w:sz="4" w:space="0"/>
              <w:left w:val="single" w:color="auto" w:sz="4" w:space="0"/>
              <w:bottom w:val="single" w:color="auto" w:sz="4" w:space="0"/>
              <w:right w:val="single" w:color="auto" w:sz="4" w:space="0"/>
            </w:tcBorders>
            <w:noWrap w:val="0"/>
            <w:vAlign w:val="center"/>
          </w:tcPr>
          <w:p w14:paraId="4649D83E">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坚固性（＞0.3mm部分） (%)</w:t>
            </w:r>
          </w:p>
        </w:tc>
        <w:tc>
          <w:tcPr>
            <w:tcW w:w="2189" w:type="dxa"/>
            <w:tcBorders>
              <w:top w:val="single" w:color="auto" w:sz="4" w:space="0"/>
              <w:left w:val="nil"/>
              <w:bottom w:val="single" w:color="auto" w:sz="4" w:space="0"/>
              <w:right w:val="single" w:color="auto" w:sz="4" w:space="0"/>
            </w:tcBorders>
            <w:noWrap w:val="0"/>
            <w:vAlign w:val="center"/>
          </w:tcPr>
          <w:p w14:paraId="0E637F94">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不小于12</w:t>
            </w:r>
          </w:p>
        </w:tc>
        <w:tc>
          <w:tcPr>
            <w:tcW w:w="2183" w:type="dxa"/>
            <w:tcBorders>
              <w:top w:val="single" w:color="auto" w:sz="4" w:space="0"/>
              <w:left w:val="nil"/>
              <w:bottom w:val="single" w:color="auto" w:sz="4" w:space="0"/>
              <w:right w:val="single" w:color="auto" w:sz="4" w:space="0"/>
            </w:tcBorders>
            <w:noWrap w:val="0"/>
            <w:vAlign w:val="center"/>
          </w:tcPr>
          <w:p w14:paraId="7F8FBE0E">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T0340</w:t>
            </w:r>
          </w:p>
        </w:tc>
      </w:tr>
      <w:tr w14:paraId="00E04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5402" w:type="dxa"/>
            <w:tcBorders>
              <w:top w:val="single" w:color="auto" w:sz="4" w:space="0"/>
              <w:left w:val="single" w:color="auto" w:sz="4" w:space="0"/>
              <w:bottom w:val="single" w:color="auto" w:sz="4" w:space="0"/>
              <w:right w:val="single" w:color="auto" w:sz="4" w:space="0"/>
            </w:tcBorders>
            <w:noWrap w:val="0"/>
            <w:vAlign w:val="center"/>
          </w:tcPr>
          <w:p w14:paraId="0060D79A">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含泥量（小于0.075的含量）(%)</w:t>
            </w:r>
          </w:p>
        </w:tc>
        <w:tc>
          <w:tcPr>
            <w:tcW w:w="2189" w:type="dxa"/>
            <w:tcBorders>
              <w:top w:val="single" w:color="auto" w:sz="4" w:space="0"/>
              <w:left w:val="nil"/>
              <w:bottom w:val="single" w:color="auto" w:sz="4" w:space="0"/>
              <w:right w:val="single" w:color="auto" w:sz="4" w:space="0"/>
            </w:tcBorders>
            <w:noWrap w:val="0"/>
            <w:vAlign w:val="center"/>
          </w:tcPr>
          <w:p w14:paraId="351D402B">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不大于3</w:t>
            </w:r>
          </w:p>
        </w:tc>
        <w:tc>
          <w:tcPr>
            <w:tcW w:w="2183" w:type="dxa"/>
            <w:tcBorders>
              <w:top w:val="single" w:color="auto" w:sz="4" w:space="0"/>
              <w:left w:val="nil"/>
              <w:bottom w:val="single" w:color="auto" w:sz="4" w:space="0"/>
              <w:right w:val="single" w:color="auto" w:sz="4" w:space="0"/>
            </w:tcBorders>
            <w:noWrap w:val="0"/>
            <w:vAlign w:val="center"/>
          </w:tcPr>
          <w:p w14:paraId="599399C6">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T0333</w:t>
            </w:r>
          </w:p>
        </w:tc>
      </w:tr>
      <w:tr w14:paraId="727D0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5402" w:type="dxa"/>
            <w:tcBorders>
              <w:top w:val="single" w:color="auto" w:sz="4" w:space="0"/>
              <w:left w:val="single" w:color="auto" w:sz="4" w:space="0"/>
              <w:bottom w:val="single" w:color="auto" w:sz="4" w:space="0"/>
              <w:right w:val="single" w:color="auto" w:sz="4" w:space="0"/>
            </w:tcBorders>
            <w:noWrap w:val="0"/>
            <w:vAlign w:val="center"/>
          </w:tcPr>
          <w:p w14:paraId="2F2B7E38">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砂当量 (%)</w:t>
            </w:r>
          </w:p>
        </w:tc>
        <w:tc>
          <w:tcPr>
            <w:tcW w:w="2189" w:type="dxa"/>
            <w:tcBorders>
              <w:top w:val="single" w:color="auto" w:sz="4" w:space="0"/>
              <w:left w:val="nil"/>
              <w:bottom w:val="single" w:color="auto" w:sz="4" w:space="0"/>
              <w:right w:val="single" w:color="auto" w:sz="4" w:space="0"/>
            </w:tcBorders>
            <w:noWrap w:val="0"/>
            <w:vAlign w:val="center"/>
          </w:tcPr>
          <w:p w14:paraId="07F89D8F">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不小于60</w:t>
            </w:r>
          </w:p>
        </w:tc>
        <w:tc>
          <w:tcPr>
            <w:tcW w:w="2183" w:type="dxa"/>
            <w:tcBorders>
              <w:top w:val="single" w:color="auto" w:sz="4" w:space="0"/>
              <w:left w:val="nil"/>
              <w:bottom w:val="single" w:color="auto" w:sz="4" w:space="0"/>
              <w:right w:val="single" w:color="auto" w:sz="4" w:space="0"/>
            </w:tcBorders>
            <w:noWrap w:val="0"/>
            <w:vAlign w:val="center"/>
          </w:tcPr>
          <w:p w14:paraId="47511552">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T0334</w:t>
            </w:r>
          </w:p>
        </w:tc>
      </w:tr>
      <w:tr w14:paraId="594C4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5402" w:type="dxa"/>
            <w:tcBorders>
              <w:top w:val="single" w:color="auto" w:sz="4" w:space="0"/>
              <w:left w:val="single" w:color="auto" w:sz="4" w:space="0"/>
              <w:bottom w:val="single" w:color="auto" w:sz="4" w:space="0"/>
              <w:right w:val="single" w:color="auto" w:sz="4" w:space="0"/>
            </w:tcBorders>
            <w:noWrap w:val="0"/>
            <w:vAlign w:val="center"/>
          </w:tcPr>
          <w:p w14:paraId="7D188D78">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亚甲蓝值 （g/kg）</w:t>
            </w:r>
          </w:p>
        </w:tc>
        <w:tc>
          <w:tcPr>
            <w:tcW w:w="2189" w:type="dxa"/>
            <w:tcBorders>
              <w:top w:val="single" w:color="auto" w:sz="4" w:space="0"/>
              <w:left w:val="nil"/>
              <w:bottom w:val="single" w:color="auto" w:sz="4" w:space="0"/>
              <w:right w:val="single" w:color="auto" w:sz="4" w:space="0"/>
            </w:tcBorders>
            <w:noWrap w:val="0"/>
            <w:vAlign w:val="center"/>
          </w:tcPr>
          <w:p w14:paraId="12B474A0">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不大于25</w:t>
            </w:r>
          </w:p>
        </w:tc>
        <w:tc>
          <w:tcPr>
            <w:tcW w:w="2183" w:type="dxa"/>
            <w:tcBorders>
              <w:top w:val="single" w:color="auto" w:sz="4" w:space="0"/>
              <w:left w:val="nil"/>
              <w:bottom w:val="single" w:color="auto" w:sz="4" w:space="0"/>
              <w:right w:val="single" w:color="auto" w:sz="4" w:space="0"/>
            </w:tcBorders>
            <w:noWrap w:val="0"/>
            <w:vAlign w:val="center"/>
          </w:tcPr>
          <w:p w14:paraId="0DD0BFFD">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T0349</w:t>
            </w:r>
          </w:p>
        </w:tc>
      </w:tr>
      <w:tr w14:paraId="656AC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5402" w:type="dxa"/>
            <w:tcBorders>
              <w:top w:val="single" w:color="auto" w:sz="4" w:space="0"/>
              <w:left w:val="single" w:color="auto" w:sz="4" w:space="0"/>
              <w:bottom w:val="single" w:color="auto" w:sz="4" w:space="0"/>
              <w:right w:val="single" w:color="auto" w:sz="4" w:space="0"/>
            </w:tcBorders>
            <w:noWrap w:val="0"/>
            <w:vAlign w:val="center"/>
          </w:tcPr>
          <w:p w14:paraId="17A73421">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棱角性（流动时间）（s）</w:t>
            </w:r>
          </w:p>
        </w:tc>
        <w:tc>
          <w:tcPr>
            <w:tcW w:w="2189" w:type="dxa"/>
            <w:tcBorders>
              <w:top w:val="single" w:color="auto" w:sz="4" w:space="0"/>
              <w:left w:val="nil"/>
              <w:bottom w:val="single" w:color="auto" w:sz="4" w:space="0"/>
              <w:right w:val="single" w:color="auto" w:sz="4" w:space="0"/>
            </w:tcBorders>
            <w:noWrap w:val="0"/>
            <w:vAlign w:val="center"/>
          </w:tcPr>
          <w:p w14:paraId="65795973">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不小于30</w:t>
            </w:r>
          </w:p>
        </w:tc>
        <w:tc>
          <w:tcPr>
            <w:tcW w:w="2183" w:type="dxa"/>
            <w:tcBorders>
              <w:top w:val="single" w:color="auto" w:sz="4" w:space="0"/>
              <w:left w:val="nil"/>
              <w:bottom w:val="single" w:color="auto" w:sz="4" w:space="0"/>
              <w:right w:val="single" w:color="auto" w:sz="4" w:space="0"/>
            </w:tcBorders>
            <w:noWrap w:val="0"/>
            <w:vAlign w:val="center"/>
          </w:tcPr>
          <w:p w14:paraId="3F098D34">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T0345</w:t>
            </w:r>
          </w:p>
        </w:tc>
      </w:tr>
    </w:tbl>
    <w:p w14:paraId="7B8FEF5F">
      <w:pPr>
        <w:overflowPunct/>
        <w:autoSpaceDE w:val="0"/>
        <w:autoSpaceDN w:val="0"/>
        <w:adjustRightInd w:val="0"/>
        <w:spacing w:line="360" w:lineRule="auto"/>
        <w:ind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rPr>
        <w:t>注：坚固性试验可根据需要进行。</w:t>
      </w:r>
    </w:p>
    <w:p w14:paraId="0520BADC">
      <w:pPr>
        <w:spacing w:line="360" w:lineRule="auto"/>
        <w:ind w:firstLine="480" w:firstLineChars="200"/>
        <w:jc w:val="left"/>
        <w:rPr>
          <w:rFonts w:hint="eastAsia"/>
          <w:sz w:val="24"/>
          <w:szCs w:val="24"/>
          <w:lang w:val="en-US" w:eastAsia="zh-CN"/>
        </w:rPr>
      </w:pPr>
      <w:r>
        <w:rPr>
          <w:rFonts w:hint="eastAsia"/>
          <w:sz w:val="24"/>
          <w:szCs w:val="24"/>
          <w:lang w:val="en-US" w:eastAsia="zh-CN"/>
        </w:rPr>
        <w:t>4）填料</w:t>
      </w:r>
    </w:p>
    <w:p w14:paraId="5946D587">
      <w:pPr>
        <w:spacing w:line="360" w:lineRule="auto"/>
        <w:ind w:firstLine="480" w:firstLineChars="200"/>
        <w:jc w:val="left"/>
        <w:rPr>
          <w:rFonts w:hint="eastAsia"/>
          <w:sz w:val="24"/>
          <w:szCs w:val="24"/>
          <w:lang w:val="en-US" w:eastAsia="zh-CN"/>
        </w:rPr>
      </w:pPr>
      <w:r>
        <w:rPr>
          <w:rFonts w:hint="eastAsia"/>
          <w:sz w:val="24"/>
          <w:szCs w:val="24"/>
          <w:lang w:val="en-US" w:eastAsia="zh-CN"/>
        </w:rPr>
        <w:t>沥青混合料的矿粉必须采用石灰岩或岩浆岩中的强基性岩石等憎水性石料经磨细得到的矿粉，原石料中的泥土、杂质应除净，矿粉应干燥、洁净，能自由地从矿粉仓流出。拌合机的粉尘可作为矿粉的一部分回收，但每盘用量不得超过填料总量的25%，掺有粉尘填料的塑性指数不得大于4%。填料质量应符合下表的要求。</w:t>
      </w:r>
    </w:p>
    <w:p w14:paraId="746F2067">
      <w:pPr>
        <w:spacing w:line="360" w:lineRule="auto"/>
        <w:ind w:firstLine="482" w:firstLineChars="200"/>
        <w:jc w:val="center"/>
        <w:rPr>
          <w:rFonts w:hint="eastAsia"/>
          <w:b/>
          <w:bCs/>
          <w:sz w:val="24"/>
          <w:szCs w:val="24"/>
          <w:lang w:val="en-US" w:eastAsia="zh-CN"/>
        </w:rPr>
      </w:pPr>
      <w:r>
        <w:rPr>
          <w:rFonts w:hint="eastAsia"/>
          <w:b/>
          <w:bCs/>
          <w:sz w:val="24"/>
          <w:szCs w:val="24"/>
          <w:lang w:val="en-US" w:eastAsia="zh-CN"/>
        </w:rPr>
        <w:t>沥青混合料用矿粉质量技术要求</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39"/>
        <w:gridCol w:w="1967"/>
        <w:gridCol w:w="2226"/>
        <w:gridCol w:w="3366"/>
      </w:tblGrid>
      <w:tr w14:paraId="262A5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4506" w:type="dxa"/>
            <w:gridSpan w:val="2"/>
            <w:tcBorders>
              <w:top w:val="single" w:color="auto" w:sz="4" w:space="0"/>
              <w:left w:val="single" w:color="auto" w:sz="4" w:space="0"/>
              <w:bottom w:val="single" w:color="auto" w:sz="4" w:space="0"/>
              <w:right w:val="single" w:color="auto" w:sz="4" w:space="0"/>
            </w:tcBorders>
            <w:noWrap w:val="0"/>
            <w:vAlign w:val="center"/>
          </w:tcPr>
          <w:p w14:paraId="48DA8EC7">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指   标</w:t>
            </w:r>
          </w:p>
        </w:tc>
        <w:tc>
          <w:tcPr>
            <w:tcW w:w="2226" w:type="dxa"/>
            <w:tcBorders>
              <w:top w:val="single" w:color="auto" w:sz="4" w:space="0"/>
              <w:left w:val="nil"/>
              <w:bottom w:val="single" w:color="auto" w:sz="4" w:space="0"/>
              <w:right w:val="single" w:color="auto" w:sz="4" w:space="0"/>
            </w:tcBorders>
            <w:noWrap w:val="0"/>
            <w:vAlign w:val="center"/>
          </w:tcPr>
          <w:p w14:paraId="3E8D717B">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要   求</w:t>
            </w:r>
          </w:p>
        </w:tc>
        <w:tc>
          <w:tcPr>
            <w:tcW w:w="3366" w:type="dxa"/>
            <w:tcBorders>
              <w:top w:val="single" w:color="auto" w:sz="4" w:space="0"/>
              <w:left w:val="nil"/>
              <w:bottom w:val="single" w:color="auto" w:sz="4" w:space="0"/>
              <w:right w:val="single" w:color="auto" w:sz="4" w:space="0"/>
            </w:tcBorders>
            <w:noWrap w:val="0"/>
            <w:vAlign w:val="center"/>
          </w:tcPr>
          <w:p w14:paraId="7422085E">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试验方法</w:t>
            </w:r>
          </w:p>
        </w:tc>
      </w:tr>
      <w:tr w14:paraId="06E40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4506" w:type="dxa"/>
            <w:gridSpan w:val="2"/>
            <w:tcBorders>
              <w:top w:val="single" w:color="auto" w:sz="4" w:space="0"/>
              <w:left w:val="single" w:color="auto" w:sz="4" w:space="0"/>
              <w:bottom w:val="single" w:color="auto" w:sz="4" w:space="0"/>
              <w:right w:val="single" w:color="auto" w:sz="4" w:space="0"/>
            </w:tcBorders>
            <w:noWrap w:val="0"/>
            <w:vAlign w:val="center"/>
          </w:tcPr>
          <w:p w14:paraId="3AD174AB">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表观密度（t/m</w:t>
            </w:r>
            <w:r>
              <w:rPr>
                <w:rFonts w:hint="eastAsia" w:ascii="宋体" w:hAnsi="宋体" w:eastAsia="宋体" w:cs="宋体"/>
                <w:kern w:val="2"/>
                <w:sz w:val="24"/>
                <w:szCs w:val="24"/>
                <w:vertAlign w:val="superscript"/>
              </w:rPr>
              <w:t>3</w:t>
            </w:r>
            <w:r>
              <w:rPr>
                <w:rFonts w:hint="eastAsia" w:ascii="宋体" w:hAnsi="宋体" w:eastAsia="宋体" w:cs="宋体"/>
                <w:kern w:val="2"/>
                <w:sz w:val="24"/>
                <w:szCs w:val="24"/>
              </w:rPr>
              <w:t>）</w:t>
            </w:r>
          </w:p>
        </w:tc>
        <w:tc>
          <w:tcPr>
            <w:tcW w:w="2226" w:type="dxa"/>
            <w:tcBorders>
              <w:top w:val="single" w:color="auto" w:sz="4" w:space="0"/>
              <w:left w:val="nil"/>
              <w:bottom w:val="single" w:color="auto" w:sz="4" w:space="0"/>
              <w:right w:val="single" w:color="auto" w:sz="4" w:space="0"/>
            </w:tcBorders>
            <w:noWrap w:val="0"/>
            <w:vAlign w:val="center"/>
          </w:tcPr>
          <w:p w14:paraId="21AC16B9">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不小于2.5</w:t>
            </w:r>
          </w:p>
        </w:tc>
        <w:tc>
          <w:tcPr>
            <w:tcW w:w="3366" w:type="dxa"/>
            <w:tcBorders>
              <w:top w:val="single" w:color="auto" w:sz="4" w:space="0"/>
              <w:left w:val="nil"/>
              <w:bottom w:val="single" w:color="auto" w:sz="4" w:space="0"/>
              <w:right w:val="single" w:color="auto" w:sz="4" w:space="0"/>
            </w:tcBorders>
            <w:noWrap w:val="0"/>
            <w:vAlign w:val="center"/>
          </w:tcPr>
          <w:p w14:paraId="7B5D6607">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T0352</w:t>
            </w:r>
          </w:p>
        </w:tc>
      </w:tr>
      <w:tr w14:paraId="70A7B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4506" w:type="dxa"/>
            <w:gridSpan w:val="2"/>
            <w:tcBorders>
              <w:top w:val="single" w:color="auto" w:sz="4" w:space="0"/>
              <w:left w:val="single" w:color="auto" w:sz="4" w:space="0"/>
              <w:bottom w:val="single" w:color="auto" w:sz="4" w:space="0"/>
              <w:right w:val="single" w:color="auto" w:sz="4" w:space="0"/>
            </w:tcBorders>
            <w:noWrap w:val="0"/>
            <w:vAlign w:val="center"/>
          </w:tcPr>
          <w:p w14:paraId="623F792E">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含水量（%）</w:t>
            </w:r>
          </w:p>
        </w:tc>
        <w:tc>
          <w:tcPr>
            <w:tcW w:w="2226" w:type="dxa"/>
            <w:tcBorders>
              <w:top w:val="single" w:color="auto" w:sz="4" w:space="0"/>
              <w:left w:val="nil"/>
              <w:bottom w:val="single" w:color="auto" w:sz="4" w:space="0"/>
              <w:right w:val="single" w:color="auto" w:sz="4" w:space="0"/>
            </w:tcBorders>
            <w:noWrap w:val="0"/>
            <w:vAlign w:val="center"/>
          </w:tcPr>
          <w:p w14:paraId="0E9EE710">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不大于1</w:t>
            </w:r>
          </w:p>
        </w:tc>
        <w:tc>
          <w:tcPr>
            <w:tcW w:w="3366" w:type="dxa"/>
            <w:tcBorders>
              <w:top w:val="single" w:color="auto" w:sz="4" w:space="0"/>
              <w:left w:val="nil"/>
              <w:bottom w:val="single" w:color="auto" w:sz="4" w:space="0"/>
              <w:right w:val="single" w:color="auto" w:sz="4" w:space="0"/>
            </w:tcBorders>
            <w:noWrap w:val="0"/>
            <w:vAlign w:val="center"/>
          </w:tcPr>
          <w:p w14:paraId="06CD191D">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T0103烘干法</w:t>
            </w:r>
          </w:p>
        </w:tc>
      </w:tr>
      <w:tr w14:paraId="6CC3C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539" w:type="dxa"/>
            <w:vMerge w:val="restart"/>
            <w:tcBorders>
              <w:top w:val="nil"/>
              <w:left w:val="single" w:color="auto" w:sz="4" w:space="0"/>
              <w:bottom w:val="single" w:color="auto" w:sz="4" w:space="0"/>
              <w:right w:val="single" w:color="auto" w:sz="4" w:space="0"/>
            </w:tcBorders>
            <w:noWrap w:val="0"/>
            <w:vAlign w:val="center"/>
          </w:tcPr>
          <w:p w14:paraId="69D88A8B">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粒度范围</w:t>
            </w:r>
          </w:p>
        </w:tc>
        <w:tc>
          <w:tcPr>
            <w:tcW w:w="1967" w:type="dxa"/>
            <w:tcBorders>
              <w:top w:val="single" w:color="auto" w:sz="4" w:space="0"/>
              <w:left w:val="nil"/>
              <w:bottom w:val="single" w:color="auto" w:sz="4" w:space="0"/>
              <w:right w:val="single" w:color="auto" w:sz="4" w:space="0"/>
            </w:tcBorders>
            <w:noWrap w:val="0"/>
            <w:vAlign w:val="center"/>
          </w:tcPr>
          <w:p w14:paraId="67A1BB9E">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＜0.6mm（%）</w:t>
            </w:r>
          </w:p>
        </w:tc>
        <w:tc>
          <w:tcPr>
            <w:tcW w:w="2226" w:type="dxa"/>
            <w:tcBorders>
              <w:top w:val="single" w:color="auto" w:sz="4" w:space="0"/>
              <w:left w:val="nil"/>
              <w:bottom w:val="single" w:color="auto" w:sz="4" w:space="0"/>
              <w:right w:val="single" w:color="auto" w:sz="4" w:space="0"/>
            </w:tcBorders>
            <w:noWrap w:val="0"/>
            <w:vAlign w:val="center"/>
          </w:tcPr>
          <w:p w14:paraId="219D8E28">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100</w:t>
            </w:r>
          </w:p>
        </w:tc>
        <w:tc>
          <w:tcPr>
            <w:tcW w:w="3366" w:type="dxa"/>
            <w:vMerge w:val="restart"/>
            <w:tcBorders>
              <w:top w:val="single" w:color="auto" w:sz="4" w:space="0"/>
              <w:left w:val="nil"/>
              <w:bottom w:val="single" w:color="auto" w:sz="4" w:space="0"/>
              <w:right w:val="single" w:color="auto" w:sz="4" w:space="0"/>
            </w:tcBorders>
            <w:noWrap w:val="0"/>
            <w:vAlign w:val="center"/>
          </w:tcPr>
          <w:p w14:paraId="4417F77E">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T0351</w:t>
            </w:r>
          </w:p>
        </w:tc>
      </w:tr>
      <w:tr w14:paraId="20769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539" w:type="dxa"/>
            <w:vMerge w:val="continue"/>
            <w:tcBorders>
              <w:top w:val="nil"/>
              <w:left w:val="single" w:color="auto" w:sz="4" w:space="0"/>
              <w:bottom w:val="single" w:color="auto" w:sz="4" w:space="0"/>
              <w:right w:val="single" w:color="auto" w:sz="4" w:space="0"/>
            </w:tcBorders>
            <w:noWrap w:val="0"/>
            <w:vAlign w:val="center"/>
          </w:tcPr>
          <w:p w14:paraId="43B7B3EA">
            <w:pPr>
              <w:widowControl/>
              <w:overflowPunct/>
              <w:spacing w:line="240" w:lineRule="auto"/>
              <w:ind w:firstLine="0" w:firstLineChars="0"/>
              <w:jc w:val="left"/>
              <w:rPr>
                <w:rFonts w:hint="eastAsia" w:ascii="宋体" w:hAnsi="宋体" w:eastAsia="宋体" w:cs="宋体"/>
                <w:kern w:val="2"/>
                <w:sz w:val="24"/>
                <w:szCs w:val="24"/>
              </w:rPr>
            </w:pPr>
          </w:p>
        </w:tc>
        <w:tc>
          <w:tcPr>
            <w:tcW w:w="1967" w:type="dxa"/>
            <w:tcBorders>
              <w:top w:val="single" w:color="auto" w:sz="4" w:space="0"/>
              <w:left w:val="nil"/>
              <w:bottom w:val="single" w:color="auto" w:sz="4" w:space="0"/>
              <w:right w:val="single" w:color="auto" w:sz="4" w:space="0"/>
            </w:tcBorders>
            <w:noWrap w:val="0"/>
            <w:vAlign w:val="center"/>
          </w:tcPr>
          <w:p w14:paraId="05A60BA5">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＜0.15mm(%)</w:t>
            </w:r>
          </w:p>
        </w:tc>
        <w:tc>
          <w:tcPr>
            <w:tcW w:w="2226" w:type="dxa"/>
            <w:tcBorders>
              <w:top w:val="single" w:color="auto" w:sz="4" w:space="0"/>
              <w:left w:val="nil"/>
              <w:bottom w:val="single" w:color="auto" w:sz="4" w:space="0"/>
              <w:right w:val="single" w:color="auto" w:sz="4" w:space="0"/>
            </w:tcBorders>
            <w:noWrap w:val="0"/>
            <w:vAlign w:val="center"/>
          </w:tcPr>
          <w:p w14:paraId="2850495F">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90-100</w:t>
            </w:r>
          </w:p>
        </w:tc>
        <w:tc>
          <w:tcPr>
            <w:tcW w:w="3366" w:type="dxa"/>
            <w:vMerge w:val="continue"/>
            <w:tcBorders>
              <w:top w:val="single" w:color="auto" w:sz="4" w:space="0"/>
              <w:left w:val="nil"/>
              <w:bottom w:val="single" w:color="auto" w:sz="4" w:space="0"/>
              <w:right w:val="single" w:color="auto" w:sz="4" w:space="0"/>
            </w:tcBorders>
            <w:noWrap w:val="0"/>
            <w:vAlign w:val="center"/>
          </w:tcPr>
          <w:p w14:paraId="59643575">
            <w:pPr>
              <w:widowControl/>
              <w:overflowPunct/>
              <w:spacing w:line="240" w:lineRule="auto"/>
              <w:ind w:firstLine="0" w:firstLineChars="0"/>
              <w:jc w:val="left"/>
              <w:rPr>
                <w:rFonts w:hint="eastAsia" w:ascii="宋体" w:hAnsi="宋体" w:eastAsia="宋体" w:cs="宋体"/>
                <w:kern w:val="2"/>
                <w:sz w:val="24"/>
                <w:szCs w:val="24"/>
              </w:rPr>
            </w:pPr>
          </w:p>
        </w:tc>
      </w:tr>
      <w:tr w14:paraId="340EB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539" w:type="dxa"/>
            <w:vMerge w:val="continue"/>
            <w:tcBorders>
              <w:top w:val="nil"/>
              <w:left w:val="single" w:color="auto" w:sz="4" w:space="0"/>
              <w:bottom w:val="single" w:color="auto" w:sz="4" w:space="0"/>
              <w:right w:val="single" w:color="auto" w:sz="4" w:space="0"/>
            </w:tcBorders>
            <w:noWrap w:val="0"/>
            <w:vAlign w:val="center"/>
          </w:tcPr>
          <w:p w14:paraId="7E854722">
            <w:pPr>
              <w:widowControl/>
              <w:overflowPunct/>
              <w:spacing w:line="240" w:lineRule="auto"/>
              <w:ind w:firstLine="0" w:firstLineChars="0"/>
              <w:jc w:val="left"/>
              <w:rPr>
                <w:rFonts w:hint="eastAsia" w:ascii="宋体" w:hAnsi="宋体" w:eastAsia="宋体" w:cs="宋体"/>
                <w:kern w:val="2"/>
                <w:sz w:val="24"/>
                <w:szCs w:val="24"/>
              </w:rPr>
            </w:pPr>
          </w:p>
        </w:tc>
        <w:tc>
          <w:tcPr>
            <w:tcW w:w="1967" w:type="dxa"/>
            <w:tcBorders>
              <w:top w:val="single" w:color="auto" w:sz="4" w:space="0"/>
              <w:left w:val="nil"/>
              <w:bottom w:val="single" w:color="auto" w:sz="4" w:space="0"/>
              <w:right w:val="single" w:color="auto" w:sz="4" w:space="0"/>
            </w:tcBorders>
            <w:noWrap w:val="0"/>
            <w:vAlign w:val="center"/>
          </w:tcPr>
          <w:p w14:paraId="5ACA4335">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＜0.075mm(%)</w:t>
            </w:r>
          </w:p>
        </w:tc>
        <w:tc>
          <w:tcPr>
            <w:tcW w:w="2226" w:type="dxa"/>
            <w:tcBorders>
              <w:top w:val="single" w:color="auto" w:sz="4" w:space="0"/>
              <w:left w:val="nil"/>
              <w:bottom w:val="single" w:color="auto" w:sz="4" w:space="0"/>
              <w:right w:val="single" w:color="auto" w:sz="4" w:space="0"/>
            </w:tcBorders>
            <w:noWrap w:val="0"/>
            <w:vAlign w:val="center"/>
          </w:tcPr>
          <w:p w14:paraId="65624DB9">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75-100</w:t>
            </w:r>
          </w:p>
        </w:tc>
        <w:tc>
          <w:tcPr>
            <w:tcW w:w="3366" w:type="dxa"/>
            <w:vMerge w:val="continue"/>
            <w:tcBorders>
              <w:top w:val="single" w:color="auto" w:sz="4" w:space="0"/>
              <w:left w:val="nil"/>
              <w:bottom w:val="single" w:color="auto" w:sz="4" w:space="0"/>
              <w:right w:val="single" w:color="auto" w:sz="4" w:space="0"/>
            </w:tcBorders>
            <w:noWrap w:val="0"/>
            <w:vAlign w:val="center"/>
          </w:tcPr>
          <w:p w14:paraId="666F7CCD">
            <w:pPr>
              <w:widowControl/>
              <w:overflowPunct/>
              <w:spacing w:line="240" w:lineRule="auto"/>
              <w:ind w:firstLine="0" w:firstLineChars="0"/>
              <w:jc w:val="left"/>
              <w:rPr>
                <w:rFonts w:hint="eastAsia" w:ascii="宋体" w:hAnsi="宋体" w:eastAsia="宋体" w:cs="宋体"/>
                <w:kern w:val="2"/>
                <w:sz w:val="24"/>
                <w:szCs w:val="24"/>
              </w:rPr>
            </w:pPr>
          </w:p>
        </w:tc>
      </w:tr>
      <w:tr w14:paraId="4CA04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4506" w:type="dxa"/>
            <w:gridSpan w:val="2"/>
            <w:tcBorders>
              <w:top w:val="single" w:color="auto" w:sz="4" w:space="0"/>
              <w:left w:val="single" w:color="auto" w:sz="4" w:space="0"/>
              <w:bottom w:val="single" w:color="auto" w:sz="4" w:space="0"/>
              <w:right w:val="single" w:color="auto" w:sz="4" w:space="0"/>
            </w:tcBorders>
            <w:noWrap w:val="0"/>
            <w:vAlign w:val="center"/>
          </w:tcPr>
          <w:p w14:paraId="29A96F3B">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亲水系数</w:t>
            </w:r>
          </w:p>
        </w:tc>
        <w:tc>
          <w:tcPr>
            <w:tcW w:w="2226" w:type="dxa"/>
            <w:tcBorders>
              <w:top w:val="single" w:color="auto" w:sz="4" w:space="0"/>
              <w:left w:val="nil"/>
              <w:bottom w:val="single" w:color="auto" w:sz="4" w:space="0"/>
              <w:right w:val="single" w:color="auto" w:sz="4" w:space="0"/>
            </w:tcBorders>
            <w:noWrap w:val="0"/>
            <w:vAlign w:val="center"/>
          </w:tcPr>
          <w:p w14:paraId="6068074D">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小于1</w:t>
            </w:r>
          </w:p>
        </w:tc>
        <w:tc>
          <w:tcPr>
            <w:tcW w:w="3366" w:type="dxa"/>
            <w:tcBorders>
              <w:top w:val="single" w:color="auto" w:sz="4" w:space="0"/>
              <w:left w:val="nil"/>
              <w:bottom w:val="single" w:color="auto" w:sz="4" w:space="0"/>
              <w:right w:val="single" w:color="auto" w:sz="4" w:space="0"/>
            </w:tcBorders>
            <w:noWrap w:val="0"/>
            <w:vAlign w:val="center"/>
          </w:tcPr>
          <w:p w14:paraId="274E6B61">
            <w:pPr>
              <w:overflowPunct/>
              <w:spacing w:line="360" w:lineRule="auto"/>
              <w:ind w:firstLine="0" w:firstLineChars="0"/>
              <w:jc w:val="both"/>
              <w:rPr>
                <w:rFonts w:hint="eastAsia" w:ascii="宋体" w:hAnsi="宋体" w:eastAsia="宋体" w:cs="宋体"/>
                <w:kern w:val="2"/>
                <w:sz w:val="24"/>
                <w:szCs w:val="24"/>
              </w:rPr>
            </w:pPr>
          </w:p>
        </w:tc>
      </w:tr>
      <w:tr w14:paraId="1384D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4506" w:type="dxa"/>
            <w:gridSpan w:val="2"/>
            <w:tcBorders>
              <w:top w:val="single" w:color="auto" w:sz="4" w:space="0"/>
              <w:left w:val="single" w:color="auto" w:sz="4" w:space="0"/>
              <w:bottom w:val="single" w:color="auto" w:sz="4" w:space="0"/>
              <w:right w:val="single" w:color="auto" w:sz="4" w:space="0"/>
            </w:tcBorders>
            <w:noWrap w:val="0"/>
            <w:vAlign w:val="center"/>
          </w:tcPr>
          <w:p w14:paraId="2F67DEE1">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塑性指数 （%）</w:t>
            </w:r>
          </w:p>
        </w:tc>
        <w:tc>
          <w:tcPr>
            <w:tcW w:w="2226" w:type="dxa"/>
            <w:tcBorders>
              <w:top w:val="single" w:color="auto" w:sz="4" w:space="0"/>
              <w:left w:val="nil"/>
              <w:bottom w:val="single" w:color="auto" w:sz="4" w:space="0"/>
              <w:right w:val="single" w:color="auto" w:sz="4" w:space="0"/>
            </w:tcBorders>
            <w:noWrap w:val="0"/>
            <w:vAlign w:val="center"/>
          </w:tcPr>
          <w:p w14:paraId="6FD05CFF">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小于4</w:t>
            </w:r>
          </w:p>
        </w:tc>
        <w:tc>
          <w:tcPr>
            <w:tcW w:w="3366" w:type="dxa"/>
            <w:tcBorders>
              <w:top w:val="single" w:color="auto" w:sz="4" w:space="0"/>
              <w:left w:val="nil"/>
              <w:bottom w:val="single" w:color="auto" w:sz="4" w:space="0"/>
              <w:right w:val="single" w:color="auto" w:sz="4" w:space="0"/>
            </w:tcBorders>
            <w:noWrap w:val="0"/>
            <w:vAlign w:val="center"/>
          </w:tcPr>
          <w:p w14:paraId="1EABBCDE">
            <w:pPr>
              <w:overflowPunct/>
              <w:spacing w:line="360" w:lineRule="auto"/>
              <w:ind w:firstLine="0" w:firstLineChars="0"/>
              <w:jc w:val="both"/>
              <w:rPr>
                <w:rFonts w:hint="eastAsia" w:ascii="宋体" w:hAnsi="宋体" w:eastAsia="宋体" w:cs="宋体"/>
                <w:kern w:val="2"/>
                <w:sz w:val="24"/>
                <w:szCs w:val="24"/>
              </w:rPr>
            </w:pPr>
          </w:p>
        </w:tc>
      </w:tr>
      <w:tr w14:paraId="6BE72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4506" w:type="dxa"/>
            <w:gridSpan w:val="2"/>
            <w:tcBorders>
              <w:top w:val="single" w:color="auto" w:sz="4" w:space="0"/>
              <w:left w:val="single" w:color="auto" w:sz="4" w:space="0"/>
              <w:bottom w:val="single" w:color="auto" w:sz="4" w:space="0"/>
              <w:right w:val="single" w:color="auto" w:sz="4" w:space="0"/>
            </w:tcBorders>
            <w:noWrap w:val="0"/>
            <w:vAlign w:val="center"/>
          </w:tcPr>
          <w:p w14:paraId="3A388366">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加热安定性</w:t>
            </w:r>
          </w:p>
        </w:tc>
        <w:tc>
          <w:tcPr>
            <w:tcW w:w="2226" w:type="dxa"/>
            <w:tcBorders>
              <w:top w:val="single" w:color="auto" w:sz="4" w:space="0"/>
              <w:left w:val="nil"/>
              <w:bottom w:val="single" w:color="auto" w:sz="4" w:space="0"/>
              <w:right w:val="single" w:color="auto" w:sz="4" w:space="0"/>
            </w:tcBorders>
            <w:noWrap w:val="0"/>
            <w:vAlign w:val="center"/>
          </w:tcPr>
          <w:p w14:paraId="04D757A5">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实测记录</w:t>
            </w:r>
          </w:p>
        </w:tc>
        <w:tc>
          <w:tcPr>
            <w:tcW w:w="3366" w:type="dxa"/>
            <w:tcBorders>
              <w:top w:val="single" w:color="auto" w:sz="4" w:space="0"/>
              <w:left w:val="nil"/>
              <w:bottom w:val="single" w:color="auto" w:sz="4" w:space="0"/>
              <w:right w:val="single" w:color="auto" w:sz="4" w:space="0"/>
            </w:tcBorders>
            <w:noWrap w:val="0"/>
            <w:vAlign w:val="center"/>
          </w:tcPr>
          <w:p w14:paraId="1C587CCB">
            <w:pPr>
              <w:overflowPunct/>
              <w:spacing w:line="360" w:lineRule="auto"/>
              <w:ind w:firstLine="0" w:firstLineChars="0"/>
              <w:jc w:val="both"/>
              <w:rPr>
                <w:rFonts w:hint="eastAsia" w:ascii="宋体" w:hAnsi="宋体" w:eastAsia="宋体" w:cs="宋体"/>
                <w:kern w:val="2"/>
                <w:sz w:val="24"/>
                <w:szCs w:val="24"/>
              </w:rPr>
            </w:pPr>
          </w:p>
        </w:tc>
      </w:tr>
      <w:tr w14:paraId="78710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4506" w:type="dxa"/>
            <w:gridSpan w:val="2"/>
            <w:tcBorders>
              <w:top w:val="single" w:color="auto" w:sz="4" w:space="0"/>
              <w:left w:val="single" w:color="auto" w:sz="4" w:space="0"/>
              <w:bottom w:val="single" w:color="auto" w:sz="4" w:space="0"/>
              <w:right w:val="single" w:color="auto" w:sz="4" w:space="0"/>
            </w:tcBorders>
            <w:noWrap w:val="0"/>
            <w:vAlign w:val="center"/>
          </w:tcPr>
          <w:p w14:paraId="2AB3AEFD">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外观</w:t>
            </w:r>
          </w:p>
        </w:tc>
        <w:tc>
          <w:tcPr>
            <w:tcW w:w="2226" w:type="dxa"/>
            <w:tcBorders>
              <w:top w:val="single" w:color="auto" w:sz="4" w:space="0"/>
              <w:left w:val="nil"/>
              <w:bottom w:val="single" w:color="auto" w:sz="4" w:space="0"/>
              <w:right w:val="single" w:color="auto" w:sz="4" w:space="0"/>
            </w:tcBorders>
            <w:noWrap w:val="0"/>
            <w:vAlign w:val="center"/>
          </w:tcPr>
          <w:p w14:paraId="5453033C">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无团粒结块</w:t>
            </w:r>
          </w:p>
        </w:tc>
        <w:tc>
          <w:tcPr>
            <w:tcW w:w="3366" w:type="dxa"/>
            <w:tcBorders>
              <w:top w:val="single" w:color="auto" w:sz="4" w:space="0"/>
              <w:left w:val="nil"/>
              <w:bottom w:val="single" w:color="auto" w:sz="4" w:space="0"/>
              <w:right w:val="single" w:color="auto" w:sz="4" w:space="0"/>
            </w:tcBorders>
            <w:noWrap w:val="0"/>
            <w:vAlign w:val="center"/>
          </w:tcPr>
          <w:p w14:paraId="2A4E8249">
            <w:pPr>
              <w:overflowPunct/>
              <w:spacing w:line="360" w:lineRule="auto"/>
              <w:ind w:firstLine="0" w:firstLineChars="0"/>
              <w:jc w:val="both"/>
              <w:rPr>
                <w:rFonts w:hint="eastAsia" w:ascii="宋体" w:hAnsi="宋体" w:eastAsia="宋体" w:cs="宋体"/>
                <w:kern w:val="2"/>
                <w:sz w:val="24"/>
                <w:szCs w:val="24"/>
              </w:rPr>
            </w:pPr>
            <w:r>
              <w:rPr>
                <w:rFonts w:hint="eastAsia" w:ascii="宋体" w:hAnsi="宋体" w:eastAsia="宋体" w:cs="宋体"/>
                <w:kern w:val="2"/>
                <w:sz w:val="24"/>
                <w:szCs w:val="24"/>
              </w:rPr>
              <w:t>观察</w:t>
            </w:r>
          </w:p>
        </w:tc>
      </w:tr>
    </w:tbl>
    <w:p w14:paraId="3F167C7B">
      <w:pPr>
        <w:spacing w:line="360" w:lineRule="auto"/>
        <w:ind w:firstLine="480" w:firstLineChars="200"/>
        <w:jc w:val="left"/>
        <w:rPr>
          <w:rFonts w:hint="eastAsia"/>
          <w:sz w:val="24"/>
          <w:szCs w:val="24"/>
          <w:lang w:val="en-US" w:eastAsia="zh-CN"/>
        </w:rPr>
      </w:pPr>
      <w:r>
        <w:rPr>
          <w:rFonts w:hint="eastAsia"/>
          <w:sz w:val="24"/>
          <w:szCs w:val="24"/>
          <w:lang w:val="en-US" w:eastAsia="zh-CN"/>
        </w:rPr>
        <w:t>5）沥青混合料</w:t>
      </w:r>
    </w:p>
    <w:p w14:paraId="524859AB">
      <w:pPr>
        <w:spacing w:line="360" w:lineRule="auto"/>
        <w:ind w:firstLine="480" w:firstLineChars="200"/>
        <w:jc w:val="left"/>
        <w:rPr>
          <w:rFonts w:hint="eastAsia"/>
          <w:sz w:val="24"/>
          <w:szCs w:val="24"/>
          <w:lang w:val="en-US" w:eastAsia="zh-CN"/>
        </w:rPr>
      </w:pPr>
      <w:r>
        <w:rPr>
          <w:rFonts w:hint="eastAsia"/>
          <w:sz w:val="24"/>
          <w:szCs w:val="24"/>
          <w:lang w:val="en-US" w:eastAsia="zh-CN"/>
        </w:rPr>
        <w:t>各沥青混凝土的关键性筛孔通过率要求如下：</w:t>
      </w:r>
    </w:p>
    <w:p w14:paraId="46794E08">
      <w:pPr>
        <w:spacing w:line="360" w:lineRule="auto"/>
        <w:ind w:firstLine="482" w:firstLineChars="200"/>
        <w:jc w:val="center"/>
        <w:rPr>
          <w:rFonts w:hint="eastAsia"/>
          <w:b/>
          <w:bCs/>
          <w:sz w:val="24"/>
          <w:szCs w:val="24"/>
          <w:lang w:val="en-US" w:eastAsia="zh-CN"/>
        </w:rPr>
      </w:pPr>
      <w:r>
        <w:rPr>
          <w:rFonts w:hint="eastAsia"/>
          <w:b/>
          <w:bCs/>
          <w:sz w:val="24"/>
          <w:szCs w:val="24"/>
          <w:lang w:val="en-US" w:eastAsia="zh-CN"/>
        </w:rPr>
        <w:t>粗型和细型密级配沥青混凝土的关键性筛孔通过率</w:t>
      </w:r>
    </w:p>
    <w:tbl>
      <w:tblPr>
        <w:tblStyle w:val="6"/>
        <w:tblW w:w="9638" w:type="dxa"/>
        <w:jc w:val="center"/>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0" w:type="dxa"/>
          <w:left w:w="0" w:type="dxa"/>
          <w:bottom w:w="0" w:type="dxa"/>
          <w:right w:w="0" w:type="dxa"/>
        </w:tblCellMar>
      </w:tblPr>
      <w:tblGrid>
        <w:gridCol w:w="2124"/>
        <w:gridCol w:w="3314"/>
        <w:gridCol w:w="1588"/>
        <w:gridCol w:w="2612"/>
      </w:tblGrid>
      <w:tr w14:paraId="1CC5BE3E">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0" w:type="dxa"/>
            <w:bottom w:w="0" w:type="dxa"/>
            <w:right w:w="0" w:type="dxa"/>
          </w:tblCellMar>
        </w:tblPrEx>
        <w:trPr>
          <w:trHeight w:val="460" w:hRule="atLeast"/>
          <w:tblHeader/>
          <w:jc w:val="center"/>
        </w:trPr>
        <w:tc>
          <w:tcPr>
            <w:tcW w:w="2124" w:type="dxa"/>
            <w:noWrap w:val="0"/>
            <w:vAlign w:val="center"/>
          </w:tcPr>
          <w:p w14:paraId="6979D586">
            <w:pPr>
              <w:overflowPunct/>
              <w:spacing w:line="360" w:lineRule="auto"/>
              <w:ind w:firstLine="0" w:firstLineChars="0"/>
              <w:jc w:val="center"/>
              <w:rPr>
                <w:rFonts w:hint="eastAsia" w:ascii="宋体" w:hAnsi="宋体" w:eastAsia="宋体" w:cs="宋体"/>
                <w:bCs/>
                <w:color w:val="000000"/>
                <w:kern w:val="2"/>
                <w:sz w:val="21"/>
                <w:szCs w:val="21"/>
              </w:rPr>
            </w:pPr>
            <w:r>
              <w:rPr>
                <w:rFonts w:hint="eastAsia" w:ascii="宋体" w:hAnsi="宋体" w:eastAsia="宋体" w:cs="宋体"/>
                <w:bCs/>
                <w:color w:val="000000"/>
                <w:kern w:val="2"/>
                <w:sz w:val="21"/>
                <w:szCs w:val="21"/>
              </w:rPr>
              <w:t>混合料类型</w:t>
            </w:r>
          </w:p>
        </w:tc>
        <w:tc>
          <w:tcPr>
            <w:tcW w:w="3314" w:type="dxa"/>
            <w:noWrap w:val="0"/>
            <w:vAlign w:val="center"/>
          </w:tcPr>
          <w:p w14:paraId="3D628E61">
            <w:pPr>
              <w:overflowPunct/>
              <w:spacing w:line="360" w:lineRule="auto"/>
              <w:ind w:firstLine="0" w:firstLineChars="0"/>
              <w:jc w:val="center"/>
              <w:rPr>
                <w:rFonts w:hint="eastAsia" w:ascii="宋体" w:hAnsi="宋体" w:eastAsia="宋体" w:cs="宋体"/>
                <w:bCs/>
                <w:color w:val="000000"/>
                <w:kern w:val="2"/>
                <w:sz w:val="21"/>
                <w:szCs w:val="21"/>
              </w:rPr>
            </w:pPr>
            <w:r>
              <w:rPr>
                <w:rFonts w:hint="eastAsia" w:ascii="宋体" w:hAnsi="宋体" w:eastAsia="宋体" w:cs="宋体"/>
                <w:bCs/>
                <w:color w:val="000000"/>
                <w:kern w:val="2"/>
                <w:sz w:val="21"/>
                <w:szCs w:val="21"/>
              </w:rPr>
              <w:t>用以分类的关键性筛孔（mm）</w:t>
            </w:r>
          </w:p>
        </w:tc>
        <w:tc>
          <w:tcPr>
            <w:tcW w:w="1588" w:type="dxa"/>
            <w:noWrap w:val="0"/>
            <w:vAlign w:val="center"/>
          </w:tcPr>
          <w:p w14:paraId="7CB90F39">
            <w:pPr>
              <w:overflowPunct/>
              <w:spacing w:line="360" w:lineRule="auto"/>
              <w:ind w:firstLine="0" w:firstLineChars="0"/>
              <w:jc w:val="center"/>
              <w:rPr>
                <w:rFonts w:hint="eastAsia" w:ascii="宋体" w:hAnsi="宋体" w:eastAsia="宋体" w:cs="宋体"/>
                <w:bCs/>
                <w:color w:val="000000"/>
                <w:kern w:val="2"/>
                <w:sz w:val="21"/>
                <w:szCs w:val="21"/>
              </w:rPr>
            </w:pPr>
            <w:r>
              <w:rPr>
                <w:rFonts w:hint="eastAsia" w:ascii="宋体" w:hAnsi="宋体" w:eastAsia="宋体" w:cs="宋体"/>
                <w:bCs/>
                <w:color w:val="000000"/>
                <w:kern w:val="2"/>
                <w:sz w:val="21"/>
                <w:szCs w:val="21"/>
              </w:rPr>
              <w:t>名称</w:t>
            </w:r>
          </w:p>
        </w:tc>
        <w:tc>
          <w:tcPr>
            <w:tcW w:w="2612" w:type="dxa"/>
            <w:noWrap w:val="0"/>
            <w:vAlign w:val="center"/>
          </w:tcPr>
          <w:p w14:paraId="5D083C00">
            <w:pPr>
              <w:overflowPunct/>
              <w:spacing w:line="360" w:lineRule="auto"/>
              <w:ind w:firstLine="0" w:firstLineChars="0"/>
              <w:jc w:val="center"/>
              <w:rPr>
                <w:rFonts w:hint="eastAsia" w:ascii="宋体" w:hAnsi="宋体" w:eastAsia="宋体" w:cs="宋体"/>
                <w:bCs/>
                <w:color w:val="000000"/>
                <w:kern w:val="2"/>
                <w:sz w:val="21"/>
                <w:szCs w:val="21"/>
              </w:rPr>
            </w:pPr>
            <w:r>
              <w:rPr>
                <w:rFonts w:hint="eastAsia" w:ascii="宋体" w:hAnsi="宋体" w:eastAsia="宋体" w:cs="宋体"/>
                <w:color w:val="000000"/>
                <w:kern w:val="2"/>
                <w:sz w:val="21"/>
                <w:szCs w:val="21"/>
              </w:rPr>
              <w:t>关键性筛孔通过率（%）</w:t>
            </w:r>
          </w:p>
        </w:tc>
      </w:tr>
      <w:tr w14:paraId="5CA68E8F">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0" w:type="dxa"/>
            <w:bottom w:w="0" w:type="dxa"/>
            <w:right w:w="0" w:type="dxa"/>
          </w:tblCellMar>
        </w:tblPrEx>
        <w:trPr>
          <w:trHeight w:val="460" w:hRule="atLeast"/>
          <w:jc w:val="center"/>
        </w:trPr>
        <w:tc>
          <w:tcPr>
            <w:tcW w:w="2124" w:type="dxa"/>
            <w:noWrap w:val="0"/>
            <w:vAlign w:val="center"/>
          </w:tcPr>
          <w:p w14:paraId="31036E62">
            <w:pPr>
              <w:overflowPunct/>
              <w:spacing w:line="360" w:lineRule="auto"/>
              <w:ind w:firstLine="0" w:firstLineChars="0"/>
              <w:jc w:val="center"/>
              <w:rPr>
                <w:rFonts w:hint="eastAsia" w:ascii="宋体" w:hAnsi="宋体" w:eastAsia="宋体" w:cs="宋体"/>
                <w:bCs/>
                <w:color w:val="000000"/>
                <w:kern w:val="2"/>
                <w:sz w:val="21"/>
                <w:szCs w:val="21"/>
              </w:rPr>
            </w:pPr>
            <w:r>
              <w:rPr>
                <w:rFonts w:hint="eastAsia" w:ascii="宋体" w:hAnsi="宋体" w:eastAsia="宋体" w:cs="宋体"/>
                <w:bCs/>
                <w:color w:val="000000"/>
                <w:kern w:val="2"/>
                <w:sz w:val="21"/>
                <w:szCs w:val="21"/>
              </w:rPr>
              <w:t>AC-16</w:t>
            </w:r>
          </w:p>
        </w:tc>
        <w:tc>
          <w:tcPr>
            <w:tcW w:w="3314" w:type="dxa"/>
            <w:noWrap w:val="0"/>
            <w:vAlign w:val="center"/>
          </w:tcPr>
          <w:p w14:paraId="07E256D2">
            <w:pPr>
              <w:overflowPunct/>
              <w:spacing w:line="360" w:lineRule="auto"/>
              <w:ind w:firstLine="0" w:firstLineChars="0"/>
              <w:jc w:val="center"/>
              <w:rPr>
                <w:rFonts w:hint="eastAsia" w:ascii="宋体" w:hAnsi="宋体" w:eastAsia="宋体" w:cs="宋体"/>
                <w:bCs/>
                <w:color w:val="000000"/>
                <w:kern w:val="2"/>
                <w:sz w:val="21"/>
                <w:szCs w:val="21"/>
              </w:rPr>
            </w:pPr>
            <w:r>
              <w:rPr>
                <w:rFonts w:hint="eastAsia" w:ascii="宋体" w:hAnsi="宋体" w:eastAsia="宋体" w:cs="宋体"/>
                <w:bCs/>
                <w:color w:val="000000"/>
                <w:kern w:val="2"/>
                <w:sz w:val="21"/>
                <w:szCs w:val="21"/>
              </w:rPr>
              <w:t>2.36</w:t>
            </w:r>
          </w:p>
        </w:tc>
        <w:tc>
          <w:tcPr>
            <w:tcW w:w="1588" w:type="dxa"/>
            <w:noWrap w:val="0"/>
            <w:vAlign w:val="center"/>
          </w:tcPr>
          <w:p w14:paraId="68197872">
            <w:pPr>
              <w:overflowPunct/>
              <w:spacing w:line="360" w:lineRule="auto"/>
              <w:ind w:firstLine="0" w:firstLineChars="0"/>
              <w:jc w:val="center"/>
              <w:rPr>
                <w:rFonts w:hint="eastAsia" w:ascii="宋体" w:hAnsi="宋体" w:eastAsia="宋体" w:cs="宋体"/>
                <w:bCs/>
                <w:color w:val="000000"/>
                <w:kern w:val="2"/>
                <w:sz w:val="21"/>
                <w:szCs w:val="21"/>
              </w:rPr>
            </w:pPr>
            <w:r>
              <w:rPr>
                <w:rFonts w:hint="eastAsia" w:ascii="宋体" w:hAnsi="宋体" w:eastAsia="宋体" w:cs="宋体"/>
                <w:bCs/>
                <w:color w:val="000000"/>
                <w:kern w:val="2"/>
                <w:sz w:val="21"/>
                <w:szCs w:val="21"/>
              </w:rPr>
              <w:t>AC-16C</w:t>
            </w:r>
          </w:p>
        </w:tc>
        <w:tc>
          <w:tcPr>
            <w:tcW w:w="2612" w:type="dxa"/>
            <w:noWrap w:val="0"/>
            <w:vAlign w:val="center"/>
          </w:tcPr>
          <w:p w14:paraId="763AE9AB">
            <w:pPr>
              <w:overflowPunct/>
              <w:spacing w:line="360" w:lineRule="auto"/>
              <w:ind w:firstLine="0" w:firstLineChars="0"/>
              <w:jc w:val="center"/>
              <w:rPr>
                <w:rFonts w:hint="eastAsia" w:ascii="宋体" w:hAnsi="宋体" w:eastAsia="宋体" w:cs="宋体"/>
                <w:bCs/>
                <w:color w:val="000000"/>
                <w:kern w:val="2"/>
                <w:sz w:val="21"/>
                <w:szCs w:val="21"/>
              </w:rPr>
            </w:pPr>
            <w:r>
              <w:rPr>
                <w:rFonts w:hint="eastAsia" w:ascii="宋体" w:hAnsi="宋体" w:eastAsia="宋体" w:cs="宋体"/>
                <w:bCs/>
                <w:color w:val="000000"/>
                <w:kern w:val="2"/>
                <w:sz w:val="21"/>
                <w:szCs w:val="21"/>
              </w:rPr>
              <w:t>&lt; 38</w:t>
            </w:r>
          </w:p>
        </w:tc>
      </w:tr>
    </w:tbl>
    <w:p w14:paraId="75205B3A">
      <w:pPr>
        <w:spacing w:line="360" w:lineRule="auto"/>
        <w:ind w:firstLine="480" w:firstLineChars="200"/>
        <w:jc w:val="left"/>
        <w:rPr>
          <w:rFonts w:hint="eastAsia"/>
          <w:sz w:val="24"/>
          <w:szCs w:val="24"/>
          <w:lang w:val="en-US" w:eastAsia="zh-CN"/>
        </w:rPr>
      </w:pPr>
      <w:r>
        <w:rPr>
          <w:rFonts w:hint="eastAsia"/>
          <w:sz w:val="24"/>
          <w:szCs w:val="24"/>
          <w:lang w:val="en-US" w:eastAsia="zh-CN"/>
        </w:rPr>
        <w:t>各沥青结构层用混合料矿料级配要求如下：</w:t>
      </w:r>
    </w:p>
    <w:p w14:paraId="3D88F6C5">
      <w:pPr>
        <w:spacing w:line="360" w:lineRule="auto"/>
        <w:ind w:firstLine="482" w:firstLineChars="200"/>
        <w:jc w:val="center"/>
        <w:rPr>
          <w:rFonts w:hint="eastAsia"/>
          <w:b/>
          <w:bCs/>
          <w:sz w:val="24"/>
          <w:szCs w:val="24"/>
          <w:lang w:val="en-US" w:eastAsia="zh-CN"/>
        </w:rPr>
      </w:pPr>
      <w:r>
        <w:rPr>
          <w:rFonts w:hint="eastAsia"/>
          <w:b/>
          <w:bCs/>
          <w:sz w:val="24"/>
          <w:szCs w:val="24"/>
          <w:lang w:val="en-US" w:eastAsia="zh-CN"/>
        </w:rPr>
        <w:t>密级配沥青面层用矿料级配组成</w:t>
      </w:r>
    </w:p>
    <w:tbl>
      <w:tblPr>
        <w:tblStyle w:val="6"/>
        <w:tblW w:w="9638" w:type="dxa"/>
        <w:jc w:val="center"/>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0" w:type="dxa"/>
          <w:left w:w="108" w:type="dxa"/>
          <w:bottom w:w="0" w:type="dxa"/>
          <w:right w:w="108" w:type="dxa"/>
        </w:tblCellMar>
      </w:tblPr>
      <w:tblGrid>
        <w:gridCol w:w="893"/>
        <w:gridCol w:w="724"/>
        <w:gridCol w:w="635"/>
        <w:gridCol w:w="725"/>
        <w:gridCol w:w="725"/>
        <w:gridCol w:w="725"/>
        <w:gridCol w:w="725"/>
        <w:gridCol w:w="725"/>
        <w:gridCol w:w="725"/>
        <w:gridCol w:w="725"/>
        <w:gridCol w:w="725"/>
        <w:gridCol w:w="725"/>
        <w:gridCol w:w="861"/>
      </w:tblGrid>
      <w:tr w14:paraId="3322554B">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108" w:type="dxa"/>
            <w:bottom w:w="0" w:type="dxa"/>
            <w:right w:w="108" w:type="dxa"/>
          </w:tblCellMar>
        </w:tblPrEx>
        <w:trPr>
          <w:trHeight w:val="544" w:hRule="atLeast"/>
          <w:tblHeader/>
          <w:jc w:val="center"/>
        </w:trPr>
        <w:tc>
          <w:tcPr>
            <w:tcW w:w="893" w:type="dxa"/>
            <w:noWrap w:val="0"/>
            <w:vAlign w:val="center"/>
          </w:tcPr>
          <w:p w14:paraId="20136F0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级配</w:t>
            </w:r>
          </w:p>
        </w:tc>
        <w:tc>
          <w:tcPr>
            <w:tcW w:w="8745" w:type="dxa"/>
            <w:gridSpan w:val="12"/>
            <w:noWrap w:val="0"/>
            <w:vAlign w:val="center"/>
          </w:tcPr>
          <w:p w14:paraId="6CB04C9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通过下列筛孔（方孔筛，mm）的质量百分率（％）</w:t>
            </w:r>
          </w:p>
        </w:tc>
      </w:tr>
      <w:tr w14:paraId="1986AB7C">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108" w:type="dxa"/>
            <w:bottom w:w="0" w:type="dxa"/>
            <w:right w:w="108" w:type="dxa"/>
          </w:tblCellMar>
        </w:tblPrEx>
        <w:trPr>
          <w:trHeight w:val="544" w:hRule="atLeast"/>
          <w:tblHeader/>
          <w:jc w:val="center"/>
        </w:trPr>
        <w:tc>
          <w:tcPr>
            <w:tcW w:w="893" w:type="dxa"/>
            <w:noWrap w:val="0"/>
            <w:vAlign w:val="center"/>
          </w:tcPr>
          <w:p w14:paraId="01378D5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类型</w:t>
            </w:r>
          </w:p>
        </w:tc>
        <w:tc>
          <w:tcPr>
            <w:tcW w:w="724" w:type="dxa"/>
            <w:noWrap w:val="0"/>
            <w:vAlign w:val="center"/>
          </w:tcPr>
          <w:p w14:paraId="293E74B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26.5</w:t>
            </w:r>
          </w:p>
        </w:tc>
        <w:tc>
          <w:tcPr>
            <w:tcW w:w="635" w:type="dxa"/>
            <w:noWrap w:val="0"/>
            <w:vAlign w:val="center"/>
          </w:tcPr>
          <w:p w14:paraId="4EE6EE3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w:t>
            </w:r>
          </w:p>
        </w:tc>
        <w:tc>
          <w:tcPr>
            <w:tcW w:w="725" w:type="dxa"/>
            <w:noWrap w:val="0"/>
            <w:vAlign w:val="center"/>
          </w:tcPr>
          <w:p w14:paraId="587533F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w:t>
            </w:r>
          </w:p>
        </w:tc>
        <w:tc>
          <w:tcPr>
            <w:tcW w:w="725" w:type="dxa"/>
            <w:noWrap w:val="0"/>
            <w:vAlign w:val="center"/>
          </w:tcPr>
          <w:p w14:paraId="38B09A6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13.2</w:t>
            </w:r>
          </w:p>
        </w:tc>
        <w:tc>
          <w:tcPr>
            <w:tcW w:w="725" w:type="dxa"/>
            <w:noWrap w:val="0"/>
            <w:vAlign w:val="center"/>
          </w:tcPr>
          <w:p w14:paraId="762577B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9.5</w:t>
            </w:r>
          </w:p>
        </w:tc>
        <w:tc>
          <w:tcPr>
            <w:tcW w:w="725" w:type="dxa"/>
            <w:noWrap w:val="0"/>
            <w:vAlign w:val="center"/>
          </w:tcPr>
          <w:p w14:paraId="7395246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4.75</w:t>
            </w:r>
          </w:p>
        </w:tc>
        <w:tc>
          <w:tcPr>
            <w:tcW w:w="725" w:type="dxa"/>
            <w:noWrap w:val="0"/>
            <w:vAlign w:val="center"/>
          </w:tcPr>
          <w:p w14:paraId="6DE5BFE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2.36</w:t>
            </w:r>
          </w:p>
        </w:tc>
        <w:tc>
          <w:tcPr>
            <w:tcW w:w="725" w:type="dxa"/>
            <w:noWrap w:val="0"/>
            <w:vAlign w:val="center"/>
          </w:tcPr>
          <w:p w14:paraId="570825A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1.18</w:t>
            </w:r>
          </w:p>
        </w:tc>
        <w:tc>
          <w:tcPr>
            <w:tcW w:w="725" w:type="dxa"/>
            <w:noWrap w:val="0"/>
            <w:vAlign w:val="center"/>
          </w:tcPr>
          <w:p w14:paraId="052CE6E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0.6</w:t>
            </w:r>
          </w:p>
        </w:tc>
        <w:tc>
          <w:tcPr>
            <w:tcW w:w="725" w:type="dxa"/>
            <w:noWrap w:val="0"/>
            <w:vAlign w:val="center"/>
          </w:tcPr>
          <w:p w14:paraId="6E1D55F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0.3</w:t>
            </w:r>
          </w:p>
        </w:tc>
        <w:tc>
          <w:tcPr>
            <w:tcW w:w="725" w:type="dxa"/>
            <w:noWrap w:val="0"/>
            <w:vAlign w:val="center"/>
          </w:tcPr>
          <w:p w14:paraId="6C8FF2F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0.15</w:t>
            </w:r>
          </w:p>
        </w:tc>
        <w:tc>
          <w:tcPr>
            <w:tcW w:w="861" w:type="dxa"/>
            <w:noWrap w:val="0"/>
            <w:vAlign w:val="center"/>
          </w:tcPr>
          <w:p w14:paraId="4DC4581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0.075</w:t>
            </w:r>
          </w:p>
        </w:tc>
      </w:tr>
      <w:tr w14:paraId="72A3614A">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893" w:type="dxa"/>
            <w:noWrap w:val="0"/>
            <w:vAlign w:val="center"/>
          </w:tcPr>
          <w:p w14:paraId="062F09D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AC-16C</w:t>
            </w:r>
          </w:p>
        </w:tc>
        <w:tc>
          <w:tcPr>
            <w:tcW w:w="724" w:type="dxa"/>
            <w:noWrap w:val="0"/>
            <w:vAlign w:val="center"/>
          </w:tcPr>
          <w:p w14:paraId="407DBBF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color w:val="000000"/>
                <w:kern w:val="0"/>
                <w:sz w:val="24"/>
                <w:szCs w:val="24"/>
              </w:rPr>
            </w:pPr>
          </w:p>
        </w:tc>
        <w:tc>
          <w:tcPr>
            <w:tcW w:w="635" w:type="dxa"/>
            <w:noWrap w:val="0"/>
            <w:vAlign w:val="center"/>
          </w:tcPr>
          <w:p w14:paraId="0D3623D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100</w:t>
            </w:r>
          </w:p>
        </w:tc>
        <w:tc>
          <w:tcPr>
            <w:tcW w:w="725" w:type="dxa"/>
            <w:noWrap w:val="0"/>
            <w:vAlign w:val="center"/>
          </w:tcPr>
          <w:p w14:paraId="57142D3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95～100</w:t>
            </w:r>
          </w:p>
        </w:tc>
        <w:tc>
          <w:tcPr>
            <w:tcW w:w="725" w:type="dxa"/>
            <w:noWrap w:val="0"/>
            <w:vAlign w:val="center"/>
          </w:tcPr>
          <w:p w14:paraId="4A3B526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78～92</w:t>
            </w:r>
          </w:p>
        </w:tc>
        <w:tc>
          <w:tcPr>
            <w:tcW w:w="725" w:type="dxa"/>
            <w:noWrap w:val="0"/>
            <w:vAlign w:val="center"/>
          </w:tcPr>
          <w:p w14:paraId="3FBC1C3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65～78</w:t>
            </w:r>
          </w:p>
        </w:tc>
        <w:tc>
          <w:tcPr>
            <w:tcW w:w="725" w:type="dxa"/>
            <w:noWrap w:val="0"/>
            <w:vAlign w:val="center"/>
          </w:tcPr>
          <w:p w14:paraId="0DB693A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40～52</w:t>
            </w:r>
          </w:p>
        </w:tc>
        <w:tc>
          <w:tcPr>
            <w:tcW w:w="725" w:type="dxa"/>
            <w:noWrap w:val="0"/>
            <w:vAlign w:val="center"/>
          </w:tcPr>
          <w:p w14:paraId="3DFE0A17">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28～38</w:t>
            </w:r>
          </w:p>
        </w:tc>
        <w:tc>
          <w:tcPr>
            <w:tcW w:w="725" w:type="dxa"/>
            <w:noWrap w:val="0"/>
            <w:vAlign w:val="center"/>
          </w:tcPr>
          <w:p w14:paraId="0BEB6C91">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19～26</w:t>
            </w:r>
          </w:p>
        </w:tc>
        <w:tc>
          <w:tcPr>
            <w:tcW w:w="725" w:type="dxa"/>
            <w:noWrap w:val="0"/>
            <w:vAlign w:val="center"/>
          </w:tcPr>
          <w:p w14:paraId="6226584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11～21</w:t>
            </w:r>
          </w:p>
        </w:tc>
        <w:tc>
          <w:tcPr>
            <w:tcW w:w="725" w:type="dxa"/>
            <w:noWrap w:val="0"/>
            <w:vAlign w:val="center"/>
          </w:tcPr>
          <w:p w14:paraId="59CB410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8～16</w:t>
            </w:r>
          </w:p>
        </w:tc>
        <w:tc>
          <w:tcPr>
            <w:tcW w:w="725" w:type="dxa"/>
            <w:noWrap w:val="0"/>
            <w:vAlign w:val="center"/>
          </w:tcPr>
          <w:p w14:paraId="4BA580E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6～12</w:t>
            </w:r>
          </w:p>
        </w:tc>
        <w:tc>
          <w:tcPr>
            <w:tcW w:w="861" w:type="dxa"/>
            <w:noWrap w:val="0"/>
            <w:vAlign w:val="center"/>
          </w:tcPr>
          <w:p w14:paraId="2836DAF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2"/>
                <w:sz w:val="24"/>
                <w:szCs w:val="24"/>
              </w:rPr>
              <w:t>4～8</w:t>
            </w:r>
          </w:p>
        </w:tc>
      </w:tr>
    </w:tbl>
    <w:p w14:paraId="0DD01C65">
      <w:pPr>
        <w:spacing w:line="360" w:lineRule="auto"/>
        <w:ind w:firstLine="480" w:firstLineChars="200"/>
        <w:jc w:val="left"/>
        <w:rPr>
          <w:rFonts w:hint="eastAsia"/>
          <w:sz w:val="24"/>
          <w:szCs w:val="24"/>
          <w:lang w:val="en-US" w:eastAsia="zh-CN"/>
        </w:rPr>
      </w:pPr>
      <w:r>
        <w:rPr>
          <w:rFonts w:hint="eastAsia"/>
          <w:sz w:val="24"/>
          <w:szCs w:val="24"/>
          <w:lang w:val="en-US" w:eastAsia="zh-CN"/>
        </w:rPr>
        <w:t>（2）沥青路面抗滑技术指标和抗滑措施</w:t>
      </w:r>
    </w:p>
    <w:p w14:paraId="4B360947">
      <w:pPr>
        <w:spacing w:line="360" w:lineRule="auto"/>
        <w:ind w:firstLine="480" w:firstLineChars="200"/>
        <w:jc w:val="left"/>
        <w:rPr>
          <w:rFonts w:hint="eastAsia"/>
          <w:sz w:val="24"/>
          <w:szCs w:val="24"/>
          <w:lang w:val="en-US" w:eastAsia="zh-CN"/>
        </w:rPr>
      </w:pPr>
      <w:r>
        <w:rPr>
          <w:rFonts w:hint="eastAsia"/>
          <w:sz w:val="24"/>
          <w:szCs w:val="24"/>
          <w:lang w:val="en-US" w:eastAsia="zh-CN"/>
        </w:rPr>
        <w:t>表面层抗滑性能以横向力系数SFC60和路面宏观构造深度TD(mm)为主要指标。</w:t>
      </w:r>
    </w:p>
    <w:tbl>
      <w:tblPr>
        <w:tblStyle w:val="6"/>
        <w:tblW w:w="9839"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75"/>
        <w:gridCol w:w="3384"/>
        <w:gridCol w:w="3280"/>
      </w:tblGrid>
      <w:tr w14:paraId="0BA0F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175" w:type="dxa"/>
            <w:vMerge w:val="restart"/>
            <w:tcBorders>
              <w:top w:val="single" w:color="auto" w:sz="4" w:space="0"/>
              <w:left w:val="single" w:color="auto" w:sz="4" w:space="0"/>
              <w:bottom w:val="single" w:color="auto" w:sz="4" w:space="0"/>
              <w:right w:val="single" w:color="auto" w:sz="4" w:space="0"/>
            </w:tcBorders>
            <w:noWrap w:val="0"/>
            <w:vAlign w:val="center"/>
          </w:tcPr>
          <w:p w14:paraId="00BD7E17">
            <w:pPr>
              <w:overflowPunct/>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年平均降雨量（mm）</w:t>
            </w:r>
          </w:p>
        </w:tc>
        <w:tc>
          <w:tcPr>
            <w:tcW w:w="6664" w:type="dxa"/>
            <w:gridSpan w:val="2"/>
            <w:tcBorders>
              <w:top w:val="single" w:color="auto" w:sz="4" w:space="0"/>
              <w:left w:val="nil"/>
              <w:bottom w:val="single" w:color="auto" w:sz="4" w:space="0"/>
              <w:right w:val="single" w:color="auto" w:sz="4" w:space="0"/>
            </w:tcBorders>
            <w:noWrap w:val="0"/>
            <w:vAlign w:val="center"/>
          </w:tcPr>
          <w:p w14:paraId="167C8603">
            <w:pPr>
              <w:overflowPunct/>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交工检测指标值</w:t>
            </w:r>
          </w:p>
        </w:tc>
      </w:tr>
      <w:tr w14:paraId="33B67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3175" w:type="dxa"/>
            <w:vMerge w:val="continue"/>
            <w:tcBorders>
              <w:top w:val="single" w:color="auto" w:sz="4" w:space="0"/>
              <w:left w:val="single" w:color="auto" w:sz="4" w:space="0"/>
              <w:bottom w:val="single" w:color="auto" w:sz="4" w:space="0"/>
              <w:right w:val="single" w:color="auto" w:sz="4" w:space="0"/>
            </w:tcBorders>
            <w:noWrap w:val="0"/>
            <w:vAlign w:val="center"/>
          </w:tcPr>
          <w:p w14:paraId="6E46D322">
            <w:pPr>
              <w:widowControl/>
              <w:overflowPunct/>
              <w:spacing w:line="240" w:lineRule="auto"/>
              <w:ind w:firstLine="0" w:firstLineChars="0"/>
              <w:jc w:val="left"/>
              <w:rPr>
                <w:rFonts w:hint="eastAsia" w:ascii="宋体" w:hAnsi="宋体" w:eastAsia="宋体" w:cs="宋体"/>
                <w:kern w:val="2"/>
                <w:sz w:val="24"/>
                <w:szCs w:val="24"/>
              </w:rPr>
            </w:pPr>
          </w:p>
        </w:tc>
        <w:tc>
          <w:tcPr>
            <w:tcW w:w="3384" w:type="dxa"/>
            <w:tcBorders>
              <w:top w:val="single" w:color="auto" w:sz="4" w:space="0"/>
              <w:left w:val="nil"/>
              <w:bottom w:val="single" w:color="auto" w:sz="4" w:space="0"/>
              <w:right w:val="single" w:color="auto" w:sz="4" w:space="0"/>
            </w:tcBorders>
            <w:noWrap w:val="0"/>
            <w:vAlign w:val="center"/>
          </w:tcPr>
          <w:p w14:paraId="63D95492">
            <w:pPr>
              <w:overflowPunct/>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横向力系数SFC60</w:t>
            </w:r>
          </w:p>
        </w:tc>
        <w:tc>
          <w:tcPr>
            <w:tcW w:w="3280" w:type="dxa"/>
            <w:tcBorders>
              <w:top w:val="single" w:color="auto" w:sz="4" w:space="0"/>
              <w:left w:val="nil"/>
              <w:bottom w:val="single" w:color="auto" w:sz="4" w:space="0"/>
              <w:right w:val="single" w:color="auto" w:sz="4" w:space="0"/>
            </w:tcBorders>
            <w:noWrap w:val="0"/>
            <w:vAlign w:val="center"/>
          </w:tcPr>
          <w:p w14:paraId="09A8492F">
            <w:pPr>
              <w:overflowPunct/>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路面宏观构造深度TD(mm)</w:t>
            </w:r>
          </w:p>
        </w:tc>
      </w:tr>
      <w:tr w14:paraId="02000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3175" w:type="dxa"/>
            <w:tcBorders>
              <w:top w:val="single" w:color="auto" w:sz="4" w:space="0"/>
              <w:left w:val="single" w:color="auto" w:sz="4" w:space="0"/>
              <w:bottom w:val="single" w:color="auto" w:sz="4" w:space="0"/>
              <w:right w:val="single" w:color="auto" w:sz="4" w:space="0"/>
            </w:tcBorders>
            <w:noWrap w:val="0"/>
            <w:vAlign w:val="center"/>
          </w:tcPr>
          <w:p w14:paraId="318C87AD">
            <w:pPr>
              <w:overflowPunct/>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spacing w:val="6"/>
                <w:kern w:val="2"/>
                <w:sz w:val="24"/>
                <w:szCs w:val="24"/>
              </w:rPr>
              <w:t>1009.4</w:t>
            </w:r>
          </w:p>
        </w:tc>
        <w:tc>
          <w:tcPr>
            <w:tcW w:w="3384" w:type="dxa"/>
            <w:tcBorders>
              <w:top w:val="single" w:color="auto" w:sz="4" w:space="0"/>
              <w:left w:val="nil"/>
              <w:bottom w:val="single" w:color="auto" w:sz="4" w:space="0"/>
              <w:right w:val="single" w:color="auto" w:sz="4" w:space="0"/>
            </w:tcBorders>
            <w:noWrap w:val="0"/>
            <w:vAlign w:val="center"/>
          </w:tcPr>
          <w:p w14:paraId="10C61F5A">
            <w:pPr>
              <w:overflowPunct/>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≥54</w:t>
            </w:r>
          </w:p>
        </w:tc>
        <w:tc>
          <w:tcPr>
            <w:tcW w:w="3280" w:type="dxa"/>
            <w:tcBorders>
              <w:top w:val="single" w:color="auto" w:sz="4" w:space="0"/>
              <w:left w:val="nil"/>
              <w:bottom w:val="single" w:color="auto" w:sz="4" w:space="0"/>
              <w:right w:val="single" w:color="auto" w:sz="4" w:space="0"/>
            </w:tcBorders>
            <w:noWrap w:val="0"/>
            <w:vAlign w:val="center"/>
          </w:tcPr>
          <w:p w14:paraId="4A73F3B1">
            <w:pPr>
              <w:overflowPunct/>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≥0.55</w:t>
            </w:r>
          </w:p>
        </w:tc>
      </w:tr>
    </w:tbl>
    <w:p w14:paraId="2794716A">
      <w:pPr>
        <w:spacing w:line="360" w:lineRule="auto"/>
        <w:ind w:firstLine="480" w:firstLineChars="200"/>
        <w:jc w:val="left"/>
        <w:rPr>
          <w:rFonts w:hint="eastAsia"/>
          <w:sz w:val="24"/>
          <w:szCs w:val="24"/>
          <w:lang w:val="en-US" w:eastAsia="zh-CN"/>
        </w:rPr>
      </w:pPr>
      <w:r>
        <w:rPr>
          <w:rFonts w:hint="eastAsia"/>
          <w:sz w:val="24"/>
          <w:szCs w:val="24"/>
          <w:lang w:val="en-US" w:eastAsia="zh-CN"/>
        </w:rPr>
        <w:t>沥青混凝土路面的防滑措施：</w:t>
      </w:r>
    </w:p>
    <w:p w14:paraId="18BF3654">
      <w:pPr>
        <w:spacing w:line="360" w:lineRule="auto"/>
        <w:ind w:firstLine="480" w:firstLineChars="200"/>
        <w:jc w:val="left"/>
        <w:rPr>
          <w:rFonts w:hint="eastAsia"/>
          <w:sz w:val="24"/>
          <w:szCs w:val="24"/>
          <w:lang w:val="en-US" w:eastAsia="zh-CN"/>
        </w:rPr>
      </w:pPr>
      <w:r>
        <w:rPr>
          <w:rFonts w:hint="eastAsia"/>
          <w:sz w:val="24"/>
          <w:szCs w:val="24"/>
          <w:lang w:val="en-US" w:eastAsia="zh-CN"/>
        </w:rPr>
        <w:t xml:space="preserve">a、面层采用磨光值不同矿料掺配，可获得长期微观粗糙表面。 </w:t>
      </w:r>
    </w:p>
    <w:p w14:paraId="0994F96F">
      <w:pPr>
        <w:spacing w:line="360" w:lineRule="auto"/>
        <w:ind w:firstLine="480" w:firstLineChars="200"/>
        <w:jc w:val="left"/>
        <w:rPr>
          <w:rFonts w:hint="eastAsia"/>
          <w:sz w:val="24"/>
          <w:szCs w:val="24"/>
          <w:lang w:val="en-US" w:eastAsia="zh-CN"/>
        </w:rPr>
      </w:pPr>
      <w:r>
        <w:rPr>
          <w:rFonts w:hint="eastAsia"/>
          <w:sz w:val="24"/>
          <w:szCs w:val="24"/>
          <w:lang w:val="en-US" w:eastAsia="zh-CN"/>
        </w:rPr>
        <w:t xml:space="preserve">b、对已形成沥青膜的光滑路面，可采用适当粒径的碎石（经筛选，粒径均匀，强度较高的）在温度较高时铺撒在路面，用压路机强行压入。 </w:t>
      </w:r>
    </w:p>
    <w:p w14:paraId="76D810C2">
      <w:pPr>
        <w:spacing w:line="360" w:lineRule="auto"/>
        <w:ind w:firstLine="480" w:firstLineChars="200"/>
        <w:jc w:val="left"/>
        <w:rPr>
          <w:rFonts w:hint="eastAsia"/>
          <w:sz w:val="24"/>
          <w:szCs w:val="24"/>
          <w:lang w:val="en-US" w:eastAsia="zh-CN"/>
        </w:rPr>
      </w:pPr>
      <w:r>
        <w:rPr>
          <w:rFonts w:hint="eastAsia"/>
          <w:sz w:val="24"/>
          <w:szCs w:val="24"/>
          <w:lang w:val="en-US" w:eastAsia="zh-CN"/>
        </w:rPr>
        <w:t xml:space="preserve">c、经长期行车碾压及磨耗而形成的光滑路面，可采用乳化沥青稀浆封层进行技术处理。另外橡胶粉未在沥青混凝土中的应用也能显著地提高路面的抗滑性。 </w:t>
      </w:r>
    </w:p>
    <w:p w14:paraId="43FBCC0A">
      <w:pPr>
        <w:spacing w:line="360" w:lineRule="auto"/>
        <w:ind w:firstLine="480" w:firstLineChars="200"/>
        <w:jc w:val="left"/>
        <w:rPr>
          <w:rFonts w:hint="eastAsia"/>
          <w:sz w:val="24"/>
          <w:szCs w:val="24"/>
          <w:lang w:val="en-US" w:eastAsia="zh-CN"/>
        </w:rPr>
      </w:pPr>
      <w:r>
        <w:rPr>
          <w:rFonts w:hint="eastAsia"/>
          <w:sz w:val="24"/>
          <w:szCs w:val="24"/>
          <w:lang w:val="en-US" w:eastAsia="zh-CN"/>
        </w:rPr>
        <w:t>d、修筑硬路肩，可防止泥土带入路面，有利用于保持路面的清洁和粗糙度，为对路面抗滑极为有利。</w:t>
      </w:r>
    </w:p>
    <w:p w14:paraId="242EBC9A">
      <w:pPr>
        <w:spacing w:line="360" w:lineRule="auto"/>
        <w:ind w:firstLine="480" w:firstLineChars="200"/>
        <w:jc w:val="left"/>
        <w:rPr>
          <w:rFonts w:hint="eastAsia"/>
          <w:sz w:val="24"/>
          <w:szCs w:val="24"/>
          <w:lang w:val="en-US" w:eastAsia="zh-CN"/>
        </w:rPr>
      </w:pPr>
      <w:r>
        <w:rPr>
          <w:rFonts w:hint="eastAsia"/>
          <w:sz w:val="24"/>
          <w:szCs w:val="24"/>
          <w:lang w:val="en-US" w:eastAsia="zh-CN"/>
        </w:rPr>
        <w:t>（3）粘层</w:t>
      </w:r>
    </w:p>
    <w:p w14:paraId="774CEC4B">
      <w:pPr>
        <w:spacing w:line="360" w:lineRule="auto"/>
        <w:ind w:firstLine="480" w:firstLineChars="200"/>
        <w:jc w:val="left"/>
        <w:rPr>
          <w:rFonts w:hint="eastAsia"/>
          <w:sz w:val="24"/>
          <w:szCs w:val="24"/>
          <w:lang w:val="en-US" w:eastAsia="zh-CN"/>
        </w:rPr>
      </w:pPr>
      <w:r>
        <w:rPr>
          <w:rFonts w:hint="eastAsia"/>
          <w:sz w:val="24"/>
          <w:szCs w:val="24"/>
          <w:lang w:val="en-US" w:eastAsia="zh-CN"/>
        </w:rPr>
        <w:t>为加强沥青面层的粘结，在沥青面层间应浇洒粘层沥青。粘层沥青采用快裂的洒布型乳化沥青PC-3型，其用量为0.3～0.6L/m2。</w:t>
      </w:r>
    </w:p>
    <w:p w14:paraId="6640FD9C">
      <w:pPr>
        <w:spacing w:line="360" w:lineRule="auto"/>
        <w:ind w:firstLine="480" w:firstLineChars="200"/>
        <w:jc w:val="left"/>
        <w:rPr>
          <w:rFonts w:hint="eastAsia"/>
          <w:sz w:val="24"/>
          <w:szCs w:val="24"/>
          <w:lang w:val="en-US" w:eastAsia="zh-CN"/>
        </w:rPr>
      </w:pPr>
      <w:r>
        <w:rPr>
          <w:rFonts w:hint="eastAsia"/>
          <w:sz w:val="24"/>
          <w:szCs w:val="24"/>
          <w:lang w:val="en-US" w:eastAsia="zh-CN"/>
        </w:rPr>
        <w:t>喷洒粘层油时应注意：</w:t>
      </w:r>
    </w:p>
    <w:p w14:paraId="1F532884">
      <w:pPr>
        <w:spacing w:line="360" w:lineRule="auto"/>
        <w:ind w:firstLine="480" w:firstLineChars="200"/>
        <w:jc w:val="left"/>
        <w:rPr>
          <w:rFonts w:hint="eastAsia"/>
          <w:sz w:val="24"/>
          <w:szCs w:val="24"/>
          <w:lang w:val="en-US" w:eastAsia="zh-CN"/>
        </w:rPr>
      </w:pPr>
      <w:r>
        <w:rPr>
          <w:rFonts w:hint="eastAsia"/>
          <w:sz w:val="24"/>
          <w:szCs w:val="24"/>
          <w:lang w:val="en-US" w:eastAsia="zh-CN"/>
        </w:rPr>
        <w:t>① 气温低于10℃时不得喷洒粘层油，寒冷季节不得不喷洒时可分两次喷洒。路面潮湿时不得喷洒粘层油，用水洗刷后需待表面干燥后喷洒。</w:t>
      </w:r>
    </w:p>
    <w:p w14:paraId="042F73E7">
      <w:pPr>
        <w:spacing w:line="360" w:lineRule="auto"/>
        <w:ind w:firstLine="480" w:firstLineChars="200"/>
        <w:jc w:val="left"/>
        <w:rPr>
          <w:rFonts w:hint="eastAsia"/>
          <w:sz w:val="24"/>
          <w:szCs w:val="24"/>
          <w:lang w:val="en-US" w:eastAsia="zh-CN"/>
        </w:rPr>
      </w:pPr>
      <w:r>
        <w:rPr>
          <w:rFonts w:hint="eastAsia"/>
          <w:sz w:val="24"/>
          <w:szCs w:val="24"/>
          <w:lang w:val="en-US" w:eastAsia="zh-CN"/>
        </w:rPr>
        <w:t>② 喷洒的粘层油必须成均匀雾状，在路面全宽度内均匀分布成一薄层，不得有洒花漏空或成条状，也不得有堆积。喷洒不足的要补洒，喷洒过量处应予刮除。喷洒粘层油后，严禁运料车外的其他车辆和行人通过。</w:t>
      </w:r>
    </w:p>
    <w:p w14:paraId="4E727CD0">
      <w:pPr>
        <w:spacing w:line="360" w:lineRule="auto"/>
        <w:ind w:firstLine="480" w:firstLineChars="200"/>
        <w:jc w:val="left"/>
        <w:rPr>
          <w:rFonts w:hint="eastAsia"/>
          <w:sz w:val="24"/>
          <w:szCs w:val="24"/>
          <w:lang w:val="en-US" w:eastAsia="zh-CN"/>
        </w:rPr>
      </w:pPr>
      <w:r>
        <w:rPr>
          <w:rFonts w:hint="eastAsia"/>
          <w:sz w:val="24"/>
          <w:szCs w:val="24"/>
          <w:lang w:val="en-US" w:eastAsia="zh-CN"/>
        </w:rPr>
        <w:t>③ 粘层油宜在当天洒布，待乳化沥青破乳、水分蒸发完成，或稀释沥青中的稀释剂基本挥发完成后，紧接着铺筑沥青层，确保粘层不受污染。</w:t>
      </w:r>
    </w:p>
    <w:p w14:paraId="6E793F86">
      <w:pPr>
        <w:overflowPunct/>
        <w:spacing w:line="360" w:lineRule="auto"/>
        <w:ind w:firstLine="0" w:firstLineChars="0"/>
        <w:jc w:val="center"/>
        <w:rPr>
          <w:rFonts w:hint="eastAsia" w:ascii="宋体" w:hAnsi="宋体" w:eastAsia="宋体" w:cs="宋体"/>
          <w:b/>
          <w:bCs/>
          <w:kern w:val="2"/>
          <w:sz w:val="24"/>
          <w:szCs w:val="24"/>
        </w:rPr>
      </w:pPr>
      <w:r>
        <w:rPr>
          <w:rFonts w:hint="eastAsia" w:ascii="宋体" w:hAnsi="宋体" w:eastAsia="宋体" w:cs="宋体"/>
          <w:b/>
          <w:bCs/>
          <w:kern w:val="2"/>
          <w:sz w:val="24"/>
          <w:szCs w:val="24"/>
        </w:rPr>
        <w:t>粘层沥青技术指标要求</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1201"/>
        <w:gridCol w:w="3387"/>
        <w:gridCol w:w="1846"/>
        <w:gridCol w:w="1847"/>
      </w:tblGrid>
      <w:tr w14:paraId="70812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6126" w:type="dxa"/>
            <w:gridSpan w:val="3"/>
            <w:tcBorders>
              <w:top w:val="single" w:color="auto" w:sz="4" w:space="0"/>
              <w:left w:val="single" w:color="auto" w:sz="4" w:space="0"/>
              <w:bottom w:val="single" w:color="auto" w:sz="4" w:space="0"/>
              <w:right w:val="single" w:color="auto" w:sz="4" w:space="0"/>
            </w:tcBorders>
            <w:noWrap w:val="0"/>
            <w:vAlign w:val="center"/>
          </w:tcPr>
          <w:p w14:paraId="390486A4">
            <w:pPr>
              <w:overflowPunct/>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试验项目</w:t>
            </w:r>
          </w:p>
        </w:tc>
        <w:tc>
          <w:tcPr>
            <w:tcW w:w="1846" w:type="dxa"/>
            <w:tcBorders>
              <w:top w:val="single" w:color="auto" w:sz="4" w:space="0"/>
              <w:left w:val="nil"/>
              <w:bottom w:val="single" w:color="auto" w:sz="4" w:space="0"/>
              <w:right w:val="single" w:color="auto" w:sz="4" w:space="0"/>
            </w:tcBorders>
            <w:noWrap w:val="0"/>
            <w:vAlign w:val="center"/>
          </w:tcPr>
          <w:p w14:paraId="27869D89">
            <w:pPr>
              <w:overflowPunct/>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透层沥青</w:t>
            </w:r>
          </w:p>
        </w:tc>
        <w:tc>
          <w:tcPr>
            <w:tcW w:w="1847" w:type="dxa"/>
            <w:tcBorders>
              <w:top w:val="single" w:color="auto" w:sz="4" w:space="0"/>
              <w:left w:val="nil"/>
              <w:bottom w:val="single" w:color="auto" w:sz="4" w:space="0"/>
              <w:right w:val="single" w:color="auto" w:sz="4" w:space="0"/>
            </w:tcBorders>
            <w:noWrap w:val="0"/>
            <w:vAlign w:val="center"/>
          </w:tcPr>
          <w:p w14:paraId="11E29593">
            <w:pPr>
              <w:overflowPunct/>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粘层沥青</w:t>
            </w:r>
          </w:p>
        </w:tc>
      </w:tr>
      <w:tr w14:paraId="34C92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126" w:type="dxa"/>
            <w:gridSpan w:val="3"/>
            <w:tcBorders>
              <w:top w:val="single" w:color="auto" w:sz="4" w:space="0"/>
              <w:left w:val="single" w:color="auto" w:sz="4" w:space="0"/>
              <w:bottom w:val="single" w:color="auto" w:sz="4" w:space="0"/>
              <w:right w:val="single" w:color="auto" w:sz="4" w:space="0"/>
            </w:tcBorders>
            <w:noWrap w:val="0"/>
            <w:vAlign w:val="center"/>
          </w:tcPr>
          <w:p w14:paraId="698BBE75">
            <w:pPr>
              <w:overflowPunct/>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沥青标准粘度计 C</w:t>
            </w:r>
            <w:r>
              <w:rPr>
                <w:rFonts w:hint="eastAsia" w:ascii="宋体" w:hAnsi="宋体" w:eastAsia="宋体" w:cs="宋体"/>
                <w:kern w:val="2"/>
                <w:sz w:val="24"/>
                <w:szCs w:val="24"/>
                <w:vertAlign w:val="subscript"/>
              </w:rPr>
              <w:t>25.3（s）</w:t>
            </w:r>
          </w:p>
        </w:tc>
        <w:tc>
          <w:tcPr>
            <w:tcW w:w="3693" w:type="dxa"/>
            <w:gridSpan w:val="2"/>
            <w:tcBorders>
              <w:top w:val="single" w:color="auto" w:sz="4" w:space="0"/>
              <w:left w:val="nil"/>
              <w:bottom w:val="single" w:color="auto" w:sz="4" w:space="0"/>
              <w:right w:val="single" w:color="auto" w:sz="4" w:space="0"/>
            </w:tcBorders>
            <w:noWrap w:val="0"/>
            <w:vAlign w:val="center"/>
          </w:tcPr>
          <w:p w14:paraId="218F526A">
            <w:pPr>
              <w:overflowPunct/>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8～20</w:t>
            </w:r>
          </w:p>
        </w:tc>
      </w:tr>
      <w:tr w14:paraId="2C636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126" w:type="dxa"/>
            <w:gridSpan w:val="3"/>
            <w:tcBorders>
              <w:top w:val="single" w:color="auto" w:sz="4" w:space="0"/>
              <w:left w:val="single" w:color="auto" w:sz="4" w:space="0"/>
              <w:bottom w:val="single" w:color="auto" w:sz="4" w:space="0"/>
              <w:right w:val="single" w:color="auto" w:sz="4" w:space="0"/>
            </w:tcBorders>
            <w:noWrap w:val="0"/>
            <w:vAlign w:val="center"/>
          </w:tcPr>
          <w:p w14:paraId="769CECC6">
            <w:pPr>
              <w:overflowPunct/>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恩格拉粘度  E</w:t>
            </w:r>
            <w:r>
              <w:rPr>
                <w:rFonts w:hint="eastAsia" w:ascii="宋体" w:hAnsi="宋体" w:eastAsia="宋体" w:cs="宋体"/>
                <w:kern w:val="2"/>
                <w:sz w:val="24"/>
                <w:szCs w:val="24"/>
                <w:vertAlign w:val="subscript"/>
              </w:rPr>
              <w:t>25</w:t>
            </w:r>
          </w:p>
        </w:tc>
        <w:tc>
          <w:tcPr>
            <w:tcW w:w="3693" w:type="dxa"/>
            <w:gridSpan w:val="2"/>
            <w:tcBorders>
              <w:top w:val="single" w:color="auto" w:sz="4" w:space="0"/>
              <w:left w:val="nil"/>
              <w:bottom w:val="single" w:color="auto" w:sz="4" w:space="0"/>
              <w:right w:val="single" w:color="auto" w:sz="4" w:space="0"/>
            </w:tcBorders>
            <w:noWrap w:val="0"/>
            <w:vAlign w:val="center"/>
          </w:tcPr>
          <w:p w14:paraId="5A95059E">
            <w:pPr>
              <w:overflowPunct/>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1～6</w:t>
            </w:r>
          </w:p>
        </w:tc>
      </w:tr>
      <w:tr w14:paraId="75864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126" w:type="dxa"/>
            <w:gridSpan w:val="3"/>
            <w:tcBorders>
              <w:top w:val="single" w:color="auto" w:sz="4" w:space="0"/>
              <w:left w:val="single" w:color="auto" w:sz="4" w:space="0"/>
              <w:bottom w:val="single" w:color="auto" w:sz="4" w:space="0"/>
              <w:right w:val="single" w:color="auto" w:sz="4" w:space="0"/>
            </w:tcBorders>
            <w:noWrap w:val="0"/>
            <w:vAlign w:val="center"/>
          </w:tcPr>
          <w:p w14:paraId="7D457FD9">
            <w:pPr>
              <w:overflowPunct/>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筛上残留物（1.18mm筛）不大于（%）</w:t>
            </w:r>
          </w:p>
        </w:tc>
        <w:tc>
          <w:tcPr>
            <w:tcW w:w="3693" w:type="dxa"/>
            <w:gridSpan w:val="2"/>
            <w:tcBorders>
              <w:top w:val="single" w:color="auto" w:sz="4" w:space="0"/>
              <w:left w:val="nil"/>
              <w:bottom w:val="single" w:color="auto" w:sz="4" w:space="0"/>
              <w:right w:val="single" w:color="auto" w:sz="4" w:space="0"/>
            </w:tcBorders>
            <w:noWrap w:val="0"/>
            <w:vAlign w:val="center"/>
          </w:tcPr>
          <w:p w14:paraId="17BEE7F0">
            <w:pPr>
              <w:overflowPunct/>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0.1</w:t>
            </w:r>
          </w:p>
        </w:tc>
      </w:tr>
      <w:tr w14:paraId="6F800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1538" w:type="dxa"/>
            <w:vMerge w:val="restart"/>
            <w:tcBorders>
              <w:top w:val="nil"/>
              <w:left w:val="single" w:color="auto" w:sz="4" w:space="0"/>
              <w:bottom w:val="single" w:color="auto" w:sz="4" w:space="0"/>
              <w:right w:val="single" w:color="auto" w:sz="4" w:space="0"/>
            </w:tcBorders>
            <w:noWrap w:val="0"/>
            <w:vAlign w:val="center"/>
          </w:tcPr>
          <w:p w14:paraId="2105756B">
            <w:pPr>
              <w:overflowPunct/>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蒸发残留物</w:t>
            </w:r>
          </w:p>
        </w:tc>
        <w:tc>
          <w:tcPr>
            <w:tcW w:w="4588" w:type="dxa"/>
            <w:gridSpan w:val="2"/>
            <w:tcBorders>
              <w:top w:val="single" w:color="auto" w:sz="4" w:space="0"/>
              <w:left w:val="nil"/>
              <w:bottom w:val="single" w:color="auto" w:sz="4" w:space="0"/>
              <w:right w:val="single" w:color="auto" w:sz="4" w:space="0"/>
            </w:tcBorders>
            <w:noWrap w:val="0"/>
            <w:vAlign w:val="center"/>
          </w:tcPr>
          <w:p w14:paraId="5DB77443">
            <w:pPr>
              <w:overflowPunct/>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残留物含量不小于（%）</w:t>
            </w:r>
          </w:p>
        </w:tc>
        <w:tc>
          <w:tcPr>
            <w:tcW w:w="1846" w:type="dxa"/>
            <w:tcBorders>
              <w:top w:val="single" w:color="auto" w:sz="4" w:space="0"/>
              <w:left w:val="nil"/>
              <w:bottom w:val="single" w:color="auto" w:sz="4" w:space="0"/>
              <w:right w:val="single" w:color="auto" w:sz="4" w:space="0"/>
            </w:tcBorders>
            <w:noWrap w:val="0"/>
            <w:vAlign w:val="center"/>
          </w:tcPr>
          <w:p w14:paraId="2E7FA7E2">
            <w:pPr>
              <w:overflowPunct/>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35</w:t>
            </w:r>
          </w:p>
        </w:tc>
        <w:tc>
          <w:tcPr>
            <w:tcW w:w="1847" w:type="dxa"/>
            <w:tcBorders>
              <w:top w:val="single" w:color="auto" w:sz="4" w:space="0"/>
              <w:left w:val="nil"/>
              <w:bottom w:val="single" w:color="auto" w:sz="4" w:space="0"/>
              <w:right w:val="single" w:color="auto" w:sz="4" w:space="0"/>
            </w:tcBorders>
            <w:noWrap w:val="0"/>
            <w:vAlign w:val="center"/>
          </w:tcPr>
          <w:p w14:paraId="20560D30">
            <w:pPr>
              <w:overflowPunct/>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50</w:t>
            </w:r>
          </w:p>
        </w:tc>
      </w:tr>
      <w:tr w14:paraId="5503C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1538" w:type="dxa"/>
            <w:vMerge w:val="continue"/>
            <w:tcBorders>
              <w:top w:val="nil"/>
              <w:left w:val="single" w:color="auto" w:sz="4" w:space="0"/>
              <w:bottom w:val="single" w:color="auto" w:sz="4" w:space="0"/>
              <w:right w:val="single" w:color="auto" w:sz="4" w:space="0"/>
            </w:tcBorders>
            <w:noWrap w:val="0"/>
            <w:vAlign w:val="center"/>
          </w:tcPr>
          <w:p w14:paraId="2E6E95D0">
            <w:pPr>
              <w:widowControl/>
              <w:overflowPunct/>
              <w:spacing w:line="240" w:lineRule="auto"/>
              <w:ind w:firstLine="0" w:firstLineChars="0"/>
              <w:jc w:val="center"/>
              <w:rPr>
                <w:rFonts w:hint="eastAsia" w:ascii="宋体" w:hAnsi="宋体" w:eastAsia="宋体" w:cs="宋体"/>
                <w:kern w:val="2"/>
                <w:sz w:val="24"/>
                <w:szCs w:val="24"/>
              </w:rPr>
            </w:pPr>
          </w:p>
        </w:tc>
        <w:tc>
          <w:tcPr>
            <w:tcW w:w="4588" w:type="dxa"/>
            <w:gridSpan w:val="2"/>
            <w:tcBorders>
              <w:top w:val="single" w:color="auto" w:sz="4" w:space="0"/>
              <w:left w:val="nil"/>
              <w:bottom w:val="single" w:color="auto" w:sz="4" w:space="0"/>
              <w:right w:val="single" w:color="auto" w:sz="4" w:space="0"/>
            </w:tcBorders>
            <w:noWrap w:val="0"/>
            <w:vAlign w:val="center"/>
          </w:tcPr>
          <w:p w14:paraId="4C300B3B">
            <w:pPr>
              <w:overflowPunct/>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针入度（25</w:t>
            </w:r>
            <w:r>
              <w:rPr>
                <w:rFonts w:hint="eastAsia" w:ascii="宋体" w:hAnsi="宋体" w:eastAsia="宋体" w:cs="宋体"/>
                <w:kern w:val="2"/>
                <w:sz w:val="24"/>
                <w:szCs w:val="24"/>
                <w:vertAlign w:val="superscript"/>
              </w:rPr>
              <w:t>0</w:t>
            </w:r>
            <w:r>
              <w:rPr>
                <w:rFonts w:hint="eastAsia" w:ascii="宋体" w:hAnsi="宋体" w:eastAsia="宋体" w:cs="宋体"/>
                <w:kern w:val="2"/>
                <w:sz w:val="24"/>
                <w:szCs w:val="24"/>
              </w:rPr>
              <w:t>C 100g 5s）(0.1mm)</w:t>
            </w:r>
          </w:p>
        </w:tc>
        <w:tc>
          <w:tcPr>
            <w:tcW w:w="3693" w:type="dxa"/>
            <w:gridSpan w:val="2"/>
            <w:tcBorders>
              <w:top w:val="single" w:color="auto" w:sz="4" w:space="0"/>
              <w:left w:val="nil"/>
              <w:bottom w:val="single" w:color="auto" w:sz="4" w:space="0"/>
              <w:right w:val="single" w:color="auto" w:sz="4" w:space="0"/>
            </w:tcBorders>
            <w:noWrap w:val="0"/>
            <w:vAlign w:val="center"/>
          </w:tcPr>
          <w:p w14:paraId="48912AF1">
            <w:pPr>
              <w:overflowPunct/>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60～100</w:t>
            </w:r>
          </w:p>
        </w:tc>
      </w:tr>
      <w:tr w14:paraId="363AF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1538" w:type="dxa"/>
            <w:vMerge w:val="continue"/>
            <w:tcBorders>
              <w:top w:val="nil"/>
              <w:left w:val="single" w:color="auto" w:sz="4" w:space="0"/>
              <w:bottom w:val="single" w:color="auto" w:sz="4" w:space="0"/>
              <w:right w:val="single" w:color="auto" w:sz="4" w:space="0"/>
            </w:tcBorders>
            <w:noWrap w:val="0"/>
            <w:vAlign w:val="center"/>
          </w:tcPr>
          <w:p w14:paraId="0B3DE4BB">
            <w:pPr>
              <w:widowControl/>
              <w:overflowPunct/>
              <w:spacing w:line="240" w:lineRule="auto"/>
              <w:ind w:firstLine="0" w:firstLineChars="0"/>
              <w:jc w:val="center"/>
              <w:rPr>
                <w:rFonts w:hint="eastAsia" w:ascii="宋体" w:hAnsi="宋体" w:eastAsia="宋体" w:cs="宋体"/>
                <w:kern w:val="2"/>
                <w:sz w:val="24"/>
                <w:szCs w:val="24"/>
              </w:rPr>
            </w:pPr>
          </w:p>
        </w:tc>
        <w:tc>
          <w:tcPr>
            <w:tcW w:w="4588" w:type="dxa"/>
            <w:gridSpan w:val="2"/>
            <w:tcBorders>
              <w:top w:val="single" w:color="auto" w:sz="4" w:space="0"/>
              <w:left w:val="nil"/>
              <w:bottom w:val="single" w:color="auto" w:sz="4" w:space="0"/>
              <w:right w:val="single" w:color="auto" w:sz="4" w:space="0"/>
            </w:tcBorders>
            <w:noWrap w:val="0"/>
            <w:vAlign w:val="center"/>
          </w:tcPr>
          <w:p w14:paraId="0A022870">
            <w:pPr>
              <w:overflowPunct/>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延度（15</w:t>
            </w:r>
            <w:r>
              <w:rPr>
                <w:rFonts w:hint="eastAsia" w:ascii="宋体" w:hAnsi="宋体" w:eastAsia="宋体" w:cs="宋体"/>
                <w:kern w:val="2"/>
                <w:sz w:val="24"/>
                <w:szCs w:val="24"/>
                <w:vertAlign w:val="superscript"/>
              </w:rPr>
              <w:t>0</w:t>
            </w:r>
            <w:r>
              <w:rPr>
                <w:rFonts w:hint="eastAsia" w:ascii="宋体" w:hAnsi="宋体" w:eastAsia="宋体" w:cs="宋体"/>
                <w:kern w:val="2"/>
                <w:sz w:val="24"/>
                <w:szCs w:val="24"/>
              </w:rPr>
              <w:t>C）不小于（%）</w:t>
            </w:r>
          </w:p>
        </w:tc>
        <w:tc>
          <w:tcPr>
            <w:tcW w:w="3693" w:type="dxa"/>
            <w:gridSpan w:val="2"/>
            <w:tcBorders>
              <w:top w:val="single" w:color="auto" w:sz="4" w:space="0"/>
              <w:left w:val="nil"/>
              <w:bottom w:val="single" w:color="auto" w:sz="4" w:space="0"/>
              <w:right w:val="single" w:color="auto" w:sz="4" w:space="0"/>
            </w:tcBorders>
            <w:noWrap w:val="0"/>
            <w:vAlign w:val="center"/>
          </w:tcPr>
          <w:p w14:paraId="0D2EA6AE">
            <w:pPr>
              <w:overflowPunct/>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40</w:t>
            </w:r>
          </w:p>
        </w:tc>
      </w:tr>
      <w:tr w14:paraId="3C026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1538" w:type="dxa"/>
            <w:vMerge w:val="continue"/>
            <w:tcBorders>
              <w:top w:val="nil"/>
              <w:left w:val="single" w:color="auto" w:sz="4" w:space="0"/>
              <w:bottom w:val="single" w:color="auto" w:sz="4" w:space="0"/>
              <w:right w:val="single" w:color="auto" w:sz="4" w:space="0"/>
            </w:tcBorders>
            <w:noWrap w:val="0"/>
            <w:vAlign w:val="center"/>
          </w:tcPr>
          <w:p w14:paraId="62A5304F">
            <w:pPr>
              <w:widowControl/>
              <w:overflowPunct/>
              <w:spacing w:line="240" w:lineRule="auto"/>
              <w:ind w:firstLine="0" w:firstLineChars="0"/>
              <w:jc w:val="center"/>
              <w:rPr>
                <w:rFonts w:hint="eastAsia" w:ascii="宋体" w:hAnsi="宋体" w:eastAsia="宋体" w:cs="宋体"/>
                <w:kern w:val="2"/>
                <w:sz w:val="24"/>
                <w:szCs w:val="24"/>
              </w:rPr>
            </w:pPr>
          </w:p>
        </w:tc>
        <w:tc>
          <w:tcPr>
            <w:tcW w:w="4588" w:type="dxa"/>
            <w:gridSpan w:val="2"/>
            <w:tcBorders>
              <w:top w:val="single" w:color="auto" w:sz="4" w:space="0"/>
              <w:left w:val="nil"/>
              <w:bottom w:val="single" w:color="auto" w:sz="4" w:space="0"/>
              <w:right w:val="single" w:color="auto" w:sz="4" w:space="0"/>
            </w:tcBorders>
            <w:noWrap w:val="0"/>
            <w:vAlign w:val="center"/>
          </w:tcPr>
          <w:p w14:paraId="22F127DD">
            <w:pPr>
              <w:overflowPunct/>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溶解度（三氯乙烯）不小于（%）</w:t>
            </w:r>
          </w:p>
        </w:tc>
        <w:tc>
          <w:tcPr>
            <w:tcW w:w="3693" w:type="dxa"/>
            <w:gridSpan w:val="2"/>
            <w:tcBorders>
              <w:top w:val="single" w:color="auto" w:sz="4" w:space="0"/>
              <w:left w:val="nil"/>
              <w:bottom w:val="single" w:color="auto" w:sz="4" w:space="0"/>
              <w:right w:val="single" w:color="auto" w:sz="4" w:space="0"/>
            </w:tcBorders>
            <w:noWrap w:val="0"/>
            <w:vAlign w:val="center"/>
          </w:tcPr>
          <w:p w14:paraId="6259FE94">
            <w:pPr>
              <w:overflowPunct/>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97.5</w:t>
            </w:r>
          </w:p>
        </w:tc>
      </w:tr>
      <w:tr w14:paraId="4664B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2739" w:type="dxa"/>
            <w:gridSpan w:val="2"/>
            <w:vMerge w:val="restart"/>
            <w:tcBorders>
              <w:top w:val="nil"/>
              <w:left w:val="single" w:color="auto" w:sz="4" w:space="0"/>
              <w:bottom w:val="single" w:color="auto" w:sz="4" w:space="0"/>
              <w:right w:val="single" w:color="auto" w:sz="4" w:space="0"/>
            </w:tcBorders>
            <w:noWrap w:val="0"/>
            <w:vAlign w:val="center"/>
          </w:tcPr>
          <w:p w14:paraId="263120A4">
            <w:pPr>
              <w:overflowPunct/>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常温储存稳定度</w:t>
            </w:r>
          </w:p>
        </w:tc>
        <w:tc>
          <w:tcPr>
            <w:tcW w:w="3387" w:type="dxa"/>
            <w:tcBorders>
              <w:top w:val="single" w:color="auto" w:sz="4" w:space="0"/>
              <w:left w:val="nil"/>
              <w:bottom w:val="single" w:color="auto" w:sz="4" w:space="0"/>
              <w:right w:val="single" w:color="auto" w:sz="4" w:space="0"/>
            </w:tcBorders>
            <w:noWrap w:val="0"/>
            <w:vAlign w:val="center"/>
          </w:tcPr>
          <w:p w14:paraId="1EC5F849">
            <w:pPr>
              <w:overflowPunct/>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1d   不大于（%）</w:t>
            </w:r>
          </w:p>
        </w:tc>
        <w:tc>
          <w:tcPr>
            <w:tcW w:w="3693" w:type="dxa"/>
            <w:gridSpan w:val="2"/>
            <w:tcBorders>
              <w:top w:val="single" w:color="auto" w:sz="4" w:space="0"/>
              <w:left w:val="nil"/>
              <w:bottom w:val="single" w:color="auto" w:sz="4" w:space="0"/>
              <w:right w:val="single" w:color="auto" w:sz="4" w:space="0"/>
            </w:tcBorders>
            <w:noWrap w:val="0"/>
            <w:vAlign w:val="center"/>
          </w:tcPr>
          <w:p w14:paraId="639E508B">
            <w:pPr>
              <w:overflowPunct/>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1</w:t>
            </w:r>
          </w:p>
        </w:tc>
      </w:tr>
      <w:tr w14:paraId="27257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2739" w:type="dxa"/>
            <w:gridSpan w:val="2"/>
            <w:vMerge w:val="continue"/>
            <w:tcBorders>
              <w:top w:val="nil"/>
              <w:left w:val="single" w:color="auto" w:sz="4" w:space="0"/>
              <w:bottom w:val="single" w:color="auto" w:sz="4" w:space="0"/>
              <w:right w:val="single" w:color="auto" w:sz="4" w:space="0"/>
            </w:tcBorders>
            <w:noWrap w:val="0"/>
            <w:vAlign w:val="center"/>
          </w:tcPr>
          <w:p w14:paraId="108CAD0F">
            <w:pPr>
              <w:widowControl/>
              <w:overflowPunct/>
              <w:spacing w:line="240" w:lineRule="auto"/>
              <w:ind w:firstLine="0" w:firstLineChars="0"/>
              <w:jc w:val="center"/>
              <w:rPr>
                <w:rFonts w:hint="eastAsia" w:ascii="宋体" w:hAnsi="宋体" w:eastAsia="宋体" w:cs="宋体"/>
                <w:kern w:val="2"/>
                <w:sz w:val="24"/>
                <w:szCs w:val="24"/>
              </w:rPr>
            </w:pPr>
          </w:p>
        </w:tc>
        <w:tc>
          <w:tcPr>
            <w:tcW w:w="3387" w:type="dxa"/>
            <w:tcBorders>
              <w:top w:val="single" w:color="auto" w:sz="4" w:space="0"/>
              <w:left w:val="nil"/>
              <w:bottom w:val="single" w:color="auto" w:sz="4" w:space="0"/>
              <w:right w:val="single" w:color="auto" w:sz="4" w:space="0"/>
            </w:tcBorders>
            <w:noWrap w:val="0"/>
            <w:vAlign w:val="center"/>
          </w:tcPr>
          <w:p w14:paraId="43F365AC">
            <w:pPr>
              <w:overflowPunct/>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5d   不大于（%）</w:t>
            </w:r>
          </w:p>
        </w:tc>
        <w:tc>
          <w:tcPr>
            <w:tcW w:w="3693" w:type="dxa"/>
            <w:gridSpan w:val="2"/>
            <w:tcBorders>
              <w:top w:val="single" w:color="auto" w:sz="4" w:space="0"/>
              <w:left w:val="nil"/>
              <w:bottom w:val="single" w:color="auto" w:sz="4" w:space="0"/>
              <w:right w:val="single" w:color="auto" w:sz="4" w:space="0"/>
            </w:tcBorders>
            <w:noWrap w:val="0"/>
            <w:vAlign w:val="center"/>
          </w:tcPr>
          <w:p w14:paraId="6C7C33DB">
            <w:pPr>
              <w:overflowPunct/>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5</w:t>
            </w:r>
          </w:p>
        </w:tc>
      </w:tr>
      <w:tr w14:paraId="41C0D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6126" w:type="dxa"/>
            <w:gridSpan w:val="3"/>
            <w:tcBorders>
              <w:top w:val="single" w:color="auto" w:sz="4" w:space="0"/>
              <w:left w:val="single" w:color="auto" w:sz="4" w:space="0"/>
              <w:bottom w:val="single" w:color="auto" w:sz="4" w:space="0"/>
              <w:right w:val="single" w:color="auto" w:sz="4" w:space="0"/>
            </w:tcBorders>
            <w:noWrap w:val="0"/>
            <w:vAlign w:val="center"/>
          </w:tcPr>
          <w:p w14:paraId="12E62F56">
            <w:pPr>
              <w:overflowPunct/>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与矿料的粘附性，裹复面积不小于</w:t>
            </w:r>
          </w:p>
        </w:tc>
        <w:tc>
          <w:tcPr>
            <w:tcW w:w="3693" w:type="dxa"/>
            <w:gridSpan w:val="2"/>
            <w:tcBorders>
              <w:top w:val="single" w:color="auto" w:sz="4" w:space="0"/>
              <w:left w:val="nil"/>
              <w:bottom w:val="single" w:color="auto" w:sz="4" w:space="0"/>
              <w:right w:val="single" w:color="auto" w:sz="4" w:space="0"/>
            </w:tcBorders>
            <w:noWrap w:val="0"/>
            <w:vAlign w:val="center"/>
          </w:tcPr>
          <w:p w14:paraId="04C70605">
            <w:pPr>
              <w:overflowPunct/>
              <w:spacing w:line="360" w:lineRule="auto"/>
              <w:ind w:firstLine="0" w:firstLineChars="0"/>
              <w:jc w:val="center"/>
              <w:rPr>
                <w:rFonts w:hint="eastAsia" w:ascii="宋体" w:hAnsi="宋体" w:eastAsia="宋体" w:cs="宋体"/>
                <w:kern w:val="2"/>
                <w:sz w:val="24"/>
                <w:szCs w:val="24"/>
              </w:rPr>
            </w:pPr>
            <w:r>
              <w:rPr>
                <w:rFonts w:hint="eastAsia" w:ascii="宋体" w:hAnsi="宋体" w:eastAsia="宋体" w:cs="宋体"/>
                <w:kern w:val="2"/>
                <w:sz w:val="24"/>
                <w:szCs w:val="24"/>
              </w:rPr>
              <w:t>2/3</w:t>
            </w:r>
          </w:p>
        </w:tc>
      </w:tr>
    </w:tbl>
    <w:p w14:paraId="4C91A0A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333333"/>
          <w:spacing w:val="0"/>
          <w:sz w:val="24"/>
          <w:szCs w:val="24"/>
          <w:shd w:val="clear" w:fill="FFFFFF"/>
          <w:lang w:val="en-US" w:eastAsia="zh-CN"/>
        </w:rPr>
      </w:pPr>
      <w:r>
        <w:rPr>
          <w:rFonts w:hint="eastAsia" w:ascii="宋体" w:hAnsi="宋体" w:eastAsia="宋体" w:cs="宋体"/>
          <w:b/>
          <w:bCs/>
          <w:i w:val="0"/>
          <w:iCs w:val="0"/>
          <w:caps w:val="0"/>
          <w:color w:val="333333"/>
          <w:spacing w:val="0"/>
          <w:sz w:val="24"/>
          <w:szCs w:val="24"/>
          <w:shd w:val="clear" w:fill="FFFFFF"/>
          <w:lang w:val="en-US" w:eastAsia="zh-CN"/>
        </w:rPr>
        <w:t>4.3防裂贴粘附及使用处理</w:t>
      </w:r>
    </w:p>
    <w:p w14:paraId="6EAD03AF">
      <w:pPr>
        <w:spacing w:line="360" w:lineRule="auto"/>
        <w:ind w:firstLine="482" w:firstLineChars="200"/>
        <w:rPr>
          <w:rFonts w:hint="eastAsia"/>
          <w:b/>
          <w:sz w:val="24"/>
          <w:szCs w:val="24"/>
        </w:rPr>
      </w:pPr>
      <w:r>
        <w:rPr>
          <w:rFonts w:hint="eastAsia"/>
          <w:b/>
          <w:sz w:val="24"/>
          <w:szCs w:val="24"/>
        </w:rPr>
        <w:t>防裂卷材技术指标</w:t>
      </w:r>
    </w:p>
    <w:p w14:paraId="6402BA36">
      <w:pPr>
        <w:spacing w:line="360" w:lineRule="auto"/>
        <w:ind w:firstLine="480" w:firstLineChars="200"/>
        <w:rPr>
          <w:rFonts w:hint="eastAsia" w:ascii="宋体" w:hAnsi="宋体"/>
          <w:sz w:val="24"/>
          <w:szCs w:val="24"/>
        </w:rPr>
      </w:pPr>
      <w:r>
        <w:rPr>
          <w:rFonts w:hint="eastAsia" w:ascii="宋体" w:hAnsi="宋体"/>
          <w:sz w:val="24"/>
          <w:szCs w:val="24"/>
        </w:rPr>
        <w:t>防裂卷材用于接缝（原水泥砼路面纵、横缝，新浇水泥砼路面板和旧水泥砼路面板之间的接缝，沥青路面与水泥砼路面之间的接缝，沥青路面纵、横向裂缝）的铺贴，发挥防裂卷材的抗裂作用及吸能作用，可有效抑制裂缝向上传递。防裂卷材采用以</w:t>
      </w:r>
      <w:r>
        <w:rPr>
          <w:rFonts w:ascii="宋体" w:hAnsi="宋体"/>
          <w:sz w:val="24"/>
          <w:szCs w:val="24"/>
        </w:rPr>
        <w:t xml:space="preserve">SBS </w:t>
      </w:r>
      <w:r>
        <w:rPr>
          <w:rFonts w:hint="eastAsia" w:ascii="宋体" w:hAnsi="宋体"/>
          <w:sz w:val="24"/>
          <w:szCs w:val="24"/>
        </w:rPr>
        <w:t>改性材料为主，宽度0.5</w:t>
      </w:r>
      <w:r>
        <w:rPr>
          <w:rFonts w:ascii="宋体" w:hAnsi="宋体"/>
          <w:sz w:val="24"/>
          <w:szCs w:val="24"/>
        </w:rPr>
        <w:t>m</w:t>
      </w:r>
      <w:r>
        <w:rPr>
          <w:rFonts w:hint="eastAsia" w:ascii="宋体" w:hAnsi="宋体"/>
          <w:sz w:val="24"/>
          <w:szCs w:val="24"/>
        </w:rPr>
        <w:t xml:space="preserve">，辅以各种助剂制成的沥青涂盖料浸涂聚酯胎基制成的具有自粘性的改性沥青防裂卷材，其技术指标应符合下表的相关要求。 </w:t>
      </w:r>
    </w:p>
    <w:p w14:paraId="73084EC8">
      <w:pPr>
        <w:spacing w:line="360" w:lineRule="auto"/>
        <w:ind w:firstLine="480" w:firstLineChars="200"/>
        <w:rPr>
          <w:rFonts w:hint="eastAsia" w:ascii="宋体" w:hAnsi="宋体"/>
          <w:sz w:val="24"/>
          <w:szCs w:val="24"/>
        </w:rPr>
      </w:pPr>
    </w:p>
    <w:p w14:paraId="15080418">
      <w:pPr>
        <w:spacing w:line="360" w:lineRule="auto"/>
        <w:ind w:firstLine="480" w:firstLineChars="200"/>
        <w:rPr>
          <w:rFonts w:hint="eastAsia" w:ascii="宋体" w:hAnsi="宋体"/>
          <w:sz w:val="24"/>
          <w:szCs w:val="24"/>
        </w:rPr>
      </w:pPr>
    </w:p>
    <w:p w14:paraId="7638F5BF">
      <w:pPr>
        <w:jc w:val="center"/>
        <w:rPr>
          <w:rFonts w:hint="eastAsia" w:ascii="宋体" w:hAnsi="宋体"/>
          <w:sz w:val="24"/>
          <w:szCs w:val="24"/>
        </w:rPr>
      </w:pPr>
      <w:r>
        <w:rPr>
          <w:rFonts w:hint="eastAsia" w:ascii="宋体" w:hAnsi="宋体"/>
          <w:sz w:val="24"/>
          <w:szCs w:val="24"/>
        </w:rPr>
        <w:t>防裂卷材技术要求</w:t>
      </w:r>
    </w:p>
    <w:tbl>
      <w:tblPr>
        <w:tblStyle w:val="6"/>
        <w:tblW w:w="0" w:type="auto"/>
        <w:jc w:val="center"/>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Layout w:type="fixed"/>
        <w:tblCellMar>
          <w:top w:w="0" w:type="dxa"/>
          <w:left w:w="108" w:type="dxa"/>
          <w:bottom w:w="0" w:type="dxa"/>
          <w:right w:w="108" w:type="dxa"/>
        </w:tblCellMar>
      </w:tblPr>
      <w:tblGrid>
        <w:gridCol w:w="2786"/>
        <w:gridCol w:w="3320"/>
        <w:gridCol w:w="3320"/>
      </w:tblGrid>
      <w:tr w14:paraId="365B9CFE">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454" w:hRule="atLeast"/>
          <w:tblHeader/>
          <w:jc w:val="center"/>
        </w:trPr>
        <w:tc>
          <w:tcPr>
            <w:tcW w:w="6106" w:type="dxa"/>
            <w:gridSpan w:val="2"/>
            <w:noWrap w:val="0"/>
            <w:vAlign w:val="center"/>
          </w:tcPr>
          <w:p w14:paraId="4B218F5F">
            <w:pPr>
              <w:jc w:val="center"/>
              <w:rPr>
                <w:rFonts w:hint="eastAsia" w:ascii="宋体" w:hAnsi="宋体"/>
                <w:szCs w:val="21"/>
              </w:rPr>
            </w:pPr>
            <w:r>
              <w:rPr>
                <w:rFonts w:hint="eastAsia" w:ascii="宋体" w:hAnsi="宋体"/>
                <w:szCs w:val="21"/>
              </w:rPr>
              <w:t>技术指标</w:t>
            </w:r>
          </w:p>
        </w:tc>
        <w:tc>
          <w:tcPr>
            <w:tcW w:w="3320" w:type="dxa"/>
            <w:noWrap w:val="0"/>
            <w:vAlign w:val="center"/>
          </w:tcPr>
          <w:p w14:paraId="1E057818">
            <w:pPr>
              <w:jc w:val="center"/>
              <w:rPr>
                <w:rFonts w:hint="eastAsia" w:ascii="宋体" w:hAnsi="宋体"/>
                <w:szCs w:val="21"/>
              </w:rPr>
            </w:pPr>
            <w:r>
              <w:rPr>
                <w:rFonts w:hint="eastAsia" w:ascii="宋体" w:hAnsi="宋体"/>
                <w:szCs w:val="21"/>
              </w:rPr>
              <w:t>要 求</w:t>
            </w:r>
          </w:p>
        </w:tc>
      </w:tr>
      <w:tr w14:paraId="3F4A18CB">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6106" w:type="dxa"/>
            <w:gridSpan w:val="2"/>
            <w:noWrap w:val="0"/>
            <w:vAlign w:val="center"/>
          </w:tcPr>
          <w:p w14:paraId="5A288D99">
            <w:pPr>
              <w:jc w:val="center"/>
              <w:rPr>
                <w:rFonts w:hint="eastAsia" w:ascii="宋体" w:hAnsi="宋体"/>
                <w:szCs w:val="21"/>
              </w:rPr>
            </w:pPr>
            <w:r>
              <w:rPr>
                <w:rFonts w:hint="eastAsia" w:ascii="宋体" w:hAnsi="宋体"/>
                <w:szCs w:val="21"/>
              </w:rPr>
              <w:t>卷材下表面沥青涂盖层厚度 mm</w:t>
            </w:r>
          </w:p>
        </w:tc>
        <w:tc>
          <w:tcPr>
            <w:tcW w:w="3320" w:type="dxa"/>
            <w:noWrap w:val="0"/>
            <w:vAlign w:val="center"/>
          </w:tcPr>
          <w:p w14:paraId="3E4D1436">
            <w:pPr>
              <w:jc w:val="center"/>
              <w:rPr>
                <w:rFonts w:hint="eastAsia" w:ascii="宋体" w:hAnsi="宋体"/>
                <w:szCs w:val="21"/>
              </w:rPr>
            </w:pPr>
            <w:r>
              <w:rPr>
                <w:rFonts w:hint="eastAsia" w:ascii="宋体" w:hAnsi="宋体"/>
                <w:szCs w:val="21"/>
              </w:rPr>
              <w:t>≥1</w:t>
            </w:r>
          </w:p>
        </w:tc>
      </w:tr>
      <w:tr w14:paraId="1604A8DD">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6106" w:type="dxa"/>
            <w:gridSpan w:val="2"/>
            <w:noWrap w:val="0"/>
            <w:vAlign w:val="center"/>
          </w:tcPr>
          <w:p w14:paraId="6B2E7C35">
            <w:pPr>
              <w:jc w:val="center"/>
              <w:rPr>
                <w:rFonts w:hint="eastAsia" w:ascii="宋体" w:hAnsi="宋体"/>
                <w:szCs w:val="21"/>
              </w:rPr>
            </w:pPr>
            <w:r>
              <w:rPr>
                <w:rFonts w:hint="eastAsia" w:ascii="宋体" w:hAnsi="宋体"/>
                <w:szCs w:val="21"/>
              </w:rPr>
              <w:t>可溶物含量 g/m2</w:t>
            </w:r>
          </w:p>
        </w:tc>
        <w:tc>
          <w:tcPr>
            <w:tcW w:w="3320" w:type="dxa"/>
            <w:noWrap w:val="0"/>
            <w:vAlign w:val="center"/>
          </w:tcPr>
          <w:p w14:paraId="3F632905">
            <w:pPr>
              <w:jc w:val="center"/>
              <w:rPr>
                <w:rFonts w:hint="eastAsia" w:ascii="宋体" w:hAnsi="宋体"/>
                <w:szCs w:val="21"/>
              </w:rPr>
            </w:pPr>
            <w:r>
              <w:rPr>
                <w:rFonts w:hint="eastAsia" w:ascii="宋体" w:hAnsi="宋体"/>
                <w:szCs w:val="21"/>
              </w:rPr>
              <w:t>≥1700</w:t>
            </w:r>
          </w:p>
        </w:tc>
      </w:tr>
      <w:tr w14:paraId="550D5DA2">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6106" w:type="dxa"/>
            <w:gridSpan w:val="2"/>
            <w:noWrap w:val="0"/>
            <w:vAlign w:val="center"/>
          </w:tcPr>
          <w:p w14:paraId="5769EAAF">
            <w:pPr>
              <w:jc w:val="center"/>
              <w:rPr>
                <w:rFonts w:hint="eastAsia" w:ascii="宋体" w:hAnsi="宋体"/>
                <w:szCs w:val="21"/>
              </w:rPr>
            </w:pPr>
            <w:r>
              <w:rPr>
                <w:rFonts w:hint="eastAsia" w:ascii="宋体" w:hAnsi="宋体"/>
                <w:szCs w:val="21"/>
              </w:rPr>
              <w:t>耐热性110℃</w:t>
            </w:r>
          </w:p>
        </w:tc>
        <w:tc>
          <w:tcPr>
            <w:tcW w:w="3320" w:type="dxa"/>
            <w:noWrap w:val="0"/>
            <w:vAlign w:val="center"/>
          </w:tcPr>
          <w:p w14:paraId="55E747E6">
            <w:pPr>
              <w:jc w:val="center"/>
              <w:rPr>
                <w:rFonts w:hint="eastAsia" w:ascii="宋体" w:hAnsi="宋体"/>
                <w:szCs w:val="21"/>
              </w:rPr>
            </w:pPr>
            <w:r>
              <w:rPr>
                <w:rFonts w:hint="eastAsia" w:ascii="宋体" w:hAnsi="宋体"/>
                <w:szCs w:val="21"/>
              </w:rPr>
              <w:t>无滑动、流淌、滴落</w:t>
            </w:r>
          </w:p>
        </w:tc>
      </w:tr>
      <w:tr w14:paraId="4C00692F">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6106" w:type="dxa"/>
            <w:gridSpan w:val="2"/>
            <w:noWrap w:val="0"/>
            <w:vAlign w:val="center"/>
          </w:tcPr>
          <w:p w14:paraId="20573DE2">
            <w:pPr>
              <w:jc w:val="center"/>
              <w:rPr>
                <w:rFonts w:hint="eastAsia" w:ascii="宋体" w:hAnsi="宋体"/>
                <w:szCs w:val="21"/>
              </w:rPr>
            </w:pPr>
            <w:r>
              <w:rPr>
                <w:rFonts w:hint="eastAsia" w:ascii="宋体" w:hAnsi="宋体"/>
                <w:szCs w:val="21"/>
              </w:rPr>
              <w:t>低温柔性 -25℃</w:t>
            </w:r>
          </w:p>
        </w:tc>
        <w:tc>
          <w:tcPr>
            <w:tcW w:w="3320" w:type="dxa"/>
            <w:noWrap w:val="0"/>
            <w:vAlign w:val="center"/>
          </w:tcPr>
          <w:p w14:paraId="516554B2">
            <w:pPr>
              <w:jc w:val="center"/>
              <w:rPr>
                <w:rFonts w:hint="eastAsia" w:ascii="宋体" w:hAnsi="宋体"/>
                <w:szCs w:val="21"/>
              </w:rPr>
            </w:pPr>
            <w:r>
              <w:rPr>
                <w:rFonts w:hint="eastAsia" w:ascii="宋体" w:hAnsi="宋体"/>
                <w:szCs w:val="21"/>
              </w:rPr>
              <w:t>无裂纹</w:t>
            </w:r>
          </w:p>
        </w:tc>
      </w:tr>
      <w:tr w14:paraId="2AC4D218">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6106" w:type="dxa"/>
            <w:gridSpan w:val="2"/>
            <w:noWrap w:val="0"/>
            <w:vAlign w:val="center"/>
          </w:tcPr>
          <w:p w14:paraId="289D8F84">
            <w:pPr>
              <w:jc w:val="center"/>
              <w:rPr>
                <w:rFonts w:hint="eastAsia" w:ascii="宋体" w:hAnsi="宋体"/>
                <w:szCs w:val="21"/>
              </w:rPr>
            </w:pPr>
            <w:r>
              <w:rPr>
                <w:rFonts w:hint="eastAsia" w:ascii="宋体" w:hAnsi="宋体"/>
                <w:szCs w:val="21"/>
              </w:rPr>
              <w:t>拉力/N (N/50mm)</w:t>
            </w:r>
          </w:p>
        </w:tc>
        <w:tc>
          <w:tcPr>
            <w:tcW w:w="3320" w:type="dxa"/>
            <w:noWrap w:val="0"/>
            <w:vAlign w:val="center"/>
          </w:tcPr>
          <w:p w14:paraId="76B29DFA">
            <w:pPr>
              <w:jc w:val="center"/>
              <w:rPr>
                <w:rFonts w:hint="eastAsia" w:ascii="宋体" w:hAnsi="宋体"/>
                <w:szCs w:val="21"/>
              </w:rPr>
            </w:pPr>
            <w:r>
              <w:rPr>
                <w:rFonts w:hint="eastAsia" w:ascii="宋体" w:hAnsi="宋体"/>
                <w:szCs w:val="21"/>
              </w:rPr>
              <w:t>≥800</w:t>
            </w:r>
          </w:p>
        </w:tc>
      </w:tr>
      <w:tr w14:paraId="765A5425">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6106" w:type="dxa"/>
            <w:gridSpan w:val="2"/>
            <w:noWrap w:val="0"/>
            <w:vAlign w:val="center"/>
          </w:tcPr>
          <w:p w14:paraId="0876BF8A">
            <w:pPr>
              <w:jc w:val="center"/>
              <w:rPr>
                <w:rFonts w:hint="eastAsia" w:ascii="宋体" w:hAnsi="宋体"/>
                <w:szCs w:val="21"/>
              </w:rPr>
            </w:pPr>
            <w:r>
              <w:rPr>
                <w:rFonts w:hint="eastAsia" w:ascii="宋体" w:hAnsi="宋体"/>
                <w:szCs w:val="21"/>
              </w:rPr>
              <w:t>最大拉力时延伸率 %</w:t>
            </w:r>
          </w:p>
        </w:tc>
        <w:tc>
          <w:tcPr>
            <w:tcW w:w="3320" w:type="dxa"/>
            <w:noWrap w:val="0"/>
            <w:vAlign w:val="center"/>
          </w:tcPr>
          <w:p w14:paraId="173CB157">
            <w:pPr>
              <w:jc w:val="center"/>
              <w:rPr>
                <w:rFonts w:hint="eastAsia" w:ascii="宋体" w:hAnsi="宋体"/>
                <w:szCs w:val="21"/>
              </w:rPr>
            </w:pPr>
            <w:r>
              <w:rPr>
                <w:rFonts w:hint="eastAsia" w:ascii="宋体" w:hAnsi="宋体"/>
                <w:szCs w:val="21"/>
              </w:rPr>
              <w:t>≥40</w:t>
            </w:r>
          </w:p>
        </w:tc>
      </w:tr>
      <w:tr w14:paraId="041EB272">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2786" w:type="dxa"/>
            <w:vMerge w:val="restart"/>
            <w:noWrap w:val="0"/>
            <w:vAlign w:val="center"/>
          </w:tcPr>
          <w:p w14:paraId="2657C9DC">
            <w:pPr>
              <w:jc w:val="center"/>
              <w:rPr>
                <w:rFonts w:hint="eastAsia" w:ascii="宋体" w:hAnsi="宋体"/>
                <w:szCs w:val="21"/>
              </w:rPr>
            </w:pPr>
            <w:r>
              <w:rPr>
                <w:rFonts w:hint="eastAsia" w:ascii="宋体" w:hAnsi="宋体"/>
                <w:szCs w:val="21"/>
              </w:rPr>
              <w:t>盐处理</w:t>
            </w:r>
          </w:p>
          <w:p w14:paraId="0E8AC433">
            <w:pPr>
              <w:jc w:val="center"/>
              <w:rPr>
                <w:rFonts w:hint="eastAsia" w:ascii="宋体" w:hAnsi="宋体"/>
                <w:szCs w:val="21"/>
              </w:rPr>
            </w:pPr>
          </w:p>
        </w:tc>
        <w:tc>
          <w:tcPr>
            <w:tcW w:w="3320" w:type="dxa"/>
            <w:noWrap w:val="0"/>
            <w:vAlign w:val="center"/>
          </w:tcPr>
          <w:p w14:paraId="3782B089">
            <w:pPr>
              <w:jc w:val="center"/>
              <w:rPr>
                <w:rFonts w:hint="eastAsia" w:ascii="宋体" w:hAnsi="宋体"/>
                <w:szCs w:val="21"/>
              </w:rPr>
            </w:pPr>
            <w:r>
              <w:rPr>
                <w:rFonts w:hint="eastAsia" w:ascii="宋体" w:hAnsi="宋体"/>
                <w:szCs w:val="21"/>
              </w:rPr>
              <w:t>拉力保持率/%</w:t>
            </w:r>
          </w:p>
        </w:tc>
        <w:tc>
          <w:tcPr>
            <w:tcW w:w="3320" w:type="dxa"/>
            <w:noWrap w:val="0"/>
            <w:vAlign w:val="center"/>
          </w:tcPr>
          <w:p w14:paraId="6D15E0D5">
            <w:pPr>
              <w:jc w:val="center"/>
              <w:rPr>
                <w:rFonts w:hint="eastAsia" w:ascii="宋体" w:hAnsi="宋体"/>
                <w:szCs w:val="21"/>
              </w:rPr>
            </w:pPr>
            <w:r>
              <w:rPr>
                <w:rFonts w:hint="eastAsia" w:ascii="宋体" w:hAnsi="宋体"/>
                <w:szCs w:val="21"/>
              </w:rPr>
              <w:t>≥90</w:t>
            </w:r>
          </w:p>
        </w:tc>
      </w:tr>
      <w:tr w14:paraId="137C3422">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2786" w:type="dxa"/>
            <w:vMerge w:val="continue"/>
            <w:noWrap w:val="0"/>
            <w:vAlign w:val="center"/>
          </w:tcPr>
          <w:p w14:paraId="2C287E3C">
            <w:pPr>
              <w:jc w:val="center"/>
              <w:rPr>
                <w:rFonts w:hint="eastAsia" w:ascii="宋体" w:hAnsi="宋体"/>
                <w:szCs w:val="21"/>
              </w:rPr>
            </w:pPr>
          </w:p>
        </w:tc>
        <w:tc>
          <w:tcPr>
            <w:tcW w:w="3320" w:type="dxa"/>
            <w:noWrap w:val="0"/>
            <w:vAlign w:val="center"/>
          </w:tcPr>
          <w:p w14:paraId="76D3361D">
            <w:pPr>
              <w:jc w:val="center"/>
              <w:rPr>
                <w:rFonts w:hint="eastAsia" w:ascii="宋体" w:hAnsi="宋体"/>
                <w:szCs w:val="21"/>
              </w:rPr>
            </w:pPr>
            <w:r>
              <w:rPr>
                <w:rFonts w:hint="eastAsia" w:ascii="宋体" w:hAnsi="宋体"/>
                <w:szCs w:val="21"/>
              </w:rPr>
              <w:t>低温柔性 -25℃</w:t>
            </w:r>
          </w:p>
        </w:tc>
        <w:tc>
          <w:tcPr>
            <w:tcW w:w="3320" w:type="dxa"/>
            <w:noWrap w:val="0"/>
            <w:vAlign w:val="center"/>
          </w:tcPr>
          <w:p w14:paraId="4E2471A8">
            <w:pPr>
              <w:jc w:val="center"/>
              <w:rPr>
                <w:rFonts w:hint="eastAsia" w:ascii="宋体" w:hAnsi="宋体"/>
                <w:szCs w:val="21"/>
              </w:rPr>
            </w:pPr>
            <w:r>
              <w:rPr>
                <w:rFonts w:hint="eastAsia" w:ascii="宋体" w:hAnsi="宋体"/>
                <w:szCs w:val="21"/>
              </w:rPr>
              <w:t>无裂纹</w:t>
            </w:r>
          </w:p>
        </w:tc>
      </w:tr>
      <w:tr w14:paraId="36E4F5D5">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2786" w:type="dxa"/>
            <w:vMerge w:val="continue"/>
            <w:noWrap w:val="0"/>
            <w:vAlign w:val="center"/>
          </w:tcPr>
          <w:p w14:paraId="35B46035">
            <w:pPr>
              <w:jc w:val="center"/>
              <w:rPr>
                <w:rFonts w:hint="eastAsia" w:ascii="宋体" w:hAnsi="宋体"/>
                <w:szCs w:val="21"/>
              </w:rPr>
            </w:pPr>
          </w:p>
        </w:tc>
        <w:tc>
          <w:tcPr>
            <w:tcW w:w="3320" w:type="dxa"/>
            <w:noWrap w:val="0"/>
            <w:vAlign w:val="center"/>
          </w:tcPr>
          <w:p w14:paraId="05140960">
            <w:pPr>
              <w:jc w:val="center"/>
              <w:rPr>
                <w:rFonts w:hint="eastAsia" w:ascii="宋体" w:hAnsi="宋体"/>
                <w:szCs w:val="21"/>
              </w:rPr>
            </w:pPr>
            <w:r>
              <w:rPr>
                <w:rFonts w:hint="eastAsia" w:ascii="宋体" w:hAnsi="宋体"/>
                <w:szCs w:val="21"/>
              </w:rPr>
              <w:t>质量增加/%</w:t>
            </w:r>
          </w:p>
        </w:tc>
        <w:tc>
          <w:tcPr>
            <w:tcW w:w="3320" w:type="dxa"/>
            <w:noWrap w:val="0"/>
            <w:vAlign w:val="center"/>
          </w:tcPr>
          <w:p w14:paraId="288D940A">
            <w:pPr>
              <w:jc w:val="center"/>
              <w:rPr>
                <w:rFonts w:hint="eastAsia" w:ascii="宋体" w:hAnsi="宋体"/>
                <w:szCs w:val="21"/>
              </w:rPr>
            </w:pPr>
            <w:r>
              <w:rPr>
                <w:rFonts w:hint="eastAsia" w:ascii="宋体" w:hAnsi="宋体"/>
                <w:szCs w:val="21"/>
              </w:rPr>
              <w:t>≤1</w:t>
            </w:r>
          </w:p>
        </w:tc>
      </w:tr>
      <w:tr w14:paraId="0225E317">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2786" w:type="dxa"/>
            <w:vMerge w:val="restart"/>
            <w:noWrap w:val="0"/>
            <w:vAlign w:val="center"/>
          </w:tcPr>
          <w:p w14:paraId="1F0579B5">
            <w:pPr>
              <w:jc w:val="center"/>
              <w:rPr>
                <w:rFonts w:hint="eastAsia" w:ascii="宋体" w:hAnsi="宋体"/>
                <w:szCs w:val="21"/>
              </w:rPr>
            </w:pPr>
            <w:r>
              <w:rPr>
                <w:rFonts w:hint="eastAsia" w:ascii="宋体" w:hAnsi="宋体"/>
                <w:szCs w:val="21"/>
              </w:rPr>
              <w:t>热老化</w:t>
            </w:r>
          </w:p>
        </w:tc>
        <w:tc>
          <w:tcPr>
            <w:tcW w:w="3320" w:type="dxa"/>
            <w:noWrap w:val="0"/>
            <w:vAlign w:val="center"/>
          </w:tcPr>
          <w:p w14:paraId="71CCD5AD">
            <w:pPr>
              <w:jc w:val="center"/>
              <w:rPr>
                <w:rFonts w:hint="eastAsia" w:ascii="宋体" w:hAnsi="宋体"/>
                <w:szCs w:val="21"/>
              </w:rPr>
            </w:pPr>
            <w:r>
              <w:rPr>
                <w:rFonts w:hint="eastAsia" w:ascii="宋体" w:hAnsi="宋体"/>
                <w:szCs w:val="21"/>
              </w:rPr>
              <w:t>拉力保持率/%</w:t>
            </w:r>
          </w:p>
        </w:tc>
        <w:tc>
          <w:tcPr>
            <w:tcW w:w="3320" w:type="dxa"/>
            <w:noWrap w:val="0"/>
            <w:vAlign w:val="center"/>
          </w:tcPr>
          <w:p w14:paraId="2935F68F">
            <w:pPr>
              <w:jc w:val="center"/>
              <w:rPr>
                <w:rFonts w:hint="eastAsia" w:ascii="宋体" w:hAnsi="宋体"/>
                <w:szCs w:val="21"/>
              </w:rPr>
            </w:pPr>
            <w:r>
              <w:rPr>
                <w:rFonts w:hint="eastAsia" w:ascii="宋体" w:hAnsi="宋体"/>
                <w:szCs w:val="21"/>
              </w:rPr>
              <w:t>≥90</w:t>
            </w:r>
          </w:p>
        </w:tc>
      </w:tr>
      <w:tr w14:paraId="45FADAFC">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2786" w:type="dxa"/>
            <w:vMerge w:val="continue"/>
            <w:noWrap w:val="0"/>
            <w:vAlign w:val="center"/>
          </w:tcPr>
          <w:p w14:paraId="601CBDFC">
            <w:pPr>
              <w:jc w:val="center"/>
              <w:rPr>
                <w:rFonts w:hint="eastAsia" w:ascii="宋体" w:hAnsi="宋体"/>
                <w:szCs w:val="21"/>
              </w:rPr>
            </w:pPr>
          </w:p>
        </w:tc>
        <w:tc>
          <w:tcPr>
            <w:tcW w:w="3320" w:type="dxa"/>
            <w:noWrap w:val="0"/>
            <w:vAlign w:val="center"/>
          </w:tcPr>
          <w:p w14:paraId="7B1E393D">
            <w:pPr>
              <w:jc w:val="center"/>
              <w:rPr>
                <w:rFonts w:hint="eastAsia" w:ascii="宋体" w:hAnsi="宋体"/>
                <w:szCs w:val="21"/>
              </w:rPr>
            </w:pPr>
            <w:r>
              <w:rPr>
                <w:rFonts w:hint="eastAsia" w:ascii="宋体" w:hAnsi="宋体"/>
                <w:szCs w:val="21"/>
              </w:rPr>
              <w:t>延伸率保持率/%</w:t>
            </w:r>
          </w:p>
        </w:tc>
        <w:tc>
          <w:tcPr>
            <w:tcW w:w="3320" w:type="dxa"/>
            <w:noWrap w:val="0"/>
            <w:vAlign w:val="center"/>
          </w:tcPr>
          <w:p w14:paraId="542DB222">
            <w:pPr>
              <w:jc w:val="center"/>
              <w:rPr>
                <w:rFonts w:hint="eastAsia" w:ascii="宋体" w:hAnsi="宋体"/>
                <w:szCs w:val="21"/>
              </w:rPr>
            </w:pPr>
            <w:r>
              <w:rPr>
                <w:rFonts w:hint="eastAsia" w:ascii="宋体" w:hAnsi="宋体"/>
                <w:szCs w:val="21"/>
              </w:rPr>
              <w:t>≥90</w:t>
            </w:r>
          </w:p>
        </w:tc>
      </w:tr>
      <w:tr w14:paraId="270BF705">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2786" w:type="dxa"/>
            <w:vMerge w:val="continue"/>
            <w:noWrap w:val="0"/>
            <w:vAlign w:val="center"/>
          </w:tcPr>
          <w:p w14:paraId="269C1B26">
            <w:pPr>
              <w:jc w:val="center"/>
              <w:rPr>
                <w:rFonts w:hint="eastAsia" w:ascii="宋体" w:hAnsi="宋体"/>
                <w:szCs w:val="21"/>
              </w:rPr>
            </w:pPr>
          </w:p>
        </w:tc>
        <w:tc>
          <w:tcPr>
            <w:tcW w:w="3320" w:type="dxa"/>
            <w:noWrap w:val="0"/>
            <w:vAlign w:val="center"/>
          </w:tcPr>
          <w:p w14:paraId="1CEB14E2">
            <w:pPr>
              <w:jc w:val="center"/>
              <w:rPr>
                <w:rFonts w:hint="eastAsia" w:ascii="宋体" w:hAnsi="宋体"/>
                <w:szCs w:val="21"/>
              </w:rPr>
            </w:pPr>
            <w:r>
              <w:rPr>
                <w:rFonts w:hint="eastAsia" w:ascii="宋体" w:hAnsi="宋体"/>
                <w:szCs w:val="21"/>
              </w:rPr>
              <w:t>低温柔性 -20℃</w:t>
            </w:r>
          </w:p>
        </w:tc>
        <w:tc>
          <w:tcPr>
            <w:tcW w:w="3320" w:type="dxa"/>
            <w:noWrap w:val="0"/>
            <w:vAlign w:val="center"/>
          </w:tcPr>
          <w:p w14:paraId="422EC2D6">
            <w:pPr>
              <w:jc w:val="center"/>
              <w:rPr>
                <w:rFonts w:hint="eastAsia" w:ascii="宋体" w:hAnsi="宋体"/>
                <w:szCs w:val="21"/>
              </w:rPr>
            </w:pPr>
            <w:r>
              <w:rPr>
                <w:rFonts w:hint="eastAsia" w:ascii="宋体" w:hAnsi="宋体"/>
                <w:szCs w:val="21"/>
              </w:rPr>
              <w:t>无裂纹</w:t>
            </w:r>
          </w:p>
        </w:tc>
      </w:tr>
      <w:tr w14:paraId="36216CA1">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2786" w:type="dxa"/>
            <w:vMerge w:val="continue"/>
            <w:noWrap w:val="0"/>
            <w:vAlign w:val="center"/>
          </w:tcPr>
          <w:p w14:paraId="06BC647A">
            <w:pPr>
              <w:jc w:val="center"/>
              <w:rPr>
                <w:rFonts w:hint="eastAsia" w:ascii="宋体" w:hAnsi="宋体"/>
                <w:szCs w:val="21"/>
              </w:rPr>
            </w:pPr>
          </w:p>
        </w:tc>
        <w:tc>
          <w:tcPr>
            <w:tcW w:w="3320" w:type="dxa"/>
            <w:noWrap w:val="0"/>
            <w:vAlign w:val="center"/>
          </w:tcPr>
          <w:p w14:paraId="7047B0AC">
            <w:pPr>
              <w:jc w:val="center"/>
              <w:rPr>
                <w:rFonts w:hint="eastAsia" w:ascii="宋体" w:hAnsi="宋体"/>
                <w:szCs w:val="21"/>
              </w:rPr>
            </w:pPr>
            <w:r>
              <w:rPr>
                <w:rFonts w:hint="eastAsia" w:ascii="宋体" w:hAnsi="宋体"/>
                <w:szCs w:val="21"/>
              </w:rPr>
              <w:t>尺寸变化率/%</w:t>
            </w:r>
          </w:p>
        </w:tc>
        <w:tc>
          <w:tcPr>
            <w:tcW w:w="3320" w:type="dxa"/>
            <w:noWrap w:val="0"/>
            <w:vAlign w:val="center"/>
          </w:tcPr>
          <w:p w14:paraId="28536880">
            <w:pPr>
              <w:jc w:val="center"/>
              <w:rPr>
                <w:rFonts w:hint="eastAsia" w:ascii="宋体" w:hAnsi="宋体"/>
                <w:szCs w:val="21"/>
              </w:rPr>
            </w:pPr>
            <w:r>
              <w:rPr>
                <w:rFonts w:hint="eastAsia" w:ascii="宋体" w:hAnsi="宋体"/>
                <w:szCs w:val="21"/>
              </w:rPr>
              <w:t>≤0.5</w:t>
            </w:r>
          </w:p>
        </w:tc>
      </w:tr>
      <w:tr w14:paraId="1172D50D">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2786" w:type="dxa"/>
            <w:vMerge w:val="continue"/>
            <w:noWrap w:val="0"/>
            <w:vAlign w:val="center"/>
          </w:tcPr>
          <w:p w14:paraId="2586967E">
            <w:pPr>
              <w:jc w:val="center"/>
              <w:rPr>
                <w:rFonts w:hint="eastAsia" w:ascii="宋体" w:hAnsi="宋体"/>
                <w:szCs w:val="21"/>
              </w:rPr>
            </w:pPr>
          </w:p>
        </w:tc>
        <w:tc>
          <w:tcPr>
            <w:tcW w:w="3320" w:type="dxa"/>
            <w:noWrap w:val="0"/>
            <w:vAlign w:val="center"/>
          </w:tcPr>
          <w:p w14:paraId="46A0840E">
            <w:pPr>
              <w:jc w:val="center"/>
              <w:rPr>
                <w:rFonts w:hint="eastAsia" w:ascii="宋体" w:hAnsi="宋体"/>
                <w:szCs w:val="21"/>
              </w:rPr>
            </w:pPr>
            <w:r>
              <w:rPr>
                <w:rFonts w:hint="eastAsia" w:ascii="宋体" w:hAnsi="宋体"/>
                <w:szCs w:val="21"/>
              </w:rPr>
              <w:t>质量损失/%</w:t>
            </w:r>
          </w:p>
        </w:tc>
        <w:tc>
          <w:tcPr>
            <w:tcW w:w="3320" w:type="dxa"/>
            <w:noWrap w:val="0"/>
            <w:vAlign w:val="center"/>
          </w:tcPr>
          <w:p w14:paraId="2596B065">
            <w:pPr>
              <w:jc w:val="center"/>
              <w:rPr>
                <w:rFonts w:hint="eastAsia" w:ascii="宋体" w:hAnsi="宋体"/>
                <w:szCs w:val="21"/>
              </w:rPr>
            </w:pPr>
            <w:r>
              <w:rPr>
                <w:rFonts w:hint="eastAsia" w:ascii="宋体" w:hAnsi="宋体"/>
                <w:szCs w:val="21"/>
              </w:rPr>
              <w:t>≤1</w:t>
            </w:r>
          </w:p>
        </w:tc>
      </w:tr>
      <w:tr w14:paraId="143319C0">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6106" w:type="dxa"/>
            <w:gridSpan w:val="2"/>
            <w:noWrap w:val="0"/>
            <w:vAlign w:val="center"/>
          </w:tcPr>
          <w:p w14:paraId="6EF47C9C">
            <w:pPr>
              <w:jc w:val="center"/>
              <w:rPr>
                <w:rFonts w:hint="eastAsia" w:ascii="宋体" w:hAnsi="宋体"/>
                <w:szCs w:val="21"/>
              </w:rPr>
            </w:pPr>
            <w:r>
              <w:rPr>
                <w:rFonts w:hint="eastAsia" w:ascii="宋体" w:hAnsi="宋体"/>
                <w:szCs w:val="21"/>
              </w:rPr>
              <w:t>渗油性/张数</w:t>
            </w:r>
          </w:p>
        </w:tc>
        <w:tc>
          <w:tcPr>
            <w:tcW w:w="3320" w:type="dxa"/>
            <w:noWrap w:val="0"/>
            <w:vAlign w:val="center"/>
          </w:tcPr>
          <w:p w14:paraId="18AB07F1">
            <w:pPr>
              <w:jc w:val="center"/>
              <w:rPr>
                <w:rFonts w:hint="eastAsia" w:ascii="宋体" w:hAnsi="宋体"/>
                <w:szCs w:val="21"/>
              </w:rPr>
            </w:pPr>
            <w:r>
              <w:rPr>
                <w:rFonts w:hint="eastAsia" w:ascii="宋体" w:hAnsi="宋体"/>
                <w:szCs w:val="21"/>
              </w:rPr>
              <w:t>≤1</w:t>
            </w:r>
          </w:p>
        </w:tc>
      </w:tr>
      <w:tr w14:paraId="3BA41DE2">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6106" w:type="dxa"/>
            <w:gridSpan w:val="2"/>
            <w:noWrap w:val="0"/>
            <w:vAlign w:val="center"/>
          </w:tcPr>
          <w:p w14:paraId="486B3821">
            <w:pPr>
              <w:jc w:val="center"/>
              <w:rPr>
                <w:rFonts w:hint="eastAsia" w:ascii="宋体" w:hAnsi="宋体"/>
                <w:szCs w:val="21"/>
              </w:rPr>
            </w:pPr>
            <w:r>
              <w:rPr>
                <w:rFonts w:hint="eastAsia" w:ascii="宋体" w:hAnsi="宋体"/>
                <w:szCs w:val="21"/>
              </w:rPr>
              <w:t>自粘沥青剥离强度/N/mm</w:t>
            </w:r>
          </w:p>
        </w:tc>
        <w:tc>
          <w:tcPr>
            <w:tcW w:w="3320" w:type="dxa"/>
            <w:noWrap w:val="0"/>
            <w:vAlign w:val="center"/>
          </w:tcPr>
          <w:p w14:paraId="7E503F14">
            <w:pPr>
              <w:jc w:val="center"/>
              <w:rPr>
                <w:rFonts w:hint="eastAsia" w:ascii="宋体" w:hAnsi="宋体"/>
                <w:szCs w:val="21"/>
              </w:rPr>
            </w:pPr>
            <w:r>
              <w:rPr>
                <w:rFonts w:hint="eastAsia" w:ascii="宋体" w:hAnsi="宋体"/>
                <w:szCs w:val="21"/>
              </w:rPr>
              <w:t>≥1</w:t>
            </w:r>
          </w:p>
        </w:tc>
      </w:tr>
      <w:tr w14:paraId="457EF460">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6106" w:type="dxa"/>
            <w:gridSpan w:val="2"/>
            <w:noWrap w:val="0"/>
            <w:vAlign w:val="center"/>
          </w:tcPr>
          <w:p w14:paraId="3171F523">
            <w:pPr>
              <w:jc w:val="center"/>
              <w:rPr>
                <w:rFonts w:hint="eastAsia" w:ascii="宋体" w:hAnsi="宋体"/>
                <w:szCs w:val="21"/>
              </w:rPr>
            </w:pPr>
            <w:r>
              <w:rPr>
                <w:rFonts w:hint="eastAsia" w:ascii="宋体" w:hAnsi="宋体"/>
                <w:szCs w:val="21"/>
              </w:rPr>
              <w:t>50℃剪切强度/ MPa</w:t>
            </w:r>
          </w:p>
        </w:tc>
        <w:tc>
          <w:tcPr>
            <w:tcW w:w="3320" w:type="dxa"/>
            <w:noWrap w:val="0"/>
            <w:vAlign w:val="center"/>
          </w:tcPr>
          <w:p w14:paraId="36100254">
            <w:pPr>
              <w:jc w:val="center"/>
              <w:rPr>
                <w:rFonts w:hint="eastAsia" w:ascii="宋体" w:hAnsi="宋体"/>
                <w:szCs w:val="21"/>
              </w:rPr>
            </w:pPr>
            <w:r>
              <w:rPr>
                <w:rFonts w:hint="eastAsia" w:ascii="宋体" w:hAnsi="宋体"/>
                <w:szCs w:val="21"/>
              </w:rPr>
              <w:t>≥0.12</w:t>
            </w:r>
          </w:p>
        </w:tc>
      </w:tr>
      <w:tr w14:paraId="49146455">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6106" w:type="dxa"/>
            <w:gridSpan w:val="2"/>
            <w:noWrap w:val="0"/>
            <w:vAlign w:val="center"/>
          </w:tcPr>
          <w:p w14:paraId="7D4D9E90">
            <w:pPr>
              <w:jc w:val="center"/>
              <w:rPr>
                <w:rFonts w:hint="eastAsia" w:ascii="宋体" w:hAnsi="宋体"/>
                <w:szCs w:val="21"/>
              </w:rPr>
            </w:pPr>
            <w:r>
              <w:rPr>
                <w:rFonts w:hint="eastAsia" w:ascii="宋体" w:hAnsi="宋体"/>
                <w:szCs w:val="21"/>
              </w:rPr>
              <w:t>50℃粘结强度/ MPa</w:t>
            </w:r>
          </w:p>
        </w:tc>
        <w:tc>
          <w:tcPr>
            <w:tcW w:w="3320" w:type="dxa"/>
            <w:noWrap w:val="0"/>
            <w:vAlign w:val="center"/>
          </w:tcPr>
          <w:p w14:paraId="2DEE8714">
            <w:pPr>
              <w:jc w:val="center"/>
              <w:rPr>
                <w:rFonts w:hint="eastAsia" w:ascii="宋体" w:hAnsi="宋体"/>
                <w:szCs w:val="21"/>
              </w:rPr>
            </w:pPr>
            <w:r>
              <w:rPr>
                <w:rFonts w:hint="eastAsia" w:ascii="宋体" w:hAnsi="宋体"/>
                <w:szCs w:val="21"/>
              </w:rPr>
              <w:t>≥0.050</w:t>
            </w:r>
          </w:p>
        </w:tc>
      </w:tr>
      <w:tr w14:paraId="44EFE2E6">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6106" w:type="dxa"/>
            <w:gridSpan w:val="2"/>
            <w:noWrap w:val="0"/>
            <w:vAlign w:val="center"/>
          </w:tcPr>
          <w:p w14:paraId="7B0154A7">
            <w:pPr>
              <w:jc w:val="center"/>
              <w:rPr>
                <w:rFonts w:hint="eastAsia" w:ascii="宋体" w:hAnsi="宋体"/>
                <w:szCs w:val="21"/>
              </w:rPr>
            </w:pPr>
            <w:r>
              <w:rPr>
                <w:rFonts w:hint="eastAsia" w:ascii="宋体" w:hAnsi="宋体"/>
                <w:szCs w:val="21"/>
              </w:rPr>
              <w:t>热碾压后抗渗性</w:t>
            </w:r>
          </w:p>
        </w:tc>
        <w:tc>
          <w:tcPr>
            <w:tcW w:w="3320" w:type="dxa"/>
            <w:noWrap w:val="0"/>
            <w:vAlign w:val="center"/>
          </w:tcPr>
          <w:p w14:paraId="637126C1">
            <w:pPr>
              <w:jc w:val="center"/>
              <w:rPr>
                <w:rFonts w:hint="eastAsia" w:ascii="宋体" w:hAnsi="宋体"/>
                <w:szCs w:val="21"/>
              </w:rPr>
            </w:pPr>
            <w:r>
              <w:rPr>
                <w:rFonts w:hint="eastAsia" w:ascii="宋体" w:hAnsi="宋体"/>
                <w:szCs w:val="21"/>
              </w:rPr>
              <w:t>0.1MPa，30min 不透水</w:t>
            </w:r>
          </w:p>
        </w:tc>
      </w:tr>
      <w:tr w14:paraId="7272CBE2">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6106" w:type="dxa"/>
            <w:gridSpan w:val="2"/>
            <w:noWrap w:val="0"/>
            <w:vAlign w:val="center"/>
          </w:tcPr>
          <w:p w14:paraId="4C42D463">
            <w:pPr>
              <w:jc w:val="center"/>
              <w:rPr>
                <w:rFonts w:hint="eastAsia" w:ascii="宋体" w:hAnsi="宋体"/>
                <w:szCs w:val="21"/>
              </w:rPr>
            </w:pPr>
            <w:r>
              <w:rPr>
                <w:rFonts w:hint="eastAsia" w:ascii="宋体" w:hAnsi="宋体"/>
                <w:szCs w:val="21"/>
              </w:rPr>
              <w:t>接缝变形能力</w:t>
            </w:r>
          </w:p>
        </w:tc>
        <w:tc>
          <w:tcPr>
            <w:tcW w:w="3320" w:type="dxa"/>
            <w:noWrap w:val="0"/>
            <w:vAlign w:val="center"/>
          </w:tcPr>
          <w:p w14:paraId="352EFC47">
            <w:pPr>
              <w:jc w:val="center"/>
              <w:rPr>
                <w:rFonts w:hint="eastAsia" w:ascii="宋体" w:hAnsi="宋体"/>
                <w:szCs w:val="21"/>
              </w:rPr>
            </w:pPr>
            <w:r>
              <w:rPr>
                <w:rFonts w:hint="eastAsia" w:ascii="宋体" w:hAnsi="宋体"/>
                <w:szCs w:val="21"/>
              </w:rPr>
              <w:t>10000 次循环无破坏</w:t>
            </w:r>
          </w:p>
        </w:tc>
      </w:tr>
    </w:tbl>
    <w:p w14:paraId="61B557A6">
      <w:pPr>
        <w:spacing w:line="360" w:lineRule="auto"/>
        <w:ind w:firstLine="422" w:firstLineChars="200"/>
        <w:rPr>
          <w:rFonts w:hint="eastAsia"/>
          <w:b/>
        </w:rPr>
      </w:pPr>
      <w:r>
        <w:rPr>
          <w:rFonts w:hint="eastAsia"/>
          <w:b/>
        </w:rPr>
        <w:t>防裂卷材施工要求</w:t>
      </w:r>
    </w:p>
    <w:p w14:paraId="76E7A5AE">
      <w:pPr>
        <w:spacing w:line="360" w:lineRule="auto"/>
        <w:ind w:firstLine="480" w:firstLineChars="200"/>
        <w:rPr>
          <w:sz w:val="24"/>
          <w:szCs w:val="24"/>
        </w:rPr>
      </w:pPr>
      <w:r>
        <w:rPr>
          <w:sz w:val="24"/>
          <w:szCs w:val="24"/>
        </w:rPr>
        <w:fldChar w:fldCharType="begin"/>
      </w:r>
      <w:r>
        <w:rPr>
          <w:sz w:val="24"/>
          <w:szCs w:val="24"/>
        </w:rPr>
        <w:instrText xml:space="preserve"> </w:instrText>
      </w:r>
      <w:r>
        <w:rPr>
          <w:rFonts w:hint="eastAsia"/>
          <w:sz w:val="24"/>
          <w:szCs w:val="24"/>
        </w:rPr>
        <w:instrText xml:space="preserve">= 1 \* GB3</w:instrText>
      </w:r>
      <w:r>
        <w:rPr>
          <w:sz w:val="24"/>
          <w:szCs w:val="24"/>
        </w:rPr>
        <w:instrText xml:space="preserve"> </w:instrText>
      </w:r>
      <w:r>
        <w:rPr>
          <w:sz w:val="24"/>
          <w:szCs w:val="24"/>
        </w:rPr>
        <w:fldChar w:fldCharType="separate"/>
      </w:r>
      <w:r>
        <w:rPr>
          <w:rFonts w:hint="eastAsia"/>
          <w:sz w:val="24"/>
          <w:szCs w:val="24"/>
        </w:rPr>
        <w:t>①</w:t>
      </w:r>
      <w:r>
        <w:rPr>
          <w:sz w:val="24"/>
          <w:szCs w:val="24"/>
        </w:rPr>
        <w:fldChar w:fldCharType="end"/>
      </w:r>
      <w:r>
        <w:rPr>
          <w:rFonts w:hint="eastAsia"/>
          <w:sz w:val="24"/>
          <w:szCs w:val="24"/>
        </w:rPr>
        <w:t>必须清除粘附表面的灰尘和水等杂物，保持路面干燥清洁。</w:t>
      </w:r>
    </w:p>
    <w:p w14:paraId="2078CE48">
      <w:pPr>
        <w:spacing w:line="360" w:lineRule="auto"/>
        <w:ind w:firstLine="480" w:firstLineChars="200"/>
        <w:rPr>
          <w:sz w:val="24"/>
          <w:szCs w:val="24"/>
        </w:rPr>
      </w:pPr>
      <w:r>
        <w:rPr>
          <w:sz w:val="24"/>
          <w:szCs w:val="24"/>
        </w:rPr>
        <w:fldChar w:fldCharType="begin"/>
      </w:r>
      <w:r>
        <w:rPr>
          <w:sz w:val="24"/>
          <w:szCs w:val="24"/>
        </w:rPr>
        <w:instrText xml:space="preserve"> </w:instrText>
      </w:r>
      <w:r>
        <w:rPr>
          <w:rFonts w:hint="eastAsia"/>
          <w:sz w:val="24"/>
          <w:szCs w:val="24"/>
        </w:rPr>
        <w:instrText xml:space="preserve">= 2 \* GB3</w:instrText>
      </w:r>
      <w:r>
        <w:rPr>
          <w:sz w:val="24"/>
          <w:szCs w:val="24"/>
        </w:rPr>
        <w:instrText xml:space="preserve"> </w:instrText>
      </w:r>
      <w:r>
        <w:rPr>
          <w:sz w:val="24"/>
          <w:szCs w:val="24"/>
        </w:rPr>
        <w:fldChar w:fldCharType="separate"/>
      </w:r>
      <w:r>
        <w:rPr>
          <w:rFonts w:hint="eastAsia"/>
          <w:sz w:val="24"/>
          <w:szCs w:val="24"/>
        </w:rPr>
        <w:t>②</w:t>
      </w:r>
      <w:r>
        <w:rPr>
          <w:sz w:val="24"/>
          <w:szCs w:val="24"/>
        </w:rPr>
        <w:fldChar w:fldCharType="end"/>
      </w:r>
      <w:r>
        <w:rPr>
          <w:rFonts w:hint="eastAsia"/>
          <w:sz w:val="24"/>
          <w:szCs w:val="24"/>
        </w:rPr>
        <w:t>宽度在5—19mm之间的裂（接）缝，必须将其清理干净，并用密封胶填充。</w:t>
      </w:r>
    </w:p>
    <w:p w14:paraId="40295688">
      <w:pPr>
        <w:spacing w:line="360" w:lineRule="auto"/>
        <w:ind w:firstLine="480" w:firstLineChars="200"/>
        <w:rPr>
          <w:sz w:val="24"/>
          <w:szCs w:val="24"/>
        </w:rPr>
      </w:pPr>
      <w:r>
        <w:rPr>
          <w:sz w:val="24"/>
          <w:szCs w:val="24"/>
        </w:rPr>
        <w:fldChar w:fldCharType="begin"/>
      </w:r>
      <w:r>
        <w:rPr>
          <w:sz w:val="24"/>
          <w:szCs w:val="24"/>
        </w:rPr>
        <w:instrText xml:space="preserve"> </w:instrText>
      </w:r>
      <w:r>
        <w:rPr>
          <w:rFonts w:hint="eastAsia"/>
          <w:sz w:val="24"/>
          <w:szCs w:val="24"/>
        </w:rPr>
        <w:instrText xml:space="preserve">= 3 \* GB3</w:instrText>
      </w:r>
      <w:r>
        <w:rPr>
          <w:sz w:val="24"/>
          <w:szCs w:val="24"/>
        </w:rPr>
        <w:instrText xml:space="preserve"> </w:instrText>
      </w:r>
      <w:r>
        <w:rPr>
          <w:sz w:val="24"/>
          <w:szCs w:val="24"/>
        </w:rPr>
        <w:fldChar w:fldCharType="separate"/>
      </w:r>
      <w:r>
        <w:rPr>
          <w:rFonts w:hint="eastAsia"/>
          <w:sz w:val="24"/>
          <w:szCs w:val="24"/>
        </w:rPr>
        <w:t>③</w:t>
      </w:r>
      <w:r>
        <w:rPr>
          <w:sz w:val="24"/>
          <w:szCs w:val="24"/>
        </w:rPr>
        <w:fldChar w:fldCharType="end"/>
      </w:r>
      <w:r>
        <w:rPr>
          <w:rFonts w:hint="eastAsia"/>
          <w:sz w:val="24"/>
          <w:szCs w:val="24"/>
        </w:rPr>
        <w:t>宽度在19—50mm之间的裂（接）缝及下陷区域，必须将其清理干净，用胶砂、密封胶或沥青混合料充填并压实至现有高度。</w:t>
      </w:r>
    </w:p>
    <w:p w14:paraId="23EB231A">
      <w:pPr>
        <w:spacing w:line="360" w:lineRule="auto"/>
        <w:ind w:firstLine="480" w:firstLineChars="200"/>
        <w:rPr>
          <w:sz w:val="24"/>
          <w:szCs w:val="24"/>
        </w:rPr>
      </w:pPr>
      <w:r>
        <w:rPr>
          <w:sz w:val="24"/>
          <w:szCs w:val="24"/>
        </w:rPr>
        <w:fldChar w:fldCharType="begin"/>
      </w:r>
      <w:r>
        <w:rPr>
          <w:sz w:val="24"/>
          <w:szCs w:val="24"/>
        </w:rPr>
        <w:instrText xml:space="preserve"> </w:instrText>
      </w:r>
      <w:r>
        <w:rPr>
          <w:rFonts w:hint="eastAsia"/>
          <w:sz w:val="24"/>
          <w:szCs w:val="24"/>
        </w:rPr>
        <w:instrText xml:space="preserve">= 4 \* GB3</w:instrText>
      </w:r>
      <w:r>
        <w:rPr>
          <w:sz w:val="24"/>
          <w:szCs w:val="24"/>
        </w:rPr>
        <w:instrText xml:space="preserve"> </w:instrText>
      </w:r>
      <w:r>
        <w:rPr>
          <w:sz w:val="24"/>
          <w:szCs w:val="24"/>
        </w:rPr>
        <w:fldChar w:fldCharType="separate"/>
      </w:r>
      <w:r>
        <w:rPr>
          <w:rFonts w:hint="eastAsia"/>
          <w:sz w:val="24"/>
          <w:szCs w:val="24"/>
        </w:rPr>
        <w:t>④</w:t>
      </w:r>
      <w:r>
        <w:rPr>
          <w:sz w:val="24"/>
          <w:szCs w:val="24"/>
        </w:rPr>
        <w:fldChar w:fldCharType="end"/>
      </w:r>
      <w:r>
        <w:rPr>
          <w:rFonts w:hint="eastAsia"/>
          <w:sz w:val="24"/>
          <w:szCs w:val="24"/>
        </w:rPr>
        <w:t>宽度超过50mm的裂缝或坑槽，必须先将其清理干净，然后用胶砂或热沥青混合料填充并压实至现有高度。</w:t>
      </w:r>
    </w:p>
    <w:p w14:paraId="657DBECB">
      <w:pPr>
        <w:spacing w:line="360" w:lineRule="auto"/>
        <w:ind w:firstLine="480" w:firstLineChars="200"/>
        <w:rPr>
          <w:rFonts w:hint="eastAsia"/>
          <w:sz w:val="24"/>
          <w:szCs w:val="24"/>
        </w:rPr>
      </w:pPr>
      <w:r>
        <w:rPr>
          <w:sz w:val="24"/>
          <w:szCs w:val="24"/>
        </w:rPr>
        <w:fldChar w:fldCharType="begin"/>
      </w:r>
      <w:r>
        <w:rPr>
          <w:sz w:val="24"/>
          <w:szCs w:val="24"/>
        </w:rPr>
        <w:instrText xml:space="preserve"> </w:instrText>
      </w:r>
      <w:r>
        <w:rPr>
          <w:rFonts w:hint="eastAsia"/>
          <w:sz w:val="24"/>
          <w:szCs w:val="24"/>
        </w:rPr>
        <w:instrText xml:space="preserve">= 5 \* GB3</w:instrText>
      </w:r>
      <w:r>
        <w:rPr>
          <w:sz w:val="24"/>
          <w:szCs w:val="24"/>
        </w:rPr>
        <w:instrText xml:space="preserve"> </w:instrText>
      </w:r>
      <w:r>
        <w:rPr>
          <w:sz w:val="24"/>
          <w:szCs w:val="24"/>
        </w:rPr>
        <w:fldChar w:fldCharType="separate"/>
      </w:r>
      <w:r>
        <w:rPr>
          <w:rFonts w:hint="eastAsia"/>
          <w:sz w:val="24"/>
          <w:szCs w:val="24"/>
        </w:rPr>
        <w:t>⑤</w:t>
      </w:r>
      <w:r>
        <w:rPr>
          <w:sz w:val="24"/>
          <w:szCs w:val="24"/>
        </w:rPr>
        <w:fldChar w:fldCharType="end"/>
      </w:r>
      <w:r>
        <w:rPr>
          <w:rFonts w:hint="eastAsia"/>
          <w:sz w:val="24"/>
          <w:szCs w:val="24"/>
        </w:rPr>
        <w:t>对于高度不同的裂（接）缝及下陷的区域，必须进行找平处理。</w:t>
      </w:r>
    </w:p>
    <w:p w14:paraId="275ABFBF">
      <w:pPr>
        <w:spacing w:line="360" w:lineRule="auto"/>
        <w:ind w:firstLine="480" w:firstLineChars="200"/>
        <w:rPr>
          <w:sz w:val="24"/>
          <w:szCs w:val="24"/>
        </w:rPr>
      </w:pPr>
      <w:r>
        <w:rPr>
          <w:sz w:val="24"/>
          <w:szCs w:val="24"/>
        </w:rPr>
        <w:fldChar w:fldCharType="begin"/>
      </w:r>
      <w:r>
        <w:rPr>
          <w:sz w:val="24"/>
          <w:szCs w:val="24"/>
        </w:rPr>
        <w:instrText xml:space="preserve"> </w:instrText>
      </w:r>
      <w:r>
        <w:rPr>
          <w:rFonts w:hint="eastAsia"/>
          <w:sz w:val="24"/>
          <w:szCs w:val="24"/>
        </w:rPr>
        <w:instrText xml:space="preserve">= 6 \* GB3</w:instrText>
      </w:r>
      <w:r>
        <w:rPr>
          <w:sz w:val="24"/>
          <w:szCs w:val="24"/>
        </w:rPr>
        <w:instrText xml:space="preserve"> </w:instrText>
      </w:r>
      <w:r>
        <w:rPr>
          <w:sz w:val="24"/>
          <w:szCs w:val="24"/>
        </w:rPr>
        <w:fldChar w:fldCharType="separate"/>
      </w:r>
      <w:r>
        <w:rPr>
          <w:rFonts w:hint="eastAsia"/>
          <w:sz w:val="24"/>
          <w:szCs w:val="24"/>
        </w:rPr>
        <w:t>⑥</w:t>
      </w:r>
      <w:r>
        <w:rPr>
          <w:sz w:val="24"/>
          <w:szCs w:val="24"/>
        </w:rPr>
        <w:fldChar w:fldCharType="end"/>
      </w:r>
      <w:r>
        <w:rPr>
          <w:rFonts w:hint="eastAsia"/>
          <w:sz w:val="24"/>
          <w:szCs w:val="24"/>
        </w:rPr>
        <w:t>对于桥面、路面的突起，必须 进行清理或找平处理至平整。</w:t>
      </w:r>
    </w:p>
    <w:p w14:paraId="3AE1B1FE">
      <w:pPr>
        <w:spacing w:line="360" w:lineRule="auto"/>
        <w:ind w:firstLine="480" w:firstLineChars="200"/>
        <w:rPr>
          <w:sz w:val="24"/>
          <w:szCs w:val="24"/>
        </w:rPr>
      </w:pPr>
      <w:r>
        <w:rPr>
          <w:sz w:val="24"/>
          <w:szCs w:val="24"/>
        </w:rPr>
        <w:fldChar w:fldCharType="begin"/>
      </w:r>
      <w:r>
        <w:rPr>
          <w:sz w:val="24"/>
          <w:szCs w:val="24"/>
        </w:rPr>
        <w:instrText xml:space="preserve"> </w:instrText>
      </w:r>
      <w:r>
        <w:rPr>
          <w:rFonts w:hint="eastAsia"/>
          <w:sz w:val="24"/>
          <w:szCs w:val="24"/>
        </w:rPr>
        <w:instrText xml:space="preserve">= 7 \* GB3</w:instrText>
      </w:r>
      <w:r>
        <w:rPr>
          <w:sz w:val="24"/>
          <w:szCs w:val="24"/>
        </w:rPr>
        <w:instrText xml:space="preserve"> </w:instrText>
      </w:r>
      <w:r>
        <w:rPr>
          <w:sz w:val="24"/>
          <w:szCs w:val="24"/>
        </w:rPr>
        <w:fldChar w:fldCharType="separate"/>
      </w:r>
      <w:r>
        <w:rPr>
          <w:rFonts w:hint="eastAsia"/>
          <w:sz w:val="24"/>
          <w:szCs w:val="24"/>
        </w:rPr>
        <w:t>⑦</w:t>
      </w:r>
      <w:r>
        <w:rPr>
          <w:sz w:val="24"/>
          <w:szCs w:val="24"/>
        </w:rPr>
        <w:fldChar w:fldCharType="end"/>
      </w:r>
      <w:r>
        <w:rPr>
          <w:rFonts w:hint="eastAsia"/>
          <w:sz w:val="24"/>
          <w:szCs w:val="24"/>
        </w:rPr>
        <w:t>应在表层温度等于或大于21℃的条件下使用。</w:t>
      </w:r>
    </w:p>
    <w:p w14:paraId="294FB9BF">
      <w:pPr>
        <w:spacing w:line="360" w:lineRule="auto"/>
        <w:ind w:firstLine="480" w:firstLineChars="200"/>
        <w:rPr>
          <w:rFonts w:hint="eastAsia"/>
          <w:sz w:val="24"/>
          <w:szCs w:val="24"/>
        </w:rPr>
      </w:pPr>
      <w:r>
        <w:rPr>
          <w:sz w:val="24"/>
          <w:szCs w:val="24"/>
        </w:rPr>
        <w:fldChar w:fldCharType="begin"/>
      </w:r>
      <w:r>
        <w:rPr>
          <w:sz w:val="24"/>
          <w:szCs w:val="24"/>
        </w:rPr>
        <w:instrText xml:space="preserve"> </w:instrText>
      </w:r>
      <w:r>
        <w:rPr>
          <w:rFonts w:hint="eastAsia"/>
          <w:sz w:val="24"/>
          <w:szCs w:val="24"/>
        </w:rPr>
        <w:instrText xml:space="preserve">= 8 \* GB3</w:instrText>
      </w:r>
      <w:r>
        <w:rPr>
          <w:sz w:val="24"/>
          <w:szCs w:val="24"/>
        </w:rPr>
        <w:instrText xml:space="preserve"> </w:instrText>
      </w:r>
      <w:r>
        <w:rPr>
          <w:sz w:val="24"/>
          <w:szCs w:val="24"/>
        </w:rPr>
        <w:fldChar w:fldCharType="separate"/>
      </w:r>
      <w:r>
        <w:rPr>
          <w:rFonts w:hint="eastAsia"/>
          <w:sz w:val="24"/>
          <w:szCs w:val="24"/>
        </w:rPr>
        <w:t>⑧</w:t>
      </w:r>
      <w:r>
        <w:rPr>
          <w:sz w:val="24"/>
          <w:szCs w:val="24"/>
        </w:rPr>
        <w:fldChar w:fldCharType="end"/>
      </w:r>
      <w:r>
        <w:rPr>
          <w:rFonts w:hint="eastAsia"/>
          <w:sz w:val="24"/>
          <w:szCs w:val="24"/>
        </w:rPr>
        <w:t>如表层温度低于21℃,建议使用温火烤抗裂贴，应平整、不起皱、不翘边。</w:t>
      </w:r>
    </w:p>
    <w:p w14:paraId="1C76BE5C">
      <w:pPr>
        <w:spacing w:line="360" w:lineRule="auto"/>
        <w:ind w:firstLine="480" w:firstLineChars="200"/>
        <w:rPr>
          <w:rFonts w:hint="eastAsia"/>
          <w:sz w:val="24"/>
          <w:szCs w:val="24"/>
        </w:rPr>
      </w:pPr>
      <w:r>
        <w:rPr>
          <w:sz w:val="24"/>
          <w:szCs w:val="24"/>
        </w:rPr>
        <w:fldChar w:fldCharType="begin"/>
      </w:r>
      <w:r>
        <w:rPr>
          <w:sz w:val="24"/>
          <w:szCs w:val="24"/>
        </w:rPr>
        <w:instrText xml:space="preserve"> </w:instrText>
      </w:r>
      <w:r>
        <w:rPr>
          <w:rFonts w:hint="eastAsia"/>
          <w:sz w:val="24"/>
          <w:szCs w:val="24"/>
        </w:rPr>
        <w:instrText xml:space="preserve">= 9 \* GB3</w:instrText>
      </w:r>
      <w:r>
        <w:rPr>
          <w:sz w:val="24"/>
          <w:szCs w:val="24"/>
        </w:rPr>
        <w:instrText xml:space="preserve"> </w:instrText>
      </w:r>
      <w:r>
        <w:rPr>
          <w:sz w:val="24"/>
          <w:szCs w:val="24"/>
        </w:rPr>
        <w:fldChar w:fldCharType="separate"/>
      </w:r>
      <w:r>
        <w:rPr>
          <w:rFonts w:hint="eastAsia"/>
          <w:sz w:val="24"/>
          <w:szCs w:val="24"/>
        </w:rPr>
        <w:t>⑨</w:t>
      </w:r>
      <w:r>
        <w:rPr>
          <w:sz w:val="24"/>
          <w:szCs w:val="24"/>
        </w:rPr>
        <w:fldChar w:fldCharType="end"/>
      </w:r>
      <w:r>
        <w:rPr>
          <w:rFonts w:hint="eastAsia"/>
          <w:sz w:val="24"/>
          <w:szCs w:val="24"/>
        </w:rPr>
        <w:t>建议在铺设高分子抗裂贴后用胶轮滚筒进行滚压至少三遍。</w:t>
      </w:r>
    </w:p>
    <w:p w14:paraId="32A19249">
      <w:pPr>
        <w:spacing w:line="360" w:lineRule="auto"/>
        <w:ind w:firstLine="480" w:firstLineChars="200"/>
        <w:rPr>
          <w:rFonts w:hint="eastAsia"/>
          <w:sz w:val="24"/>
          <w:szCs w:val="24"/>
        </w:rPr>
      </w:pPr>
      <w:r>
        <w:rPr>
          <w:sz w:val="24"/>
          <w:szCs w:val="24"/>
        </w:rPr>
        <w:fldChar w:fldCharType="begin"/>
      </w:r>
      <w:r>
        <w:rPr>
          <w:sz w:val="24"/>
          <w:szCs w:val="24"/>
        </w:rPr>
        <w:instrText xml:space="preserve"> </w:instrText>
      </w:r>
      <w:r>
        <w:rPr>
          <w:rFonts w:hint="eastAsia"/>
          <w:sz w:val="24"/>
          <w:szCs w:val="24"/>
        </w:rPr>
        <w:instrText xml:space="preserve">= 10 \* GB3</w:instrText>
      </w:r>
      <w:r>
        <w:rPr>
          <w:sz w:val="24"/>
          <w:szCs w:val="24"/>
        </w:rPr>
        <w:instrText xml:space="preserve"> </w:instrText>
      </w:r>
      <w:r>
        <w:rPr>
          <w:sz w:val="24"/>
          <w:szCs w:val="24"/>
        </w:rPr>
        <w:fldChar w:fldCharType="separate"/>
      </w:r>
      <w:r>
        <w:rPr>
          <w:rFonts w:hint="eastAsia"/>
          <w:sz w:val="24"/>
          <w:szCs w:val="24"/>
        </w:rPr>
        <w:t>⑩</w:t>
      </w:r>
      <w:r>
        <w:rPr>
          <w:sz w:val="24"/>
          <w:szCs w:val="24"/>
        </w:rPr>
        <w:fldChar w:fldCharType="end"/>
      </w:r>
      <w:r>
        <w:rPr>
          <w:rFonts w:hint="eastAsia"/>
          <w:sz w:val="24"/>
          <w:szCs w:val="24"/>
        </w:rPr>
        <w:t>在铺设过程中若出现重叠时，重叠长度为50mm。不能超过两层以上的重叠。与上层铺设的间隔时间不应超过24小时。</w:t>
      </w:r>
    </w:p>
    <w:p w14:paraId="5DF769C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333333"/>
          <w:spacing w:val="0"/>
          <w:sz w:val="24"/>
          <w:szCs w:val="24"/>
          <w:shd w:val="clear" w:fill="FFFFFF"/>
          <w:lang w:val="en-US" w:eastAsia="zh-CN"/>
        </w:rPr>
      </w:pPr>
      <w:r>
        <w:rPr>
          <w:rFonts w:hint="eastAsia" w:ascii="宋体" w:hAnsi="宋体" w:eastAsia="宋体" w:cs="宋体"/>
          <w:b/>
          <w:bCs/>
          <w:i w:val="0"/>
          <w:iCs w:val="0"/>
          <w:caps w:val="0"/>
          <w:color w:val="333333"/>
          <w:spacing w:val="0"/>
          <w:sz w:val="24"/>
          <w:szCs w:val="24"/>
          <w:shd w:val="clear" w:fill="FFFFFF"/>
          <w:lang w:val="en-US" w:eastAsia="zh-CN"/>
        </w:rPr>
        <w:t>4.4公共厕所</w:t>
      </w:r>
    </w:p>
    <w:p w14:paraId="57D3390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333333"/>
          <w:spacing w:val="0"/>
          <w:sz w:val="24"/>
          <w:szCs w:val="24"/>
          <w:shd w:val="clear" w:fill="FFFFFF"/>
          <w:lang w:val="en-US" w:eastAsia="zh-CN"/>
        </w:rPr>
      </w:pPr>
      <w:r>
        <w:rPr>
          <w:rFonts w:hint="eastAsia" w:ascii="宋体" w:hAnsi="宋体" w:eastAsia="宋体" w:cs="宋体"/>
          <w:b/>
          <w:bCs/>
          <w:i w:val="0"/>
          <w:iCs w:val="0"/>
          <w:caps w:val="0"/>
          <w:color w:val="333333"/>
          <w:spacing w:val="0"/>
          <w:sz w:val="24"/>
          <w:szCs w:val="24"/>
          <w:shd w:val="clear" w:fill="FFFFFF"/>
          <w:lang w:val="en-US" w:eastAsia="zh-CN"/>
        </w:rPr>
        <w:t>详见建筑工程篇章。</w:t>
      </w:r>
    </w:p>
    <w:p w14:paraId="3C01C99D">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32"/>
          <w:szCs w:val="32"/>
          <w:lang w:val="en-US" w:eastAsia="zh-CN"/>
        </w:rPr>
      </w:pPr>
      <w:bookmarkStart w:id="0" w:name="OLE_LINK2"/>
      <w:r>
        <w:rPr>
          <w:rFonts w:hint="eastAsia" w:ascii="宋体" w:hAnsi="宋体" w:eastAsia="宋体" w:cs="宋体"/>
          <w:b/>
          <w:bCs/>
          <w:sz w:val="32"/>
          <w:szCs w:val="32"/>
          <w:lang w:val="en-US" w:eastAsia="zh-CN"/>
        </w:rPr>
        <w:t>五、沿线地形地貌、气候、水文特征、地震与公路建设关系</w:t>
      </w:r>
    </w:p>
    <w:p w14:paraId="3F9F737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333333"/>
          <w:spacing w:val="0"/>
          <w:sz w:val="24"/>
          <w:szCs w:val="24"/>
          <w:shd w:val="clear" w:fill="FFFFFF"/>
          <w:lang w:val="en-US" w:eastAsia="zh-CN"/>
        </w:rPr>
      </w:pPr>
      <w:r>
        <w:rPr>
          <w:rFonts w:hint="eastAsia" w:ascii="宋体" w:hAnsi="宋体" w:eastAsia="宋体" w:cs="宋体"/>
          <w:b/>
          <w:bCs/>
          <w:i w:val="0"/>
          <w:iCs w:val="0"/>
          <w:caps w:val="0"/>
          <w:color w:val="333333"/>
          <w:spacing w:val="0"/>
          <w:sz w:val="24"/>
          <w:szCs w:val="24"/>
          <w:shd w:val="clear" w:fill="FFFFFF"/>
          <w:lang w:val="en-US" w:eastAsia="zh-CN"/>
        </w:rPr>
        <w:t>5.1 地理位置及交通条件</w:t>
      </w:r>
    </w:p>
    <w:p w14:paraId="08C6AF7D">
      <w:pPr>
        <w:spacing w:line="360" w:lineRule="auto"/>
        <w:ind w:firstLine="480" w:firstLineChars="200"/>
        <w:rPr>
          <w:rFonts w:hint="eastAsia"/>
          <w:sz w:val="24"/>
          <w:szCs w:val="24"/>
        </w:rPr>
      </w:pPr>
      <w:r>
        <w:rPr>
          <w:rFonts w:hint="eastAsia"/>
          <w:sz w:val="24"/>
          <w:szCs w:val="24"/>
        </w:rPr>
        <w:t>金口河区地处四川盆地西南部，隶属四川省乐山市，是乐山市交通次枢纽，地处乐山市、</w:t>
      </w:r>
      <w:r>
        <w:rPr>
          <w:rFonts w:hint="eastAsia"/>
          <w:sz w:val="24"/>
          <w:szCs w:val="24"/>
        </w:rPr>
        <w:fldChar w:fldCharType="begin"/>
      </w:r>
      <w:r>
        <w:rPr>
          <w:rFonts w:hint="eastAsia"/>
          <w:sz w:val="24"/>
          <w:szCs w:val="24"/>
        </w:rPr>
        <w:instrText xml:space="preserve"> HYPERLINK "https://baike.baidu.com/item/%E9%9B%85%E5%AE%89%E5%B8%82" \t "_blank" </w:instrText>
      </w:r>
      <w:r>
        <w:rPr>
          <w:rFonts w:hint="eastAsia"/>
          <w:sz w:val="24"/>
          <w:szCs w:val="24"/>
        </w:rPr>
        <w:fldChar w:fldCharType="separate"/>
      </w:r>
      <w:r>
        <w:rPr>
          <w:rFonts w:hint="eastAsia"/>
          <w:sz w:val="24"/>
          <w:szCs w:val="24"/>
        </w:rPr>
        <w:t>雅安市</w:t>
      </w:r>
      <w:r>
        <w:rPr>
          <w:rFonts w:hint="eastAsia"/>
          <w:sz w:val="24"/>
          <w:szCs w:val="24"/>
        </w:rPr>
        <w:fldChar w:fldCharType="end"/>
      </w:r>
      <w:r>
        <w:rPr>
          <w:rFonts w:hint="eastAsia"/>
          <w:sz w:val="24"/>
          <w:szCs w:val="24"/>
        </w:rPr>
        <w:t>、</w:t>
      </w:r>
      <w:r>
        <w:rPr>
          <w:rFonts w:hint="eastAsia"/>
          <w:sz w:val="24"/>
          <w:szCs w:val="24"/>
        </w:rPr>
        <w:fldChar w:fldCharType="begin"/>
      </w:r>
      <w:r>
        <w:rPr>
          <w:rFonts w:hint="eastAsia"/>
          <w:sz w:val="24"/>
          <w:szCs w:val="24"/>
        </w:rPr>
        <w:instrText xml:space="preserve"> HYPERLINK "https://baike.baidu.com/item/%E7%9C%89%E5%B1%B1%E5%B8%82" \t "_blank" </w:instrText>
      </w:r>
      <w:r>
        <w:rPr>
          <w:rFonts w:hint="eastAsia"/>
          <w:sz w:val="24"/>
          <w:szCs w:val="24"/>
        </w:rPr>
        <w:fldChar w:fldCharType="separate"/>
      </w:r>
      <w:r>
        <w:rPr>
          <w:rFonts w:hint="eastAsia"/>
          <w:sz w:val="24"/>
          <w:szCs w:val="24"/>
        </w:rPr>
        <w:t>眉山市</w:t>
      </w:r>
      <w:r>
        <w:rPr>
          <w:rFonts w:hint="eastAsia"/>
          <w:sz w:val="24"/>
          <w:szCs w:val="24"/>
        </w:rPr>
        <w:fldChar w:fldCharType="end"/>
      </w:r>
      <w:r>
        <w:rPr>
          <w:rFonts w:hint="eastAsia"/>
          <w:sz w:val="24"/>
          <w:szCs w:val="24"/>
        </w:rPr>
        <w:t>和</w:t>
      </w:r>
      <w:r>
        <w:rPr>
          <w:rFonts w:hint="eastAsia"/>
          <w:sz w:val="24"/>
          <w:szCs w:val="24"/>
        </w:rPr>
        <w:fldChar w:fldCharType="begin"/>
      </w:r>
      <w:r>
        <w:rPr>
          <w:rFonts w:hint="eastAsia"/>
          <w:sz w:val="24"/>
          <w:szCs w:val="24"/>
        </w:rPr>
        <w:instrText xml:space="preserve"> HYPERLINK "https://baike.baidu.com/item/%E5%87%89%E5%B1%B1%E5%BD%9D%E6%97%8F%E8%87%AA%E6%B2%BB%E5%B7%9E" \t "_blank" </w:instrText>
      </w:r>
      <w:r>
        <w:rPr>
          <w:rFonts w:hint="eastAsia"/>
          <w:sz w:val="24"/>
          <w:szCs w:val="24"/>
        </w:rPr>
        <w:fldChar w:fldCharType="separate"/>
      </w:r>
      <w:r>
        <w:rPr>
          <w:rFonts w:hint="eastAsia"/>
          <w:sz w:val="24"/>
          <w:szCs w:val="24"/>
        </w:rPr>
        <w:t>凉山彝族自治州</w:t>
      </w:r>
      <w:r>
        <w:rPr>
          <w:rFonts w:hint="eastAsia"/>
          <w:sz w:val="24"/>
          <w:szCs w:val="24"/>
        </w:rPr>
        <w:fldChar w:fldCharType="end"/>
      </w:r>
      <w:r>
        <w:rPr>
          <w:rFonts w:hint="eastAsia"/>
          <w:sz w:val="24"/>
          <w:szCs w:val="24"/>
        </w:rPr>
        <w:t>四市州交界处，东南与</w:t>
      </w:r>
      <w:r>
        <w:rPr>
          <w:rFonts w:hint="eastAsia"/>
          <w:sz w:val="24"/>
          <w:szCs w:val="24"/>
        </w:rPr>
        <w:fldChar w:fldCharType="begin"/>
      </w:r>
      <w:r>
        <w:rPr>
          <w:rFonts w:hint="eastAsia"/>
          <w:sz w:val="24"/>
          <w:szCs w:val="24"/>
        </w:rPr>
        <w:instrText xml:space="preserve"> HYPERLINK "https://baike.baidu.com/item/%E5%B3%A8%E8%BE%B9%E5%BD%9D%E6%97%8F%E8%87%AA%E6%B2%BB%E5%8E%BF" \t "_blank" </w:instrText>
      </w:r>
      <w:r>
        <w:rPr>
          <w:rFonts w:hint="eastAsia"/>
          <w:sz w:val="24"/>
          <w:szCs w:val="24"/>
        </w:rPr>
        <w:fldChar w:fldCharType="separate"/>
      </w:r>
      <w:r>
        <w:rPr>
          <w:rFonts w:hint="eastAsia"/>
          <w:sz w:val="24"/>
          <w:szCs w:val="24"/>
        </w:rPr>
        <w:t>峨边彝族自治县</w:t>
      </w:r>
      <w:r>
        <w:rPr>
          <w:rFonts w:hint="eastAsia"/>
          <w:sz w:val="24"/>
          <w:szCs w:val="24"/>
        </w:rPr>
        <w:fldChar w:fldCharType="end"/>
      </w:r>
      <w:r>
        <w:rPr>
          <w:rFonts w:hint="eastAsia"/>
          <w:sz w:val="24"/>
          <w:szCs w:val="24"/>
        </w:rPr>
        <w:t>相邻，西与凉山彝族自治州州</w:t>
      </w:r>
      <w:r>
        <w:rPr>
          <w:rFonts w:hint="eastAsia"/>
          <w:sz w:val="24"/>
          <w:szCs w:val="24"/>
        </w:rPr>
        <w:fldChar w:fldCharType="begin"/>
      </w:r>
      <w:r>
        <w:rPr>
          <w:rFonts w:hint="eastAsia"/>
          <w:sz w:val="24"/>
          <w:szCs w:val="24"/>
        </w:rPr>
        <w:instrText xml:space="preserve"> HYPERLINK "https://baike.baidu.com/item/%E7%94%98%E6%B4%9B%E5%8E%BF" \t "_blank" </w:instrText>
      </w:r>
      <w:r>
        <w:rPr>
          <w:rFonts w:hint="eastAsia"/>
          <w:sz w:val="24"/>
          <w:szCs w:val="24"/>
        </w:rPr>
        <w:fldChar w:fldCharType="separate"/>
      </w:r>
      <w:r>
        <w:rPr>
          <w:rFonts w:hint="eastAsia"/>
          <w:sz w:val="24"/>
          <w:szCs w:val="24"/>
        </w:rPr>
        <w:t>甘洛县</w:t>
      </w:r>
      <w:r>
        <w:rPr>
          <w:rFonts w:hint="eastAsia"/>
          <w:sz w:val="24"/>
          <w:szCs w:val="24"/>
        </w:rPr>
        <w:fldChar w:fldCharType="end"/>
      </w:r>
      <w:r>
        <w:rPr>
          <w:rFonts w:hint="eastAsia"/>
          <w:sz w:val="24"/>
          <w:szCs w:val="24"/>
        </w:rPr>
        <w:t>、</w:t>
      </w:r>
      <w:r>
        <w:rPr>
          <w:rFonts w:hint="eastAsia"/>
          <w:sz w:val="24"/>
          <w:szCs w:val="24"/>
        </w:rPr>
        <w:fldChar w:fldCharType="begin"/>
      </w:r>
      <w:r>
        <w:rPr>
          <w:rFonts w:hint="eastAsia"/>
          <w:sz w:val="24"/>
          <w:szCs w:val="24"/>
        </w:rPr>
        <w:instrText xml:space="preserve"> HYPERLINK "https://baike.baidu.com/item/%E9%9B%85%E5%AE%89%E5%B8%82" \t "_blank" </w:instrText>
      </w:r>
      <w:r>
        <w:rPr>
          <w:rFonts w:hint="eastAsia"/>
          <w:sz w:val="24"/>
          <w:szCs w:val="24"/>
        </w:rPr>
        <w:fldChar w:fldCharType="separate"/>
      </w:r>
      <w:r>
        <w:rPr>
          <w:rFonts w:hint="eastAsia"/>
          <w:sz w:val="24"/>
          <w:szCs w:val="24"/>
        </w:rPr>
        <w:t>雅安市</w:t>
      </w:r>
      <w:r>
        <w:rPr>
          <w:rFonts w:hint="eastAsia"/>
          <w:sz w:val="24"/>
          <w:szCs w:val="24"/>
        </w:rPr>
        <w:fldChar w:fldCharType="end"/>
      </w:r>
      <w:r>
        <w:rPr>
          <w:rFonts w:hint="eastAsia"/>
          <w:sz w:val="24"/>
          <w:szCs w:val="24"/>
        </w:rPr>
        <w:fldChar w:fldCharType="begin"/>
      </w:r>
      <w:r>
        <w:rPr>
          <w:rFonts w:hint="eastAsia"/>
          <w:sz w:val="24"/>
          <w:szCs w:val="24"/>
        </w:rPr>
        <w:instrText xml:space="preserve"> HYPERLINK "https://baike.baidu.com/item/%E6%B1%89%E6%BA%90%E5%8E%BF" \t "_blank" </w:instrText>
      </w:r>
      <w:r>
        <w:rPr>
          <w:rFonts w:hint="eastAsia"/>
          <w:sz w:val="24"/>
          <w:szCs w:val="24"/>
        </w:rPr>
        <w:fldChar w:fldCharType="separate"/>
      </w:r>
      <w:r>
        <w:rPr>
          <w:rFonts w:hint="eastAsia"/>
          <w:sz w:val="24"/>
          <w:szCs w:val="24"/>
        </w:rPr>
        <w:t>汉源县</w:t>
      </w:r>
      <w:r>
        <w:rPr>
          <w:rFonts w:hint="eastAsia"/>
          <w:sz w:val="24"/>
          <w:szCs w:val="24"/>
        </w:rPr>
        <w:fldChar w:fldCharType="end"/>
      </w:r>
      <w:r>
        <w:rPr>
          <w:rFonts w:hint="eastAsia"/>
          <w:sz w:val="24"/>
          <w:szCs w:val="24"/>
        </w:rPr>
        <w:t>交界，均有乡道，县道以及省道与周边该速公路相衔接，项目区域交通条件良好。</w:t>
      </w:r>
    </w:p>
    <w:p w14:paraId="2394D6C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333333"/>
          <w:spacing w:val="0"/>
          <w:sz w:val="24"/>
          <w:szCs w:val="24"/>
          <w:shd w:val="clear" w:fill="FFFFFF"/>
          <w:lang w:val="en-US" w:eastAsia="zh-CN"/>
        </w:rPr>
      </w:pPr>
      <w:r>
        <w:rPr>
          <w:rFonts w:hint="eastAsia" w:ascii="宋体" w:hAnsi="宋体" w:eastAsia="宋体" w:cs="宋体"/>
          <w:b/>
          <w:bCs/>
          <w:i w:val="0"/>
          <w:iCs w:val="0"/>
          <w:caps w:val="0"/>
          <w:color w:val="333333"/>
          <w:spacing w:val="0"/>
          <w:sz w:val="24"/>
          <w:szCs w:val="24"/>
          <w:shd w:val="clear" w:fill="FFFFFF"/>
          <w:lang w:val="en-US" w:eastAsia="zh-CN"/>
        </w:rPr>
        <w:t>5.2 地形与地貌</w:t>
      </w:r>
    </w:p>
    <w:p w14:paraId="5EC87826">
      <w:pPr>
        <w:spacing w:line="360" w:lineRule="auto"/>
        <w:ind w:firstLine="480" w:firstLineChars="200"/>
        <w:rPr>
          <w:rFonts w:hint="eastAsia"/>
          <w:sz w:val="24"/>
          <w:szCs w:val="24"/>
        </w:rPr>
      </w:pPr>
      <w:r>
        <w:rPr>
          <w:rFonts w:hint="eastAsia"/>
          <w:sz w:val="24"/>
          <w:szCs w:val="24"/>
        </w:rPr>
        <w:t>金口河区地处四川盆地西南部，系典型的大山区。金口河的山大都有两三千米高。这一座座高高矮矮的山只不过是一砣砣大大小小的石头。其中山地占99%，最低海拔530米，最高海拔3321米，平均海拔2250米。</w:t>
      </w:r>
    </w:p>
    <w:p w14:paraId="667890FC">
      <w:pPr>
        <w:spacing w:line="360" w:lineRule="auto"/>
        <w:ind w:firstLine="480" w:firstLineChars="200"/>
        <w:rPr>
          <w:rFonts w:hint="eastAsia"/>
          <w:sz w:val="24"/>
          <w:szCs w:val="24"/>
        </w:rPr>
      </w:pPr>
      <w:r>
        <w:rPr>
          <w:rFonts w:hint="eastAsia"/>
          <w:sz w:val="24"/>
          <w:szCs w:val="24"/>
        </w:rPr>
        <w:t>项目所在区的地形、地貌单元受地质构造和岩性控制明显，现按地貌成因类型和形态特征主要以构造剥蚀地貌：</w:t>
      </w:r>
    </w:p>
    <w:p w14:paraId="19BA0374">
      <w:pPr>
        <w:spacing w:line="360" w:lineRule="auto"/>
        <w:ind w:firstLine="480" w:firstLineChars="200"/>
        <w:rPr>
          <w:rFonts w:hint="eastAsia"/>
          <w:sz w:val="24"/>
          <w:szCs w:val="24"/>
        </w:rPr>
      </w:pPr>
      <w:r>
        <w:rPr>
          <w:rFonts w:hint="eastAsia"/>
          <w:sz w:val="24"/>
          <w:szCs w:val="24"/>
        </w:rPr>
        <w:t>构造剥蚀地貌：</w:t>
      </w:r>
    </w:p>
    <w:p w14:paraId="71BA48A4">
      <w:pPr>
        <w:spacing w:line="360" w:lineRule="auto"/>
        <w:ind w:firstLine="480" w:firstLineChars="200"/>
        <w:rPr>
          <w:rFonts w:hint="eastAsia"/>
          <w:sz w:val="24"/>
          <w:szCs w:val="24"/>
        </w:rPr>
      </w:pPr>
      <w:r>
        <w:rPr>
          <w:rFonts w:hint="eastAsia"/>
          <w:sz w:val="24"/>
          <w:szCs w:val="24"/>
        </w:rPr>
        <w:t>构造剥蚀地形是项目区域分布最广的地貌单元，项目沿线大部分地貌为浅丘地貌，为侏罗系上统遂宁组泥岩组成，本项目沿线背斜与向斜基本平行相间展布，在向斜中部，沟谷迂回曲折，无一定方向，其间有小溪发育，呈树枝状。丘顶风化后多呈圆丘、“塔状”平顶丘。</w:t>
      </w:r>
    </w:p>
    <w:p w14:paraId="3D939C2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333333"/>
          <w:spacing w:val="0"/>
          <w:sz w:val="24"/>
          <w:szCs w:val="24"/>
          <w:shd w:val="clear" w:fill="FFFFFF"/>
          <w:lang w:val="en-US" w:eastAsia="zh-CN"/>
        </w:rPr>
      </w:pPr>
      <w:bookmarkStart w:id="1" w:name="_Toc315799430"/>
      <w:bookmarkStart w:id="2" w:name="_Toc442179179"/>
      <w:r>
        <w:rPr>
          <w:rFonts w:hint="eastAsia" w:ascii="宋体" w:hAnsi="宋体" w:eastAsia="宋体" w:cs="宋体"/>
          <w:b/>
          <w:bCs/>
          <w:i w:val="0"/>
          <w:iCs w:val="0"/>
          <w:caps w:val="0"/>
          <w:color w:val="333333"/>
          <w:spacing w:val="0"/>
          <w:sz w:val="24"/>
          <w:szCs w:val="24"/>
          <w:shd w:val="clear" w:fill="FFFFFF"/>
          <w:lang w:val="en-US" w:eastAsia="zh-CN"/>
        </w:rPr>
        <w:t>5.3地层岩性</w:t>
      </w:r>
      <w:bookmarkEnd w:id="1"/>
      <w:bookmarkEnd w:id="2"/>
    </w:p>
    <w:p w14:paraId="5F9E5D72">
      <w:pPr>
        <w:spacing w:line="360" w:lineRule="auto"/>
        <w:ind w:firstLine="480" w:firstLineChars="200"/>
        <w:rPr>
          <w:rFonts w:hint="eastAsia"/>
          <w:sz w:val="24"/>
          <w:szCs w:val="24"/>
        </w:rPr>
      </w:pPr>
      <w:bookmarkStart w:id="3" w:name="_Toc154112670"/>
      <w:r>
        <w:rPr>
          <w:rFonts w:hint="eastAsia"/>
          <w:sz w:val="24"/>
          <w:szCs w:val="24"/>
        </w:rPr>
        <w:t>项目区内分布地层为中生界侏罗系及新生界第四系地层。现将地层岩性由新至老分述如下：</w:t>
      </w:r>
    </w:p>
    <w:p w14:paraId="6A3164F0">
      <w:pPr>
        <w:spacing w:line="360" w:lineRule="auto"/>
        <w:ind w:firstLine="480" w:firstLineChars="200"/>
        <w:rPr>
          <w:rFonts w:hint="eastAsia"/>
          <w:sz w:val="24"/>
          <w:szCs w:val="24"/>
        </w:rPr>
      </w:pPr>
      <w:r>
        <w:rPr>
          <w:rFonts w:hint="eastAsia"/>
          <w:sz w:val="24"/>
          <w:szCs w:val="24"/>
        </w:rPr>
        <w:t>1、第四系全新统人工堆积层（Q</w:t>
      </w:r>
      <w:r>
        <w:rPr>
          <w:rFonts w:hint="default" w:asciiTheme="minorAscii" w:hAnsiTheme="minorAscii" w:eastAsiaTheme="minorEastAsia"/>
          <w:sz w:val="24"/>
          <w:szCs w:val="24"/>
          <w:vertAlign w:val="superscript"/>
        </w:rPr>
        <w:t>4me</w:t>
      </w:r>
      <w:r>
        <w:rPr>
          <w:rFonts w:hint="eastAsia"/>
          <w:sz w:val="24"/>
          <w:szCs w:val="24"/>
        </w:rPr>
        <w:t>）：杂色，由块碎石、浆砌条石、粘性土等组成，含量小于40%，厚度一般1.0～5.0m，结构松散～稍密状，稍湿～干，为老路路基以及修建房屋屋基填筑。新建路段耕植土：褐色、黄褐色，主要有粘性土组成，含有少量植物根系，呈松散状。均匀性、密实性较差。</w:t>
      </w:r>
    </w:p>
    <w:p w14:paraId="26D0012E">
      <w:pPr>
        <w:spacing w:line="360" w:lineRule="auto"/>
        <w:ind w:firstLine="480" w:firstLineChars="200"/>
        <w:rPr>
          <w:rFonts w:hint="eastAsia"/>
          <w:sz w:val="24"/>
          <w:szCs w:val="24"/>
        </w:rPr>
      </w:pPr>
      <w:r>
        <w:rPr>
          <w:rFonts w:hint="eastAsia"/>
          <w:sz w:val="24"/>
          <w:szCs w:val="24"/>
        </w:rPr>
        <w:t>2、第四系全新统坡残积层（Q</w:t>
      </w:r>
      <w:r>
        <w:rPr>
          <w:rFonts w:hint="default" w:asciiTheme="minorAscii" w:hAnsiTheme="minorAscii" w:eastAsiaTheme="minorEastAsia"/>
          <w:sz w:val="24"/>
          <w:szCs w:val="24"/>
          <w:vertAlign w:val="superscript"/>
        </w:rPr>
        <w:t>4dl+el</w:t>
      </w:r>
      <w:r>
        <w:rPr>
          <w:rFonts w:hint="eastAsia"/>
          <w:sz w:val="24"/>
          <w:szCs w:val="24"/>
        </w:rPr>
        <w:t>）：</w:t>
      </w:r>
    </w:p>
    <w:p w14:paraId="70A40AF5">
      <w:pPr>
        <w:spacing w:line="360" w:lineRule="auto"/>
        <w:ind w:firstLine="480" w:firstLineChars="200"/>
        <w:rPr>
          <w:rFonts w:hint="eastAsia"/>
          <w:sz w:val="24"/>
          <w:szCs w:val="24"/>
        </w:rPr>
      </w:pPr>
      <w:r>
        <w:rPr>
          <w:rFonts w:hint="eastAsia"/>
          <w:sz w:val="24"/>
          <w:szCs w:val="24"/>
        </w:rPr>
        <w:t>粉质粘土：褐色，稍湿~湿，可塑~硬塑，干强度中等，韧性中等，稍有光泽，无摇振反应，残坡积成因，上部含少量植物根系。钻探揭露厚度0~6.0m。</w:t>
      </w:r>
    </w:p>
    <w:p w14:paraId="6D9DC49D">
      <w:pPr>
        <w:spacing w:line="360" w:lineRule="auto"/>
        <w:ind w:firstLine="480" w:firstLineChars="200"/>
        <w:rPr>
          <w:rFonts w:hint="eastAsia"/>
          <w:sz w:val="24"/>
          <w:szCs w:val="24"/>
        </w:rPr>
      </w:pPr>
      <w:r>
        <w:rPr>
          <w:rFonts w:hint="eastAsia"/>
          <w:sz w:val="24"/>
          <w:szCs w:val="24"/>
        </w:rPr>
        <w:t>3、侏罗系地层（J）</w:t>
      </w:r>
    </w:p>
    <w:p w14:paraId="58216416">
      <w:pPr>
        <w:spacing w:line="360" w:lineRule="auto"/>
        <w:ind w:firstLine="480" w:firstLineChars="200"/>
        <w:rPr>
          <w:rFonts w:hint="eastAsia"/>
          <w:sz w:val="24"/>
          <w:szCs w:val="24"/>
        </w:rPr>
      </w:pPr>
      <w:r>
        <w:rPr>
          <w:rFonts w:hint="eastAsia"/>
          <w:sz w:val="24"/>
          <w:szCs w:val="24"/>
        </w:rPr>
        <w:t>侏罗系上统遂宁组（J</w:t>
      </w:r>
      <w:r>
        <w:rPr>
          <w:rFonts w:hint="default" w:asciiTheme="minorAscii" w:hAnsiTheme="minorAscii" w:eastAsiaTheme="minorEastAsia"/>
          <w:sz w:val="24"/>
          <w:szCs w:val="24"/>
          <w:vertAlign w:val="superscript"/>
        </w:rPr>
        <w:t>3s</w:t>
      </w:r>
      <w:r>
        <w:rPr>
          <w:rFonts w:hint="eastAsia"/>
          <w:sz w:val="24"/>
          <w:szCs w:val="24"/>
        </w:rPr>
        <w:t>）： 拟建项目钻探揭示以灰褐色的砂质为主，局部地段泥质砂岩。</w:t>
      </w:r>
    </w:p>
    <w:p w14:paraId="03D1DBF5">
      <w:pPr>
        <w:spacing w:line="360" w:lineRule="auto"/>
        <w:ind w:firstLine="480" w:firstLineChars="200"/>
        <w:rPr>
          <w:rFonts w:hint="eastAsia"/>
          <w:sz w:val="24"/>
          <w:szCs w:val="24"/>
        </w:rPr>
      </w:pPr>
      <w:r>
        <w:rPr>
          <w:rFonts w:hint="eastAsia"/>
          <w:sz w:val="24"/>
          <w:szCs w:val="24"/>
        </w:rPr>
        <w:t>（3-1）强风化砂岩：灰褐色，矿物成分以长石、石英矿物为主，中厚层状结构，泥钙质胶结．裂隙较发育，岩体较破碎，岩芯呈饼状、少量短柱状，岩体完整性差,承载力一般。</w:t>
      </w:r>
    </w:p>
    <w:p w14:paraId="2D68C0AD">
      <w:pPr>
        <w:spacing w:line="360" w:lineRule="auto"/>
        <w:ind w:firstLine="480" w:firstLineChars="200"/>
        <w:rPr>
          <w:rFonts w:hint="eastAsia"/>
          <w:sz w:val="24"/>
          <w:szCs w:val="24"/>
        </w:rPr>
      </w:pPr>
      <w:r>
        <w:rPr>
          <w:rFonts w:hint="eastAsia"/>
          <w:sz w:val="24"/>
          <w:szCs w:val="24"/>
        </w:rPr>
        <w:t>（3-2）中风化砂岩：灰褐色，矿物成分以长石、石英矿物为主，中厚层状结构，泥钙质胶结．其岩石裂隙不发育，岩芯多呈柱状、长柱状，岩体完整性较好。岩芯多呈柱状、长柱状，最大节长80ｃｍ。层位相对稳定，分布均匀性较差，分布均匀，工程稳定性较好。</w:t>
      </w:r>
    </w:p>
    <w:bookmarkEnd w:id="3"/>
    <w:p w14:paraId="4A0AFB8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333333"/>
          <w:spacing w:val="0"/>
          <w:sz w:val="24"/>
          <w:szCs w:val="24"/>
          <w:shd w:val="clear" w:fill="FFFFFF"/>
          <w:lang w:val="en-US" w:eastAsia="zh-CN"/>
        </w:rPr>
      </w:pPr>
      <w:r>
        <w:rPr>
          <w:rFonts w:hint="eastAsia" w:ascii="宋体" w:hAnsi="宋体" w:eastAsia="宋体" w:cs="宋体"/>
          <w:b/>
          <w:bCs/>
          <w:i w:val="0"/>
          <w:iCs w:val="0"/>
          <w:caps w:val="0"/>
          <w:color w:val="333333"/>
          <w:spacing w:val="0"/>
          <w:sz w:val="24"/>
          <w:szCs w:val="24"/>
          <w:shd w:val="clear" w:fill="FFFFFF"/>
          <w:lang w:val="en-US" w:eastAsia="zh-CN"/>
        </w:rPr>
        <w:t>5.4气象</w:t>
      </w:r>
    </w:p>
    <w:p w14:paraId="7D7022D4">
      <w:pPr>
        <w:spacing w:line="360" w:lineRule="auto"/>
        <w:ind w:firstLine="480" w:firstLineChars="200"/>
        <w:rPr>
          <w:rFonts w:hint="eastAsia"/>
          <w:sz w:val="24"/>
          <w:szCs w:val="24"/>
        </w:rPr>
      </w:pPr>
      <w:r>
        <w:rPr>
          <w:rFonts w:hint="eastAsia"/>
          <w:sz w:val="24"/>
          <w:szCs w:val="24"/>
        </w:rPr>
        <w:t>项目区属中亚热带湿润季风气候区。金口河境内属亚热带气候，气候温和、雨量较多，但由于境内山峰林立、沟谷深险，山上山下气候悬殊较大。区域内的大坪、五池、鹿儿坪等地，处于海拔1500米至2200米高度，基本无夏。大峡谷的谷底，海拔550米至800米的区域，属于“热河谷”，冬季（12月~2月）各月平均气温9℃~11℃，气候温暖，可作避寒旅游地。当地俗语“毛坪的雨，沙坪的风，金口河好过冬”，可谓真实写照。五池一带多雾；海拔2000米以上山地积雪期长。</w:t>
      </w:r>
    </w:p>
    <w:p w14:paraId="3B84543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333333"/>
          <w:spacing w:val="0"/>
          <w:sz w:val="24"/>
          <w:szCs w:val="24"/>
          <w:shd w:val="clear" w:fill="FFFFFF"/>
          <w:lang w:val="en-US" w:eastAsia="zh-CN"/>
        </w:rPr>
      </w:pPr>
      <w:r>
        <w:rPr>
          <w:rFonts w:hint="eastAsia" w:ascii="宋体" w:hAnsi="宋体" w:eastAsia="宋体" w:cs="宋体"/>
          <w:b/>
          <w:bCs/>
          <w:i w:val="0"/>
          <w:iCs w:val="0"/>
          <w:caps w:val="0"/>
          <w:color w:val="333333"/>
          <w:spacing w:val="0"/>
          <w:sz w:val="24"/>
          <w:szCs w:val="24"/>
          <w:shd w:val="clear" w:fill="FFFFFF"/>
          <w:lang w:val="en-US" w:eastAsia="zh-CN"/>
        </w:rPr>
        <w:t>5.5水文</w:t>
      </w:r>
    </w:p>
    <w:p w14:paraId="4D2DD558">
      <w:pPr>
        <w:spacing w:line="360" w:lineRule="auto"/>
        <w:ind w:firstLine="480" w:firstLineChars="200"/>
        <w:rPr>
          <w:rFonts w:hint="eastAsia"/>
          <w:sz w:val="24"/>
          <w:szCs w:val="24"/>
        </w:rPr>
      </w:pPr>
      <w:r>
        <w:rPr>
          <w:rFonts w:hint="eastAsia"/>
          <w:sz w:val="24"/>
          <w:szCs w:val="24"/>
        </w:rPr>
        <w:t>境内水系发达，以大渡河为主干，大小河流30余条，容水总量836亿立方米，水能（不含岷江）蕴藏量达6万千瓦。</w:t>
      </w:r>
    </w:p>
    <w:p w14:paraId="57D127D7">
      <w:pPr>
        <w:spacing w:line="360" w:lineRule="auto"/>
        <w:ind w:firstLine="480" w:firstLineChars="200"/>
        <w:rPr>
          <w:rFonts w:hint="eastAsia"/>
          <w:sz w:val="24"/>
          <w:szCs w:val="24"/>
        </w:rPr>
      </w:pPr>
      <w:r>
        <w:rPr>
          <w:rFonts w:hint="eastAsia"/>
          <w:sz w:val="24"/>
          <w:szCs w:val="24"/>
        </w:rPr>
        <w:t>（1）地表水</w:t>
      </w:r>
    </w:p>
    <w:p w14:paraId="55F99742">
      <w:pPr>
        <w:spacing w:line="360" w:lineRule="auto"/>
        <w:ind w:firstLine="480" w:firstLineChars="200"/>
        <w:rPr>
          <w:rFonts w:hint="eastAsia"/>
          <w:sz w:val="24"/>
          <w:szCs w:val="24"/>
        </w:rPr>
      </w:pPr>
      <w:r>
        <w:rPr>
          <w:rFonts w:hint="eastAsia"/>
          <w:sz w:val="24"/>
          <w:szCs w:val="24"/>
        </w:rPr>
        <w:t>沿线地表水系为岷江水系，一般河水随季节性降雨变化，雨季江水汹涌，通常水量较为丰富，但河流冬春枯水期流量变化较大。</w:t>
      </w:r>
    </w:p>
    <w:p w14:paraId="57E8AECF">
      <w:pPr>
        <w:spacing w:line="360" w:lineRule="auto"/>
        <w:ind w:firstLine="480" w:firstLineChars="200"/>
        <w:rPr>
          <w:rFonts w:hint="eastAsia"/>
          <w:sz w:val="24"/>
          <w:szCs w:val="24"/>
        </w:rPr>
      </w:pPr>
      <w:r>
        <w:rPr>
          <w:rFonts w:hint="eastAsia"/>
          <w:sz w:val="24"/>
          <w:szCs w:val="24"/>
        </w:rPr>
        <w:t>（2）地下水</w:t>
      </w:r>
    </w:p>
    <w:p w14:paraId="4427B672">
      <w:pPr>
        <w:spacing w:line="360" w:lineRule="auto"/>
        <w:ind w:firstLine="480" w:firstLineChars="200"/>
        <w:rPr>
          <w:rFonts w:hint="eastAsia"/>
          <w:sz w:val="24"/>
          <w:szCs w:val="24"/>
        </w:rPr>
      </w:pPr>
      <w:r>
        <w:rPr>
          <w:rFonts w:hint="eastAsia"/>
          <w:sz w:val="24"/>
          <w:szCs w:val="24"/>
        </w:rPr>
        <w:t>工程区地下水按岩性及其赋存形式、水理性质及水力特征，将地下水划分为二种类型：第四系松散堆积层孔隙水及基岩裂隙水，现将其主要特征详述如下：</w:t>
      </w:r>
    </w:p>
    <w:p w14:paraId="618C9D0D">
      <w:pPr>
        <w:spacing w:line="360" w:lineRule="auto"/>
        <w:ind w:firstLine="480" w:firstLineChars="200"/>
        <w:rPr>
          <w:rFonts w:hint="eastAsia"/>
          <w:sz w:val="24"/>
          <w:szCs w:val="24"/>
        </w:rPr>
      </w:pPr>
      <w:r>
        <w:rPr>
          <w:rFonts w:hint="eastAsia"/>
          <w:sz w:val="24"/>
          <w:szCs w:val="24"/>
        </w:rPr>
        <w:t>（1）第四系松散堆积层孔隙水</w:t>
      </w:r>
    </w:p>
    <w:p w14:paraId="2DB8DE07">
      <w:pPr>
        <w:spacing w:line="360" w:lineRule="auto"/>
        <w:ind w:firstLine="480" w:firstLineChars="200"/>
        <w:rPr>
          <w:rFonts w:hint="eastAsia"/>
          <w:sz w:val="24"/>
          <w:szCs w:val="24"/>
        </w:rPr>
      </w:pPr>
      <w:r>
        <w:rPr>
          <w:rFonts w:hint="eastAsia"/>
          <w:sz w:val="24"/>
          <w:szCs w:val="24"/>
        </w:rPr>
        <w:t>主要分布于丘间平坝中的坡洪积层和斜坡地带的坡残积层中，含水层一般为粉质粘土、块石土、碎、砾类土层中，含水地层厚度不均，结构松散，透水性强，主要起过水通道作用，常处于稍湿～饱和状态，雨季含水性中等，枯水季含水性弱，有少量的小泉出露。主要接受大气降水及河水补给。</w:t>
      </w:r>
    </w:p>
    <w:p w14:paraId="474239DC">
      <w:pPr>
        <w:spacing w:line="360" w:lineRule="auto"/>
        <w:ind w:firstLine="480" w:firstLineChars="200"/>
        <w:rPr>
          <w:rFonts w:hint="eastAsia"/>
          <w:sz w:val="24"/>
          <w:szCs w:val="24"/>
        </w:rPr>
      </w:pPr>
      <w:r>
        <w:rPr>
          <w:rFonts w:hint="eastAsia"/>
          <w:sz w:val="24"/>
          <w:szCs w:val="24"/>
        </w:rPr>
        <w:t>（2）基岩裂隙水</w:t>
      </w:r>
    </w:p>
    <w:p w14:paraId="399DAD21">
      <w:pPr>
        <w:spacing w:line="360" w:lineRule="auto"/>
        <w:ind w:firstLine="480" w:firstLineChars="200"/>
        <w:rPr>
          <w:rFonts w:hint="eastAsia"/>
          <w:sz w:val="24"/>
          <w:szCs w:val="24"/>
        </w:rPr>
      </w:pPr>
      <w:r>
        <w:rPr>
          <w:rFonts w:hint="eastAsia"/>
          <w:sz w:val="24"/>
          <w:szCs w:val="24"/>
        </w:rPr>
        <w:t>主要分布于三叠系上统须家河组地层中，含水岩组分别为砂岩等岩类，地下水较贫乏，其赋存与分布主要受地质构造条件的限制。本次勘察未揭见有稳定地下水。</w:t>
      </w:r>
    </w:p>
    <w:p w14:paraId="49837B7B">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六、沿线筑路材料、水、电等建设条件与施工条</w:t>
      </w:r>
      <w:bookmarkStart w:id="5" w:name="_GoBack"/>
      <w:bookmarkEnd w:id="5"/>
      <w:r>
        <w:rPr>
          <w:rFonts w:hint="eastAsia" w:ascii="宋体" w:hAnsi="宋体" w:eastAsia="宋体" w:cs="宋体"/>
          <w:b/>
          <w:bCs/>
          <w:sz w:val="32"/>
          <w:szCs w:val="32"/>
          <w:lang w:val="en-US" w:eastAsia="zh-CN"/>
        </w:rPr>
        <w:t>件</w:t>
      </w:r>
    </w:p>
    <w:bookmarkEnd w:id="0"/>
    <w:p w14:paraId="34A9EB9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333333"/>
          <w:spacing w:val="0"/>
          <w:sz w:val="24"/>
          <w:szCs w:val="24"/>
          <w:shd w:val="clear" w:fill="FFFFFF"/>
          <w:lang w:val="en-US" w:eastAsia="zh-CN"/>
        </w:rPr>
      </w:pPr>
      <w:r>
        <w:rPr>
          <w:rFonts w:hint="eastAsia" w:ascii="宋体" w:hAnsi="宋体" w:eastAsia="宋体" w:cs="宋体"/>
          <w:b/>
          <w:bCs/>
          <w:i w:val="0"/>
          <w:iCs w:val="0"/>
          <w:caps w:val="0"/>
          <w:color w:val="333333"/>
          <w:spacing w:val="0"/>
          <w:sz w:val="24"/>
          <w:szCs w:val="24"/>
          <w:shd w:val="clear" w:fill="FFFFFF"/>
          <w:lang w:val="en-US" w:eastAsia="zh-CN"/>
        </w:rPr>
        <w:t>6.1自采材料</w:t>
      </w:r>
    </w:p>
    <w:p w14:paraId="43F67D16">
      <w:pPr>
        <w:spacing w:line="360" w:lineRule="auto"/>
        <w:ind w:firstLine="480" w:firstLineChars="200"/>
        <w:rPr>
          <w:rFonts w:hint="eastAsia"/>
          <w:sz w:val="24"/>
          <w:szCs w:val="24"/>
        </w:rPr>
      </w:pPr>
      <w:r>
        <w:rPr>
          <w:rFonts w:hint="eastAsia"/>
          <w:sz w:val="24"/>
          <w:szCs w:val="24"/>
        </w:rPr>
        <w:t>根据沿线材料料场的分布及材料特性，沿线可设块、片石料场、碎石料场、砂砾石料场，各料场开采条件优越，运输条件良好。</w:t>
      </w:r>
    </w:p>
    <w:p w14:paraId="60DB202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333333"/>
          <w:spacing w:val="0"/>
          <w:sz w:val="24"/>
          <w:szCs w:val="24"/>
          <w:shd w:val="clear" w:fill="FFFFFF"/>
          <w:lang w:val="en-US" w:eastAsia="zh-CN"/>
        </w:rPr>
      </w:pPr>
      <w:r>
        <w:rPr>
          <w:rFonts w:hint="eastAsia" w:ascii="宋体" w:hAnsi="宋体" w:eastAsia="宋体" w:cs="宋体"/>
          <w:b/>
          <w:bCs/>
          <w:i w:val="0"/>
          <w:iCs w:val="0"/>
          <w:caps w:val="0"/>
          <w:color w:val="333333"/>
          <w:spacing w:val="0"/>
          <w:sz w:val="24"/>
          <w:szCs w:val="24"/>
          <w:shd w:val="clear" w:fill="FFFFFF"/>
          <w:lang w:val="en-US" w:eastAsia="zh-CN"/>
        </w:rPr>
        <w:t>6.2外购材料</w:t>
      </w:r>
    </w:p>
    <w:p w14:paraId="3C033809">
      <w:pPr>
        <w:spacing w:line="360" w:lineRule="auto"/>
        <w:ind w:firstLine="480" w:firstLineChars="200"/>
        <w:rPr>
          <w:rFonts w:hint="eastAsia"/>
          <w:sz w:val="24"/>
          <w:szCs w:val="24"/>
        </w:rPr>
      </w:pPr>
      <w:r>
        <w:rPr>
          <w:rFonts w:hint="eastAsia"/>
          <w:sz w:val="24"/>
          <w:szCs w:val="24"/>
        </w:rPr>
        <w:t>钢材、水泥等可在金口河区或周边县市采购,汽车运至工地。</w:t>
      </w:r>
    </w:p>
    <w:p w14:paraId="2FD8EC9C">
      <w:pPr>
        <w:spacing w:line="360" w:lineRule="auto"/>
        <w:ind w:firstLine="480" w:firstLineChars="200"/>
        <w:rPr>
          <w:rFonts w:hint="eastAsia"/>
          <w:sz w:val="24"/>
          <w:szCs w:val="24"/>
        </w:rPr>
      </w:pPr>
      <w:r>
        <w:rPr>
          <w:rFonts w:hint="eastAsia"/>
          <w:sz w:val="24"/>
          <w:szCs w:val="24"/>
        </w:rPr>
        <w:t>木材等均可在当地购买。</w:t>
      </w:r>
    </w:p>
    <w:p w14:paraId="068DD556">
      <w:pPr>
        <w:spacing w:line="360" w:lineRule="auto"/>
        <w:ind w:firstLine="480" w:firstLineChars="200"/>
        <w:rPr>
          <w:rFonts w:hint="eastAsia"/>
          <w:sz w:val="24"/>
          <w:szCs w:val="24"/>
        </w:rPr>
      </w:pPr>
      <w:bookmarkStart w:id="4" w:name="OLE_LINK1"/>
      <w:r>
        <w:rPr>
          <w:rFonts w:hint="eastAsia"/>
          <w:sz w:val="24"/>
          <w:szCs w:val="24"/>
        </w:rPr>
        <w:t>施工用电可与电业管理部门联系，搭接附近电力线网。</w:t>
      </w:r>
    </w:p>
    <w:bookmarkEnd w:id="4"/>
    <w:p w14:paraId="4F524553">
      <w:pPr>
        <w:spacing w:line="360" w:lineRule="auto"/>
        <w:ind w:firstLine="480" w:firstLineChars="200"/>
        <w:rPr>
          <w:rFonts w:hint="eastAsia"/>
          <w:sz w:val="24"/>
          <w:szCs w:val="24"/>
        </w:rPr>
      </w:pPr>
      <w:r>
        <w:rPr>
          <w:rFonts w:hint="eastAsia"/>
          <w:sz w:val="24"/>
          <w:szCs w:val="24"/>
        </w:rPr>
        <w:t>沿线水资源水质符合饮用水和施工用水要求，可作施工和生活用水。</w:t>
      </w:r>
    </w:p>
    <w:p w14:paraId="4E8E88D1">
      <w:pPr>
        <w:spacing w:line="360" w:lineRule="auto"/>
        <w:ind w:firstLine="482" w:firstLineChars="200"/>
        <w:rPr>
          <w:rFonts w:hint="default"/>
          <w:b/>
          <w:bCs/>
          <w:sz w:val="24"/>
          <w:szCs w:val="24"/>
          <w:lang w:val="en-US" w:eastAsia="zh-CN"/>
        </w:rPr>
      </w:pPr>
      <w:r>
        <w:rPr>
          <w:rFonts w:hint="eastAsia"/>
          <w:b/>
          <w:bCs/>
          <w:sz w:val="24"/>
          <w:szCs w:val="24"/>
          <w:lang w:val="en-US" w:eastAsia="zh-CN"/>
        </w:rPr>
        <w:t>6.3.弃运材料</w:t>
      </w:r>
    </w:p>
    <w:p w14:paraId="3EAB9892">
      <w:pPr>
        <w:spacing w:line="360" w:lineRule="auto"/>
        <w:ind w:firstLine="480" w:firstLineChars="200"/>
        <w:rPr>
          <w:rFonts w:hint="eastAsia" w:eastAsiaTheme="minorEastAsia"/>
          <w:sz w:val="24"/>
          <w:szCs w:val="24"/>
          <w:lang w:eastAsia="zh-CN"/>
        </w:rPr>
      </w:pPr>
      <w:r>
        <w:rPr>
          <w:rFonts w:hint="eastAsia"/>
          <w:sz w:val="24"/>
          <w:szCs w:val="24"/>
        </w:rPr>
        <w:t>需外弃的建渣、生活垃圾等废弃物暂按5km计取</w:t>
      </w:r>
      <w:r>
        <w:rPr>
          <w:rFonts w:hint="eastAsia"/>
          <w:sz w:val="24"/>
          <w:szCs w:val="24"/>
          <w:lang w:eastAsia="zh-CN"/>
        </w:rPr>
        <w:t>。</w:t>
      </w:r>
    </w:p>
    <w:p w14:paraId="6A2334D2">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七、各级政府、部门意见及采纳情况</w:t>
      </w:r>
    </w:p>
    <w:p w14:paraId="6BDEC3BA">
      <w:pPr>
        <w:spacing w:line="360" w:lineRule="auto"/>
        <w:ind w:firstLine="480" w:firstLineChars="200"/>
        <w:rPr>
          <w:rFonts w:hint="eastAsia"/>
          <w:sz w:val="24"/>
          <w:szCs w:val="24"/>
        </w:rPr>
      </w:pPr>
      <w:r>
        <w:rPr>
          <w:rFonts w:hint="eastAsia"/>
          <w:sz w:val="24"/>
          <w:szCs w:val="24"/>
        </w:rPr>
        <w:t>本项目外业调查时邀请了当地乡镇、村委会参与，并与他们进行了商议，了解情况，征求意见，顺利地达成一致意见。</w:t>
      </w:r>
    </w:p>
    <w:p w14:paraId="1EE3408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八、其他注意事项</w:t>
      </w:r>
    </w:p>
    <w:p w14:paraId="6E8717EA">
      <w:pPr>
        <w:spacing w:line="360" w:lineRule="auto"/>
        <w:ind w:firstLine="480" w:firstLineChars="200"/>
        <w:rPr>
          <w:rFonts w:hint="eastAsia"/>
          <w:sz w:val="24"/>
          <w:szCs w:val="24"/>
        </w:rPr>
      </w:pPr>
      <w:r>
        <w:rPr>
          <w:rFonts w:hint="eastAsia"/>
          <w:sz w:val="24"/>
          <w:szCs w:val="24"/>
        </w:rPr>
        <w:t>对本项目涉及到工程量，施工单位严禁私自施工，需经建设单位、监理单位同意后，方可进行施工。</w:t>
      </w:r>
    </w:p>
    <w:p w14:paraId="21A00596">
      <w:pPr>
        <w:spacing w:line="360" w:lineRule="auto"/>
        <w:ind w:firstLine="480" w:firstLineChars="200"/>
        <w:rPr>
          <w:rFonts w:hint="eastAsia"/>
          <w:sz w:val="24"/>
          <w:szCs w:val="24"/>
        </w:rPr>
      </w:pPr>
      <w:r>
        <w:rPr>
          <w:rFonts w:hint="eastAsia"/>
          <w:sz w:val="24"/>
          <w:szCs w:val="24"/>
        </w:rPr>
        <w:t>施工单位在施工中应文明施工，做好降噪、减污、安全等各方面工作。为保证沿线居民的正常生活和休息，建议采用以下措施：</w:t>
      </w:r>
    </w:p>
    <w:p w14:paraId="600F4B60">
      <w:pPr>
        <w:spacing w:line="360" w:lineRule="auto"/>
        <w:ind w:firstLine="480" w:firstLineChars="200"/>
        <w:rPr>
          <w:rFonts w:hint="eastAsia"/>
          <w:sz w:val="24"/>
          <w:szCs w:val="24"/>
        </w:rPr>
      </w:pPr>
      <w:r>
        <w:rPr>
          <w:rFonts w:hint="eastAsia"/>
          <w:sz w:val="24"/>
          <w:szCs w:val="24"/>
        </w:rPr>
        <w:t>（1）加强施工管理，合理安排施工作业时间，严格按照有关规定，避免夜间进行高噪声施工作业。应在有安全隐患的地方树立明显的标志、标牌，提醒驾驶员注意安全。加强施工管理建立本项目的安全管理系统，针对事故多发、易发的诱因及时发现、及时解决。积极与气象、地震等部门的数据共享，及时掌握气候变化情况，制定相应应对机制。在雨、雾、冰雪天气对车辆安全带来重大影响时，实行限速和交通管制。</w:t>
      </w:r>
    </w:p>
    <w:p w14:paraId="3F57C3FB">
      <w:pPr>
        <w:spacing w:line="360" w:lineRule="auto"/>
        <w:ind w:firstLine="480" w:firstLineChars="200"/>
        <w:rPr>
          <w:rFonts w:hint="eastAsia"/>
          <w:sz w:val="24"/>
          <w:szCs w:val="24"/>
        </w:rPr>
      </w:pPr>
      <w:r>
        <w:rPr>
          <w:rFonts w:hint="eastAsia"/>
          <w:sz w:val="24"/>
          <w:szCs w:val="24"/>
        </w:rPr>
        <w:t>（2）尽可能采用低噪声的施工机械，如用液压工具代替气压工具。</w:t>
      </w:r>
    </w:p>
    <w:p w14:paraId="0C4B6046">
      <w:pPr>
        <w:spacing w:line="360" w:lineRule="auto"/>
        <w:ind w:firstLine="480" w:firstLineChars="200"/>
        <w:rPr>
          <w:rFonts w:hint="eastAsia"/>
          <w:sz w:val="24"/>
          <w:szCs w:val="24"/>
        </w:rPr>
      </w:pPr>
      <w:r>
        <w:rPr>
          <w:rFonts w:hint="eastAsia"/>
          <w:sz w:val="24"/>
          <w:szCs w:val="24"/>
        </w:rPr>
        <w:t>（3）施工机械应尽可能放置于对周围居民影响最小的地方。</w:t>
      </w:r>
    </w:p>
    <w:p w14:paraId="27DA131A">
      <w:pPr>
        <w:spacing w:line="360" w:lineRule="auto"/>
        <w:ind w:firstLine="480" w:firstLineChars="200"/>
        <w:rPr>
          <w:rFonts w:hint="eastAsia"/>
          <w:sz w:val="24"/>
          <w:szCs w:val="24"/>
        </w:rPr>
      </w:pPr>
      <w:r>
        <w:rPr>
          <w:rFonts w:hint="eastAsia"/>
          <w:sz w:val="24"/>
          <w:szCs w:val="24"/>
        </w:rPr>
        <w:t>（4）对固定的高噪声设备进行噪声屏蔽处理。</w:t>
      </w:r>
    </w:p>
    <w:p w14:paraId="01A2537D">
      <w:pPr>
        <w:spacing w:line="360" w:lineRule="auto"/>
        <w:ind w:firstLine="480" w:firstLineChars="200"/>
        <w:rPr>
          <w:rFonts w:hint="eastAsia"/>
          <w:sz w:val="24"/>
          <w:szCs w:val="24"/>
        </w:rPr>
      </w:pPr>
      <w:r>
        <w:rPr>
          <w:rFonts w:hint="eastAsia"/>
          <w:sz w:val="24"/>
          <w:szCs w:val="24"/>
        </w:rPr>
        <w:t>（5） 减少扬尘和加强施工区废弃物的管理：对土石方的运输途径进行规划，采取措施保证装土车沿途不洒落，防止沿程弃土满地，影响环境整洁；及时清理施工现场和施工人员的生活废弃物，保证施工区现场整洁，避免传染病的孳生和传播。</w:t>
      </w:r>
    </w:p>
    <w:p w14:paraId="431EAA14">
      <w:pPr>
        <w:spacing w:line="360" w:lineRule="auto"/>
        <w:ind w:firstLine="480" w:firstLineChars="200"/>
        <w:rPr>
          <w:rFonts w:hint="eastAsia"/>
          <w:sz w:val="24"/>
          <w:szCs w:val="24"/>
        </w:rPr>
      </w:pPr>
      <w:r>
        <w:rPr>
          <w:rFonts w:hint="eastAsia"/>
          <w:sz w:val="24"/>
          <w:szCs w:val="24"/>
        </w:rPr>
        <w:t>（6）其他未尽事宜按照相关设计、施工技术规范执行。</w:t>
      </w:r>
    </w:p>
    <w:p w14:paraId="1E6C5DAA">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六、特别说明</w:t>
      </w:r>
    </w:p>
    <w:p w14:paraId="64559541">
      <w:pPr>
        <w:spacing w:line="360" w:lineRule="auto"/>
        <w:ind w:firstLine="480" w:firstLineChars="200"/>
        <w:rPr>
          <w:rFonts w:hint="eastAsia"/>
          <w:sz w:val="24"/>
          <w:szCs w:val="24"/>
        </w:rPr>
      </w:pPr>
      <w:r>
        <w:rPr>
          <w:rFonts w:hint="eastAsia"/>
          <w:sz w:val="24"/>
          <w:szCs w:val="24"/>
        </w:rPr>
        <w:t>项目设计时间为2025年0</w:t>
      </w:r>
      <w:r>
        <w:rPr>
          <w:rFonts w:hint="eastAsia"/>
          <w:sz w:val="24"/>
          <w:szCs w:val="24"/>
          <w:lang w:val="en-US" w:eastAsia="zh-CN"/>
        </w:rPr>
        <w:t>6</w:t>
      </w:r>
      <w:r>
        <w:rPr>
          <w:rFonts w:hint="eastAsia"/>
          <w:sz w:val="24"/>
          <w:szCs w:val="24"/>
        </w:rPr>
        <w:t>月，施工时间距离现在已有一段距离，请施工单位进场前认真核对图纸，如遇实际情况与设计不符问题，立即停工并告知监理、业主、设计处理。</w:t>
      </w:r>
    </w:p>
    <w:p w14:paraId="4D93177B">
      <w:pPr>
        <w:spacing w:line="360" w:lineRule="auto"/>
        <w:ind w:firstLine="480" w:firstLineChars="200"/>
        <w:rPr>
          <w:rFonts w:hint="eastAsia"/>
          <w:sz w:val="24"/>
          <w:szCs w:val="24"/>
        </w:rPr>
      </w:pPr>
      <w:r>
        <w:rPr>
          <w:rFonts w:hint="eastAsia"/>
          <w:sz w:val="24"/>
          <w:szCs w:val="24"/>
        </w:rPr>
        <w:t>本设计成果文件使用说明：请施工单位、监理单位及其他咨询单位等，在使用之时：</w:t>
      </w:r>
    </w:p>
    <w:p w14:paraId="42930674">
      <w:pPr>
        <w:spacing w:line="360" w:lineRule="auto"/>
        <w:ind w:firstLine="480" w:firstLineChars="200"/>
        <w:rPr>
          <w:rFonts w:hint="eastAsia"/>
          <w:sz w:val="24"/>
          <w:szCs w:val="24"/>
        </w:rPr>
      </w:pPr>
      <w:r>
        <w:rPr>
          <w:rFonts w:hint="eastAsia"/>
          <w:sz w:val="24"/>
          <w:szCs w:val="24"/>
        </w:rPr>
        <w:t>务必仔细阅读并准确、完整的理解成套成果文件；</w:t>
      </w:r>
    </w:p>
    <w:p w14:paraId="7615649E">
      <w:pPr>
        <w:spacing w:line="360" w:lineRule="auto"/>
        <w:ind w:firstLine="480" w:firstLineChars="200"/>
        <w:rPr>
          <w:rFonts w:hint="eastAsia"/>
          <w:sz w:val="24"/>
          <w:szCs w:val="24"/>
        </w:rPr>
      </w:pPr>
      <w:r>
        <w:rPr>
          <w:rFonts w:hint="eastAsia"/>
          <w:sz w:val="24"/>
          <w:szCs w:val="24"/>
        </w:rPr>
        <w:t>参阅相应规范、标准等；</w:t>
      </w:r>
    </w:p>
    <w:p w14:paraId="183AF29A">
      <w:pPr>
        <w:spacing w:line="360" w:lineRule="auto"/>
        <w:ind w:firstLine="480" w:firstLineChars="200"/>
        <w:rPr>
          <w:rFonts w:hint="eastAsia"/>
          <w:sz w:val="24"/>
          <w:szCs w:val="24"/>
        </w:rPr>
      </w:pPr>
      <w:r>
        <w:rPr>
          <w:rFonts w:hint="eastAsia"/>
          <w:sz w:val="24"/>
          <w:szCs w:val="24"/>
        </w:rPr>
        <w:t>辨识项目实时工况、设计边界条件等与设计之刻状况变化的有无等。</w:t>
      </w:r>
    </w:p>
    <w:p w14:paraId="53EC719F">
      <w:pPr>
        <w:spacing w:line="360" w:lineRule="auto"/>
        <w:ind w:firstLine="480" w:firstLineChars="200"/>
        <w:rPr>
          <w:rFonts w:hint="eastAsia"/>
          <w:sz w:val="24"/>
          <w:szCs w:val="24"/>
        </w:rPr>
      </w:pPr>
      <w:r>
        <w:rPr>
          <w:rFonts w:hint="eastAsia"/>
          <w:sz w:val="24"/>
          <w:szCs w:val="24"/>
        </w:rPr>
        <w:t>在此基础上，综合理解、消化解读。如：发现有任何错误或歧义，务请第一时间与设计单位函件联系并解惑；在消解成果文件并无异议后，方可进入各自的下一工作流程。如成果文件有明显错误或不妥，不限于此，使用人仍然“按图”执行，责任自担！由此带来的不便，敬请理解。</w:t>
      </w:r>
    </w:p>
    <w:p w14:paraId="64A9752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i w:val="0"/>
          <w:iCs w:val="0"/>
          <w:caps w:val="0"/>
          <w:color w:val="333333"/>
          <w:spacing w:val="0"/>
          <w:sz w:val="19"/>
          <w:szCs w:val="19"/>
          <w:shd w:val="clear" w:fill="FFFFFF"/>
          <w:lang w:val="en-US" w:eastAsia="zh-CN"/>
        </w:rPr>
      </w:pPr>
    </w:p>
    <w:sectPr>
      <w:type w:val="continuous"/>
      <w:pgSz w:w="23811" w:h="16838" w:orient="landscape"/>
      <w:pgMar w:top="1800" w:right="1440" w:bottom="1800" w:left="1440" w:header="851" w:footer="992" w:gutter="0"/>
      <w:pgNumType w:fmt="decimal"/>
      <w:cols w:equalWidth="0" w:num="2">
        <w:col w:w="10253" w:space="844"/>
        <w:col w:w="9834"/>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2B12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B9D1AE">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0BB9D1AE">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807D4">
    <w:pPr>
      <w:pStyle w:val="4"/>
      <w:rPr>
        <w:rFonts w:hint="default" w:eastAsia="宋体"/>
        <w:b w:val="0"/>
        <w:bCs w:val="0"/>
        <w:sz w:val="21"/>
        <w:szCs w:val="21"/>
        <w:u w:val="single"/>
        <w:lang w:val="en-US" w:eastAsia="zh-CN"/>
      </w:rPr>
    </w:pPr>
    <w:r>
      <w:rPr>
        <w:rFonts w:hint="eastAsia" w:ascii="宋体" w:hAnsi="宋体" w:eastAsia="宋体" w:cs="宋体"/>
        <w:b w:val="0"/>
        <w:bCs w:val="0"/>
        <w:sz w:val="21"/>
        <w:szCs w:val="21"/>
        <w:u w:val="single"/>
        <w:lang w:val="en-US" w:eastAsia="zh-CN"/>
      </w:rPr>
      <w:t>乐山市金口河区共安彝族乡新河村基础设施及人居环境整治改造提升项目                                                                                                                                  S1-02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92185D"/>
    <w:multiLevelType w:val="multilevel"/>
    <w:tmpl w:val="2592185D"/>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0OTk3MTMzN2MxOTc0MDM2ZjMzNzY0NmM5NGYzNGEifQ=="/>
  </w:docVars>
  <w:rsids>
    <w:rsidRoot w:val="00172A27"/>
    <w:rsid w:val="03497003"/>
    <w:rsid w:val="037D35F7"/>
    <w:rsid w:val="04115E30"/>
    <w:rsid w:val="05025A57"/>
    <w:rsid w:val="05E0648B"/>
    <w:rsid w:val="0625667E"/>
    <w:rsid w:val="06511034"/>
    <w:rsid w:val="06D8035C"/>
    <w:rsid w:val="089A127C"/>
    <w:rsid w:val="0A346657"/>
    <w:rsid w:val="0B9F7A13"/>
    <w:rsid w:val="0BCD01C5"/>
    <w:rsid w:val="0E03473E"/>
    <w:rsid w:val="0E577348"/>
    <w:rsid w:val="0F5769E4"/>
    <w:rsid w:val="0FAF28D3"/>
    <w:rsid w:val="101F5115"/>
    <w:rsid w:val="11C72224"/>
    <w:rsid w:val="135F64FB"/>
    <w:rsid w:val="13E26BF6"/>
    <w:rsid w:val="143502C6"/>
    <w:rsid w:val="145558C5"/>
    <w:rsid w:val="146413B0"/>
    <w:rsid w:val="153828B7"/>
    <w:rsid w:val="15945432"/>
    <w:rsid w:val="16B94831"/>
    <w:rsid w:val="16EF70D4"/>
    <w:rsid w:val="16F17282"/>
    <w:rsid w:val="17097A9B"/>
    <w:rsid w:val="18CE17A5"/>
    <w:rsid w:val="19B7221D"/>
    <w:rsid w:val="1A380804"/>
    <w:rsid w:val="1AA93896"/>
    <w:rsid w:val="1AB377E9"/>
    <w:rsid w:val="1AC27C2D"/>
    <w:rsid w:val="1C7A4A9D"/>
    <w:rsid w:val="1D85546D"/>
    <w:rsid w:val="1E2519BA"/>
    <w:rsid w:val="202270E2"/>
    <w:rsid w:val="21FE134A"/>
    <w:rsid w:val="223905D4"/>
    <w:rsid w:val="23782553"/>
    <w:rsid w:val="23E237FA"/>
    <w:rsid w:val="24410CF8"/>
    <w:rsid w:val="2466291A"/>
    <w:rsid w:val="24F42158"/>
    <w:rsid w:val="25F623DD"/>
    <w:rsid w:val="26721998"/>
    <w:rsid w:val="275940EF"/>
    <w:rsid w:val="2B1A1A1D"/>
    <w:rsid w:val="2B693341"/>
    <w:rsid w:val="2B7663F5"/>
    <w:rsid w:val="2BF11AEF"/>
    <w:rsid w:val="2E0B6E95"/>
    <w:rsid w:val="2E7375C8"/>
    <w:rsid w:val="2ED81174"/>
    <w:rsid w:val="2EDA5F7B"/>
    <w:rsid w:val="2F366EE4"/>
    <w:rsid w:val="30270943"/>
    <w:rsid w:val="382B1F06"/>
    <w:rsid w:val="39D83C4C"/>
    <w:rsid w:val="3AD83DDE"/>
    <w:rsid w:val="3B6362FB"/>
    <w:rsid w:val="3C873FCA"/>
    <w:rsid w:val="3D8C7CFA"/>
    <w:rsid w:val="40206650"/>
    <w:rsid w:val="40776B3B"/>
    <w:rsid w:val="42396469"/>
    <w:rsid w:val="42C55F3E"/>
    <w:rsid w:val="459D6604"/>
    <w:rsid w:val="46441D9E"/>
    <w:rsid w:val="47352B62"/>
    <w:rsid w:val="484438E5"/>
    <w:rsid w:val="4A0A29E5"/>
    <w:rsid w:val="4A3B1213"/>
    <w:rsid w:val="4AD0632F"/>
    <w:rsid w:val="4B2B39A3"/>
    <w:rsid w:val="4B694C96"/>
    <w:rsid w:val="4BDA4326"/>
    <w:rsid w:val="4C0063C5"/>
    <w:rsid w:val="4DC06863"/>
    <w:rsid w:val="4DE11B8D"/>
    <w:rsid w:val="4E285290"/>
    <w:rsid w:val="4E4D0DDF"/>
    <w:rsid w:val="4F3A0DE6"/>
    <w:rsid w:val="4FBC0839"/>
    <w:rsid w:val="510339D0"/>
    <w:rsid w:val="515B13C8"/>
    <w:rsid w:val="51A52CE0"/>
    <w:rsid w:val="51C678A2"/>
    <w:rsid w:val="520619D1"/>
    <w:rsid w:val="52B62A54"/>
    <w:rsid w:val="52C25E7E"/>
    <w:rsid w:val="532B14B9"/>
    <w:rsid w:val="542B1649"/>
    <w:rsid w:val="544A1AF3"/>
    <w:rsid w:val="56404289"/>
    <w:rsid w:val="56B12202"/>
    <w:rsid w:val="57515479"/>
    <w:rsid w:val="59923323"/>
    <w:rsid w:val="5A4C0C62"/>
    <w:rsid w:val="5AC03BF8"/>
    <w:rsid w:val="5B2F5EBA"/>
    <w:rsid w:val="5D262597"/>
    <w:rsid w:val="5D661DE2"/>
    <w:rsid w:val="5EBE24CE"/>
    <w:rsid w:val="5EE901A3"/>
    <w:rsid w:val="5FE80968"/>
    <w:rsid w:val="60626B9A"/>
    <w:rsid w:val="61274159"/>
    <w:rsid w:val="62DD135B"/>
    <w:rsid w:val="656C3DE9"/>
    <w:rsid w:val="66BD494B"/>
    <w:rsid w:val="66C44B80"/>
    <w:rsid w:val="6A061647"/>
    <w:rsid w:val="6B4D0219"/>
    <w:rsid w:val="6C783F11"/>
    <w:rsid w:val="6CDF56A5"/>
    <w:rsid w:val="6E4A68BE"/>
    <w:rsid w:val="6EC95A87"/>
    <w:rsid w:val="705E0FFB"/>
    <w:rsid w:val="70727C51"/>
    <w:rsid w:val="70B12FF8"/>
    <w:rsid w:val="711755FC"/>
    <w:rsid w:val="71871D75"/>
    <w:rsid w:val="71BE5CAA"/>
    <w:rsid w:val="74481262"/>
    <w:rsid w:val="74FF2DF6"/>
    <w:rsid w:val="753F29A5"/>
    <w:rsid w:val="77352F6A"/>
    <w:rsid w:val="78D12A7F"/>
    <w:rsid w:val="794A7728"/>
    <w:rsid w:val="79BB32F1"/>
    <w:rsid w:val="79C76953"/>
    <w:rsid w:val="7A480529"/>
    <w:rsid w:val="7C1C7EBF"/>
    <w:rsid w:val="7C785E56"/>
    <w:rsid w:val="7C9A2CE9"/>
    <w:rsid w:val="7D2232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360" w:lineRule="auto"/>
      <w:ind w:firstLine="480"/>
    </w:pPr>
    <w:rPr>
      <w:rFonts w:ascii="宋体" w:hAnsi="宋体"/>
      <w:sz w:val="24"/>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rPr>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character" w:styleId="10">
    <w:name w:val="Emphasis"/>
    <w:basedOn w:val="8"/>
    <w:qFormat/>
    <w:uiPriority w:val="0"/>
    <w:rPr>
      <w:i/>
    </w:rPr>
  </w:style>
  <w:style w:type="character" w:styleId="11">
    <w:name w:val="Hyperlink"/>
    <w:qFormat/>
    <w:uiPriority w:val="0"/>
    <w:rPr>
      <w:color w:val="000000"/>
      <w:u w:val="none"/>
    </w:rPr>
  </w:style>
  <w:style w:type="paragraph" w:customStyle="1" w:styleId="12">
    <w:name w:val="样式4"/>
    <w:basedOn w:val="1"/>
    <w:qFormat/>
    <w:uiPriority w:val="0"/>
    <w:pPr>
      <w:overflowPunct/>
      <w:spacing w:line="240" w:lineRule="auto"/>
      <w:ind w:firstLine="480"/>
      <w:jc w:val="both"/>
    </w:pPr>
    <w:rPr>
      <w:rFonts w:eastAsia="华文中宋"/>
      <w:color w:val="000000"/>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10642</Words>
  <Characters>12289</Characters>
  <Lines>0</Lines>
  <Paragraphs>0</Paragraphs>
  <TotalTime>2</TotalTime>
  <ScaleCrop>false</ScaleCrop>
  <LinksUpToDate>false</LinksUpToDate>
  <CharactersWithSpaces>12575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2022-12-28T11:53:00Z</dcterms:created>
  <dc:creator>Administrator</dc:creator>
  <cp:lastModifiedBy>王燚</cp:lastModifiedBy>
  <cp:lastPrinted>2025-06-17T13:21:00Z</cp:lastPrinted>
  <dcterms:modified xsi:type="dcterms:W3CDTF">2025-08-21T09:17:54Z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D1DC27D9F4814B699F8BF2D30A523D63</vt:lpwstr>
  </property>
  <property fmtid="{D5CDD505-2E9C-101B-9397-08002B2CF9AE}" pid="4" name="KSOTemplateDocerSaveRecord">
    <vt:lpwstr>eyJoZGlkIjoiMTA4MDY1MTJiNDdkYzZhOGNkZTYwNDEwNDgzYTY0YjYiLCJ1c2VySWQiOiIzODU3NTQzMzkifQ==</vt:lpwstr>
  </property>
</Properties>
</file>