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版本号：N511113202500008620251222001</w:t>
      </w:r>
    </w:p>
    <w:p>
      <w:pPr>
        <w:pStyle w:val="null3"/>
        <w:jc w:val="left"/>
        <w:outlineLvl w:val="0"/>
      </w:pPr>
      <w:r>
        <w:rPr>
          <w:rFonts w:ascii="仿宋_GB2312" w:hAnsi="仿宋_GB2312" w:cs="仿宋_GB2312" w:eastAsia="仿宋_GB2312"/>
          <w:sz w:val="48"/>
          <w:b/>
        </w:rPr>
        <w:t>竞 争 性 谈 判 文 件</w:t>
      </w:r>
    </w:p>
    <w:p>
      <w:pPr>
        <w:pStyle w:val="null3"/>
        <w:jc w:val="center"/>
        <w:outlineLvl w:val="0"/>
      </w:pPr>
      <w:r>
        <w:rPr>
          <w:rFonts w:ascii="仿宋_GB2312" w:hAnsi="仿宋_GB2312" w:cs="仿宋_GB2312" w:eastAsia="仿宋_GB2312"/>
          <w:sz w:val="48"/>
          <w:b/>
        </w:rPr>
        <w:t>（货物类）</w:t>
      </w:r>
    </w:p>
    <w:p>
      <w:pPr>
        <w:pStyle w:val="null3"/>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应急公务用车购买</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N5111132025000086</w:t>
      </w:r>
    </w:p>
    <w:p>
      <w:pPr>
        <w:pStyle w:val="null3"/>
        <w:jc w:val="left"/>
        <w:outlineLvl w:val="2"/>
      </w:pPr>
      <w:r>
        <w:rPr>
          <w:rFonts w:ascii="仿宋_GB2312" w:hAnsi="仿宋_GB2312" w:cs="仿宋_GB2312" w:eastAsia="仿宋_GB2312"/>
          <w:sz w:val="28"/>
          <w:b/>
        </w:rPr>
        <w:t>中共乐山市金口河区委办公室</w:t>
      </w:r>
    </w:p>
    <w:p>
      <w:pPr>
        <w:pStyle w:val="null3"/>
        <w:jc w:val="center"/>
        <w:outlineLvl w:val="2"/>
      </w:pPr>
      <w:r>
        <w:rPr>
          <w:rFonts w:ascii="仿宋_GB2312" w:hAnsi="仿宋_GB2312" w:cs="仿宋_GB2312" w:eastAsia="仿宋_GB2312"/>
          <w:sz w:val="28"/>
          <w:b/>
        </w:rPr>
        <w:t>乐山市金口河区政府采购中心</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2025年12月22日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jc w:val="left"/>
      </w:pPr>
      <w:r>
        <w:rPr>
          <w:rFonts w:ascii="仿宋_GB2312" w:hAnsi="仿宋_GB2312" w:cs="仿宋_GB2312" w:eastAsia="仿宋_GB2312"/>
        </w:rPr>
        <w:t>乐山市金口河区政府采购中心</w:t>
      </w:r>
      <w:r>
        <w:rPr>
          <w:rFonts w:ascii="仿宋_GB2312" w:hAnsi="仿宋_GB2312" w:cs="仿宋_GB2312" w:eastAsia="仿宋_GB2312"/>
        </w:rPr>
        <w:t xml:space="preserve"> （以下简称“代理机构”）受 </w:t>
      </w:r>
      <w:r>
        <w:rPr>
          <w:rFonts w:ascii="仿宋_GB2312" w:hAnsi="仿宋_GB2312" w:cs="仿宋_GB2312" w:eastAsia="仿宋_GB2312"/>
        </w:rPr>
        <w:t>中共乐山市金口河区委办公室</w:t>
      </w:r>
      <w:r>
        <w:rPr>
          <w:rFonts w:ascii="仿宋_GB2312" w:hAnsi="仿宋_GB2312" w:cs="仿宋_GB2312" w:eastAsia="仿宋_GB2312"/>
        </w:rPr>
        <w:t xml:space="preserve"> 委托，拟对 </w:t>
      </w:r>
      <w:r>
        <w:rPr>
          <w:rFonts w:ascii="仿宋_GB2312" w:hAnsi="仿宋_GB2312" w:cs="仿宋_GB2312" w:eastAsia="仿宋_GB2312"/>
        </w:rPr>
        <w:t>应急公务用车购买</w:t>
      </w:r>
      <w:r>
        <w:rPr>
          <w:rFonts w:ascii="仿宋_GB2312" w:hAnsi="仿宋_GB2312" w:cs="仿宋_GB2312" w:eastAsia="仿宋_GB2312"/>
        </w:rPr>
        <w:t>采用竞争性谈判方式进行采购，兹邀请符合资格条件的供应商参加谈判。本项目为四川省</w:t>
      </w:r>
      <w:r>
        <w:rPr>
          <w:rFonts w:ascii="仿宋_GB2312" w:hAnsi="仿宋_GB2312" w:cs="仿宋_GB2312" w:eastAsia="仿宋_GB2312"/>
        </w:rPr>
        <w:t>乐山市金口河区</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w:t>
      </w:r>
      <w:r>
        <w:rPr>
          <w:rFonts w:ascii="仿宋_GB2312" w:hAnsi="仿宋_GB2312" w:cs="仿宋_GB2312" w:eastAsia="仿宋_GB2312"/>
          <w:sz w:val="28"/>
          <w:b/>
        </w:rPr>
        <w:t>N5111132025000086</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w:t>
      </w:r>
      <w:r>
        <w:rPr>
          <w:rFonts w:ascii="仿宋_GB2312" w:hAnsi="仿宋_GB2312" w:cs="仿宋_GB2312" w:eastAsia="仿宋_GB2312"/>
          <w:sz w:val="28"/>
          <w:b/>
        </w:rPr>
        <w:t>应急公务用车购买</w:t>
      </w:r>
    </w:p>
    <w:p>
      <w:pPr>
        <w:pStyle w:val="null3"/>
        <w:jc w:val="left"/>
        <w:outlineLvl w:val="2"/>
      </w:pPr>
      <w:r>
        <w:rPr>
          <w:rFonts w:ascii="仿宋_GB2312" w:hAnsi="仿宋_GB2312" w:cs="仿宋_GB2312" w:eastAsia="仿宋_GB2312"/>
          <w:sz w:val="28"/>
          <w:b/>
        </w:rPr>
        <w:t>1.3.谈判项目简介</w:t>
      </w:r>
    </w:p>
    <w:p>
      <w:pPr>
        <w:pStyle w:val="null3"/>
        <w:ind w:firstLine="480"/>
        <w:jc w:val="left"/>
      </w:pPr>
      <w:r>
        <w:rPr>
          <w:rFonts w:ascii="仿宋_GB2312" w:hAnsi="仿宋_GB2312" w:cs="仿宋_GB2312" w:eastAsia="仿宋_GB2312"/>
        </w:rPr>
        <w:t xml:space="preserve"> 本项目为中共乐山市金口河区委办公室应急公务用车购买，预算金额：18万元。</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 xml:space="preserve"> 本项目以发布公告的方式邀请供应商参加谈判。公告在四川政府采购网（www.ccgp-sichuan.gov.cn）发布。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采购包1：无。</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 xml:space="preserve"> 无</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谈判文件，编制、签章、加密并提交响应文件，参加开启、解密响应文件和电子评审，签订采购合同等。</w:t>
      </w:r>
    </w:p>
    <w:p>
      <w:pPr>
        <w:pStyle w:val="null3"/>
        <w:ind w:firstLine="480"/>
        <w:jc w:val="left"/>
      </w:pPr>
      <w:r>
        <w:rPr>
          <w:rFonts w:ascii="仿宋_GB2312" w:hAnsi="仿宋_GB2312" w:cs="仿宋_GB2312" w:eastAsia="仿宋_GB2312"/>
        </w:rPr>
        <w:t>二、供应商应当使用纳入全国公共资源交易平台（四川省）数字证书互认范围的数字证书和电子印章，参加本项目电子化采购活动；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CA及签章服务：通过四川政府采购网-办事指南进行查询</w:t>
      </w:r>
    </w:p>
    <w:p>
      <w:pPr>
        <w:pStyle w:val="null3"/>
        <w:jc w:val="left"/>
        <w:outlineLvl w:val="2"/>
      </w:pPr>
      <w:r>
        <w:rPr>
          <w:rFonts w:ascii="仿宋_GB2312" w:hAnsi="仿宋_GB2312" w:cs="仿宋_GB2312" w:eastAsia="仿宋_GB2312"/>
          <w:sz w:val="28"/>
          <w:b/>
        </w:rPr>
        <w:t>1.7.谈判文件获取时间、方式及地址</w:t>
      </w:r>
    </w:p>
    <w:p>
      <w:pPr>
        <w:pStyle w:val="null3"/>
        <w:ind w:firstLine="480"/>
        <w:jc w:val="left"/>
      </w:pPr>
      <w:r>
        <w:rPr>
          <w:rFonts w:ascii="仿宋_GB2312" w:hAnsi="仿宋_GB2312" w:cs="仿宋_GB2312" w:eastAsia="仿宋_GB2312"/>
        </w:rPr>
        <w:t xml:space="preserve">一、谈判文件获取时间： </w:t>
      </w:r>
      <w:r>
        <w:rPr>
          <w:rFonts w:ascii="仿宋_GB2312" w:hAnsi="仿宋_GB2312" w:cs="仿宋_GB2312" w:eastAsia="仿宋_GB2312"/>
        </w:rPr>
        <w:t>详见采购公告</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二、采购人或者代理机构应当在谈判文件获取时间开始前，将本项目电子谈判文件上传至交易系统，向供应商免费提供，供应商通过交易系统获取谈判文件。供应商成功获取谈判文件后，将收到已获取谈判文件的回执单。未按规定获取谈判文件的供应商，不得参与本次采购活动，不得对谈判文件提起质疑。</w:t>
      </w:r>
    </w:p>
    <w:p>
      <w:pPr>
        <w:pStyle w:val="null3"/>
        <w:ind w:firstLine="480"/>
        <w:jc w:val="left"/>
      </w:pPr>
      <w:r>
        <w:rPr>
          <w:rFonts w:ascii="仿宋_GB2312" w:hAnsi="仿宋_GB2312" w:cs="仿宋_GB2312" w:eastAsia="仿宋_GB2312"/>
        </w:rPr>
        <w:t>注：获取的谈判文件由正文和附件组成，正文部分包括pdf、word两种格式版本，如内容有不一致的，以pdf格式内容为准。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1.8.提交响应文件截止时间及开启时间、方式、地点</w:t>
      </w:r>
    </w:p>
    <w:p>
      <w:pPr>
        <w:pStyle w:val="null3"/>
        <w:ind w:firstLine="480"/>
        <w:jc w:val="left"/>
      </w:pPr>
      <w:r>
        <w:rPr>
          <w:rFonts w:ascii="仿宋_GB2312" w:hAnsi="仿宋_GB2312" w:cs="仿宋_GB2312" w:eastAsia="仿宋_GB2312"/>
        </w:rPr>
        <w:t xml:space="preserve">一、提交响应文件截止时间及开启时间：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二、提交响应文件方式、地点：供应商应当在提交响应文件截止时间前，通过交易系统提交响应文件。成功提交的，供应商将收到已提交响应文件的回执单。</w:t>
      </w:r>
    </w:p>
    <w:p>
      <w:pPr>
        <w:pStyle w:val="null3"/>
        <w:ind w:firstLine="480"/>
        <w:jc w:val="left"/>
      </w:pPr>
      <w:r>
        <w:rPr>
          <w:rFonts w:ascii="仿宋_GB2312" w:hAnsi="仿宋_GB2312" w:cs="仿宋_GB2312" w:eastAsia="仿宋_GB2312"/>
        </w:rPr>
        <w:t>三、本项目采取网上开启，采购人或者代理机构通过交易系统“开标/开启大厅”组织在线开启。</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成交供应商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成交结果、成交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jc w:val="left"/>
        <w:outlineLvl w:val="3"/>
      </w:pPr>
      <w:r>
        <w:rPr>
          <w:rFonts w:ascii="仿宋_GB2312" w:hAnsi="仿宋_GB2312" w:cs="仿宋_GB2312" w:eastAsia="仿宋_GB2312"/>
          <w:sz w:val="24"/>
          <w:b/>
        </w:rPr>
        <w:t>采购人：</w:t>
      </w:r>
      <w:r>
        <w:rPr>
          <w:rFonts w:ascii="仿宋_GB2312" w:hAnsi="仿宋_GB2312" w:cs="仿宋_GB2312" w:eastAsia="仿宋_GB2312"/>
          <w:sz w:val="24"/>
          <w:b/>
        </w:rPr>
        <w:t>中共乐山市金口河区委办公室</w:t>
      </w:r>
    </w:p>
    <w:p>
      <w:pPr>
        <w:pStyle w:val="null3"/>
        <w:jc w:val="left"/>
      </w:pPr>
      <w:r>
        <w:rPr>
          <w:rFonts w:ascii="仿宋_GB2312" w:hAnsi="仿宋_GB2312" w:cs="仿宋_GB2312" w:eastAsia="仿宋_GB2312"/>
        </w:rPr>
        <w:t xml:space="preserve"> 地址： </w:t>
      </w:r>
      <w:r>
        <w:rPr>
          <w:rFonts w:ascii="仿宋_GB2312" w:hAnsi="仿宋_GB2312" w:cs="仿宋_GB2312" w:eastAsia="仿宋_GB2312"/>
        </w:rPr>
        <w:t>乐山市金口河区永和镇和平路143号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614700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易小琴</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13550569432</w:t>
      </w:r>
    </w:p>
    <w:p>
      <w:pPr>
        <w:pStyle w:val="null3"/>
        <w:jc w:val="left"/>
        <w:outlineLvl w:val="3"/>
      </w:pPr>
      <w:r>
        <w:rPr>
          <w:rFonts w:ascii="仿宋_GB2312" w:hAnsi="仿宋_GB2312" w:cs="仿宋_GB2312" w:eastAsia="仿宋_GB2312"/>
          <w:sz w:val="24"/>
          <w:b/>
        </w:rPr>
        <w:t xml:space="preserve">代理机构： </w:t>
      </w:r>
      <w:r>
        <w:rPr>
          <w:rFonts w:ascii="仿宋_GB2312" w:hAnsi="仿宋_GB2312" w:cs="仿宋_GB2312" w:eastAsia="仿宋_GB2312"/>
          <w:sz w:val="24"/>
          <w:b/>
        </w:rPr>
        <w:t>乐山市金口河区政府采购中心</w:t>
      </w:r>
    </w:p>
    <w:p>
      <w:pPr>
        <w:pStyle w:val="null3"/>
        <w:jc w:val="left"/>
      </w:pPr>
      <w:r>
        <w:rPr>
          <w:rFonts w:ascii="仿宋_GB2312" w:hAnsi="仿宋_GB2312" w:cs="仿宋_GB2312" w:eastAsia="仿宋_GB2312"/>
        </w:rPr>
        <w:t xml:space="preserve"> 地址： </w:t>
      </w:r>
      <w:r>
        <w:rPr>
          <w:rFonts w:ascii="仿宋_GB2312" w:hAnsi="仿宋_GB2312" w:cs="仿宋_GB2312" w:eastAsia="仿宋_GB2312"/>
        </w:rPr>
        <w:t>四川省乐山市金口河区滨河路三段153号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614700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袁老师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0833-2713780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jc w:val="left"/>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采购包1：180,000.00元</w:t>
            </w:r>
          </w:p>
          <w:p>
            <w:pPr>
              <w:pStyle w:val="null3"/>
              <w:jc w:val="left"/>
            </w:pPr>
            <w:r>
              <w:rPr>
                <w:rFonts w:ascii="仿宋_GB2312" w:hAnsi="仿宋_GB2312" w:cs="仿宋_GB2312" w:eastAsia="仿宋_GB2312"/>
              </w:rPr>
              <w:t xml:space="preserve"> 供应商报价不得超过谈判文件中规定的预算金额，采购人可以在采购预算内合理设定最高限价，供应商报价不得超过最高限价，最高限价详见第三章。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评审方法</w:t>
            </w:r>
          </w:p>
        </w:tc>
        <w:tc>
          <w:tcPr>
            <w:tcW w:type="dxa" w:w="5004"/>
          </w:tcPr>
          <w:p>
            <w:pPr>
              <w:pStyle w:val="null3"/>
              <w:jc w:val="left"/>
            </w:pPr>
            <w:r>
              <w:rPr>
                <w:rFonts w:ascii="仿宋_GB2312" w:hAnsi="仿宋_GB2312" w:cs="仿宋_GB2312" w:eastAsia="仿宋_GB2312"/>
              </w:rPr>
              <w:t>最低评标价法(具体规则详见第五章)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两个以上供应商可以组成一个联合体，以一个供应商的身份参加采购活动。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响应有效期★</w:t>
            </w:r>
          </w:p>
        </w:tc>
        <w:tc>
          <w:tcPr>
            <w:tcW w:type="dxa" w:w="5004"/>
          </w:tcPr>
          <w:p>
            <w:pPr>
              <w:pStyle w:val="null3"/>
              <w:jc w:val="left"/>
            </w:pPr>
            <w:r>
              <w:rPr>
                <w:rFonts w:ascii="仿宋_GB2312" w:hAnsi="仿宋_GB2312" w:cs="仿宋_GB2312" w:eastAsia="仿宋_GB2312"/>
              </w:rPr>
              <w:t xml:space="preserve">提交响应文件的截止之日起不少于 </w:t>
            </w:r>
            <w:r>
              <w:rPr>
                <w:rFonts w:ascii="仿宋_GB2312" w:hAnsi="仿宋_GB2312" w:cs="仿宋_GB2312" w:eastAsia="仿宋_GB2312"/>
              </w:rPr>
              <w:t>90</w:t>
            </w:r>
            <w:r>
              <w:rPr>
                <w:rFonts w:ascii="仿宋_GB2312" w:hAnsi="仿宋_GB2312" w:cs="仿宋_GB2312" w:eastAsia="仿宋_GB2312"/>
              </w:rPr>
              <w:t xml:space="preserve"> 天。响应文件未明确响应有效期或者少于前述规定天数的，其响应文件按无效处理。</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本项目不收取代理服务费</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采购结果公告</w:t>
            </w:r>
          </w:p>
        </w:tc>
        <w:tc>
          <w:tcPr>
            <w:tcW w:type="dxa" w:w="5004"/>
          </w:tcPr>
          <w:p>
            <w:pPr>
              <w:pStyle w:val="null3"/>
              <w:jc w:val="left"/>
            </w:pPr>
            <w:r>
              <w:rPr>
                <w:rFonts w:ascii="仿宋_GB2312" w:hAnsi="仿宋_GB2312" w:cs="仿宋_GB2312" w:eastAsia="仿宋_GB2312"/>
              </w:rPr>
              <w:t>采购结果将在四川政府采购网予以公告。</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是否组织潜在供应商现场考察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是否召开采购前答疑会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谈判小组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本谈判文件中“★”要求为实质性要求。供应商应当按照第五章评审程序中的符合性审查规定，在响应文件中进行实质性响应，否则作无效响应处理。</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本谈判文件所称的“以上”、“以下”、“内”、“以内”、“不少于”包括本数；所称的“不足”、“低于”、“超过”不包括本数。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一、本谈判文件仅适用于本次竞争性谈判采购项目。</w:t>
      </w:r>
    </w:p>
    <w:p>
      <w:pPr>
        <w:pStyle w:val="null3"/>
        <w:ind w:firstLine="480"/>
        <w:jc w:val="left"/>
      </w:pPr>
      <w:r>
        <w:rPr>
          <w:rFonts w:ascii="仿宋_GB2312" w:hAnsi="仿宋_GB2312" w:cs="仿宋_GB2312" w:eastAsia="仿宋_GB2312"/>
        </w:rPr>
        <w:t xml:space="preserve">二、本谈判文件由 </w:t>
      </w:r>
      <w:r>
        <w:rPr>
          <w:rFonts w:ascii="仿宋_GB2312" w:hAnsi="仿宋_GB2312" w:cs="仿宋_GB2312" w:eastAsia="仿宋_GB2312"/>
        </w:rPr>
        <w:t>中共乐山市金口河区委办公室</w:t>
      </w:r>
      <w:r>
        <w:rPr>
          <w:rFonts w:ascii="仿宋_GB2312" w:hAnsi="仿宋_GB2312" w:cs="仿宋_GB2312" w:eastAsia="仿宋_GB2312"/>
        </w:rPr>
        <w:t xml:space="preserve"> 和 </w:t>
      </w:r>
      <w:r>
        <w:rPr>
          <w:rFonts w:ascii="仿宋_GB2312" w:hAnsi="仿宋_GB2312" w:cs="仿宋_GB2312" w:eastAsia="仿宋_GB2312"/>
        </w:rPr>
        <w:t>乐山市金口河区政府采购中心</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一、“采购人”是指依法进行政府采购的国家机关、事业单位、团体组织。本次谈判的采购人是</w:t>
      </w:r>
      <w:r>
        <w:rPr>
          <w:rFonts w:ascii="仿宋_GB2312" w:hAnsi="仿宋_GB2312" w:cs="仿宋_GB2312" w:eastAsia="仿宋_GB2312"/>
        </w:rPr>
        <w:t>中共乐山市金口河区委办公室</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 xml:space="preserve">二、“供应商”是指按照 </w:t>
      </w:r>
      <w:r>
        <w:rPr>
          <w:rFonts w:ascii="仿宋_GB2312" w:hAnsi="仿宋_GB2312" w:cs="仿宋_GB2312" w:eastAsia="仿宋_GB2312"/>
        </w:rPr>
        <w:t>采购公告</w:t>
      </w:r>
      <w:r>
        <w:rPr>
          <w:rFonts w:ascii="仿宋_GB2312" w:hAnsi="仿宋_GB2312" w:cs="仿宋_GB2312" w:eastAsia="仿宋_GB2312"/>
        </w:rPr>
        <w:t xml:space="preserve"> 规定获取谈判文件，参加采购活动的法人、其他组织或者自然人。</w:t>
      </w:r>
    </w:p>
    <w:p>
      <w:pPr>
        <w:pStyle w:val="null3"/>
        <w:ind w:firstLine="480"/>
        <w:jc w:val="left"/>
      </w:pPr>
      <w:r>
        <w:rPr>
          <w:rFonts w:ascii="仿宋_GB2312" w:hAnsi="仿宋_GB2312" w:cs="仿宋_GB2312" w:eastAsia="仿宋_GB2312"/>
        </w:rPr>
        <w:t xml:space="preserve">三、“代理机构”是指集中采购机构和从事采购代理业务的社会中介机构。本项目的代理机构是 </w:t>
      </w:r>
      <w:r>
        <w:rPr>
          <w:rFonts w:ascii="仿宋_GB2312" w:hAnsi="仿宋_GB2312" w:cs="仿宋_GB2312" w:eastAsia="仿宋_GB2312"/>
        </w:rPr>
        <w:t>乐山市金口河区政府采购中心</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四、“网上开启”是指代理机构通过交易系统在线组织响应文件解密，供应商通过交易系统在线解密响应文件等活动。</w:t>
      </w:r>
    </w:p>
    <w:p>
      <w:pPr>
        <w:pStyle w:val="null3"/>
        <w:ind w:firstLine="480"/>
        <w:jc w:val="left"/>
      </w:pPr>
      <w:r>
        <w:rPr>
          <w:rFonts w:ascii="仿宋_GB2312" w:hAnsi="仿宋_GB2312" w:cs="仿宋_GB2312" w:eastAsia="仿宋_GB2312"/>
        </w:rPr>
        <w:t>五、“电子评审”是指谈判小组开展资格审查、符合性审查、谈判、推荐成交候选供应商、出具谈判报告等活动。</w:t>
      </w:r>
    </w:p>
    <w:p>
      <w:pPr>
        <w:pStyle w:val="null3"/>
        <w:jc w:val="left"/>
        <w:outlineLvl w:val="2"/>
      </w:pPr>
      <w:r>
        <w:rPr>
          <w:rFonts w:ascii="仿宋_GB2312" w:hAnsi="仿宋_GB2312" w:cs="仿宋_GB2312" w:eastAsia="仿宋_GB2312"/>
          <w:sz w:val="28"/>
          <w:b/>
        </w:rPr>
        <w:t>2.3.谈判文件</w:t>
      </w:r>
    </w:p>
    <w:p>
      <w:pPr>
        <w:pStyle w:val="null3"/>
        <w:jc w:val="left"/>
        <w:outlineLvl w:val="3"/>
      </w:pPr>
      <w:r>
        <w:rPr>
          <w:rFonts w:ascii="仿宋_GB2312" w:hAnsi="仿宋_GB2312" w:cs="仿宋_GB2312" w:eastAsia="仿宋_GB2312"/>
          <w:sz w:val="24"/>
          <w:b/>
        </w:rPr>
        <w:t>2.3.1.谈判文件的构成</w:t>
      </w:r>
    </w:p>
    <w:p>
      <w:pPr>
        <w:pStyle w:val="null3"/>
        <w:ind w:firstLine="480"/>
        <w:jc w:val="left"/>
      </w:pPr>
      <w:r>
        <w:rPr>
          <w:rFonts w:ascii="仿宋_GB2312" w:hAnsi="仿宋_GB2312" w:cs="仿宋_GB2312" w:eastAsia="仿宋_GB2312"/>
        </w:rPr>
        <w:t>谈判文件由采购人、代理机构通过交易系统编制、确认，是项目采购活动开展的基本依据，主要包括以下内容：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一、竞争性谈判邀请；</w:t>
      </w:r>
    </w:p>
    <w:p>
      <w:pPr>
        <w:pStyle w:val="null3"/>
        <w:ind w:firstLine="480"/>
        <w:jc w:val="left"/>
      </w:pPr>
      <w:r>
        <w:rPr>
          <w:rFonts w:ascii="仿宋_GB2312" w:hAnsi="仿宋_GB2312" w:cs="仿宋_GB2312" w:eastAsia="仿宋_GB2312"/>
        </w:rPr>
        <w:t>二、供应商须知；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四、谈判过程中可实质性变动的内容；</w:t>
      </w:r>
    </w:p>
    <w:p>
      <w:pPr>
        <w:pStyle w:val="null3"/>
        <w:ind w:firstLine="480"/>
        <w:jc w:val="left"/>
      </w:pPr>
      <w:r>
        <w:rPr>
          <w:rFonts w:ascii="仿宋_GB2312" w:hAnsi="仿宋_GB2312" w:cs="仿宋_GB2312" w:eastAsia="仿宋_GB2312"/>
        </w:rPr>
        <w:t>五、评审办法；</w:t>
      </w:r>
    </w:p>
    <w:p>
      <w:pPr>
        <w:pStyle w:val="null3"/>
        <w:ind w:firstLine="480"/>
        <w:jc w:val="left"/>
      </w:pPr>
      <w:r>
        <w:rPr>
          <w:rFonts w:ascii="仿宋_GB2312" w:hAnsi="仿宋_GB2312" w:cs="仿宋_GB2312" w:eastAsia="仿宋_GB2312"/>
        </w:rPr>
        <w:t>六、响应文件格式；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2.3.2.谈判文件的澄清或者修改</w:t>
      </w:r>
    </w:p>
    <w:p>
      <w:pPr>
        <w:pStyle w:val="null3"/>
        <w:ind w:firstLine="480"/>
        <w:jc w:val="left"/>
      </w:pPr>
      <w:r>
        <w:rPr>
          <w:rFonts w:ascii="仿宋_GB2312" w:hAnsi="仿宋_GB2312" w:cs="仿宋_GB2312" w:eastAsia="仿宋_GB2312"/>
        </w:rPr>
        <w:t>一、提交首次响应文件截止之日前，采购人或者代理机构可以对已发出的谈判文件进行必要的澄清或者修改。</w:t>
      </w:r>
    </w:p>
    <w:p>
      <w:pPr>
        <w:pStyle w:val="null3"/>
        <w:ind w:firstLine="480"/>
        <w:jc w:val="left"/>
      </w:pPr>
      <w:r>
        <w:rPr>
          <w:rFonts w:ascii="仿宋_GB2312" w:hAnsi="仿宋_GB2312" w:cs="仿宋_GB2312" w:eastAsia="仿宋_GB2312"/>
        </w:rPr>
        <w:t>二、澄清或者修改的内容为谈判文件的组成部分，采购人或者代理机构将更正后的谈判文件上传至交易系统，通过交易系统向已获取谈判文件的供应商发送更正通知，在四川政府采购网发布更正公告。更正内容可能影响响应文件编制的，采购人或者代理机构应当在提交首次响应文件截止之日3个工作日前，通过交易系统向已获取谈判文件的供应商发送更正信息，不足3个工作日的，应当顺延提交首次响应文件截止之日。</w:t>
      </w:r>
    </w:p>
    <w:p>
      <w:pPr>
        <w:pStyle w:val="null3"/>
        <w:jc w:val="left"/>
      </w:pPr>
      <w:r>
        <w:rPr>
          <w:rFonts w:ascii="仿宋_GB2312" w:hAnsi="仿宋_GB2312" w:cs="仿宋_GB2312" w:eastAsia="仿宋_GB2312"/>
        </w:rPr>
        <w:t>三、采购人或者代理机构通过交易系统发出更正通知的同时，即为送达供应商。供应商应当及时查看更正公告、更正信息，并根据更正公告、更正信息要求，获取更正后的谈判文件，进行响应文件编制。</w:t>
      </w:r>
    </w:p>
    <w:p>
      <w:pPr>
        <w:pStyle w:val="null3"/>
        <w:jc w:val="left"/>
        <w:outlineLvl w:val="2"/>
      </w:pPr>
      <w:r>
        <w:rPr>
          <w:rFonts w:ascii="仿宋_GB2312" w:hAnsi="仿宋_GB2312" w:cs="仿宋_GB2312" w:eastAsia="仿宋_GB2312"/>
          <w:sz w:val="28"/>
          <w:b/>
        </w:rPr>
        <w:t>2.4.响应文件</w:t>
      </w:r>
    </w:p>
    <w:p>
      <w:pPr>
        <w:pStyle w:val="null3"/>
        <w:jc w:val="left"/>
        <w:outlineLvl w:val="3"/>
      </w:pPr>
      <w:r>
        <w:rPr>
          <w:rFonts w:ascii="仿宋_GB2312" w:hAnsi="仿宋_GB2312" w:cs="仿宋_GB2312" w:eastAsia="仿宋_GB2312"/>
          <w:sz w:val="24"/>
          <w:b/>
        </w:rPr>
        <w:t>2.4.1.响应文件的语言</w:t>
      </w:r>
    </w:p>
    <w:p>
      <w:pPr>
        <w:pStyle w:val="null3"/>
        <w:ind w:firstLine="480"/>
        <w:jc w:val="left"/>
      </w:pPr>
      <w:r>
        <w:rPr>
          <w:rFonts w:ascii="仿宋_GB2312" w:hAnsi="仿宋_GB2312" w:cs="仿宋_GB2312" w:eastAsia="仿宋_GB2312"/>
        </w:rPr>
        <w:t>一、供应商提交的响应文件以及供应商与谈判小组在谈判过程中的所有来往书面文件原则上使用中文。响应文件中如附有外文资料，要对应翻译成中文并附在相关外文资料后面，未翻译的外文资料，谈判小组将视其为无效材料，但以下情形除外：</w:t>
      </w:r>
    </w:p>
    <w:p>
      <w:pPr>
        <w:pStyle w:val="null3"/>
        <w:ind w:firstLine="480"/>
        <w:jc w:val="left"/>
      </w:pPr>
      <w:r>
        <w:rPr>
          <w:rFonts w:ascii="仿宋_GB2312" w:hAnsi="仿宋_GB2312" w:cs="仿宋_GB2312" w:eastAsia="仿宋_GB2312"/>
        </w:rPr>
        <w:t>（一）供应商的法定代表人为外籍人士的，法定代表人的签字和护照；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三、如因未翻译而造成对供应商的不利后果，由供应商承担。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除谈判文件中另有规定外，本项目均采用国家法定的计量单位。</w:t>
      </w:r>
    </w:p>
    <w:p>
      <w:pPr>
        <w:pStyle w:val="null3"/>
        <w:jc w:val="left"/>
        <w:outlineLvl w:val="3"/>
      </w:pPr>
      <w:r>
        <w:rPr>
          <w:rFonts w:ascii="仿宋_GB2312" w:hAnsi="仿宋_GB2312" w:cs="仿宋_GB2312" w:eastAsia="仿宋_GB2312"/>
          <w:sz w:val="24"/>
          <w:b/>
        </w:rPr>
        <w:t>2.4.3.响应货币★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存在前述情形，由供应商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三、如使用供应商所不拥有的知识产权，则在报价中必须包括合法使用该知识产权的相关费用。</w:t>
      </w:r>
    </w:p>
    <w:p>
      <w:pPr>
        <w:pStyle w:val="null3"/>
        <w:jc w:val="left"/>
        <w:outlineLvl w:val="3"/>
      </w:pPr>
      <w:r>
        <w:rPr>
          <w:rFonts w:ascii="仿宋_GB2312" w:hAnsi="仿宋_GB2312" w:cs="仿宋_GB2312" w:eastAsia="仿宋_GB2312"/>
          <w:sz w:val="24"/>
          <w:b/>
        </w:rPr>
        <w:t>2.4.5.响应报价★</w:t>
      </w:r>
    </w:p>
    <w:p>
      <w:pPr>
        <w:pStyle w:val="null3"/>
        <w:ind w:firstLine="480"/>
        <w:jc w:val="left"/>
      </w:pPr>
      <w:r>
        <w:rPr>
          <w:rFonts w:ascii="仿宋_GB2312" w:hAnsi="仿宋_GB2312" w:cs="仿宋_GB2312" w:eastAsia="仿宋_GB2312"/>
        </w:rPr>
        <w:t>供应商的报价是其响应本项目要求的全部工作内容的价格体现或者结算标准，包括供应商完成本项目所需的一切费用。供应商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按照谈判文件第五章评审办法规定进行价格修正的，修正后的报价经供应商加盖电子印章确认后产生约束力。未在规定时间内确认的，视同供应商不确认，作无效响应处理。</w:t>
      </w:r>
    </w:p>
    <w:p>
      <w:pPr>
        <w:pStyle w:val="null3"/>
        <w:jc w:val="left"/>
        <w:outlineLvl w:val="3"/>
      </w:pPr>
      <w:r>
        <w:rPr>
          <w:rFonts w:ascii="仿宋_GB2312" w:hAnsi="仿宋_GB2312" w:cs="仿宋_GB2312" w:eastAsia="仿宋_GB2312"/>
          <w:sz w:val="24"/>
          <w:b/>
        </w:rPr>
        <w:t>2.4.6.响应文件的编制、签章和加密★</w:t>
      </w:r>
    </w:p>
    <w:p>
      <w:pPr>
        <w:pStyle w:val="null3"/>
        <w:ind w:firstLine="480"/>
        <w:jc w:val="left"/>
      </w:pPr>
      <w:r>
        <w:rPr>
          <w:rFonts w:ascii="仿宋_GB2312" w:hAnsi="仿宋_GB2312" w:cs="仿宋_GB2312" w:eastAsia="仿宋_GB2312"/>
        </w:rPr>
        <w:t>一、供应商应当按照谈判文件规定编制响应文件，谈判文件第六章对响应文件格式有要求的，按照格式要求编制响应文件，没有格式要求的，由供应商自行编写。</w:t>
      </w:r>
    </w:p>
    <w:p>
      <w:pPr>
        <w:pStyle w:val="null3"/>
        <w:ind w:firstLine="480"/>
        <w:jc w:val="left"/>
      </w:pPr>
      <w:r>
        <w:rPr>
          <w:rFonts w:ascii="仿宋_GB2312" w:hAnsi="仿宋_GB2312" w:cs="仿宋_GB2312" w:eastAsia="仿宋_GB2312"/>
        </w:rPr>
        <w:t>二、供应商通过四川政府采购网-下载专区下载投标（响应）客户端，使用投标（响应）客户端编制响应文件，完成响应文件编制、加盖电子印章和加密。</w:t>
      </w:r>
    </w:p>
    <w:p>
      <w:pPr>
        <w:pStyle w:val="null3"/>
        <w:jc w:val="left"/>
      </w:pPr>
      <w:r>
        <w:rPr>
          <w:rFonts w:ascii="仿宋_GB2312" w:hAnsi="仿宋_GB2312" w:cs="仿宋_GB2312" w:eastAsia="仿宋_GB2312"/>
          <w:b/>
        </w:rPr>
        <w:t>2.4.7.响应文件的提交★</w:t>
      </w:r>
    </w:p>
    <w:p>
      <w:pPr>
        <w:pStyle w:val="null3"/>
        <w:ind w:firstLine="480"/>
        <w:jc w:val="left"/>
      </w:pPr>
      <w:r>
        <w:rPr>
          <w:rFonts w:ascii="仿宋_GB2312" w:hAnsi="仿宋_GB2312" w:cs="仿宋_GB2312" w:eastAsia="仿宋_GB2312"/>
        </w:rPr>
        <w:t>一、供应商应当在提交响应文件截止时间前，通过交易系统完成响应文件提交，成功提交响应文件的，将收到成功提交响应文件的回执单。成功提交响应文件的供应商信息在提交响应文件截止时间前，将加密保存。</w:t>
      </w:r>
    </w:p>
    <w:p>
      <w:pPr>
        <w:pStyle w:val="null3"/>
        <w:ind w:firstLine="480"/>
        <w:jc w:val="left"/>
      </w:pPr>
      <w:r>
        <w:rPr>
          <w:rFonts w:ascii="仿宋_GB2312" w:hAnsi="仿宋_GB2312" w:cs="仿宋_GB2312" w:eastAsia="仿宋_GB2312"/>
        </w:rPr>
        <w:t>未按谈判文件和采购平台操作规范编制、确认、加密、盖章和提交的响应文件，将被拒绝接收。</w:t>
      </w:r>
    </w:p>
    <w:p>
      <w:pPr>
        <w:pStyle w:val="null3"/>
        <w:ind w:firstLine="480"/>
        <w:jc w:val="left"/>
      </w:pPr>
      <w:r>
        <w:rPr>
          <w:rFonts w:ascii="仿宋_GB2312" w:hAnsi="仿宋_GB2312" w:cs="仿宋_GB2312" w:eastAsia="仿宋_GB2312"/>
        </w:rPr>
        <w:t>二、在提交响应文件截止时间后，采购人或者代理机构不再接受供应商提交响应文件。供应商应充分考虑影响响应文件提交的各种因素，确保在提交响应文件截止时间前完成提交。</w:t>
      </w:r>
    </w:p>
    <w:p>
      <w:pPr>
        <w:pStyle w:val="null3"/>
        <w:ind w:firstLine="480"/>
        <w:jc w:val="left"/>
      </w:pPr>
      <w:r>
        <w:rPr>
          <w:rFonts w:ascii="仿宋_GB2312" w:hAnsi="仿宋_GB2312" w:cs="仿宋_GB2312" w:eastAsia="仿宋_GB2312"/>
        </w:rPr>
        <w:t>三、除提交响应文件的供应商外，其他任何单位和个人不得解密响应文件或者调整修改已提交响应文件的内容及提交状态。</w:t>
      </w:r>
    </w:p>
    <w:p>
      <w:pPr>
        <w:pStyle w:val="null3"/>
        <w:jc w:val="left"/>
        <w:outlineLvl w:val="3"/>
      </w:pPr>
      <w:r>
        <w:rPr>
          <w:rFonts w:ascii="仿宋_GB2312" w:hAnsi="仿宋_GB2312" w:cs="仿宋_GB2312" w:eastAsia="仿宋_GB2312"/>
          <w:sz w:val="24"/>
          <w:b/>
        </w:rPr>
        <w:t>2.4.8.响应文件的补充、修改、撤回★</w:t>
      </w:r>
    </w:p>
    <w:p>
      <w:pPr>
        <w:pStyle w:val="null3"/>
        <w:ind w:firstLine="480"/>
        <w:jc w:val="left"/>
      </w:pPr>
      <w:r>
        <w:rPr>
          <w:rFonts w:ascii="仿宋_GB2312" w:hAnsi="仿宋_GB2312" w:cs="仿宋_GB2312" w:eastAsia="仿宋_GB2312"/>
        </w:rPr>
        <w:t>提交响应文件截止时间前，成功提交响应文件的供应商，可以补充、修改或者撤回已提交的响应文件；进行补充、修改的，应当先行撤回已提交的响应文件，补充、修改后重新提交。</w:t>
      </w:r>
    </w:p>
    <w:p>
      <w:pPr>
        <w:pStyle w:val="null3"/>
        <w:ind w:firstLine="480"/>
        <w:jc w:val="left"/>
      </w:pPr>
      <w:r>
        <w:rPr>
          <w:rFonts w:ascii="仿宋_GB2312" w:hAnsi="仿宋_GB2312" w:cs="仿宋_GB2312" w:eastAsia="仿宋_GB2312"/>
        </w:rPr>
        <w:t>供应商响应文件撤回后，视为未提交过响应文件。</w:t>
      </w:r>
    </w:p>
    <w:p>
      <w:pPr>
        <w:pStyle w:val="null3"/>
        <w:jc w:val="left"/>
        <w:outlineLvl w:val="2"/>
      </w:pPr>
      <w:r>
        <w:rPr>
          <w:rFonts w:ascii="仿宋_GB2312" w:hAnsi="仿宋_GB2312" w:cs="仿宋_GB2312" w:eastAsia="仿宋_GB2312"/>
          <w:sz w:val="28"/>
          <w:b/>
        </w:rPr>
        <w:t>2.5.开启、评审和确定成交供应商</w:t>
      </w:r>
    </w:p>
    <w:p>
      <w:pPr>
        <w:pStyle w:val="null3"/>
        <w:jc w:val="left"/>
        <w:outlineLvl w:val="3"/>
      </w:pPr>
      <w:r>
        <w:rPr>
          <w:rFonts w:ascii="仿宋_GB2312" w:hAnsi="仿宋_GB2312" w:cs="仿宋_GB2312" w:eastAsia="仿宋_GB2312"/>
          <w:sz w:val="24"/>
          <w:b/>
        </w:rPr>
        <w:t>2.5.1.开启</w:t>
      </w:r>
    </w:p>
    <w:p>
      <w:pPr>
        <w:pStyle w:val="null3"/>
        <w:jc w:val="left"/>
        <w:outlineLvl w:val="3"/>
      </w:pPr>
      <w:r>
        <w:rPr>
          <w:rFonts w:ascii="仿宋_GB2312" w:hAnsi="仿宋_GB2312" w:cs="仿宋_GB2312" w:eastAsia="仿宋_GB2312"/>
          <w:sz w:val="24"/>
          <w:b/>
        </w:rPr>
        <w:t>2.5.1.1.开启程序</w:t>
      </w:r>
    </w:p>
    <w:p>
      <w:pPr>
        <w:pStyle w:val="null3"/>
        <w:ind w:firstLine="480"/>
        <w:jc w:val="left"/>
      </w:pPr>
      <w:r>
        <w:rPr>
          <w:rFonts w:ascii="仿宋_GB2312" w:hAnsi="仿宋_GB2312" w:cs="仿宋_GB2312" w:eastAsia="仿宋_GB2312"/>
        </w:rPr>
        <w:t>提交响应文件截止时间后，通过交易系统“开标/开启大厅”网上开启解密响应文件。</w:t>
      </w:r>
    </w:p>
    <w:p>
      <w:pPr>
        <w:pStyle w:val="null3"/>
        <w:jc w:val="left"/>
        <w:outlineLvl w:val="3"/>
      </w:pPr>
      <w:r>
        <w:rPr>
          <w:rFonts w:ascii="仿宋_GB2312" w:hAnsi="仿宋_GB2312" w:cs="仿宋_GB2312" w:eastAsia="仿宋_GB2312"/>
          <w:sz w:val="24"/>
          <w:b/>
        </w:rPr>
        <w:t>2.5.1.2.解密响应文件★</w:t>
      </w:r>
    </w:p>
    <w:p>
      <w:pPr>
        <w:pStyle w:val="null3"/>
        <w:ind w:firstLine="480"/>
        <w:jc w:val="left"/>
      </w:pPr>
      <w:r>
        <w:rPr>
          <w:rFonts w:ascii="仿宋_GB2312" w:hAnsi="仿宋_GB2312" w:cs="仿宋_GB2312" w:eastAsia="仿宋_GB2312"/>
        </w:rPr>
        <w:t xml:space="preserve">提交响应文件截止时间后，成功提交响应文件的供应商符合谈判文件规定数量的，代理机构将启动响应文件解密程序，解密时间为 </w:t>
      </w:r>
      <w:r>
        <w:rPr>
          <w:rFonts w:ascii="仿宋_GB2312" w:hAnsi="仿宋_GB2312" w:cs="仿宋_GB2312" w:eastAsia="仿宋_GB2312"/>
        </w:rPr>
        <w:t>30</w:t>
      </w:r>
      <w:r>
        <w:rPr>
          <w:rFonts w:ascii="仿宋_GB2312" w:hAnsi="仿宋_GB2312" w:cs="仿宋_GB2312" w:eastAsia="仿宋_GB2312"/>
        </w:rPr>
        <w:t xml:space="preserve"> 分钟；供应商应在规定的解密时间内，使用加密响应文件的数字证书进行响应文件解密。除因平台系统故障导致供应商未按时完成解密外，供应商未在规定的解密时间内完成解密的，按无效响应处理。</w:t>
      </w:r>
    </w:p>
    <w:p>
      <w:pPr>
        <w:pStyle w:val="null3"/>
        <w:jc w:val="left"/>
        <w:outlineLvl w:val="3"/>
      </w:pPr>
      <w:r>
        <w:rPr>
          <w:rFonts w:ascii="仿宋_GB2312" w:hAnsi="仿宋_GB2312" w:cs="仿宋_GB2312" w:eastAsia="仿宋_GB2312"/>
          <w:sz w:val="24"/>
          <w:b/>
        </w:rPr>
        <w:t>2.5.1.3.有关要求</w:t>
      </w:r>
    </w:p>
    <w:p>
      <w:pPr>
        <w:pStyle w:val="null3"/>
        <w:ind w:firstLine="480"/>
        <w:jc w:val="left"/>
      </w:pPr>
      <w:r>
        <w:rPr>
          <w:rFonts w:ascii="仿宋_GB2312" w:hAnsi="仿宋_GB2312" w:cs="仿宋_GB2312" w:eastAsia="仿宋_GB2312"/>
        </w:rPr>
        <w:t>成功提交或者成功解密响应文件的供应商不足3家的，采购人或者代理机构应当终止采购活动，发布项目终止公告并说明原因，重新开展采购活动。符合《政府采购非招标采购方式管理办法》第二十七条第二款情形的可以为2家。</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启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供应商在提交响应文件截止时间前的信用记录并保存信用记录结果网页截图，拒绝列入失信被执行人名单、重大税收违法案件当事人名单（重大税收违法失信主体）、政府采购严重违法失信行为记录名单、严重违法失信企业名单中的供应商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2.5.3.评审</w:t>
      </w:r>
    </w:p>
    <w:p>
      <w:pPr>
        <w:pStyle w:val="null3"/>
        <w:ind w:firstLine="480"/>
        <w:jc w:val="left"/>
      </w:pPr>
      <w:r>
        <w:rPr>
          <w:rFonts w:ascii="仿宋_GB2312" w:hAnsi="仿宋_GB2312" w:cs="仿宋_GB2312" w:eastAsia="仿宋_GB2312"/>
        </w:rPr>
        <w:t>详见谈判文件第五章。</w:t>
      </w:r>
    </w:p>
    <w:p>
      <w:pPr>
        <w:pStyle w:val="null3"/>
        <w:jc w:val="left"/>
        <w:outlineLvl w:val="3"/>
      </w:pPr>
      <w:r>
        <w:rPr>
          <w:rFonts w:ascii="仿宋_GB2312" w:hAnsi="仿宋_GB2312" w:cs="仿宋_GB2312" w:eastAsia="仿宋_GB2312"/>
          <w:sz w:val="24"/>
          <w:b/>
        </w:rPr>
        <w:t>2.5.4.成交通知书</w:t>
      </w:r>
    </w:p>
    <w:p>
      <w:pPr>
        <w:pStyle w:val="null3"/>
        <w:ind w:firstLine="480"/>
        <w:jc w:val="left"/>
      </w:pPr>
      <w:r>
        <w:rPr>
          <w:rFonts w:ascii="仿宋_GB2312" w:hAnsi="仿宋_GB2312" w:cs="仿宋_GB2312" w:eastAsia="仿宋_GB2312"/>
        </w:rPr>
        <w:t>一、采购人或者谈判小组确认成交供应商后，代理机构在四川政府采购网发布成交结果公告、通过交易系统发出成交通知书，成交供应商通过交易系统获取成交通知书。</w:t>
      </w:r>
    </w:p>
    <w:p>
      <w:pPr>
        <w:pStyle w:val="null3"/>
        <w:ind w:firstLine="480"/>
        <w:jc w:val="left"/>
      </w:pPr>
      <w:r>
        <w:rPr>
          <w:rFonts w:ascii="仿宋_GB2312" w:hAnsi="仿宋_GB2312" w:cs="仿宋_GB2312" w:eastAsia="仿宋_GB2312"/>
        </w:rPr>
        <w:t>二、成交通知书对采购人和成交供应商均具有法律效力。如果出现政府采购法律法规、规章制度规定的成交无效情形的，将以公告形式宣布发出的成交通知书无效，并依法重新确定成交供应商或者重新开展采购活动。</w:t>
      </w:r>
    </w:p>
    <w:p>
      <w:pPr>
        <w:pStyle w:val="null3"/>
        <w:ind w:firstLine="480"/>
        <w:jc w:val="left"/>
      </w:pPr>
      <w:r>
        <w:rPr>
          <w:rFonts w:ascii="仿宋_GB2312" w:hAnsi="仿宋_GB2312" w:cs="仿宋_GB2312" w:eastAsia="仿宋_GB2312"/>
        </w:rPr>
        <w:t>成交通知书发出后，采购人改变成交结果的，或者成交供应商放弃成交项目的，应当依法承担法律责任。成交供应商放弃成交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一、采购人应在成交通知书发出之日起30日内与成交供应商签订书面合同，采购人因不可抗力原因迟延签订合同的，应当自不可抗力事由消除之日起7日内完成合同签订事宜。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二、采购人和成交供应商签订的书面合同不得对谈判文件确定的事项以及成交供应商的响应文件作实质性修改，采购人不得向成交供应商提出任何不合理的要求作为签订合同的条件。</w:t>
      </w:r>
    </w:p>
    <w:p>
      <w:pPr>
        <w:pStyle w:val="null3"/>
        <w:ind w:firstLine="480"/>
        <w:jc w:val="left"/>
      </w:pPr>
      <w:r>
        <w:rPr>
          <w:rFonts w:ascii="仿宋_GB2312" w:hAnsi="仿宋_GB2312" w:cs="仿宋_GB2312" w:eastAsia="仿宋_GB2312"/>
        </w:rPr>
        <w:t>三、政府采购合同自采购人和成交供应商在书面合同上签章之日起生效。</w:t>
      </w:r>
    </w:p>
    <w:p>
      <w:pPr>
        <w:pStyle w:val="null3"/>
        <w:ind w:firstLine="480"/>
        <w:jc w:val="left"/>
      </w:pPr>
      <w:r>
        <w:rPr>
          <w:rFonts w:ascii="仿宋_GB2312" w:hAnsi="仿宋_GB2312" w:cs="仿宋_GB2312" w:eastAsia="仿宋_GB2312"/>
        </w:rPr>
        <w:t>四、成交供应商完全遵守《中华人民共和国劳动合同法》有关规定和《中华人民共和国妇女权益保障法》中关于“劳动和社会保障权益”的有关要求。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一、严禁成交供应商将本项目合同转包。</w:t>
      </w:r>
    </w:p>
    <w:p>
      <w:pPr>
        <w:pStyle w:val="null3"/>
        <w:ind w:firstLine="480"/>
        <w:jc w:val="left"/>
      </w:pPr>
      <w:r>
        <w:rPr>
          <w:rFonts w:ascii="仿宋_GB2312" w:hAnsi="仿宋_GB2312" w:cs="仿宋_GB2312" w:eastAsia="仿宋_GB2312"/>
        </w:rPr>
        <w:t>二、成交供应商将合同转包的，将依法追究法律责任。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成交供应商协商签订补充合同，但所有补充合同的采购金额不得超过原合同采购金额的百分之十。</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一、采购人与成交供应商应当根据合同的约定依法履行合同义务。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供应商提出验收之日</w:t>
      </w:r>
      <w:r>
        <w:rPr>
          <w:rFonts w:ascii="仿宋_GB2312" w:hAnsi="仿宋_GB2312" w:cs="仿宋_GB2312" w:eastAsia="仿宋_GB2312"/>
        </w:rPr>
        <w:t xml:space="preserve"> ，达到验收条件起 </w:t>
      </w:r>
      <w:r>
        <w:rPr>
          <w:rFonts w:ascii="仿宋_GB2312" w:hAnsi="仿宋_GB2312" w:cs="仿宋_GB2312" w:eastAsia="仿宋_GB2312"/>
        </w:rPr>
        <w:t>10</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1）验收时如发现所交付的货物有短装、次品、损坏或其它不符合标准及合同规定之情形者，采购人应做出详尽的现场记录，或由采购人及成交供应商双方签署备忘录，此现场记录或备忘录可用作补充、缺失和更换损坏部件的有效证据，由此产生的时间延误与有关费用由成交供应商承担，验收期限相应顺延。 （2）成交供应商应将所提供货物的装箱清单、配件、用户使用手册、原厂保修卡等资料交付给采购人；成交供应商不能完整交付货物及本款规定的单证和工具的，必须负责补齐，否则视为未按合同约定交货。</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按国家有关规定、采购文件的服务要求和商务要求、成交供应商的响应文件及承诺以及合同约定标准进行验收</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按国家有关规定、采购文件的服务要求和商务要求、成交供应商的响应文件及承诺以及合同约定标准进行验收</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履约验收参照《财政部关于进一步加强政府采购需求和履约验收管理的指导意见》(财库(2016) 205号)的要求组织进行。</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采购人将按照政府采购合同规定，及时向成交供应商支付采购资金。具体支付约定详见第三章。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采购人、代理机构应当按照《中华人民共和国政府采购法》《政府采购非招标采购方式管理办法》等法律制度的规定组织开展非招标采购活动，并采取必要措施，保证评审在严格保密的情况下进行。</w:t>
      </w:r>
    </w:p>
    <w:p>
      <w:pPr>
        <w:pStyle w:val="null3"/>
        <w:ind w:firstLine="480"/>
        <w:jc w:val="left"/>
      </w:pPr>
      <w:r>
        <w:rPr>
          <w:rFonts w:ascii="仿宋_GB2312" w:hAnsi="仿宋_GB2312" w:cs="仿宋_GB2312" w:eastAsia="仿宋_GB2312"/>
        </w:rPr>
        <w:t>有关人员对评审情况以及在评审过程中获悉的国家秘密、商业秘密负有保密责任。</w:t>
      </w:r>
    </w:p>
    <w:p>
      <w:pPr>
        <w:pStyle w:val="null3"/>
        <w:jc w:val="left"/>
        <w:outlineLvl w:val="3"/>
      </w:pPr>
      <w:r>
        <w:rPr>
          <w:rFonts w:ascii="仿宋_GB2312" w:hAnsi="仿宋_GB2312" w:cs="仿宋_GB2312" w:eastAsia="仿宋_GB2312"/>
          <w:sz w:val="24"/>
          <w:b/>
        </w:rPr>
        <w:t>2.7.2.供应商不得具有的情形★</w:t>
      </w:r>
    </w:p>
    <w:p>
      <w:pPr>
        <w:pStyle w:val="null3"/>
        <w:ind w:firstLine="480"/>
        <w:jc w:val="left"/>
      </w:pPr>
      <w:r>
        <w:rPr>
          <w:rFonts w:ascii="仿宋_GB2312" w:hAnsi="仿宋_GB2312" w:cs="仿宋_GB2312" w:eastAsia="仿宋_GB2312"/>
        </w:rPr>
        <w:t>供应商参加谈判不得有下列情形：</w:t>
      </w:r>
    </w:p>
    <w:p>
      <w:pPr>
        <w:pStyle w:val="null3"/>
        <w:ind w:firstLine="480"/>
        <w:jc w:val="left"/>
      </w:pPr>
      <w:r>
        <w:rPr>
          <w:rFonts w:ascii="仿宋_GB2312" w:hAnsi="仿宋_GB2312" w:cs="仿宋_GB2312" w:eastAsia="仿宋_GB2312"/>
        </w:rPr>
        <w:t>一、有下列情形之一的，视为供应商串通响应：</w:t>
      </w:r>
    </w:p>
    <w:p>
      <w:pPr>
        <w:pStyle w:val="null3"/>
        <w:ind w:firstLine="480"/>
        <w:jc w:val="left"/>
      </w:pPr>
      <w:r>
        <w:rPr>
          <w:rFonts w:ascii="仿宋_GB2312" w:hAnsi="仿宋_GB2312" w:cs="仿宋_GB2312" w:eastAsia="仿宋_GB2312"/>
        </w:rPr>
        <w:t>（一）不同供应商的响应文件异常一致；</w:t>
      </w:r>
    </w:p>
    <w:p>
      <w:pPr>
        <w:pStyle w:val="null3"/>
        <w:ind w:firstLine="480"/>
        <w:jc w:val="left"/>
      </w:pPr>
      <w:r>
        <w:rPr>
          <w:rFonts w:ascii="仿宋_GB2312" w:hAnsi="仿宋_GB2312" w:cs="仿宋_GB2312" w:eastAsia="仿宋_GB2312"/>
        </w:rPr>
        <w:t>（二）不同供应商的响应报价呈规律性差异；</w:t>
      </w:r>
    </w:p>
    <w:p>
      <w:pPr>
        <w:pStyle w:val="null3"/>
        <w:ind w:firstLine="480"/>
        <w:jc w:val="left"/>
      </w:pPr>
      <w:r>
        <w:rPr>
          <w:rFonts w:ascii="仿宋_GB2312" w:hAnsi="仿宋_GB2312" w:cs="仿宋_GB2312" w:eastAsia="仿宋_GB2312"/>
        </w:rPr>
        <w:t>（三）不同供应商的响应文件相互混装；</w:t>
      </w:r>
    </w:p>
    <w:p>
      <w:pPr>
        <w:pStyle w:val="null3"/>
        <w:ind w:firstLine="480"/>
        <w:jc w:val="left"/>
      </w:pPr>
      <w:r>
        <w:rPr>
          <w:rFonts w:ascii="仿宋_GB2312" w:hAnsi="仿宋_GB2312" w:cs="仿宋_GB2312" w:eastAsia="仿宋_GB2312"/>
        </w:rPr>
        <w:t>（四）不同供应商的响应保证金从同一单位或者个人的账户转出；</w:t>
      </w:r>
    </w:p>
    <w:p>
      <w:pPr>
        <w:pStyle w:val="null3"/>
        <w:ind w:firstLine="480"/>
        <w:jc w:val="left"/>
      </w:pPr>
      <w:r>
        <w:rPr>
          <w:rFonts w:ascii="仿宋_GB2312" w:hAnsi="仿宋_GB2312" w:cs="仿宋_GB2312" w:eastAsia="仿宋_GB2312"/>
        </w:rPr>
        <w:t>（五）不同供应商编制或者提交响应文件的计算机网卡MAC地址、CPU序列号、硬盘序列号等硬件信息均异常一致；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供应商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（一）供应商直接或者间接从采购人或者代理机构处获得其他供应商的相关情况并修改其响应文件；</w:t>
      </w:r>
    </w:p>
    <w:p>
      <w:pPr>
        <w:pStyle w:val="null3"/>
        <w:ind w:firstLine="480"/>
        <w:jc w:val="left"/>
      </w:pPr>
      <w:r>
        <w:rPr>
          <w:rFonts w:ascii="仿宋_GB2312" w:hAnsi="仿宋_GB2312" w:cs="仿宋_GB2312" w:eastAsia="仿宋_GB2312"/>
        </w:rPr>
        <w:t>（二）供应商按照采购人或者代理机构的授意撤换、修改响应文件；</w:t>
      </w:r>
    </w:p>
    <w:p>
      <w:pPr>
        <w:pStyle w:val="null3"/>
        <w:ind w:firstLine="480"/>
        <w:jc w:val="left"/>
      </w:pPr>
      <w:r>
        <w:rPr>
          <w:rFonts w:ascii="仿宋_GB2312" w:hAnsi="仿宋_GB2312" w:cs="仿宋_GB2312" w:eastAsia="仿宋_GB2312"/>
        </w:rPr>
        <w:t>（三）供应商之间协商报价、技术方案等响应文件的实质性内容；</w:t>
      </w:r>
    </w:p>
    <w:p>
      <w:pPr>
        <w:pStyle w:val="null3"/>
        <w:ind w:firstLine="480"/>
        <w:jc w:val="left"/>
      </w:pPr>
      <w:r>
        <w:rPr>
          <w:rFonts w:ascii="仿宋_GB2312" w:hAnsi="仿宋_GB2312" w:cs="仿宋_GB2312" w:eastAsia="仿宋_GB2312"/>
        </w:rPr>
        <w:t>（四）属于同一集团、协会、商会等组织成员的供应商按照该组织要求协同参加政府采购活动；</w:t>
      </w:r>
    </w:p>
    <w:p>
      <w:pPr>
        <w:pStyle w:val="null3"/>
        <w:ind w:firstLine="480"/>
        <w:jc w:val="left"/>
      </w:pPr>
      <w:r>
        <w:rPr>
          <w:rFonts w:ascii="仿宋_GB2312" w:hAnsi="仿宋_GB2312" w:cs="仿宋_GB2312" w:eastAsia="仿宋_GB2312"/>
        </w:rPr>
        <w:t>（五）供应商之间事先约定由某一特定供应商成交；</w:t>
      </w:r>
    </w:p>
    <w:p>
      <w:pPr>
        <w:pStyle w:val="null3"/>
        <w:ind w:firstLine="480"/>
        <w:jc w:val="left"/>
      </w:pPr>
      <w:r>
        <w:rPr>
          <w:rFonts w:ascii="仿宋_GB2312" w:hAnsi="仿宋_GB2312" w:cs="仿宋_GB2312" w:eastAsia="仿宋_GB2312"/>
        </w:rPr>
        <w:t>（六）供应商之间商定部分供应商放弃参加政府采购活动或者放弃成交；</w:t>
      </w:r>
    </w:p>
    <w:p>
      <w:pPr>
        <w:pStyle w:val="null3"/>
        <w:ind w:firstLine="480"/>
        <w:jc w:val="left"/>
      </w:pPr>
      <w:r>
        <w:rPr>
          <w:rFonts w:ascii="仿宋_GB2312" w:hAnsi="仿宋_GB2312" w:cs="仿宋_GB2312" w:eastAsia="仿宋_GB2312"/>
        </w:rPr>
        <w:t>（七）供应商与采购人或者代理机构之间、供应商相互之间，为谋求特定供应商成交或者排斥其他供应商的其他串通行为。</w:t>
      </w:r>
    </w:p>
    <w:p>
      <w:pPr>
        <w:pStyle w:val="null3"/>
        <w:ind w:firstLine="480"/>
        <w:jc w:val="left"/>
      </w:pPr>
      <w:r>
        <w:rPr>
          <w:rFonts w:ascii="仿宋_GB2312" w:hAnsi="仿宋_GB2312" w:cs="仿宋_GB2312" w:eastAsia="仿宋_GB2312"/>
        </w:rPr>
        <w:t>三、提供虚假材料谋取成交；</w:t>
      </w:r>
    </w:p>
    <w:p>
      <w:pPr>
        <w:pStyle w:val="null3"/>
        <w:ind w:firstLine="480"/>
        <w:jc w:val="left"/>
      </w:pPr>
      <w:r>
        <w:rPr>
          <w:rFonts w:ascii="仿宋_GB2312" w:hAnsi="仿宋_GB2312" w:cs="仿宋_GB2312" w:eastAsia="仿宋_GB2312"/>
        </w:rPr>
        <w:t>四、采取不正当手段诋毁、排挤其他供应商；</w:t>
      </w:r>
    </w:p>
    <w:p>
      <w:pPr>
        <w:pStyle w:val="null3"/>
        <w:ind w:firstLine="480"/>
        <w:jc w:val="left"/>
      </w:pPr>
      <w:r>
        <w:rPr>
          <w:rFonts w:ascii="仿宋_GB2312" w:hAnsi="仿宋_GB2312" w:cs="仿宋_GB2312" w:eastAsia="仿宋_GB2312"/>
        </w:rPr>
        <w:t>五、与采购人或者代理机构、其他供应商恶意串通；</w:t>
      </w:r>
    </w:p>
    <w:p>
      <w:pPr>
        <w:pStyle w:val="null3"/>
        <w:ind w:firstLine="480"/>
        <w:jc w:val="left"/>
      </w:pPr>
      <w:r>
        <w:rPr>
          <w:rFonts w:ascii="仿宋_GB2312" w:hAnsi="仿宋_GB2312" w:cs="仿宋_GB2312" w:eastAsia="仿宋_GB2312"/>
        </w:rPr>
        <w:t>六、向采购人或者代理机构、谈判小组成员行贿或者提供其他不正当利益；</w:t>
      </w:r>
    </w:p>
    <w:p>
      <w:pPr>
        <w:pStyle w:val="null3"/>
        <w:ind w:firstLine="480"/>
        <w:jc w:val="left"/>
      </w:pPr>
      <w:r>
        <w:rPr>
          <w:rFonts w:ascii="仿宋_GB2312" w:hAnsi="仿宋_GB2312" w:cs="仿宋_GB2312" w:eastAsia="仿宋_GB2312"/>
        </w:rPr>
        <w:t>七、成交后无正当理由拒不与采购人签订政府采购合同；</w:t>
      </w:r>
    </w:p>
    <w:p>
      <w:pPr>
        <w:pStyle w:val="null3"/>
        <w:ind w:firstLine="480"/>
        <w:jc w:val="left"/>
      </w:pPr>
      <w:r>
        <w:rPr>
          <w:rFonts w:ascii="仿宋_GB2312" w:hAnsi="仿宋_GB2312" w:cs="仿宋_GB2312" w:eastAsia="仿宋_GB2312"/>
        </w:rPr>
        <w:t>八、未按照谈判文件确定的事项签订政府采购合同；</w:t>
      </w:r>
    </w:p>
    <w:p>
      <w:pPr>
        <w:pStyle w:val="null3"/>
        <w:ind w:firstLine="480"/>
        <w:jc w:val="left"/>
      </w:pPr>
      <w:r>
        <w:rPr>
          <w:rFonts w:ascii="仿宋_GB2312" w:hAnsi="仿宋_GB2312" w:cs="仿宋_GB2312" w:eastAsia="仿宋_GB2312"/>
        </w:rPr>
        <w:t>九、将政府采购合同转包或者违规分包；</w:t>
      </w:r>
    </w:p>
    <w:p>
      <w:pPr>
        <w:pStyle w:val="null3"/>
        <w:ind w:firstLine="480"/>
        <w:jc w:val="left"/>
      </w:pPr>
      <w:r>
        <w:rPr>
          <w:rFonts w:ascii="仿宋_GB2312" w:hAnsi="仿宋_GB2312" w:cs="仿宋_GB2312" w:eastAsia="仿宋_GB2312"/>
        </w:rPr>
        <w:t>十、提供假冒伪劣产品；</w:t>
      </w:r>
    </w:p>
    <w:p>
      <w:pPr>
        <w:pStyle w:val="null3"/>
        <w:ind w:firstLine="480"/>
        <w:jc w:val="left"/>
      </w:pPr>
      <w:r>
        <w:rPr>
          <w:rFonts w:ascii="仿宋_GB2312" w:hAnsi="仿宋_GB2312" w:cs="仿宋_GB2312" w:eastAsia="仿宋_GB2312"/>
        </w:rPr>
        <w:t>十一、擅自变更、中止或者终止政府采购合同；</w:t>
      </w:r>
    </w:p>
    <w:p>
      <w:pPr>
        <w:pStyle w:val="null3"/>
        <w:ind w:firstLine="480"/>
        <w:jc w:val="left"/>
      </w:pPr>
      <w:r>
        <w:rPr>
          <w:rFonts w:ascii="仿宋_GB2312" w:hAnsi="仿宋_GB2312" w:cs="仿宋_GB2312" w:eastAsia="仿宋_GB2312"/>
        </w:rPr>
        <w:t>十二、拒绝有关部门的监督检查或者向监督检查部门提供虚假情况；</w:t>
      </w:r>
    </w:p>
    <w:p>
      <w:pPr>
        <w:pStyle w:val="null3"/>
        <w:ind w:firstLine="480"/>
        <w:jc w:val="left"/>
      </w:pPr>
      <w:r>
        <w:rPr>
          <w:rFonts w:ascii="仿宋_GB2312" w:hAnsi="仿宋_GB2312" w:cs="仿宋_GB2312" w:eastAsia="仿宋_GB2312"/>
        </w:rPr>
        <w:t>十三、法律法规规定的其他禁止情形。</w:t>
      </w:r>
    </w:p>
    <w:p>
      <w:pPr>
        <w:pStyle w:val="null3"/>
        <w:ind w:firstLine="480"/>
        <w:jc w:val="left"/>
      </w:pPr>
      <w:r>
        <w:rPr>
          <w:rFonts w:ascii="仿宋_GB2312" w:hAnsi="仿宋_GB2312" w:cs="仿宋_GB2312" w:eastAsia="仿宋_GB2312"/>
        </w:rPr>
        <w:t>供应商有前述一至六条情形之一的，作无效响应处理。成交供应商有前述一至六条情形之一的，认定成交无效。此外，将按照规定追究供应商法律责任。属于恶意串通的，将根据《中华人民共和国政府采购法》第七十七条第一款，对供应商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政府采购活动中，采购人员及相关人员与供应商有下列利害关系之一的，应当回避：</w:t>
      </w:r>
    </w:p>
    <w:p>
      <w:pPr>
        <w:pStyle w:val="null3"/>
        <w:ind w:firstLine="480"/>
        <w:jc w:val="left"/>
      </w:pPr>
      <w:r>
        <w:rPr>
          <w:rFonts w:ascii="仿宋_GB2312" w:hAnsi="仿宋_GB2312" w:cs="仿宋_GB2312" w:eastAsia="仿宋_GB2312"/>
        </w:rPr>
        <w:t>一、参加采购活动前3年内与供应商存在劳动关系；</w:t>
      </w:r>
    </w:p>
    <w:p>
      <w:pPr>
        <w:pStyle w:val="null3"/>
        <w:ind w:firstLine="480"/>
        <w:jc w:val="left"/>
      </w:pPr>
      <w:r>
        <w:rPr>
          <w:rFonts w:ascii="仿宋_GB2312" w:hAnsi="仿宋_GB2312" w:cs="仿宋_GB2312" w:eastAsia="仿宋_GB2312"/>
        </w:rPr>
        <w:t>二、参加采购活动前3年内担任供应商的董事、监事；</w:t>
      </w:r>
    </w:p>
    <w:p>
      <w:pPr>
        <w:pStyle w:val="null3"/>
        <w:ind w:firstLine="480"/>
        <w:jc w:val="left"/>
      </w:pPr>
      <w:r>
        <w:rPr>
          <w:rFonts w:ascii="仿宋_GB2312" w:hAnsi="仿宋_GB2312" w:cs="仿宋_GB2312" w:eastAsia="仿宋_GB2312"/>
        </w:rPr>
        <w:t>三、参加采购活动前3年内是供应商的控股股东或者实际控制人；</w:t>
      </w:r>
    </w:p>
    <w:p>
      <w:pPr>
        <w:pStyle w:val="null3"/>
        <w:ind w:firstLine="480"/>
        <w:jc w:val="left"/>
      </w:pPr>
      <w:r>
        <w:rPr>
          <w:rFonts w:ascii="仿宋_GB2312" w:hAnsi="仿宋_GB2312" w:cs="仿宋_GB2312" w:eastAsia="仿宋_GB2312"/>
        </w:rPr>
        <w:t>四、与供应商的法定代表人或者负责人有夫妻、直系血亲、三代以内旁系血亲或者近姻亲关系；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五、与供应商有其他可能影响政府采购活动公平、公正进行的关系。</w:t>
      </w:r>
    </w:p>
    <w:p>
      <w:pPr>
        <w:pStyle w:val="null3"/>
        <w:ind w:firstLine="480"/>
        <w:jc w:val="left"/>
      </w:pPr>
      <w:r>
        <w:rPr>
          <w:rFonts w:ascii="仿宋_GB2312" w:hAnsi="仿宋_GB2312" w:cs="仿宋_GB2312" w:eastAsia="仿宋_GB2312"/>
        </w:rPr>
        <w:t>供应商认为采购人员及相关人员与其他供应商有利害关系的，可以向代理机构书面提出回避申请，并说明理由。代理机构应及时询问被申请回避人员，有利害关系的被申请回避人员应当回避。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二、供应商询问、质疑的答复主体：</w:t>
      </w:r>
    </w:p>
    <w:p>
      <w:pPr>
        <w:pStyle w:val="null3"/>
        <w:ind w:firstLine="480"/>
        <w:jc w:val="left"/>
      </w:pPr>
      <w:r>
        <w:rPr>
          <w:rFonts w:ascii="仿宋_GB2312" w:hAnsi="仿宋_GB2312" w:cs="仿宋_GB2312" w:eastAsia="仿宋_GB2312"/>
        </w:rPr>
        <w:t xml:space="preserve">根据委托代理协议约定，供应商对谈判文件中采购需求的询问、质疑由 </w:t>
      </w:r>
      <w:r>
        <w:rPr>
          <w:rFonts w:ascii="仿宋_GB2312" w:hAnsi="仿宋_GB2312" w:cs="仿宋_GB2312" w:eastAsia="仿宋_GB2312"/>
        </w:rPr>
        <w:t>中共乐山市金口河区委办公室</w:t>
      </w:r>
      <w:r>
        <w:rPr>
          <w:rFonts w:ascii="仿宋_GB2312" w:hAnsi="仿宋_GB2312" w:cs="仿宋_GB2312" w:eastAsia="仿宋_GB2312"/>
        </w:rPr>
        <w:t xml:space="preserve"> 负责答复；供应商对除采购需求外的谈判文件的询问、质疑由 </w:t>
      </w:r>
      <w:r>
        <w:rPr>
          <w:rFonts w:ascii="仿宋_GB2312" w:hAnsi="仿宋_GB2312" w:cs="仿宋_GB2312" w:eastAsia="仿宋_GB2312"/>
        </w:rPr>
        <w:t>乐山市金口河区政府采购中心</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乐山市金口河区政府采购中心</w:t>
      </w:r>
      <w:r>
        <w:rPr>
          <w:rFonts w:ascii="仿宋_GB2312" w:hAnsi="仿宋_GB2312" w:cs="仿宋_GB2312" w:eastAsia="仿宋_GB2312"/>
        </w:rPr>
        <w:t xml:space="preserve"> 负责答复。供应商提出的询问或者质疑超出采购人对代理机构委托授权范围的，代理机构应当告知供应商向采购人提出。采购人、代理机构对答复主体存在争议的，由采购人负责答复。</w:t>
      </w:r>
    </w:p>
    <w:p>
      <w:pPr>
        <w:pStyle w:val="null3"/>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联系人：易小琴</w:t>
      </w:r>
    </w:p>
    <w:p>
      <w:pPr>
        <w:pStyle w:val="null3"/>
        <w:jc w:val="left"/>
      </w:pPr>
      <w:r>
        <w:rPr>
          <w:rFonts w:ascii="仿宋_GB2312" w:hAnsi="仿宋_GB2312" w:cs="仿宋_GB2312" w:eastAsia="仿宋_GB2312"/>
        </w:rPr>
        <w:t>联系电话：13550569432</w:t>
      </w:r>
    </w:p>
    <w:p>
      <w:pPr>
        <w:pStyle w:val="null3"/>
        <w:jc w:val="left"/>
      </w:pPr>
      <w:r>
        <w:rPr>
          <w:rFonts w:ascii="仿宋_GB2312" w:hAnsi="仿宋_GB2312" w:cs="仿宋_GB2312" w:eastAsia="仿宋_GB2312"/>
        </w:rPr>
        <w:t>地址：四川省乐山市金口河区永和镇和平路143号</w:t>
      </w:r>
    </w:p>
    <w:p>
      <w:pPr>
        <w:pStyle w:val="null3"/>
        <w:jc w:val="left"/>
      </w:pPr>
      <w:r>
        <w:rPr>
          <w:rFonts w:ascii="仿宋_GB2312" w:hAnsi="仿宋_GB2312" w:cs="仿宋_GB2312" w:eastAsia="仿宋_GB2312"/>
        </w:rPr>
        <w:t>邮编：614700</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联系人：袁老师</w:t>
      </w:r>
    </w:p>
    <w:p>
      <w:pPr>
        <w:pStyle w:val="null3"/>
        <w:jc w:val="left"/>
      </w:pPr>
      <w:r>
        <w:rPr>
          <w:rFonts w:ascii="仿宋_GB2312" w:hAnsi="仿宋_GB2312" w:cs="仿宋_GB2312" w:eastAsia="仿宋_GB2312"/>
        </w:rPr>
        <w:t>联系电话：0833-2713780</w:t>
      </w:r>
    </w:p>
    <w:p>
      <w:pPr>
        <w:pStyle w:val="null3"/>
        <w:jc w:val="left"/>
      </w:pPr>
      <w:r>
        <w:rPr>
          <w:rFonts w:ascii="仿宋_GB2312" w:hAnsi="仿宋_GB2312" w:cs="仿宋_GB2312" w:eastAsia="仿宋_GB2312"/>
        </w:rPr>
        <w:t>地址：四川省乐山市金口河区滨河路三段153号</w:t>
      </w:r>
    </w:p>
    <w:p>
      <w:pPr>
        <w:pStyle w:val="null3"/>
        <w:jc w:val="left"/>
      </w:pPr>
      <w:r>
        <w:rPr>
          <w:rFonts w:ascii="仿宋_GB2312" w:hAnsi="仿宋_GB2312" w:cs="仿宋_GB2312" w:eastAsia="仿宋_GB2312"/>
        </w:rPr>
        <w:t>邮编：614700</w:t>
      </w:r>
    </w:p>
    <w:p>
      <w:pPr>
        <w:pStyle w:val="null3"/>
        <w:ind w:firstLine="480"/>
        <w:jc w:val="left"/>
      </w:pPr>
      <w:r>
        <w:rPr>
          <w:rFonts w:ascii="仿宋_GB2312" w:hAnsi="仿宋_GB2312" w:cs="仿宋_GB2312" w:eastAsia="仿宋_GB2312"/>
        </w:rPr>
        <w:t>三、供应商提出的询问，应当明确询问事项，如以书面形式提出的，应由供应商签字并加盖公章。</w:t>
      </w:r>
    </w:p>
    <w:p>
      <w:pPr>
        <w:pStyle w:val="null3"/>
        <w:ind w:firstLine="480"/>
        <w:jc w:val="left"/>
      </w:pPr>
      <w:r>
        <w:rPr>
          <w:rFonts w:ascii="仿宋_GB2312" w:hAnsi="仿宋_GB2312" w:cs="仿宋_GB2312" w:eastAsia="仿宋_GB2312"/>
        </w:rPr>
        <w:t>四、供应商认为谈判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一）对可以质疑的谈判文件提出质疑的，为获取谈判文件之日。对更正后的谈判文件提出质疑的，如质疑内容为更正内容，为发出谈判文件更正通知之日；如质疑内容为原谈判文件内容，为获取原谈判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（三）对成交结果提出质疑的，为成交结果公告期限届满之日。</w:t>
      </w:r>
    </w:p>
    <w:p>
      <w:pPr>
        <w:pStyle w:val="null3"/>
        <w:ind w:firstLine="480"/>
        <w:jc w:val="left"/>
      </w:pPr>
      <w:r>
        <w:rPr>
          <w:rFonts w:ascii="仿宋_GB2312" w:hAnsi="仿宋_GB2312" w:cs="仿宋_GB2312" w:eastAsia="仿宋_GB2312"/>
        </w:rPr>
        <w:t>五、供应商通过书面形式线下向采购人或者代理机构提交质疑资料。</w:t>
      </w:r>
    </w:p>
    <w:p>
      <w:pPr>
        <w:pStyle w:val="null3"/>
        <w:ind w:firstLine="480"/>
        <w:jc w:val="left"/>
      </w:pPr>
      <w:r>
        <w:rPr>
          <w:rFonts w:ascii="仿宋_GB2312" w:hAnsi="仿宋_GB2312" w:cs="仿宋_GB2312" w:eastAsia="仿宋_GB2312"/>
        </w:rPr>
        <w:t>六、供应商提出质疑时应当准备的资料：</w:t>
      </w:r>
    </w:p>
    <w:p>
      <w:pPr>
        <w:pStyle w:val="null3"/>
        <w:ind w:firstLine="480"/>
        <w:jc w:val="left"/>
      </w:pPr>
      <w:r>
        <w:rPr>
          <w:rFonts w:ascii="仿宋_GB2312" w:hAnsi="仿宋_GB2312" w:cs="仿宋_GB2312" w:eastAsia="仿宋_GB2312"/>
        </w:rPr>
        <w:t>（一）质疑函正本1份（政府采购供应商质疑函范本可在四川政府采购网下载专区下载）；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（五）针对质疑事项必要的证明材料（针对谈判文件提出的质疑，需提交从交易系统获取的谈判文件回执单）。</w:t>
      </w:r>
    </w:p>
    <w:p>
      <w:pPr>
        <w:pStyle w:val="null3"/>
        <w:ind w:firstLine="480"/>
        <w:jc w:val="left"/>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jc w:val="left"/>
      </w:pPr>
      <w:r>
        <w:rPr>
          <w:rFonts w:ascii="仿宋_GB2312" w:hAnsi="仿宋_GB2312" w:cs="仿宋_GB2312" w:eastAsia="仿宋_GB2312"/>
        </w:rPr>
        <w:t>七、供应商对采购人或者代理机构的质疑答复不满意、采购人或者代理机构未在规定期限内作出答复的，供应商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供应商在全国范围12个月内三次以上投诉查无实据的，由财政部门列入不良行为记录名单。供应商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（三）以非法手段取得证明材料。证据来源的合法性存在明显疑问，供应商无法证明其取得方式合法的，视为以非法手段取得证明材料。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pPr>
      <w:r>
        <w:rPr>
          <w:rFonts w:ascii="仿宋_GB2312" w:hAnsi="仿宋_GB2312" w:cs="仿宋_GB2312" w:eastAsia="仿宋_GB2312"/>
          <w:b/>
        </w:rPr>
        <w:t>2.9.1.平台系统故障处理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谈判小组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对经核实排查认定不属于平台系统故障的，采购人、代理机构、供应商、谈判小组应按政府采购法律制度和平台操作要求开展后续操作。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谈判小组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采购人或者代理机构应当在谈判文件中明确线下样品评审规则和方式，不得对供应商实行差别待遇或者歧视性待遇。样品评审应当全过程录音录像，形成书面评审记录上传至交易系统。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180,000.00</w:t>
      </w:r>
    </w:p>
    <w:p>
      <w:pPr>
        <w:pStyle w:val="null3"/>
        <w:jc w:val="left"/>
      </w:pPr>
      <w:r>
        <w:rPr>
          <w:rFonts w:ascii="仿宋_GB2312" w:hAnsi="仿宋_GB2312" w:cs="仿宋_GB2312" w:eastAsia="仿宋_GB2312"/>
        </w:rPr>
        <w:t>采购包最高限价（元）: 180,000.00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A02030501 轿车</w:t>
            </w:r>
          </w:p>
        </w:tc>
        <w:tc>
          <w:tcPr>
            <w:tcW w:type="dxa" w:w="821"/>
          </w:tcPr>
          <w:p>
            <w:pPr>
              <w:pStyle w:val="null3"/>
              <w:jc w:val="left"/>
            </w:pPr>
            <w:r>
              <w:rPr>
                <w:rFonts w:ascii="仿宋_GB2312" w:hAnsi="仿宋_GB2312" w:cs="仿宋_GB2312" w:eastAsia="仿宋_GB2312"/>
              </w:rPr>
              <w:t>应急公务用车购买</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180,000.00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是</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bl>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应急公务用车购买</w:t>
            </w:r>
          </w:p>
        </w:tc>
        <w:tc>
          <w:tcPr>
            <w:tcW w:type="dxa" w:w="1138"/>
          </w:tcPr>
          <w:p>
            <w:pPr>
              <w:pStyle w:val="null3"/>
              <w:jc w:val="center"/>
            </w:pPr>
            <w:r>
              <w:rPr>
                <w:rFonts w:ascii="仿宋_GB2312" w:hAnsi="仿宋_GB2312" w:cs="仿宋_GB2312" w:eastAsia="仿宋_GB2312"/>
              </w:rPr>
              <w:t>1.00（项）</w:t>
            </w:r>
          </w:p>
        </w:tc>
        <w:tc>
          <w:tcPr>
            <w:tcW w:type="dxa" w:w="1365"/>
          </w:tcPr>
          <w:p>
            <w:pPr>
              <w:pStyle w:val="null3"/>
              <w:jc w:val="center"/>
            </w:pPr>
            <w:r>
              <w:rPr>
                <w:rFonts w:ascii="仿宋_GB2312" w:hAnsi="仿宋_GB2312" w:cs="仿宋_GB2312" w:eastAsia="仿宋_GB2312"/>
              </w:rPr>
              <w:t>180,000.00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供应商的报价中须含完全履行本项目所需的人工费、材料费、设备费、运输费、利润及验收合格交付使用及保修期内保修服务与备用物件和与履约本项目所需要的其他所有费用，采购人在项目结算时不再向成交供应商支付其他任何费用。如出现在响应报价估算错误等引起的损失由报价人自行承担。</w:t>
            </w:r>
          </w:p>
        </w:tc>
      </w:tr>
    </w:tbl>
    <w:p>
      <w:pPr>
        <w:pStyle w:val="null3"/>
        <w:ind w:firstLine="480"/>
        <w:jc w:val="left"/>
      </w:pPr>
      <w:r>
        <w:rPr>
          <w:rFonts w:ascii="仿宋_GB2312" w:hAnsi="仿宋_GB2312" w:cs="仿宋_GB2312" w:eastAsia="仿宋_GB2312"/>
        </w:rPr>
        <w:t>★注：供应商响应产品应当明确品牌和规格型号并指向唯一产品，不能指向唯一产品的，应通过报价表唯一产品说明栏补充说明。</w:t>
      </w:r>
    </w:p>
    <w:p>
      <w:pPr>
        <w:pStyle w:val="null3"/>
        <w:jc w:val="left"/>
      </w:pPr>
      <w:r>
        <w:rPr>
          <w:rFonts w:ascii="仿宋_GB2312" w:hAnsi="仿宋_GB2312" w:cs="仿宋_GB2312" w:eastAsia="仿宋_GB2312"/>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A02030501 轿车</w:t>
            </w:r>
          </w:p>
        </w:tc>
        <w:tc>
          <w:tcPr>
            <w:tcW w:type="dxa" w:w="2492"/>
          </w:tcPr>
          <w:p>
            <w:pPr>
              <w:pStyle w:val="null3"/>
              <w:jc w:val="left"/>
            </w:pPr>
            <w:r>
              <w:rPr>
                <w:rFonts w:ascii="仿宋_GB2312" w:hAnsi="仿宋_GB2312" w:cs="仿宋_GB2312" w:eastAsia="仿宋_GB2312"/>
              </w:rPr>
              <w:t>应急公务用车购买</w:t>
            </w:r>
          </w:p>
        </w:tc>
        <w:tc>
          <w:tcPr>
            <w:tcW w:type="dxa" w:w="2492"/>
          </w:tcPr>
          <w:p>
            <w:pPr>
              <w:pStyle w:val="null3"/>
              <w:jc w:val="left"/>
            </w:pPr>
            <w:r>
              <w:rPr>
                <w:rFonts w:ascii="仿宋_GB2312" w:hAnsi="仿宋_GB2312" w:cs="仿宋_GB2312" w:eastAsia="仿宋_GB2312"/>
              </w:rPr>
              <w:t>应急公务用车购买</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pPr>
      <w:r>
        <w:rPr>
          <w:rFonts w:ascii="仿宋_GB2312" w:hAnsi="仿宋_GB2312" w:cs="仿宋_GB2312" w:eastAsia="仿宋_GB2312"/>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★注：不涉及采购进口产品时，供应商不得提供进口产品进行响应；涉及采购进口产品时，如国产产品满足采购需求，也可提供国产产品进行响应。</w:t>
      </w:r>
    </w:p>
    <w:p>
      <w:pPr>
        <w:pStyle w:val="null3"/>
        <w:jc w:val="left"/>
      </w:pPr>
      <w:r>
        <w:rPr>
          <w:rFonts w:ascii="仿宋_GB2312" w:hAnsi="仿宋_GB2312" w:cs="仿宋_GB2312" w:eastAsia="仿宋_GB2312"/>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供应商应当提供由国家确定的认证机构出具的、处于有效期之内的节能产品认证证书的原件扫描件或“全国认证认可信息公共服务平台”（http://cx.cnca.cn）的认证信息截图，否则作无效响应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供应商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pPr>
      <w:r>
        <w:rPr>
          <w:rFonts w:ascii="仿宋_GB2312" w:hAnsi="仿宋_GB2312" w:cs="仿宋_GB2312" w:eastAsia="仿宋_GB2312"/>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A02030501 轿车</w:t>
            </w:r>
          </w:p>
        </w:tc>
        <w:tc>
          <w:tcPr>
            <w:tcW w:type="dxa" w:w="2492"/>
          </w:tcPr>
          <w:p>
            <w:pPr>
              <w:pStyle w:val="null3"/>
              <w:jc w:val="left"/>
            </w:pPr>
            <w:r>
              <w:rPr>
                <w:rFonts w:ascii="仿宋_GB2312" w:hAnsi="仿宋_GB2312" w:cs="仿宋_GB2312" w:eastAsia="仿宋_GB2312"/>
              </w:rPr>
              <w:t>应急公务用车购买</w:t>
            </w:r>
          </w:p>
        </w:tc>
        <w:tc>
          <w:tcPr>
            <w:tcW w:type="dxa" w:w="2492"/>
          </w:tcPr>
          <w:p>
            <w:pPr>
              <w:pStyle w:val="null3"/>
              <w:jc w:val="left"/>
            </w:pPr>
            <w:r>
              <w:rPr>
                <w:rFonts w:ascii="仿宋_GB2312" w:hAnsi="仿宋_GB2312" w:cs="仿宋_GB2312" w:eastAsia="仿宋_GB2312"/>
              </w:rPr>
              <w:t>应急公务用车购买</w:t>
            </w:r>
          </w:p>
        </w:tc>
      </w:tr>
    </w:tbl>
    <w:p>
      <w:pPr>
        <w:pStyle w:val="null3"/>
        <w:jc w:val="left"/>
      </w:pPr>
      <w:r>
        <w:rPr>
          <w:rFonts w:ascii="仿宋_GB2312" w:hAnsi="仿宋_GB2312" w:cs="仿宋_GB2312" w:eastAsia="仿宋_GB2312"/>
        </w:rPr>
        <w:t>注：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标的名称：应急公务用车购买</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采购清单及要求</w:t>
            </w:r>
          </w:p>
        </w:tc>
        <w:tc>
          <w:tcPr>
            <w:tcW w:type="dxa" w:w="5814"/>
          </w:tcPr>
          <w:p>
            <w:pPr>
              <w:pStyle w:val="null3"/>
              <w:jc w:val="left"/>
            </w:pPr>
            <w:r>
              <w:rPr>
                <w:rFonts w:ascii="仿宋_GB2312" w:hAnsi="仿宋_GB2312" w:cs="仿宋_GB2312" w:eastAsia="仿宋_GB2312"/>
                <w:sz w:val="24"/>
                <w:b/>
              </w:rPr>
              <w:t>一、项目概况</w:t>
            </w:r>
          </w:p>
          <w:p>
            <w:pPr>
              <w:pStyle w:val="null3"/>
              <w:jc w:val="both"/>
              <w:outlineLvl w:val="1"/>
            </w:pPr>
            <w:r>
              <w:rPr>
                <w:rFonts w:ascii="仿宋_GB2312" w:hAnsi="仿宋_GB2312" w:cs="仿宋_GB2312" w:eastAsia="仿宋_GB2312"/>
                <w:sz w:val="24"/>
                <w:b/>
              </w:rPr>
              <w:t xml:space="preserve">   </w:t>
            </w:r>
            <w:r>
              <w:rPr>
                <w:rFonts w:ascii="仿宋_GB2312" w:hAnsi="仿宋_GB2312" w:cs="仿宋_GB2312" w:eastAsia="仿宋_GB2312"/>
                <w:sz w:val="24"/>
                <w:b/>
              </w:rPr>
              <w:t>本项目为中共乐山市金口河区委办公室应急公务用车购买，预算金额：</w:t>
            </w:r>
            <w:r>
              <w:rPr>
                <w:rFonts w:ascii="仿宋_GB2312" w:hAnsi="仿宋_GB2312" w:cs="仿宋_GB2312" w:eastAsia="仿宋_GB2312"/>
                <w:sz w:val="24"/>
                <w:b/>
              </w:rPr>
              <w:t>18万元。</w:t>
            </w:r>
          </w:p>
          <w:p>
            <w:pPr>
              <w:pStyle w:val="null3"/>
              <w:jc w:val="left"/>
            </w:pPr>
            <w:r>
              <w:rPr>
                <w:rFonts w:ascii="仿宋_GB2312" w:hAnsi="仿宋_GB2312" w:cs="仿宋_GB2312" w:eastAsia="仿宋_GB2312"/>
                <w:sz w:val="24"/>
                <w:b/>
              </w:rPr>
              <w:t>二、采购清单及要求（实质性要求）</w:t>
            </w:r>
          </w:p>
          <w:tbl>
            <w:tblPr>
              <w:tblBorders>
                <w:top w:val="none" w:color="000000" w:sz="4"/>
                <w:left w:val="none" w:color="000000" w:sz="4"/>
                <w:bottom w:val="none" w:color="000000" w:sz="4"/>
                <w:right w:val="none" w:color="000000" w:sz="4"/>
                <w:insideH w:val="none"/>
                <w:insideV w:val="none"/>
              </w:tblBorders>
            </w:tblPr>
            <w:tblGrid>
              <w:gridCol w:w="2329"/>
              <w:gridCol w:w="3257"/>
            </w:tblGrid>
            <w:tr>
              <w:tc>
                <w:tcPr>
                  <w:tcW w:type="dxa" w:w="2329"/>
                  <w:tcBorders>
                    <w:top w:val="single" w:color="000000" w:sz="4"/>
                    <w:left w:val="single" w:color="000000" w:sz="4"/>
                    <w:bottom w:val="single" w:color="000000" w:sz="4"/>
                    <w:right w:val="single" w:color="000000" w:sz="4"/>
                  </w:tcBorders>
                  <w:shd w:fill="E7E6E6"/>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名称</w:t>
                  </w:r>
                </w:p>
              </w:tc>
              <w:tc>
                <w:tcPr>
                  <w:tcW w:type="dxa" w:w="3257"/>
                  <w:tcBorders>
                    <w:top w:val="single" w:color="000000" w:sz="4"/>
                    <w:left w:val="single" w:color="000000" w:sz="4"/>
                    <w:bottom w:val="single" w:color="000000" w:sz="4"/>
                    <w:right w:val="single" w:color="000000" w:sz="4"/>
                  </w:tcBorders>
                  <w:shd w:fill="E7E6E6"/>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参数</w:t>
                  </w:r>
                </w:p>
              </w:tc>
            </w:tr>
            <w:tr>
              <w:tc>
                <w:tcPr>
                  <w:tcW w:type="dxa" w:w="23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数量</w:t>
                  </w:r>
                </w:p>
              </w:tc>
              <w:tc>
                <w:tcPr>
                  <w:tcW w:type="dxa" w:w="3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1台</w:t>
                  </w:r>
                </w:p>
              </w:tc>
            </w:tr>
            <w:tr>
              <w:tc>
                <w:tcPr>
                  <w:tcW w:type="dxa" w:w="23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能源类型</w:t>
                  </w:r>
                </w:p>
              </w:tc>
              <w:tc>
                <w:tcPr>
                  <w:tcW w:type="dxa" w:w="3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插电式混合动力</w:t>
                  </w:r>
                </w:p>
              </w:tc>
            </w:tr>
            <w:tr>
              <w:tc>
                <w:tcPr>
                  <w:tcW w:type="dxa" w:w="23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环保标准</w:t>
                  </w:r>
                </w:p>
              </w:tc>
              <w:tc>
                <w:tcPr>
                  <w:tcW w:type="dxa" w:w="3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国</w:t>
                  </w:r>
                  <w:r>
                    <w:rPr>
                      <w:rFonts w:ascii="仿宋_GB2312" w:hAnsi="仿宋_GB2312" w:cs="仿宋_GB2312" w:eastAsia="仿宋_GB2312"/>
                      <w:sz w:val="24"/>
                    </w:rPr>
                    <w:t>VI b</w:t>
                  </w:r>
                </w:p>
              </w:tc>
            </w:tr>
            <w:tr>
              <w:tc>
                <w:tcPr>
                  <w:tcW w:type="dxa" w:w="23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排量</w:t>
                  </w:r>
                  <w:r>
                    <w:rPr>
                      <w:rFonts w:ascii="仿宋_GB2312" w:hAnsi="仿宋_GB2312" w:cs="仿宋_GB2312" w:eastAsia="仿宋_GB2312"/>
                      <w:sz w:val="24"/>
                    </w:rPr>
                    <w:t>(L)</w:t>
                  </w:r>
                </w:p>
              </w:tc>
              <w:tc>
                <w:tcPr>
                  <w:tcW w:type="dxa" w:w="3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≥1.5L</w:t>
                  </w:r>
                </w:p>
              </w:tc>
            </w:tr>
            <w:tr>
              <w:tc>
                <w:tcPr>
                  <w:tcW w:type="dxa" w:w="23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纯电续航里程</w:t>
                  </w:r>
                  <w:r>
                    <w:rPr>
                      <w:rFonts w:ascii="仿宋_GB2312" w:hAnsi="仿宋_GB2312" w:cs="仿宋_GB2312" w:eastAsia="仿宋_GB2312"/>
                      <w:sz w:val="24"/>
                    </w:rPr>
                    <w:t>(km)CLTC</w:t>
                  </w:r>
                </w:p>
              </w:tc>
              <w:tc>
                <w:tcPr>
                  <w:tcW w:type="dxa" w:w="3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≥170</w:t>
                  </w:r>
                </w:p>
              </w:tc>
            </w:tr>
            <w:tr>
              <w:tc>
                <w:tcPr>
                  <w:tcW w:type="dxa" w:w="23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长</w:t>
                  </w:r>
                  <w:r>
                    <w:rPr>
                      <w:rFonts w:ascii="仿宋_GB2312" w:hAnsi="仿宋_GB2312" w:cs="仿宋_GB2312" w:eastAsia="仿宋_GB2312"/>
                      <w:sz w:val="24"/>
                    </w:rPr>
                    <w:t>*宽*高（mm）</w:t>
                  </w:r>
                </w:p>
              </w:tc>
              <w:tc>
                <w:tcPr>
                  <w:tcW w:type="dxa" w:w="3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≥4980x1870x1500</w:t>
                  </w:r>
                </w:p>
              </w:tc>
            </w:tr>
            <w:tr>
              <w:tc>
                <w:tcPr>
                  <w:tcW w:type="dxa" w:w="23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轴距（</w:t>
                  </w:r>
                  <w:r>
                    <w:rPr>
                      <w:rFonts w:ascii="仿宋_GB2312" w:hAnsi="仿宋_GB2312" w:cs="仿宋_GB2312" w:eastAsia="仿宋_GB2312"/>
                      <w:sz w:val="24"/>
                    </w:rPr>
                    <w:t>mm）</w:t>
                  </w:r>
                </w:p>
              </w:tc>
              <w:tc>
                <w:tcPr>
                  <w:tcW w:type="dxa" w:w="3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≥2920</w:t>
                  </w:r>
                </w:p>
              </w:tc>
            </w:tr>
            <w:tr>
              <w:tc>
                <w:tcPr>
                  <w:tcW w:type="dxa" w:w="23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液晶仪表尺寸</w:t>
                  </w:r>
                  <w:r>
                    <w:rPr>
                      <w:rFonts w:ascii="仿宋_GB2312" w:hAnsi="仿宋_GB2312" w:cs="仿宋_GB2312" w:eastAsia="仿宋_GB2312"/>
                      <w:sz w:val="24"/>
                    </w:rPr>
                    <w:t>(英寸)</w:t>
                  </w:r>
                </w:p>
              </w:tc>
              <w:tc>
                <w:tcPr>
                  <w:tcW w:type="dxa" w:w="3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≥12.3</w:t>
                  </w:r>
                </w:p>
              </w:tc>
            </w:tr>
            <w:tr>
              <w:tc>
                <w:tcPr>
                  <w:tcW w:type="dxa" w:w="23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车身结构</w:t>
                  </w:r>
                </w:p>
              </w:tc>
              <w:tc>
                <w:tcPr>
                  <w:tcW w:type="dxa" w:w="3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4门5座三厢车</w:t>
                  </w:r>
                </w:p>
              </w:tc>
            </w:tr>
            <w:tr>
              <w:tc>
                <w:tcPr>
                  <w:tcW w:type="dxa" w:w="23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进气形式</w:t>
                  </w:r>
                </w:p>
              </w:tc>
              <w:tc>
                <w:tcPr>
                  <w:tcW w:type="dxa" w:w="3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涡轮增压</w:t>
                  </w:r>
                </w:p>
              </w:tc>
            </w:tr>
            <w:tr>
              <w:tc>
                <w:tcPr>
                  <w:tcW w:type="dxa" w:w="23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最大功率</w:t>
                  </w:r>
                  <w:r>
                    <w:rPr>
                      <w:rFonts w:ascii="仿宋_GB2312" w:hAnsi="仿宋_GB2312" w:cs="仿宋_GB2312" w:eastAsia="仿宋_GB2312"/>
                      <w:sz w:val="24"/>
                    </w:rPr>
                    <w:t>(kW)</w:t>
                  </w:r>
                </w:p>
              </w:tc>
              <w:tc>
                <w:tcPr>
                  <w:tcW w:type="dxa" w:w="3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≥110</w:t>
                  </w:r>
                </w:p>
              </w:tc>
            </w:tr>
            <w:tr>
              <w:tc>
                <w:tcPr>
                  <w:tcW w:type="dxa" w:w="23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变速箱类型</w:t>
                  </w:r>
                </w:p>
              </w:tc>
              <w:tc>
                <w:tcPr>
                  <w:tcW w:type="dxa" w:w="3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混合动力专用变速箱</w:t>
                  </w:r>
                  <w:r>
                    <w:rPr>
                      <w:rFonts w:ascii="仿宋_GB2312" w:hAnsi="仿宋_GB2312" w:cs="仿宋_GB2312" w:eastAsia="仿宋_GB2312"/>
                      <w:sz w:val="24"/>
                    </w:rPr>
                    <w:t>(DHT)</w:t>
                  </w:r>
                </w:p>
              </w:tc>
            </w:tr>
            <w:tr>
              <w:tc>
                <w:tcPr>
                  <w:tcW w:type="dxa" w:w="23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驱动方式</w:t>
                  </w:r>
                </w:p>
              </w:tc>
              <w:tc>
                <w:tcPr>
                  <w:tcW w:type="dxa" w:w="3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前置前驱</w:t>
                  </w:r>
                </w:p>
              </w:tc>
            </w:tr>
            <w:tr>
              <w:tc>
                <w:tcPr>
                  <w:tcW w:type="dxa" w:w="23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转向类型</w:t>
                  </w:r>
                </w:p>
              </w:tc>
              <w:tc>
                <w:tcPr>
                  <w:tcW w:type="dxa" w:w="3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电动助力</w:t>
                  </w:r>
                </w:p>
              </w:tc>
            </w:tr>
            <w:tr>
              <w:tc>
                <w:tcPr>
                  <w:tcW w:type="dxa" w:w="23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驾驶辅助影像</w:t>
                  </w:r>
                </w:p>
              </w:tc>
              <w:tc>
                <w:tcPr>
                  <w:tcW w:type="dxa" w:w="3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360°全景影像、</w:t>
                  </w:r>
                  <w:r>
                    <w:rPr>
                      <w:rFonts w:ascii="仿宋_GB2312" w:hAnsi="仿宋_GB2312" w:cs="仿宋_GB2312" w:eastAsia="仿宋_GB2312"/>
                      <w:sz w:val="24"/>
                    </w:rPr>
                    <w:t>透明影像、</w:t>
                  </w:r>
                  <w:r>
                    <w:rPr>
                      <w:rFonts w:ascii="仿宋_GB2312" w:hAnsi="仿宋_GB2312" w:cs="仿宋_GB2312" w:eastAsia="仿宋_GB2312"/>
                      <w:sz w:val="24"/>
                    </w:rPr>
                    <w:t>倒车影像</w:t>
                  </w:r>
                </w:p>
              </w:tc>
            </w:tr>
            <w:tr>
              <w:tc>
                <w:tcPr>
                  <w:tcW w:type="dxa" w:w="23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巡航系统</w:t>
                  </w:r>
                </w:p>
              </w:tc>
              <w:tc>
                <w:tcPr>
                  <w:tcW w:type="dxa" w:w="3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定速巡航、自适应巡航、全速自适应巡航</w:t>
                  </w:r>
                </w:p>
              </w:tc>
            </w:tr>
            <w:tr>
              <w:tc>
                <w:tcPr>
                  <w:tcW w:type="dxa" w:w="23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座椅配置</w:t>
                  </w:r>
                </w:p>
              </w:tc>
              <w:tc>
                <w:tcPr>
                  <w:tcW w:type="dxa" w:w="3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前排通风</w:t>
                  </w:r>
                  <w:r>
                    <w:rPr>
                      <w:rFonts w:ascii="仿宋_GB2312" w:hAnsi="仿宋_GB2312" w:cs="仿宋_GB2312" w:eastAsia="仿宋_GB2312"/>
                      <w:sz w:val="24"/>
                    </w:rPr>
                    <w:t>/加热</w:t>
                  </w:r>
                </w:p>
              </w:tc>
            </w:tr>
            <w:tr>
              <w:tc>
                <w:tcPr>
                  <w:tcW w:type="dxa" w:w="23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车内氛围灯</w:t>
                  </w:r>
                </w:p>
              </w:tc>
              <w:tc>
                <w:tcPr>
                  <w:tcW w:type="dxa" w:w="3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253色</w:t>
                  </w:r>
                </w:p>
              </w:tc>
            </w:tr>
            <w:tr>
              <w:tc>
                <w:tcPr>
                  <w:tcW w:type="dxa" w:w="23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远、近灯光源</w:t>
                  </w:r>
                </w:p>
              </w:tc>
              <w:tc>
                <w:tcPr>
                  <w:tcW w:type="dxa" w:w="3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LED</w:t>
                  </w:r>
                </w:p>
              </w:tc>
            </w:tr>
            <w:tr>
              <w:tc>
                <w:tcPr>
                  <w:tcW w:type="dxa" w:w="23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主动安全</w:t>
                  </w:r>
                </w:p>
              </w:tc>
              <w:tc>
                <w:tcPr>
                  <w:tcW w:type="dxa" w:w="3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ABS防抱死、制动力分配(EBD/CBC等)、刹车辅助(EBA/BA等)、牵引力控制(TCS/ASR等)、车身稳定系统(ESP/DSC等)、主动安全预警系统、主动刹车、并线辅助、车道保持辅助系统、车道居中保持。</w:t>
                  </w:r>
                </w:p>
              </w:tc>
            </w:tr>
          </w:tbl>
          <w:p>
            <w:pPr>
              <w:pStyle w:val="null3"/>
              <w:ind w:firstLine="486"/>
              <w:jc w:val="left"/>
            </w:pPr>
            <w:r>
              <w:rPr>
                <w:rFonts w:ascii="仿宋_GB2312" w:hAnsi="仿宋_GB2312" w:cs="仿宋_GB2312" w:eastAsia="仿宋_GB2312"/>
                <w:sz w:val="24"/>
              </w:rPr>
              <w:t>注：</w:t>
            </w:r>
          </w:p>
          <w:p>
            <w:pPr>
              <w:pStyle w:val="null3"/>
              <w:ind w:firstLine="486"/>
              <w:jc w:val="left"/>
            </w:pPr>
            <w:r>
              <w:rPr>
                <w:rFonts w:ascii="仿宋_GB2312" w:hAnsi="仿宋_GB2312" w:cs="仿宋_GB2312" w:eastAsia="仿宋_GB2312"/>
                <w:sz w:val="24"/>
                <w:b/>
              </w:rPr>
              <w:t>1、本项目强制性节能产品：</w:t>
            </w:r>
            <w:r>
              <w:rPr>
                <w:rFonts w:ascii="仿宋_GB2312" w:hAnsi="仿宋_GB2312" w:cs="仿宋_GB2312" w:eastAsia="仿宋_GB2312"/>
                <w:sz w:val="24"/>
              </w:rPr>
              <w:t>无；节能产品：无；</w:t>
            </w:r>
          </w:p>
          <w:p>
            <w:pPr>
              <w:pStyle w:val="null3"/>
              <w:ind w:firstLine="486"/>
              <w:jc w:val="left"/>
            </w:pPr>
            <w:r>
              <w:rPr>
                <w:rFonts w:ascii="仿宋_GB2312" w:hAnsi="仿宋_GB2312" w:cs="仿宋_GB2312" w:eastAsia="仿宋_GB2312"/>
                <w:sz w:val="24"/>
                <w:b/>
              </w:rPr>
              <w:t>2、本项目环境标志产品：</w:t>
            </w:r>
            <w:r>
              <w:rPr>
                <w:rFonts w:ascii="仿宋_GB2312" w:hAnsi="仿宋_GB2312" w:cs="仿宋_GB2312" w:eastAsia="仿宋_GB2312"/>
                <w:sz w:val="24"/>
                <w:b/>
                <w:u w:val="single"/>
              </w:rPr>
              <w:t>乘用车</w:t>
            </w:r>
            <w:r>
              <w:rPr>
                <w:rFonts w:ascii="仿宋_GB2312" w:hAnsi="仿宋_GB2312" w:cs="仿宋_GB2312" w:eastAsia="仿宋_GB2312"/>
                <w:sz w:val="24"/>
                <w:b/>
              </w:rPr>
              <w:t>。</w:t>
            </w:r>
          </w:p>
          <w:p>
            <w:pPr>
              <w:pStyle w:val="null3"/>
              <w:ind w:firstLine="486"/>
              <w:jc w:val="left"/>
            </w:pPr>
            <w:r>
              <w:rPr>
                <w:rFonts w:ascii="仿宋_GB2312" w:hAnsi="仿宋_GB2312" w:cs="仿宋_GB2312" w:eastAsia="仿宋_GB2312"/>
                <w:sz w:val="24"/>
              </w:rPr>
              <w:t>以上产品属于《环境标志产品政府采购品目清单》中的产品，供应商提供由国家确定的认证机构出具的、处于有效期之内的环境标志产品认证证书的原件扫描件或</w:t>
            </w:r>
            <w:r>
              <w:rPr>
                <w:rFonts w:ascii="仿宋_GB2312" w:hAnsi="仿宋_GB2312" w:cs="仿宋_GB2312" w:eastAsia="仿宋_GB2312"/>
                <w:sz w:val="24"/>
              </w:rPr>
              <w:t>“全国认证认可信息公共服务平台”（http://cx.cnca.cn）的认证信息截图，可以享受优先采购政策。具体按谈判文件规定执行。</w:t>
            </w:r>
          </w:p>
          <w:p>
            <w:pPr>
              <w:pStyle w:val="null3"/>
              <w:ind w:firstLine="486"/>
              <w:jc w:val="left"/>
            </w:pPr>
            <w:r>
              <w:rPr>
                <w:rFonts w:ascii="仿宋_GB2312" w:hAnsi="仿宋_GB2312" w:cs="仿宋_GB2312" w:eastAsia="仿宋_GB2312"/>
                <w:sz w:val="24"/>
              </w:rPr>
              <w:t>3、采购清单中产品的技术参数描述如与特定品牌或者型号相匹配，仅作为技术参考，不代表特定产品，如参数中出现品牌或型号仅供参考，供应商可提供等同或优于参数要求的产品。</w:t>
            </w:r>
          </w:p>
          <w:p>
            <w:pPr>
              <w:pStyle w:val="null3"/>
              <w:jc w:val="left"/>
            </w:pPr>
            <w:r>
              <w:rPr>
                <w:rFonts w:ascii="仿宋_GB2312" w:hAnsi="仿宋_GB2312" w:cs="仿宋_GB2312" w:eastAsia="仿宋_GB2312"/>
              </w:rPr>
              <w:t xml:space="preserve"> </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8305"/>
            <w:gridSpan w:val="4"/>
          </w:tcPr>
          <w:p>
            <w:pPr>
              <w:pStyle w:val="null3"/>
              <w:jc w:val="center"/>
            </w:pPr>
            <w:r>
              <w:rPr>
                <w:rFonts w:ascii="仿宋_GB2312" w:hAnsi="仿宋_GB2312" w:cs="仿宋_GB2312" w:eastAsia="仿宋_GB2312"/>
              </w:rPr>
              <w:t>无</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交货时间</w:t>
            </w:r>
          </w:p>
        </w:tc>
        <w:tc>
          <w:tcPr>
            <w:tcW w:type="dxa" w:w="5814"/>
          </w:tcPr>
          <w:p>
            <w:pPr>
              <w:pStyle w:val="null3"/>
              <w:jc w:val="left"/>
            </w:pPr>
            <w:r>
              <w:rPr>
                <w:rFonts w:ascii="仿宋_GB2312" w:hAnsi="仿宋_GB2312" w:cs="仿宋_GB2312" w:eastAsia="仿宋_GB2312"/>
              </w:rPr>
              <w:t>自合同签订之日起15日</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交货地点</w:t>
            </w:r>
          </w:p>
        </w:tc>
        <w:tc>
          <w:tcPr>
            <w:tcW w:type="dxa" w:w="5814"/>
          </w:tcPr>
          <w:p>
            <w:pPr>
              <w:pStyle w:val="null3"/>
              <w:jc w:val="left"/>
            </w:pPr>
            <w:r>
              <w:rPr>
                <w:rFonts w:ascii="仿宋_GB2312" w:hAnsi="仿宋_GB2312" w:cs="仿宋_GB2312" w:eastAsia="仿宋_GB2312"/>
              </w:rPr>
              <w:t>乐山市金口河区或双方约定地点</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一次付清</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1、付款安排，验收合格后30个工作日内，达到付款条件起10日内，据实情况说明为支付合同总金额的100.00%</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按国家有关规定、采购文件的服务要求和商务要求、成交供应商的响应文件及承诺以及合同约定标准进行验收；履约验收参照《财政部关于进一步加强政府采购需求和履约验收管理的指导意见》(财库(2016) 205号)的要求组织进行。</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质量保修范围和保修期</w:t>
            </w:r>
          </w:p>
        </w:tc>
        <w:tc>
          <w:tcPr>
            <w:tcW w:type="dxa" w:w="5814"/>
          </w:tcPr>
          <w:p>
            <w:pPr>
              <w:pStyle w:val="null3"/>
              <w:jc w:val="left"/>
            </w:pPr>
            <w:r>
              <w:rPr>
                <w:rFonts w:ascii="仿宋_GB2312" w:hAnsi="仿宋_GB2312" w:cs="仿宋_GB2312" w:eastAsia="仿宋_GB2312"/>
              </w:rPr>
              <w:t>（1）供应商对所供车辆及设备必须提供技术培训和售后服务，包括设备结构、工作原理、故障判断、故障处理、设备的正常操作、保养、维护、修理等相关内容，费用由供应商自行负责。 （2）车辆及质保期：整车质保（三年或10万公里）；电池组质保（不低于八年或12万公里）；或供应商所投车辆更优的质保期。 （3）供应商保证所供车辆及设备性能良好，若质保期内出现两次重大故障，供应商无条件更换所供同款同型号车辆。 （4）在质保期内及质保期外，供应商接到服务需求电话后1小时内响应，5小时内派专业技术人员到达现场解决问题，一般故障在24小时内修复，重大问题，7天内修复。 （5）质保期后，供应商应向用户提供及时的、优质的、价格优惠的技术服务和备品备件供应，提供终身服务。</w:t>
            </w:r>
          </w:p>
        </w:tc>
      </w:tr>
      <w:tr>
        <w:tc>
          <w:tcPr>
            <w:tcW w:type="dxa" w:w="415"/>
          </w:tcPr>
          <w:p>
            <w:pPr>
              <w:pStyle w:val="null3"/>
              <w:jc w:val="center"/>
            </w:pPr>
            <w:r>
              <w:rPr>
                <w:rFonts w:ascii="仿宋_GB2312" w:hAnsi="仿宋_GB2312" w:cs="仿宋_GB2312" w:eastAsia="仿宋_GB2312"/>
              </w:rPr>
              <w:t>7</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1）违约责任：双方一方违约，不执行、不遵守合同约定条款，且在另一方发出通知后的15天内仍未采取弥补措施的，另一方有权单方面解除合同，并要求违约方承担违约金，如违约金金额低于实际损失的，违约方必须另外予以补偿； （2）解决争议的方式： 在本协议的履行过程中发生的与本协议有关的争议，双方承诺通过友好协商解决。协商不成的，双方同意将争议提交采购人所在地有管辖权的人民法院通过诉讼方式解决。</w:t>
            </w:r>
          </w:p>
        </w:tc>
      </w:tr>
      <w:tr>
        <w:tc>
          <w:tcPr>
            <w:tcW w:type="dxa" w:w="415"/>
          </w:tcPr>
          <w:p>
            <w:pPr>
              <w:pStyle w:val="null3"/>
              <w:jc w:val="center"/>
            </w:pPr>
            <w:r>
              <w:rPr>
                <w:rFonts w:ascii="仿宋_GB2312" w:hAnsi="仿宋_GB2312" w:cs="仿宋_GB2312" w:eastAsia="仿宋_GB2312"/>
              </w:rPr>
              <w:t>8</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包装方式及运输</w:t>
            </w:r>
          </w:p>
        </w:tc>
        <w:tc>
          <w:tcPr>
            <w:tcW w:type="dxa" w:w="5814"/>
          </w:tcPr>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tc>
      </w:tr>
    </w:tbl>
    <w:p>
      <w:pPr>
        <w:pStyle w:val="null3"/>
        <w:jc w:val="left"/>
        <w:outlineLvl w:val="2"/>
      </w:pPr>
      <w:r>
        <w:rPr>
          <w:rFonts w:ascii="仿宋_GB2312" w:hAnsi="仿宋_GB2312" w:cs="仿宋_GB2312" w:eastAsia="仿宋_GB2312"/>
          <w:sz w:val="28"/>
          <w:b/>
        </w:rPr>
        <w:t>3.4.其他要求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 xml:space="preserve"> ★1、报价要求：投标供应商报价为祼车价（包括但不限于：提供首保，全包围脚垫、全车防爆膜、包装、运输、安装、调试、检测、验收合格交付使用之前及保修期内保修服务与备用物件等所有其他有关各项的含税费用）。供应商应协助采购人车辆的上户上牌工作。如出现在报价估算错误等引起的损失由供应商自行承担。 ★2、安全要求：在项目实施过程中的安全责任由成交供应商负全责，采购人不承担任何安全责任，也不承担如发生安全事故产生的任何责任。（提供承诺函盖公章，格式自拟）。★3、质量标准：3.1 投标产品为工信部《道路机动车辆生产企业及产品公告》公告车型。（提供工信部网站公告的截图复印件加盖公章） 3.2 投标产品为市场在售最新款无损全新车辆，且权属清楚，不得侵害他人的知识产权。（提供承诺函盖公章，格式自拟）3.3 提供能反映投标产品技术需求的制造商官方网站截屏资料。 3.4 投标产品符合乐山市上户排放标准。（投标人提供交付车辆时符合上户标准承诺函盖公章，格式自拟）。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谈判过程中可实质性变动的内容</w:t>
      </w:r>
    </w:p>
    <w:p>
      <w:pPr>
        <w:pStyle w:val="null3"/>
        <w:ind w:firstLine="480"/>
        <w:jc w:val="left"/>
      </w:pPr>
      <w:r>
        <w:rPr>
          <w:rFonts w:ascii="仿宋_GB2312" w:hAnsi="仿宋_GB2312" w:cs="仿宋_GB2312" w:eastAsia="仿宋_GB2312"/>
        </w:rPr>
        <w:t>谈判小组可以根据谈判文件和谈判情况实质性变动以下内容：</w:t>
      </w:r>
    </w:p>
    <w:p>
      <w:pPr>
        <w:pStyle w:val="null3"/>
        <w:ind w:firstLine="480"/>
        <w:jc w:val="left"/>
      </w:pPr>
      <w:r>
        <w:rPr>
          <w:rFonts w:ascii="仿宋_GB2312" w:hAnsi="仿宋_GB2312" w:cs="仿宋_GB2312" w:eastAsia="仿宋_GB2312"/>
        </w:rPr>
        <w:t>一、第三章“技术、服务及其他要求”中“3.2.技术要求”，“3.3.服务要求”：</w:t>
      </w:r>
    </w:p>
    <w:p>
      <w:pPr>
        <w:pStyle w:val="null3"/>
        <w:ind w:firstLine="480"/>
        <w:jc w:val="left"/>
      </w:pPr>
      <w:r>
        <w:rPr>
          <w:rFonts w:ascii="仿宋_GB2312" w:hAnsi="仿宋_GB2312" w:cs="仿宋_GB2312" w:eastAsia="仿宋_GB2312"/>
        </w:rPr>
        <w:t>本谈判文件中除标注“★”实质性要求以外的内容，根据采购人项目实际需求可进行谈判。</w:t>
      </w:r>
    </w:p>
    <w:p>
      <w:pPr>
        <w:pStyle w:val="null3"/>
        <w:ind w:firstLine="480"/>
        <w:jc w:val="left"/>
      </w:pPr>
      <w:r>
        <w:rPr>
          <w:rFonts w:ascii="仿宋_GB2312" w:hAnsi="仿宋_GB2312" w:cs="仿宋_GB2312" w:eastAsia="仿宋_GB2312"/>
        </w:rPr>
        <w:t>二、第七章“拟签订采购合同文本”：</w:t>
      </w:r>
    </w:p>
    <w:p>
      <w:pPr>
        <w:pStyle w:val="null3"/>
        <w:ind w:firstLine="480"/>
        <w:jc w:val="left"/>
      </w:pPr>
      <w:r>
        <w:rPr>
          <w:rFonts w:ascii="仿宋_GB2312" w:hAnsi="仿宋_GB2312" w:cs="仿宋_GB2312" w:eastAsia="仿宋_GB2312"/>
        </w:rPr>
        <w:t>本谈判文件中除标注“★”实质性要求以外的内容，根据采购人项目实际需求可进行谈判。</w:t>
      </w:r>
    </w:p>
    <w:p>
      <w:pPr>
        <w:pStyle w:val="null3"/>
        <w:ind w:firstLine="480"/>
        <w:jc w:val="left"/>
      </w:pPr>
      <w:r>
        <w:rPr>
          <w:rFonts w:ascii="仿宋_GB2312" w:hAnsi="仿宋_GB2312" w:cs="仿宋_GB2312" w:eastAsia="仿宋_GB2312"/>
        </w:rPr>
        <w:t>除以上内容外，谈判小组不得变动谈判文件中的其他内容。</w:t>
      </w:r>
    </w:p>
    <w:p>
      <w:pPr>
        <w:pStyle w:val="null3"/>
        <w:ind w:firstLine="480"/>
        <w:jc w:val="left"/>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以书面形式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评审办法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非招标采购方式管理办法》《四川省政府采购评审工作规程（修订）》等法律制度规定，结合本采购项目特点制定本次竞争性谈判评审办法。</w:t>
      </w:r>
    </w:p>
    <w:p>
      <w:pPr>
        <w:pStyle w:val="null3"/>
        <w:ind w:firstLine="480"/>
        <w:jc w:val="left"/>
      </w:pPr>
      <w:r>
        <w:rPr>
          <w:rFonts w:ascii="仿宋_GB2312" w:hAnsi="仿宋_GB2312" w:cs="仿宋_GB2312" w:eastAsia="仿宋_GB2312"/>
        </w:rPr>
        <w:t>二、评审工作由代理机构组织，具体评审事务由依法组建的谈判小组负责。谈判小组由采购人代表和评审专家组成。</w:t>
      </w:r>
    </w:p>
    <w:p>
      <w:pPr>
        <w:pStyle w:val="null3"/>
        <w:ind w:firstLine="480"/>
        <w:jc w:val="left"/>
      </w:pPr>
      <w:r>
        <w:rPr>
          <w:rFonts w:ascii="仿宋_GB2312" w:hAnsi="仿宋_GB2312" w:cs="仿宋_GB2312" w:eastAsia="仿宋_GB2312"/>
        </w:rPr>
        <w:t>三、评审工作应遵循客观、公正、审慎的原则，根据谈判文件规定的评审程序、评审方法和评审标准进行独立评审。</w:t>
      </w:r>
    </w:p>
    <w:p>
      <w:pPr>
        <w:pStyle w:val="null3"/>
        <w:ind w:firstLine="480"/>
        <w:jc w:val="left"/>
      </w:pPr>
      <w:r>
        <w:rPr>
          <w:rFonts w:ascii="仿宋_GB2312" w:hAnsi="仿宋_GB2312" w:cs="仿宋_GB2312" w:eastAsia="仿宋_GB2312"/>
        </w:rPr>
        <w:t>四、本项目采取电子评审，通过交易系统完成评审工作。谈判小组成员、采购人、代理机构和供应商应当按照本谈判文件规定和交易系统操作要求开展或者参加评审活动。</w:t>
      </w:r>
    </w:p>
    <w:p>
      <w:pPr>
        <w:pStyle w:val="null3"/>
        <w:ind w:firstLine="480"/>
        <w:jc w:val="left"/>
      </w:pPr>
      <w:r>
        <w:rPr>
          <w:rFonts w:ascii="仿宋_GB2312" w:hAnsi="仿宋_GB2312" w:cs="仿宋_GB2312" w:eastAsia="仿宋_GB2312"/>
        </w:rPr>
        <w:t>五、评审过程中的书面材料往来均通过交易系统传递，需要供应商电子签章的，供应商应按规定加盖电子印章。谈判小组成员在签署谈判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审过程应当独立、保密，任何单位和个人不得非法干预评审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审活动的，将依法追究其责任。</w:t>
      </w:r>
    </w:p>
    <w:p>
      <w:pPr>
        <w:pStyle w:val="null3"/>
        <w:jc w:val="left"/>
        <w:outlineLvl w:val="2"/>
      </w:pPr>
      <w:r>
        <w:rPr>
          <w:rFonts w:ascii="仿宋_GB2312" w:hAnsi="仿宋_GB2312" w:cs="仿宋_GB2312" w:eastAsia="仿宋_GB2312"/>
          <w:sz w:val="28"/>
          <w:b/>
        </w:rPr>
        <w:t>5.2.谈判小组</w:t>
      </w:r>
    </w:p>
    <w:p>
      <w:pPr>
        <w:pStyle w:val="null3"/>
        <w:ind w:firstLine="480"/>
        <w:jc w:val="left"/>
      </w:pPr>
      <w:r>
        <w:rPr>
          <w:rFonts w:ascii="仿宋_GB2312" w:hAnsi="仿宋_GB2312" w:cs="仿宋_GB2312" w:eastAsia="仿宋_GB2312"/>
        </w:rPr>
        <w:t>一、本项目谈判小组成员人数应为3人以上单数，其中评审专家不得少于成员总数的三分之二。采购预算金额达到公开招标数额标准的货物和服务采购项目，或者达到招标规模标准的政府采购工程，谈判小组成员人数应为5人以上单数。评审专家由代理机构采取随机方式在采购平台的评审专家库系统（以下简称“专家库系统”）抽取。技术复杂、专业性强的采购项目，通过随机方式难以确定合适的评审专家的，经主管预算单位同意，可以自行选定评审专家。技术复杂、专业性强的采购项目，评审专家中应当包含1名法律专家。</w:t>
      </w:r>
    </w:p>
    <w:p>
      <w:pPr>
        <w:pStyle w:val="null3"/>
        <w:ind w:firstLine="480"/>
        <w:jc w:val="left"/>
      </w:pPr>
      <w:r>
        <w:rPr>
          <w:rFonts w:ascii="仿宋_GB2312" w:hAnsi="仿宋_GB2312" w:cs="仿宋_GB2312" w:eastAsia="仿宋_GB2312"/>
        </w:rPr>
        <w:t>二、谈判小组成员应当满足并适应电子化采购评审的工作需要，登录交易系统进入项目评审功能模块确认身份、签到、推荐谈判小组组长。采购人代表可以使用采购人代表专用签章确认评审意见。</w:t>
      </w:r>
    </w:p>
    <w:p>
      <w:pPr>
        <w:pStyle w:val="null3"/>
        <w:ind w:firstLine="480"/>
        <w:jc w:val="left"/>
      </w:pPr>
      <w:r>
        <w:rPr>
          <w:rFonts w:ascii="仿宋_GB2312" w:hAnsi="仿宋_GB2312" w:cs="仿宋_GB2312" w:eastAsia="仿宋_GB2312"/>
        </w:rPr>
        <w:t>三、谈判小组成员获取解密后的响应文件，开展评审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投标文件，按规定重新组建谈判小组，解封响应文件后，开展评审活动。</w:t>
      </w:r>
    </w:p>
    <w:p>
      <w:pPr>
        <w:pStyle w:val="null3"/>
        <w:ind w:firstLine="480"/>
        <w:jc w:val="left"/>
      </w:pPr>
      <w:r>
        <w:rPr>
          <w:rFonts w:ascii="仿宋_GB2312" w:hAnsi="仿宋_GB2312" w:cs="仿宋_GB2312" w:eastAsia="仿宋_GB2312"/>
        </w:rPr>
        <w:t>四、谈判小组应当履行下列职责：</w:t>
      </w:r>
    </w:p>
    <w:p>
      <w:pPr>
        <w:pStyle w:val="null3"/>
        <w:ind w:firstLine="480"/>
        <w:jc w:val="left"/>
      </w:pPr>
      <w:r>
        <w:rPr>
          <w:rFonts w:ascii="仿宋_GB2312" w:hAnsi="仿宋_GB2312" w:cs="仿宋_GB2312" w:eastAsia="仿宋_GB2312"/>
        </w:rPr>
        <w:t>（一）熟悉和理解谈判文件；</w:t>
      </w:r>
    </w:p>
    <w:p>
      <w:pPr>
        <w:pStyle w:val="null3"/>
        <w:ind w:firstLine="480"/>
        <w:jc w:val="left"/>
      </w:pPr>
      <w:r>
        <w:rPr>
          <w:rFonts w:ascii="仿宋_GB2312" w:hAnsi="仿宋_GB2312" w:cs="仿宋_GB2312" w:eastAsia="仿宋_GB2312"/>
        </w:rPr>
        <w:t>（二）审查、评价供应商响应文件等是否满足谈判文件要求；</w:t>
      </w:r>
    </w:p>
    <w:p>
      <w:pPr>
        <w:pStyle w:val="null3"/>
        <w:ind w:firstLine="480"/>
        <w:jc w:val="left"/>
      </w:pPr>
      <w:r>
        <w:rPr>
          <w:rFonts w:ascii="仿宋_GB2312" w:hAnsi="仿宋_GB2312" w:cs="仿宋_GB2312" w:eastAsia="仿宋_GB2312"/>
        </w:rPr>
        <w:t>（三）对响应文件进行比较和评价；</w:t>
      </w:r>
    </w:p>
    <w:p>
      <w:pPr>
        <w:pStyle w:val="null3"/>
        <w:ind w:firstLine="480"/>
        <w:jc w:val="left"/>
      </w:pPr>
      <w:r>
        <w:rPr>
          <w:rFonts w:ascii="仿宋_GB2312" w:hAnsi="仿宋_GB2312" w:cs="仿宋_GB2312" w:eastAsia="仿宋_GB2312"/>
        </w:rPr>
        <w:t>（四）根据需要要求采购人、代理机构对谈判文件作出解释；根据需要要求供应商对响应文件有关事项作出澄清、说明或者更正；</w:t>
      </w:r>
    </w:p>
    <w:p>
      <w:pPr>
        <w:pStyle w:val="null3"/>
        <w:ind w:firstLine="480"/>
        <w:jc w:val="left"/>
      </w:pPr>
      <w:r>
        <w:rPr>
          <w:rFonts w:ascii="仿宋_GB2312" w:hAnsi="仿宋_GB2312" w:cs="仿宋_GB2312" w:eastAsia="仿宋_GB2312"/>
        </w:rPr>
        <w:t>（五）推荐成交候选供应商，或者受采购人委托确定成交供应商；</w:t>
      </w:r>
    </w:p>
    <w:p>
      <w:pPr>
        <w:pStyle w:val="null3"/>
        <w:ind w:firstLine="480"/>
        <w:jc w:val="left"/>
      </w:pPr>
      <w:r>
        <w:rPr>
          <w:rFonts w:ascii="仿宋_GB2312" w:hAnsi="仿宋_GB2312" w:cs="仿宋_GB2312" w:eastAsia="仿宋_GB2312"/>
        </w:rPr>
        <w:t>（六）起草资格审查报告、谈判报告并进行签署；</w:t>
      </w:r>
    </w:p>
    <w:p>
      <w:pPr>
        <w:pStyle w:val="null3"/>
        <w:ind w:firstLine="480"/>
        <w:jc w:val="left"/>
      </w:pPr>
      <w:r>
        <w:rPr>
          <w:rFonts w:ascii="仿宋_GB2312" w:hAnsi="仿宋_GB2312" w:cs="仿宋_GB2312" w:eastAsia="仿宋_GB2312"/>
        </w:rPr>
        <w:t>（七）向采购人、代理机构或者有关部门报告谈判中发现的违法行为；</w:t>
      </w:r>
    </w:p>
    <w:p>
      <w:pPr>
        <w:pStyle w:val="null3"/>
        <w:ind w:firstLine="480"/>
        <w:jc w:val="left"/>
      </w:pPr>
      <w:r>
        <w:rPr>
          <w:rFonts w:ascii="仿宋_GB2312" w:hAnsi="仿宋_GB2312" w:cs="仿宋_GB2312" w:eastAsia="仿宋_GB2312"/>
        </w:rPr>
        <w:t>（八）按规定告知供应商，未实质性响应谈判文件的响应文件按无效响应处理；</w:t>
      </w:r>
    </w:p>
    <w:p>
      <w:pPr>
        <w:pStyle w:val="null3"/>
        <w:ind w:firstLine="480"/>
        <w:jc w:val="left"/>
      </w:pPr>
      <w:r>
        <w:rPr>
          <w:rFonts w:ascii="仿宋_GB2312" w:hAnsi="仿宋_GB2312" w:cs="仿宋_GB2312" w:eastAsia="仿宋_GB2312"/>
        </w:rPr>
        <w:t>（九）法律、法规和规章规定的其他职责。</w:t>
      </w:r>
    </w:p>
    <w:p>
      <w:pPr>
        <w:pStyle w:val="null3"/>
        <w:jc w:val="left"/>
        <w:outlineLvl w:val="2"/>
      </w:pPr>
      <w:r>
        <w:rPr>
          <w:rFonts w:ascii="仿宋_GB2312" w:hAnsi="仿宋_GB2312" w:cs="仿宋_GB2312" w:eastAsia="仿宋_GB2312"/>
          <w:sz w:val="28"/>
          <w:b/>
        </w:rPr>
        <w:t>5.3.评审程序</w:t>
      </w:r>
    </w:p>
    <w:p>
      <w:pPr>
        <w:pStyle w:val="null3"/>
        <w:jc w:val="left"/>
        <w:outlineLvl w:val="3"/>
      </w:pPr>
      <w:r>
        <w:rPr>
          <w:rFonts w:ascii="仿宋_GB2312" w:hAnsi="仿宋_GB2312" w:cs="仿宋_GB2312" w:eastAsia="仿宋_GB2312"/>
          <w:sz w:val="24"/>
          <w:b/>
        </w:rPr>
        <w:t>5.3.1.熟悉和理解谈判文件</w:t>
      </w:r>
    </w:p>
    <w:p>
      <w:pPr>
        <w:pStyle w:val="null3"/>
        <w:ind w:firstLine="480"/>
        <w:jc w:val="left"/>
      </w:pPr>
      <w:r>
        <w:rPr>
          <w:rFonts w:ascii="仿宋_GB2312" w:hAnsi="仿宋_GB2312" w:cs="仿宋_GB2312" w:eastAsia="仿宋_GB2312"/>
        </w:rPr>
        <w:t>谈判小组正式评审前，应当对谈判文件进行熟悉和理解，内容主要包括谈判文件中供应商资格条件要求、采购项目技术、服务和商务要求、谈判办法和标准以及政府采购合同的内容等。</w:t>
      </w:r>
    </w:p>
    <w:p>
      <w:pPr>
        <w:pStyle w:val="null3"/>
        <w:jc w:val="left"/>
        <w:outlineLvl w:val="3"/>
      </w:pPr>
      <w:r>
        <w:rPr>
          <w:rFonts w:ascii="仿宋_GB2312" w:hAnsi="仿宋_GB2312" w:cs="仿宋_GB2312" w:eastAsia="仿宋_GB2312"/>
          <w:sz w:val="24"/>
          <w:b/>
        </w:rPr>
        <w:t>5.3.2.停止评审的情形</w:t>
      </w:r>
    </w:p>
    <w:p>
      <w:pPr>
        <w:pStyle w:val="null3"/>
        <w:ind w:firstLine="480"/>
        <w:jc w:val="left"/>
      </w:pPr>
      <w:r>
        <w:rPr>
          <w:rFonts w:ascii="仿宋_GB2312" w:hAnsi="仿宋_GB2312" w:cs="仿宋_GB2312" w:eastAsia="仿宋_GB2312"/>
        </w:rPr>
        <w:t>本谈判文件有下列情形之一的，谈判小组应当停止评审：</w:t>
      </w:r>
    </w:p>
    <w:p>
      <w:pPr>
        <w:pStyle w:val="null3"/>
        <w:ind w:firstLine="480"/>
        <w:jc w:val="left"/>
      </w:pPr>
      <w:r>
        <w:rPr>
          <w:rFonts w:ascii="仿宋_GB2312" w:hAnsi="仿宋_GB2312" w:cs="仿宋_GB2312" w:eastAsia="仿宋_GB2312"/>
        </w:rPr>
        <w:t>一、谈判文件的规定存在歧义、重大缺陷，导致评审工作无法进行的；</w:t>
      </w:r>
    </w:p>
    <w:p>
      <w:pPr>
        <w:pStyle w:val="null3"/>
        <w:ind w:firstLine="480"/>
        <w:jc w:val="left"/>
      </w:pPr>
      <w:r>
        <w:rPr>
          <w:rFonts w:ascii="仿宋_GB2312" w:hAnsi="仿宋_GB2312" w:cs="仿宋_GB2312" w:eastAsia="仿宋_GB2312"/>
        </w:rPr>
        <w:t>二、谈判文件明显以不合理条件对供应商实行差别待遇或者歧视待遇的；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jc w:val="left"/>
      </w:pPr>
      <w:r>
        <w:rPr>
          <w:rFonts w:ascii="仿宋_GB2312" w:hAnsi="仿宋_GB2312" w:cs="仿宋_GB2312" w:eastAsia="仿宋_GB2312"/>
        </w:rPr>
        <w:t>五、谈判文件载明的成交原则不合法的；</w:t>
      </w:r>
    </w:p>
    <w:p>
      <w:pPr>
        <w:pStyle w:val="null3"/>
        <w:ind w:firstLine="480"/>
        <w:jc w:val="left"/>
      </w:pPr>
      <w:r>
        <w:rPr>
          <w:rFonts w:ascii="仿宋_GB2312" w:hAnsi="仿宋_GB2312" w:cs="仿宋_GB2312" w:eastAsia="仿宋_GB2312"/>
        </w:rPr>
        <w:t>六、谈判文件有违反国家其他有关强制性规定的情形。</w:t>
      </w:r>
    </w:p>
    <w:p>
      <w:pPr>
        <w:pStyle w:val="null3"/>
        <w:ind w:firstLine="480"/>
        <w:jc w:val="left"/>
      </w:pPr>
      <w:r>
        <w:rPr>
          <w:rFonts w:ascii="仿宋_GB2312" w:hAnsi="仿宋_GB2312" w:cs="仿宋_GB2312" w:eastAsia="仿宋_GB2312"/>
        </w:rPr>
        <w:t>出现上述应当停止评审情形的，谈判小组应当通过交易系统向采购人、代理机构提交相关说明材料，说明停止评审的情形和具体理由。除上述情形外，谈判小组不得以任何方式和理由停止评审。</w:t>
      </w:r>
    </w:p>
    <w:p>
      <w:pPr>
        <w:pStyle w:val="null3"/>
        <w:ind w:firstLine="480"/>
        <w:jc w:val="left"/>
      </w:pPr>
      <w:r>
        <w:rPr>
          <w:rFonts w:ascii="仿宋_GB2312" w:hAnsi="仿宋_GB2312" w:cs="仿宋_GB2312" w:eastAsia="仿宋_GB2312"/>
        </w:rPr>
        <w:t>出现上述应当停止评审情形的，代理机构应当将停止评审的情形和具体原因通过交易系统告知参加采购活动的供应商，并在四川政府采购网公告。采购人、代理机构认为谈判小组不应当停止评审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5.3.3.资格审查</w:t>
      </w:r>
    </w:p>
    <w:p>
      <w:pPr>
        <w:pStyle w:val="null3"/>
        <w:ind w:firstLine="480"/>
        <w:jc w:val="left"/>
      </w:pPr>
      <w:r>
        <w:rPr>
          <w:rFonts w:ascii="仿宋_GB2312" w:hAnsi="仿宋_GB2312" w:cs="仿宋_GB2312" w:eastAsia="仿宋_GB2312"/>
        </w:rPr>
        <w:t>网上开启完成后，由谈判小组依据法律法规和谈判文件的规定，对成功解密的响应文件中供应商资格证明等进行审查并出具资格审查报告。资格审查标准及要求如下：</w:t>
      </w:r>
    </w:p>
    <w:p>
      <w:pPr>
        <w:pStyle w:val="null3"/>
        <w:jc w:val="left"/>
        <w:outlineLvl w:val="3"/>
      </w:pPr>
      <w:r>
        <w:rPr>
          <w:rFonts w:ascii="仿宋_GB2312" w:hAnsi="仿宋_GB2312" w:cs="仿宋_GB2312" w:eastAsia="仿宋_GB2312"/>
          <w:sz w:val="24"/>
          <w:b/>
        </w:rPr>
        <w:t>5.3.3.1.一般资格审查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一般资格审查内容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581"/>
          </w:tcPr>
          <w:p>
            <w:pPr>
              <w:pStyle w:val="null3"/>
              <w:jc w:val="center"/>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910"/>
          </w:tcPr>
          <w:p>
            <w:pPr>
              <w:pStyle w:val="null3"/>
              <w:jc w:val="left"/>
            </w:pPr>
            <w:r>
              <w:rPr>
                <w:rFonts w:ascii="仿宋_GB2312" w:hAnsi="仿宋_GB2312" w:cs="仿宋_GB2312" w:eastAsia="仿宋_GB2312"/>
              </w:rPr>
              <w:t>响应文件封面,投标（响应）函</w:t>
            </w:r>
          </w:p>
        </w:tc>
      </w:tr>
      <w:tr>
        <w:tc>
          <w:tcPr>
            <w:tcW w:type="dxa" w:w="581"/>
          </w:tcPr>
          <w:p>
            <w:pPr>
              <w:pStyle w:val="null3"/>
              <w:jc w:val="center"/>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910"/>
          </w:tcPr>
          <w:p>
            <w:pPr>
              <w:pStyle w:val="null3"/>
              <w:jc w:val="left"/>
            </w:pPr>
            <w:r>
              <w:rPr>
                <w:rFonts w:ascii="仿宋_GB2312" w:hAnsi="仿宋_GB2312" w:cs="仿宋_GB2312" w:eastAsia="仿宋_GB2312"/>
              </w:rPr>
              <w:t>具有健全财务会计制度的证明材料,投标（响应）函</w:t>
            </w:r>
          </w:p>
        </w:tc>
      </w:tr>
      <w:tr>
        <w:tc>
          <w:tcPr>
            <w:tcW w:type="dxa" w:w="581"/>
          </w:tcPr>
          <w:p>
            <w:pPr>
              <w:pStyle w:val="null3"/>
              <w:jc w:val="center"/>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符合《中华人民共和国政府采购法实施条例》第十八条第二款规定。</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为采购项目提供整体设计、规范编制或者项目管理、监理、检测等服务的供应商，可以同时承担前述服务内容，但不得再参加采购项目前述服务之外的其他采购活动。</w:t>
            </w:r>
          </w:p>
        </w:tc>
        <w:tc>
          <w:tcPr>
            <w:tcW w:type="dxa" w:w="1910"/>
          </w:tcPr>
          <w:p>
            <w:pPr>
              <w:pStyle w:val="null3"/>
              <w:jc w:val="left"/>
            </w:pPr>
            <w:r>
              <w:rPr>
                <w:rFonts w:ascii="仿宋_GB2312" w:hAnsi="仿宋_GB2312" w:cs="仿宋_GB2312" w:eastAsia="仿宋_GB2312"/>
              </w:rPr>
              <w:t>投标（响应）函</w:t>
            </w:r>
          </w:p>
        </w:tc>
      </w:tr>
    </w:tbl>
    <w:p>
      <w:pPr>
        <w:pStyle w:val="null3"/>
        <w:jc w:val="left"/>
        <w:outlineLvl w:val="3"/>
      </w:pPr>
      <w:r>
        <w:rPr>
          <w:rFonts w:ascii="仿宋_GB2312" w:hAnsi="仿宋_GB2312" w:cs="仿宋_GB2312" w:eastAsia="仿宋_GB2312"/>
          <w:sz w:val="24"/>
          <w:b/>
        </w:rPr>
        <w:t>5.3.3.2.落实政府采购政策资格审查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575"/>
        <w:gridCol w:w="3239"/>
        <w:gridCol w:w="1910"/>
      </w:tblGrid>
      <w:tr>
        <w:tc>
          <w:tcPr>
            <w:tcW w:type="dxa" w:w="581"/>
          </w:tcPr>
          <w:p>
            <w:pPr>
              <w:pStyle w:val="null3"/>
              <w:jc w:val="center"/>
            </w:pPr>
            <w:r>
              <w:rPr>
                <w:rFonts w:ascii="仿宋_GB2312" w:hAnsi="仿宋_GB2312" w:cs="仿宋_GB2312" w:eastAsia="仿宋_GB2312"/>
              </w:rPr>
              <w:t xml:space="preserve"> 序号</w:t>
            </w:r>
          </w:p>
        </w:tc>
        <w:tc>
          <w:tcPr>
            <w:tcW w:type="dxa" w:w="2575"/>
          </w:tcPr>
          <w:p>
            <w:pPr>
              <w:pStyle w:val="null3"/>
              <w:jc w:val="center"/>
            </w:pPr>
            <w:r>
              <w:rPr>
                <w:rFonts w:ascii="仿宋_GB2312" w:hAnsi="仿宋_GB2312" w:cs="仿宋_GB2312" w:eastAsia="仿宋_GB2312"/>
              </w:rPr>
              <w:t xml:space="preserve"> 落实政府采购政策资格审查内容</w:t>
            </w:r>
          </w:p>
        </w:tc>
        <w:tc>
          <w:tcPr>
            <w:tcW w:type="dxa" w:w="3239"/>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8305"/>
            <w:gridSpan w:val="4"/>
          </w:tcPr>
          <w:p>
            <w:pPr>
              <w:pStyle w:val="null3"/>
              <w:jc w:val="left"/>
            </w:pPr>
            <w:r>
              <w:rPr>
                <w:rFonts w:ascii="仿宋_GB2312" w:hAnsi="仿宋_GB2312" w:cs="仿宋_GB2312" w:eastAsia="仿宋_GB2312"/>
              </w:rPr>
              <w:t xml:space="preserve"> 无</w:t>
            </w:r>
          </w:p>
        </w:tc>
      </w:tr>
    </w:tbl>
    <w:p>
      <w:pPr>
        <w:pStyle w:val="null3"/>
        <w:jc w:val="left"/>
        <w:outlineLvl w:val="3"/>
      </w:pPr>
      <w:r>
        <w:rPr>
          <w:rFonts w:ascii="仿宋_GB2312" w:hAnsi="仿宋_GB2312" w:cs="仿宋_GB2312" w:eastAsia="仿宋_GB2312"/>
          <w:sz w:val="24"/>
          <w:b/>
        </w:rPr>
        <w:t>5.3.3.3.特定资格审查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特定资格审查内容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8305"/>
            <w:gridSpan w:val="4"/>
          </w:tcPr>
          <w:p>
            <w:pPr>
              <w:pStyle w:val="null3"/>
              <w:jc w:val="left"/>
            </w:pPr>
            <w:r>
              <w:rPr>
                <w:rFonts w:ascii="仿宋_GB2312" w:hAnsi="仿宋_GB2312" w:cs="仿宋_GB2312" w:eastAsia="仿宋_GB2312"/>
              </w:rPr>
              <w:t xml:space="preserve"> 无</w:t>
            </w:r>
          </w:p>
        </w:tc>
      </w:tr>
    </w:tbl>
    <w:p>
      <w:pPr>
        <w:pStyle w:val="null3"/>
        <w:jc w:val="left"/>
        <w:outlineLvl w:val="3"/>
      </w:pPr>
      <w:r>
        <w:rPr>
          <w:rFonts w:ascii="仿宋_GB2312" w:hAnsi="仿宋_GB2312" w:cs="仿宋_GB2312" w:eastAsia="仿宋_GB2312"/>
          <w:sz w:val="24"/>
          <w:b/>
        </w:rPr>
        <w:t>5.3.4.符合性审查</w:t>
      </w:r>
    </w:p>
    <w:p>
      <w:pPr>
        <w:pStyle w:val="null3"/>
        <w:ind w:firstLine="480"/>
        <w:jc w:val="left"/>
      </w:pPr>
      <w:r>
        <w:rPr>
          <w:rFonts w:ascii="仿宋_GB2312" w:hAnsi="仿宋_GB2312" w:cs="仿宋_GB2312" w:eastAsia="仿宋_GB2312"/>
        </w:rPr>
        <w:t>谈判小组依据本谈判文件的符合性审查要求，对符合资格要求供应商的响应文件有效性、完整性和响应程度进行审查。</w:t>
      </w:r>
    </w:p>
    <w:p>
      <w:pPr>
        <w:pStyle w:val="null3"/>
        <w:ind w:firstLine="480"/>
        <w:jc w:val="left"/>
      </w:pPr>
      <w:r>
        <w:rPr>
          <w:rFonts w:ascii="仿宋_GB2312" w:hAnsi="仿宋_GB2312" w:cs="仿宋_GB2312" w:eastAsia="仿宋_GB2312"/>
        </w:rPr>
        <w:t>在符合性审查过程中，如果出现谈判小组成员意见不一致的情况，按照少数服从多数的原则确定，但不得违反政府采购基本原则和谈判文件规定。</w:t>
      </w:r>
    </w:p>
    <w:p>
      <w:pPr>
        <w:pStyle w:val="null3"/>
        <w:ind w:firstLine="480"/>
        <w:jc w:val="left"/>
      </w:pPr>
      <w:r>
        <w:rPr>
          <w:rFonts w:ascii="仿宋_GB2312" w:hAnsi="仿宋_GB2312" w:cs="仿宋_GB2312" w:eastAsia="仿宋_GB2312"/>
        </w:rPr>
        <w:t>符合性审查标准见下表：</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符合性审查内容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581"/>
          </w:tcPr>
          <w:p>
            <w:pPr>
              <w:pStyle w:val="null3"/>
              <w:jc w:val="center"/>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需要供应商进行承诺的实质性要求。</w:t>
            </w:r>
          </w:p>
        </w:tc>
        <w:tc>
          <w:tcPr>
            <w:tcW w:type="dxa" w:w="3322"/>
          </w:tcPr>
          <w:p>
            <w:pPr>
              <w:pStyle w:val="null3"/>
              <w:jc w:val="left"/>
            </w:pPr>
            <w:r>
              <w:rPr>
                <w:rFonts w:ascii="仿宋_GB2312" w:hAnsi="仿宋_GB2312" w:cs="仿宋_GB2312" w:eastAsia="仿宋_GB2312"/>
              </w:rPr>
              <w:t>无需供应商单独提供材料进行响应，只需供应商承诺严格遵守并执行的相关实质性要求。编制、提交响应文件的计算机网卡MAC地址、CPU序列号、硬盘序列号等硬件信息由供应商在提交响应文件时进行确认，评审委员会通过开启记录表进行查看。</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不正当竞争预防措施（实质性要求）</w:t>
            </w:r>
          </w:p>
        </w:tc>
        <w:tc>
          <w:tcPr>
            <w:tcW w:type="dxa" w:w="3322"/>
          </w:tcPr>
          <w:p>
            <w:pPr>
              <w:pStyle w:val="null3"/>
              <w:jc w:val="left"/>
            </w:pPr>
            <w:r>
              <w:rPr>
                <w:rFonts w:ascii="仿宋_GB2312" w:hAnsi="仿宋_GB2312" w:cs="仿宋_GB2312" w:eastAsia="仿宋_GB2312"/>
              </w:rPr>
              <w:t>1.在谈判过程中，谈判小组认为供应商的报价明显低于其他通过符合性审查供应商的报价，有可能影响产品质量或者不能诚信履约的，谈判小组应当要求其在合理的时间内在项目电子化交易系统中上传说明材料，必要时提交相关证明材料。供应商提交的相关证明材料，应当加盖供应商（法定名称）电子印章，在谈判小组要求的时间内通过项目电子化交易系统进行提交，否则提交的相关证明材料无效。供应商不能证明其报价合理性的，谈判小组应当将其响应文件作为无效处理。（注：供应商报价低于最高限价50%或者低于其他有效供应商报价算术平均价40%的，谈判小组可以认为该供应商“报价明显低于其他通过符合性审查供应商的报价”。）2.在填写《报价表》时，供应商所报响应单价不得超过单价限价，响应总价不得超过最高限价，否则按响应无效处理。</w:t>
            </w:r>
          </w:p>
        </w:tc>
        <w:tc>
          <w:tcPr>
            <w:tcW w:type="dxa" w:w="1910"/>
          </w:tcPr>
          <w:p>
            <w:pPr>
              <w:pStyle w:val="null3"/>
              <w:jc w:val="left"/>
            </w:pPr>
            <w:r>
              <w:rPr>
                <w:rFonts w:ascii="仿宋_GB2312" w:hAnsi="仿宋_GB2312" w:cs="仿宋_GB2312" w:eastAsia="仿宋_GB2312"/>
              </w:rPr>
              <w:t>报价明细表,报价表</w:t>
            </w:r>
          </w:p>
        </w:tc>
      </w:tr>
      <w:tr>
        <w:tc>
          <w:tcPr>
            <w:tcW w:type="dxa" w:w="581"/>
          </w:tcPr>
          <w:p>
            <w:pPr>
              <w:pStyle w:val="null3"/>
              <w:jc w:val="center"/>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产品技术参数响应</w:t>
            </w:r>
          </w:p>
        </w:tc>
        <w:tc>
          <w:tcPr>
            <w:tcW w:type="dxa" w:w="3322"/>
          </w:tcPr>
          <w:p>
            <w:pPr>
              <w:pStyle w:val="null3"/>
              <w:jc w:val="left"/>
            </w:pPr>
            <w:r>
              <w:rPr>
                <w:rFonts w:ascii="仿宋_GB2312" w:hAnsi="仿宋_GB2312" w:cs="仿宋_GB2312" w:eastAsia="仿宋_GB2312"/>
              </w:rPr>
              <w:t>1.供应商须把采购文件第三章“3.2技术要求”中的全部内容按顺序对应列入此表进行应答。带“★”参数为本项目实质性要求，谈判前不满足或有负偏离的，响应文件作无效处理。 2.响应文件须加盖供应商电子印章。</w:t>
            </w:r>
          </w:p>
        </w:tc>
        <w:tc>
          <w:tcPr>
            <w:tcW w:type="dxa" w:w="1910"/>
          </w:tcPr>
          <w:p>
            <w:pPr>
              <w:pStyle w:val="null3"/>
              <w:jc w:val="left"/>
            </w:pPr>
            <w:r>
              <w:rPr>
                <w:rFonts w:ascii="仿宋_GB2312" w:hAnsi="仿宋_GB2312" w:cs="仿宋_GB2312" w:eastAsia="仿宋_GB2312"/>
              </w:rPr>
              <w:t>产品技术参数响应表</w:t>
            </w:r>
          </w:p>
        </w:tc>
      </w:tr>
      <w:tr>
        <w:tc>
          <w:tcPr>
            <w:tcW w:type="dxa" w:w="581"/>
          </w:tcPr>
          <w:p>
            <w:pPr>
              <w:pStyle w:val="null3"/>
              <w:jc w:val="center"/>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商务要求响应</w:t>
            </w:r>
          </w:p>
        </w:tc>
        <w:tc>
          <w:tcPr>
            <w:tcW w:type="dxa" w:w="3322"/>
          </w:tcPr>
          <w:p>
            <w:pPr>
              <w:pStyle w:val="null3"/>
              <w:jc w:val="left"/>
            </w:pPr>
            <w:r>
              <w:rPr>
                <w:rFonts w:ascii="仿宋_GB2312" w:hAnsi="仿宋_GB2312" w:cs="仿宋_GB2312" w:eastAsia="仿宋_GB2312"/>
              </w:rPr>
              <w:t>供应商须对采购文件第三章“3.3.2商务要求”及“3.4其他要求”的全部内容逐条进行响应。标注有“★”的内容为采购文件实质性要求，谈判前未响应或有负偏离的，作无效处理，响应文件须加盖供应商电子印章。</w:t>
            </w:r>
          </w:p>
        </w:tc>
        <w:tc>
          <w:tcPr>
            <w:tcW w:type="dxa" w:w="1910"/>
          </w:tcPr>
          <w:p>
            <w:pPr>
              <w:pStyle w:val="null3"/>
              <w:jc w:val="left"/>
            </w:pPr>
            <w:r>
              <w:rPr>
                <w:rFonts w:ascii="仿宋_GB2312" w:hAnsi="仿宋_GB2312" w:cs="仿宋_GB2312" w:eastAsia="仿宋_GB2312"/>
              </w:rPr>
              <w:t>商务要求应答表.docx</w:t>
            </w:r>
          </w:p>
        </w:tc>
      </w:tr>
    </w:tbl>
    <w:p>
      <w:pPr>
        <w:pStyle w:val="null3"/>
        <w:ind w:firstLine="480"/>
        <w:jc w:val="left"/>
      </w:pPr>
      <w:r>
        <w:rPr>
          <w:rFonts w:ascii="仿宋_GB2312" w:hAnsi="仿宋_GB2312" w:cs="仿宋_GB2312" w:eastAsia="仿宋_GB2312"/>
        </w:rPr>
        <w:t>响应文件满足以上符合性审查要求的，则通过符合性审查；如有任意一项未满足符合性审查要求的，或符合性审查完成后，谈判小组发现供应商还存在未响应谈判文件实质性要求的，则按无效响应处理，并在谈判报告中载明未通过符合性审查的具体原因。</w:t>
      </w:r>
    </w:p>
    <w:p>
      <w:pPr>
        <w:pStyle w:val="null3"/>
        <w:jc w:val="left"/>
        <w:outlineLvl w:val="3"/>
      </w:pPr>
      <w:r>
        <w:rPr>
          <w:rFonts w:ascii="仿宋_GB2312" w:hAnsi="仿宋_GB2312" w:cs="仿宋_GB2312" w:eastAsia="仿宋_GB2312"/>
          <w:sz w:val="24"/>
          <w:b/>
        </w:rPr>
        <w:t>5.3.5.谈判</w:t>
      </w:r>
    </w:p>
    <w:p>
      <w:pPr>
        <w:pStyle w:val="null3"/>
        <w:ind w:firstLine="480"/>
        <w:jc w:val="left"/>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jc w:val="left"/>
      </w:pPr>
      <w:r>
        <w:rPr>
          <w:rFonts w:ascii="仿宋_GB2312" w:hAnsi="仿宋_GB2312" w:cs="仿宋_GB2312" w:eastAsia="仿宋_GB2312"/>
        </w:rPr>
        <w:t>二、谈判小组所有成员通过交易系统集中在线与单一供应商对技术、服务、合同条款等内容分别进行一轮或多轮的谈判。</w:t>
      </w:r>
    </w:p>
    <w:p>
      <w:pPr>
        <w:pStyle w:val="null3"/>
        <w:ind w:firstLine="480"/>
        <w:jc w:val="left"/>
      </w:pPr>
      <w:r>
        <w:rPr>
          <w:rFonts w:ascii="仿宋_GB2312" w:hAnsi="仿宋_GB2312" w:cs="仿宋_GB2312" w:eastAsia="仿宋_GB2312"/>
        </w:rPr>
        <w:t>三、谈判小组可以根据谈判文件和谈判情况实质性变动第四章约定的内容，但不得变动谈判文件中的其他内容。实质性变动的内容，须经采购人代表确认。</w:t>
      </w:r>
    </w:p>
    <w:p>
      <w:pPr>
        <w:pStyle w:val="null3"/>
        <w:ind w:firstLine="480"/>
        <w:jc w:val="left"/>
      </w:pPr>
      <w:r>
        <w:rPr>
          <w:rFonts w:ascii="仿宋_GB2312" w:hAnsi="仿宋_GB2312" w:cs="仿宋_GB2312" w:eastAsia="仿宋_GB2312"/>
        </w:rPr>
        <w:t>四、对谈判文件作出的实质性变动是谈判文件的有效组成部分，谈判小组应通过交易系统，将变动情况通知本轮次所有参加谈判的供应商。谈判过程中，谈判小组可以根据谈判情况调整谈判轮次。</w:t>
      </w:r>
    </w:p>
    <w:p>
      <w:pPr>
        <w:pStyle w:val="null3"/>
        <w:ind w:firstLine="480"/>
        <w:jc w:val="left"/>
      </w:pPr>
      <w:r>
        <w:rPr>
          <w:rFonts w:ascii="仿宋_GB2312" w:hAnsi="仿宋_GB2312" w:cs="仿宋_GB2312" w:eastAsia="仿宋_GB2312"/>
        </w:rPr>
        <w:t>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jc w:val="left"/>
      </w:pPr>
      <w:r>
        <w:rPr>
          <w:rFonts w:ascii="仿宋_GB2312" w:hAnsi="仿宋_GB2312" w:cs="仿宋_GB2312" w:eastAsia="仿宋_GB2312"/>
        </w:rPr>
        <w:t>六、经最终谈判后，供应商响应文件仍未实质性响应谈判文件的，谈判小组应当对其响应文件按无效处理，并通过交易系统告知供应商，说明理由。</w:t>
      </w:r>
    </w:p>
    <w:p>
      <w:pPr>
        <w:pStyle w:val="null3"/>
        <w:ind w:firstLine="480"/>
        <w:jc w:val="left"/>
      </w:pPr>
      <w:r>
        <w:rPr>
          <w:rFonts w:ascii="仿宋_GB2312" w:hAnsi="仿宋_GB2312" w:cs="仿宋_GB2312" w:eastAsia="仿宋_GB2312"/>
        </w:rPr>
        <w:t>七、谈判过程中，谈判的任何一方不得透露与谈判有关的其他供应商的技术资料、价格和其他信息。</w:t>
      </w:r>
    </w:p>
    <w:p>
      <w:pPr>
        <w:pStyle w:val="null3"/>
        <w:ind w:firstLine="480"/>
        <w:jc w:val="left"/>
      </w:pPr>
      <w:r>
        <w:rPr>
          <w:rFonts w:ascii="仿宋_GB2312" w:hAnsi="仿宋_GB2312" w:cs="仿宋_GB2312" w:eastAsia="仿宋_GB2312"/>
        </w:rPr>
        <w:t>八、谈判过程中，谈判小组发现或者知晓供应商存在违法行为的，应当在谈判报告中予以记录，并向项目同级财政部门报告，依法应将该供应商响应文件作无效处理的，应当作无效处理。</w:t>
      </w:r>
    </w:p>
    <w:p>
      <w:pPr>
        <w:pStyle w:val="null3"/>
        <w:jc w:val="left"/>
        <w:outlineLvl w:val="3"/>
      </w:pPr>
      <w:r>
        <w:rPr>
          <w:rFonts w:ascii="仿宋_GB2312" w:hAnsi="仿宋_GB2312" w:cs="仿宋_GB2312" w:eastAsia="仿宋_GB2312"/>
          <w:sz w:val="24"/>
          <w:b/>
        </w:rPr>
        <w:t>5.3.6.最后报价</w:t>
      </w:r>
    </w:p>
    <w:p>
      <w:pPr>
        <w:pStyle w:val="null3"/>
        <w:jc w:val="left"/>
      </w:pPr>
      <w:r>
        <w:rPr>
          <w:rFonts w:ascii="仿宋_GB2312" w:hAnsi="仿宋_GB2312" w:cs="仿宋_GB2312" w:eastAsia="仿宋_GB2312"/>
        </w:rPr>
        <w:t>采购包1：谈判结束后，谈判小组可以根据谈判情况要求所有实质性响应的供应商在规定时间内进行最后报价。提交最后报价的供应商不得少于3家。如本项目满足《政府采购非招标采购方式管理办法》第二十七条第二款规定的情形，提交最后报价的供应商可以为2家。有效最后报价供应商家数不足本采购包约定最低有效家数的，本次采购活动终止，并发布终止公告。</w:t>
      </w:r>
    </w:p>
    <w:p>
      <w:pPr>
        <w:pStyle w:val="null3"/>
        <w:ind w:firstLine="480"/>
        <w:jc w:val="left"/>
      </w:pPr>
      <w:r>
        <w:rPr>
          <w:rFonts w:ascii="仿宋_GB2312" w:hAnsi="仿宋_GB2312" w:cs="仿宋_GB2312" w:eastAsia="仿宋_GB2312"/>
        </w:rPr>
        <w:t>一、谈判小组开启报价后，供应商应随时关注交易系统信息提醒，登录交易系统，通过“等候大厅”进行报价并签章后提交。</w:t>
      </w:r>
    </w:p>
    <w:p>
      <w:pPr>
        <w:pStyle w:val="null3"/>
        <w:ind w:firstLine="480"/>
        <w:jc w:val="left"/>
      </w:pPr>
      <w:r>
        <w:rPr>
          <w:rFonts w:ascii="仿宋_GB2312" w:hAnsi="仿宋_GB2312" w:cs="仿宋_GB2312" w:eastAsia="仿宋_GB2312"/>
        </w:rPr>
        <w:t>二、供应商在未提高响应文件中承诺的标准情况下，其最后报价不得高于对该项目之前的报价，否则，谈判小组将对其响应文件作无效处理，并通过交易系统告知供应商，说明理由。</w:t>
      </w:r>
    </w:p>
    <w:p>
      <w:pPr>
        <w:pStyle w:val="null3"/>
        <w:ind w:firstLine="480"/>
        <w:jc w:val="left"/>
      </w:pPr>
      <w:r>
        <w:rPr>
          <w:rFonts w:ascii="仿宋_GB2312" w:hAnsi="仿宋_GB2312" w:cs="仿宋_GB2312" w:eastAsia="仿宋_GB2312"/>
        </w:rPr>
        <w:t>三、供应商未按谈判小组要求在规定时间内提交报价的，视为无效响应，由供应商自行承担不利后果。</w:t>
      </w:r>
    </w:p>
    <w:p>
      <w:pPr>
        <w:pStyle w:val="null3"/>
        <w:ind w:firstLine="480"/>
        <w:jc w:val="left"/>
      </w:pPr>
      <w:r>
        <w:rPr>
          <w:rFonts w:ascii="仿宋_GB2312" w:hAnsi="仿宋_GB2312" w:cs="仿宋_GB2312" w:eastAsia="仿宋_GB2312"/>
        </w:rPr>
        <w:t>四、最后报价提交后，供应商不得以任何理由撤回。</w:t>
      </w:r>
    </w:p>
    <w:p>
      <w:pPr>
        <w:pStyle w:val="null3"/>
        <w:ind w:firstLine="480"/>
        <w:jc w:val="left"/>
      </w:pPr>
      <w:r>
        <w:rPr>
          <w:rFonts w:ascii="仿宋_GB2312" w:hAnsi="仿宋_GB2312" w:cs="仿宋_GB2312" w:eastAsia="仿宋_GB2312"/>
        </w:rPr>
        <w:t>五、最后报价为有效报价应符合下列条件：</w:t>
      </w:r>
    </w:p>
    <w:p>
      <w:pPr>
        <w:pStyle w:val="null3"/>
        <w:ind w:firstLine="480"/>
        <w:jc w:val="left"/>
      </w:pPr>
      <w:r>
        <w:rPr>
          <w:rFonts w:ascii="仿宋_GB2312" w:hAnsi="仿宋_GB2312" w:cs="仿宋_GB2312" w:eastAsia="仿宋_GB2312"/>
        </w:rPr>
        <w:t>（一）供应商所提供的最后报价是在规定的时间内提交。</w:t>
      </w:r>
    </w:p>
    <w:p>
      <w:pPr>
        <w:pStyle w:val="null3"/>
        <w:ind w:firstLine="480"/>
        <w:jc w:val="left"/>
      </w:pPr>
      <w:r>
        <w:rPr>
          <w:rFonts w:ascii="仿宋_GB2312" w:hAnsi="仿宋_GB2312" w:cs="仿宋_GB2312" w:eastAsia="仿宋_GB2312"/>
        </w:rPr>
        <w:t>（二）供应商的最后报价应加盖供应商（法定名称）电子印章。</w:t>
      </w:r>
    </w:p>
    <w:p>
      <w:pPr>
        <w:pStyle w:val="null3"/>
        <w:ind w:firstLine="480"/>
        <w:jc w:val="left"/>
      </w:pPr>
      <w:r>
        <w:rPr>
          <w:rFonts w:ascii="仿宋_GB2312" w:hAnsi="仿宋_GB2312" w:cs="仿宋_GB2312" w:eastAsia="仿宋_GB2312"/>
        </w:rPr>
        <w:t>（三）供应商的最后报价应符合谈判文件的要求。</w:t>
      </w:r>
    </w:p>
    <w:p>
      <w:pPr>
        <w:pStyle w:val="null3"/>
        <w:ind w:firstLine="480"/>
        <w:jc w:val="left"/>
      </w:pPr>
      <w:r>
        <w:rPr>
          <w:rFonts w:ascii="仿宋_GB2312" w:hAnsi="仿宋_GB2312" w:cs="仿宋_GB2312" w:eastAsia="仿宋_GB2312"/>
        </w:rPr>
        <w:t>（四）最后报价唯一，且不高于最高限价。</w:t>
      </w:r>
    </w:p>
    <w:p>
      <w:pPr>
        <w:pStyle w:val="null3"/>
        <w:ind w:firstLine="480"/>
        <w:jc w:val="left"/>
      </w:pPr>
      <w:r>
        <w:rPr>
          <w:rFonts w:ascii="仿宋_GB2312" w:hAnsi="仿宋_GB2312" w:cs="仿宋_GB2312" w:eastAsia="仿宋_GB2312"/>
        </w:rPr>
        <w:t>六、最后报价出现下列情况的，除谈判文件另有规定外，按以下原则处理：</w:t>
      </w:r>
    </w:p>
    <w:p>
      <w:pPr>
        <w:pStyle w:val="null3"/>
        <w:ind w:firstLine="480"/>
        <w:jc w:val="left"/>
      </w:pPr>
      <w:r>
        <w:rPr>
          <w:rFonts w:ascii="仿宋_GB2312" w:hAnsi="仿宋_GB2312" w:cs="仿宋_GB2312" w:eastAsia="仿宋_GB2312"/>
        </w:rPr>
        <w:t>（一）报价中的大写金额和小写金额不一致的，以大写金额为准，但大写金额出现文字错误，导致金额无法判断的除外；</w:t>
      </w:r>
    </w:p>
    <w:p>
      <w:pPr>
        <w:pStyle w:val="null3"/>
        <w:ind w:firstLine="480"/>
        <w:jc w:val="left"/>
      </w:pPr>
      <w:r>
        <w:rPr>
          <w:rFonts w:ascii="仿宋_GB2312" w:hAnsi="仿宋_GB2312" w:cs="仿宋_GB2312" w:eastAsia="仿宋_GB2312"/>
        </w:rPr>
        <w:t>（二）单价金额小数点或者百分比有明显错位的，应以总价为准，并修改单价；</w:t>
      </w:r>
    </w:p>
    <w:p>
      <w:pPr>
        <w:pStyle w:val="null3"/>
        <w:ind w:firstLine="480"/>
        <w:jc w:val="left"/>
      </w:pPr>
      <w:r>
        <w:rPr>
          <w:rFonts w:ascii="仿宋_GB2312" w:hAnsi="仿宋_GB2312" w:cs="仿宋_GB2312" w:eastAsia="仿宋_GB2312"/>
        </w:rPr>
        <w:t>（三）总价金额与按单价汇总金额不一致的，以单价汇总金额计算结果为准；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同时出现两种以上不一致的，按照前款规定的顺序修正。修正后的最后报价由供应商经交易系统加盖电子印章后产生约束力，供应商不确认的，作无效响应处理。</w:t>
      </w:r>
    </w:p>
    <w:p>
      <w:pPr>
        <w:pStyle w:val="null3"/>
        <w:ind w:firstLine="480"/>
        <w:jc w:val="left"/>
      </w:pPr>
      <w:r>
        <w:rPr>
          <w:rFonts w:ascii="仿宋_GB2312" w:hAnsi="仿宋_GB2312" w:cs="仿宋_GB2312" w:eastAsia="仿宋_GB2312"/>
        </w:rPr>
        <w:t>七、在评审过程中，供应商报价低于采购预算50% 或者低于其他有效供应商报价算术平均价40%，有可能影响产品质量或者不能诚信履约的，谈判小组应当要求其在合理的时间内通过交易系统进行书面说明、提交相关证明材料，并加盖电子印章。供应商拒绝或者变相拒绝提供有效书面说明或者书面说明不能证明其报价合理性的，谈判小组应当将其响应文件作为无效响应处理。</w:t>
      </w:r>
    </w:p>
    <w:p>
      <w:pPr>
        <w:pStyle w:val="null3"/>
        <w:jc w:val="left"/>
        <w:outlineLvl w:val="3"/>
      </w:pPr>
      <w:r>
        <w:rPr>
          <w:rFonts w:ascii="仿宋_GB2312" w:hAnsi="仿宋_GB2312" w:cs="仿宋_GB2312" w:eastAsia="仿宋_GB2312"/>
          <w:sz w:val="24"/>
          <w:b/>
        </w:rPr>
        <w:t>5.3.7.解释、澄清、说明的有关问题</w:t>
      </w:r>
    </w:p>
    <w:p>
      <w:pPr>
        <w:pStyle w:val="null3"/>
        <w:ind w:firstLine="480"/>
        <w:jc w:val="left"/>
      </w:pPr>
      <w:r>
        <w:rPr>
          <w:rFonts w:ascii="仿宋_GB2312" w:hAnsi="仿宋_GB2312" w:cs="仿宋_GB2312" w:eastAsia="仿宋_GB2312"/>
        </w:rPr>
        <w:t>一、评审过程中，谈判小组认为谈判文件有关事项表述不明确或需要说明的，可以要求采购人或者代理机构书面解释。采购人或者代理机构的解释不得改变谈判文件的原义或者影响公平、公正。</w:t>
      </w:r>
    </w:p>
    <w:p>
      <w:pPr>
        <w:pStyle w:val="null3"/>
        <w:ind w:firstLine="480"/>
        <w:jc w:val="left"/>
      </w:pPr>
      <w:r>
        <w:rPr>
          <w:rFonts w:ascii="仿宋_GB2312" w:hAnsi="仿宋_GB2312" w:cs="仿宋_GB2312" w:eastAsia="仿宋_GB2312"/>
        </w:rPr>
        <w:t>二、对响应文件中含义不明确、同类问题表述不一致或者有明显文字和计算错误的内容，谈判小组应当要求供应商作出必要的澄清、说明或者补正。供应商应当书面进行澄清、说明或者补正，澄清、说明或者补正不影响响应文件的效力，有效的澄清、说明或者补正材料是响应文件的组成部分。供应商的澄清、说明或者补正不得超出响应文件的范围或者改变响应文件的实质性内容，不得影响供应商公平竞争。谈判小组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三、代理机构宣布评审结束之前，供应商应通过交易系统随时关注评审消息提示，及时响应谈判小组发出的澄清、说明或者更正要求。供应商未能及时响应的，自行承担不利后果。</w:t>
      </w:r>
    </w:p>
    <w:p>
      <w:pPr>
        <w:pStyle w:val="null3"/>
        <w:ind w:firstLine="480"/>
        <w:jc w:val="left"/>
      </w:pPr>
      <w:r>
        <w:rPr>
          <w:rFonts w:ascii="仿宋_GB2312" w:hAnsi="仿宋_GB2312" w:cs="仿宋_GB2312" w:eastAsia="仿宋_GB2312"/>
        </w:rPr>
        <w:t>四、谈判小组应当积极履行澄清、说明或者更正的职责，不得滥用权力。供应商的响应文件可以要求澄清、说明或者更正的，不得未经澄清、说明或者更正而直接作无效响应处理。</w:t>
      </w:r>
    </w:p>
    <w:p>
      <w:pPr>
        <w:pStyle w:val="null3"/>
        <w:jc w:val="left"/>
        <w:outlineLvl w:val="3"/>
      </w:pPr>
      <w:r>
        <w:rPr>
          <w:rFonts w:ascii="仿宋_GB2312" w:hAnsi="仿宋_GB2312" w:cs="仿宋_GB2312" w:eastAsia="仿宋_GB2312"/>
          <w:sz w:val="24"/>
          <w:b/>
        </w:rPr>
        <w:t>5.3.8.谈判小组复核</w:t>
      </w:r>
    </w:p>
    <w:p>
      <w:pPr>
        <w:pStyle w:val="null3"/>
        <w:ind w:firstLine="480"/>
        <w:jc w:val="left"/>
      </w:pPr>
      <w:r>
        <w:rPr>
          <w:rFonts w:ascii="仿宋_GB2312" w:hAnsi="仿宋_GB2312" w:cs="仿宋_GB2312" w:eastAsia="仿宋_GB2312"/>
        </w:rPr>
        <w:t>评审结束后，谈判小组成员复核、确认各自评审意见，汇总形成评审结果，对拟推荐为成交供应商的、报价最低的、响应文件被认定为无效的进行重点复核。</w:t>
      </w:r>
    </w:p>
    <w:p>
      <w:pPr>
        <w:pStyle w:val="null3"/>
        <w:jc w:val="left"/>
        <w:outlineLvl w:val="3"/>
      </w:pPr>
      <w:r>
        <w:rPr>
          <w:rFonts w:ascii="仿宋_GB2312" w:hAnsi="仿宋_GB2312" w:cs="仿宋_GB2312" w:eastAsia="仿宋_GB2312"/>
          <w:sz w:val="24"/>
          <w:b/>
        </w:rPr>
        <w:t>5.3.9.代理机构现场复核评审结果</w:t>
      </w:r>
    </w:p>
    <w:p>
      <w:pPr>
        <w:pStyle w:val="null3"/>
        <w:ind w:firstLine="480"/>
        <w:jc w:val="left"/>
      </w:pPr>
      <w:r>
        <w:rPr>
          <w:rFonts w:ascii="仿宋_GB2312" w:hAnsi="仿宋_GB2312" w:cs="仿宋_GB2312" w:eastAsia="仿宋_GB2312"/>
        </w:rPr>
        <w:t>一、供应商最后报价结束后，谈判小组拟出具谈判报告前，代理机构应当组织2名以上的本单位工作人员，在采购现场监督人员的监督之下，依据有关的法律制度和谈判文件对评审结果进行复核，出具复核报告。存在资格审查认定错误的，代理机构应当根据情况书面建议谈判小组现场修改评审结果或者重新评审，由谈判小组自主决定是否采纳代理机构的书面建议，并承担独立评审责任。</w:t>
      </w:r>
    </w:p>
    <w:p>
      <w:pPr>
        <w:pStyle w:val="null3"/>
        <w:ind w:firstLine="480"/>
        <w:jc w:val="left"/>
      </w:pPr>
      <w:r>
        <w:rPr>
          <w:rFonts w:ascii="仿宋_GB2312" w:hAnsi="仿宋_GB2312" w:cs="仿宋_GB2312" w:eastAsia="仿宋_GB2312"/>
        </w:rPr>
        <w:t>二、谈判小组采纳代理机构书面建议的，应当按照规定现场通过交易系统修改评审结果或者重新评审，并在谈判报告中详细记载有关事宜；不采纳代理机构书面建议的，应当书面说明理由。代理机构书面建议未被谈判小组采纳的，应当按照规定程序要求继续组织实施采购活动，不得擅自中止采购活动。代理机构认为谈判小组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三、代理机构复核过程中，谈判小组成员不得离开评审现场。</w:t>
      </w:r>
    </w:p>
    <w:p>
      <w:pPr>
        <w:pStyle w:val="null3"/>
        <w:ind w:firstLine="480"/>
        <w:jc w:val="left"/>
      </w:pPr>
      <w:r>
        <w:rPr>
          <w:rFonts w:ascii="仿宋_GB2312" w:hAnsi="仿宋_GB2312" w:cs="仿宋_GB2312" w:eastAsia="仿宋_GB2312"/>
        </w:rPr>
        <w:t>四、除资格审查认定错误和价格计算错误外，采购人或者代理机构不得以任何理由组织重新评审。代理机构发现谈判小组未按照谈判文件规定的评定成交的标准进行评审的，应当重新开展采购活动，并同时书面报告项目同级财政部门。</w:t>
      </w:r>
    </w:p>
    <w:p>
      <w:pPr>
        <w:pStyle w:val="null3"/>
        <w:jc w:val="left"/>
        <w:outlineLvl w:val="3"/>
      </w:pPr>
      <w:r>
        <w:rPr>
          <w:rFonts w:ascii="仿宋_GB2312" w:hAnsi="仿宋_GB2312" w:cs="仿宋_GB2312" w:eastAsia="仿宋_GB2312"/>
          <w:sz w:val="24"/>
          <w:b/>
        </w:rPr>
        <w:t>5.3.10.推荐成交候选供应商</w:t>
      </w:r>
    </w:p>
    <w:p>
      <w:pPr>
        <w:pStyle w:val="null3"/>
        <w:jc w:val="left"/>
      </w:pPr>
      <w:r>
        <w:rPr>
          <w:rFonts w:ascii="仿宋_GB2312" w:hAnsi="仿宋_GB2312" w:cs="仿宋_GB2312" w:eastAsia="仿宋_GB2312"/>
        </w:rPr>
        <w:t>采购包1：</w:t>
      </w:r>
      <w:r>
        <w:rPr>
          <w:rFonts w:ascii="仿宋_GB2312" w:hAnsi="仿宋_GB2312" w:cs="仿宋_GB2312" w:eastAsia="仿宋_GB2312"/>
        </w:rPr>
        <w:t>确定3名成交候选供应商。</w:t>
      </w:r>
    </w:p>
    <w:p>
      <w:pPr>
        <w:pStyle w:val="null3"/>
        <w:ind w:firstLine="480"/>
        <w:jc w:val="left"/>
      </w:pPr>
      <w:r>
        <w:rPr>
          <w:rFonts w:ascii="仿宋_GB2312" w:hAnsi="仿宋_GB2312" w:cs="仿宋_GB2312" w:eastAsia="仿宋_GB2312"/>
        </w:rPr>
        <w:t>按供应商最后报价从低到高顺序排列，响应文件满足谈判文件全部实质性要求且最后报价最低的供应商为排名第一的成交候选供应商。最后报价相同的，按供应商提供的经评审认定有效的优先采购产品认证证书数量由多到少顺序排列；最后报价且提供的优先采购产品认证证书数量相同的并列。供应商响应的产品同时具有节能产品认证证书、环境标志产品认证证书的，按认定有效的节能产品认证证书、环境标志产品认证证书数量累计计算。成交候选供应商并列的，由谈判小组根据谈判文件规定的推荐成交候选供应商数量，在排名并列的成交候选供应商中，采取随机抽取的方式确定成交候选供应商排名顺序。</w:t>
      </w:r>
    </w:p>
    <w:p>
      <w:pPr>
        <w:pStyle w:val="null3"/>
        <w:ind w:firstLine="480"/>
        <w:jc w:val="left"/>
      </w:pPr>
      <w:r>
        <w:rPr>
          <w:rFonts w:ascii="仿宋_GB2312" w:hAnsi="仿宋_GB2312" w:cs="仿宋_GB2312" w:eastAsia="仿宋_GB2312"/>
        </w:rPr>
        <w:t>如本项目的采购包涉及核心产品的，在对最后报价进行评审前，对提供相同品牌产品的不同供应商参加同一合同项下响应的，以其中通过资格审查、符合性审查且报价最低的供应商参加评审（任意一个核心产品是相同品牌时视为提供相同品牌产品的供应商）；报价相同的，由采购人或者采购人委托谈判小组按照随机抽取方式确定一名供应商参加评审，其他作无效响应处理。未被推荐为成交候选供应商的供应商不再递补为成交候选供应商。</w:t>
      </w:r>
    </w:p>
    <w:p>
      <w:pPr>
        <w:pStyle w:val="null3"/>
        <w:jc w:val="left"/>
        <w:outlineLvl w:val="3"/>
      </w:pPr>
      <w:r>
        <w:rPr>
          <w:rFonts w:ascii="仿宋_GB2312" w:hAnsi="仿宋_GB2312" w:cs="仿宋_GB2312" w:eastAsia="仿宋_GB2312"/>
          <w:sz w:val="24"/>
          <w:b/>
        </w:rPr>
        <w:t>5.3.11.出具谈判报告</w:t>
      </w:r>
    </w:p>
    <w:p>
      <w:pPr>
        <w:pStyle w:val="null3"/>
        <w:ind w:firstLine="480"/>
        <w:jc w:val="left"/>
      </w:pPr>
      <w:r>
        <w:rPr>
          <w:rFonts w:ascii="仿宋_GB2312" w:hAnsi="仿宋_GB2312" w:cs="仿宋_GB2312" w:eastAsia="仿宋_GB2312"/>
        </w:rPr>
        <w:t>谈判小组推荐成交候选供应商后，应向代理机构出具谈判报告。谈判报告应当包括以下主要内容：</w:t>
      </w:r>
    </w:p>
    <w:p>
      <w:pPr>
        <w:pStyle w:val="null3"/>
        <w:ind w:firstLine="480"/>
        <w:jc w:val="left"/>
      </w:pPr>
      <w:r>
        <w:rPr>
          <w:rFonts w:ascii="仿宋_GB2312" w:hAnsi="仿宋_GB2312" w:cs="仿宋_GB2312" w:eastAsia="仿宋_GB2312"/>
        </w:rPr>
        <w:t>一、邀请供应商参加采购活动的具体方式和相关情况，以及参加采购活动的供应商名单；</w:t>
      </w:r>
    </w:p>
    <w:p>
      <w:pPr>
        <w:pStyle w:val="null3"/>
        <w:ind w:firstLine="480"/>
        <w:jc w:val="left"/>
      </w:pPr>
      <w:r>
        <w:rPr>
          <w:rFonts w:ascii="仿宋_GB2312" w:hAnsi="仿宋_GB2312" w:cs="仿宋_GB2312" w:eastAsia="仿宋_GB2312"/>
        </w:rPr>
        <w:t>二、谈判日期和地点，谈判小组成员名单；</w:t>
      </w:r>
    </w:p>
    <w:p>
      <w:pPr>
        <w:pStyle w:val="null3"/>
        <w:ind w:firstLine="480"/>
        <w:jc w:val="left"/>
      </w:pPr>
      <w:r>
        <w:rPr>
          <w:rFonts w:ascii="仿宋_GB2312" w:hAnsi="仿宋_GB2312" w:cs="仿宋_GB2312" w:eastAsia="仿宋_GB2312"/>
        </w:rPr>
        <w:t>三、参加报价的供应商名单及报价情况和未参加报价的供应商名单及原因；</w:t>
      </w:r>
    </w:p>
    <w:p>
      <w:pPr>
        <w:pStyle w:val="null3"/>
        <w:ind w:firstLine="480"/>
        <w:jc w:val="left"/>
      </w:pPr>
      <w:r>
        <w:rPr>
          <w:rFonts w:ascii="仿宋_GB2312" w:hAnsi="仿宋_GB2312" w:cs="仿宋_GB2312" w:eastAsia="仿宋_GB2312"/>
        </w:rPr>
        <w:t>四、变动谈判文件实质性内容的有关资料及记录；</w:t>
      </w:r>
    </w:p>
    <w:p>
      <w:pPr>
        <w:pStyle w:val="null3"/>
        <w:ind w:firstLine="480"/>
        <w:jc w:val="left"/>
      </w:pPr>
      <w:r>
        <w:rPr>
          <w:rFonts w:ascii="仿宋_GB2312" w:hAnsi="仿宋_GB2312" w:cs="仿宋_GB2312" w:eastAsia="仿宋_GB2312"/>
        </w:rPr>
        <w:t>五、供应商响应文件响应谈判文件实质性要求情况及供应商变动响应文件有关资料及记录；</w:t>
      </w:r>
    </w:p>
    <w:p>
      <w:pPr>
        <w:pStyle w:val="null3"/>
        <w:ind w:firstLine="480"/>
        <w:jc w:val="left"/>
      </w:pPr>
      <w:r>
        <w:rPr>
          <w:rFonts w:ascii="仿宋_GB2312" w:hAnsi="仿宋_GB2312" w:cs="仿宋_GB2312" w:eastAsia="仿宋_GB2312"/>
        </w:rPr>
        <w:t>六、谈判情况记录和说明，包括对供应商的资格审查情况、供应商响应文件谈判情况等；</w:t>
      </w:r>
    </w:p>
    <w:p>
      <w:pPr>
        <w:pStyle w:val="null3"/>
        <w:ind w:firstLine="480"/>
        <w:jc w:val="left"/>
      </w:pPr>
      <w:r>
        <w:rPr>
          <w:rFonts w:ascii="仿宋_GB2312" w:hAnsi="仿宋_GB2312" w:cs="仿宋_GB2312" w:eastAsia="仿宋_GB2312"/>
        </w:rPr>
        <w:t>七、推荐的成交候选供应商名单及理由。</w:t>
      </w:r>
    </w:p>
    <w:p>
      <w:pPr>
        <w:pStyle w:val="null3"/>
        <w:ind w:firstLine="480"/>
        <w:jc w:val="left"/>
      </w:pPr>
      <w:r>
        <w:rPr>
          <w:rFonts w:ascii="仿宋_GB2312" w:hAnsi="仿宋_GB2312" w:cs="仿宋_GB2312" w:eastAsia="仿宋_GB2312"/>
        </w:rPr>
        <w:t>评审结果经代理机构核对无误后，谈判小组成员应当在谈判报告中签字或加盖电子印章确认。谈判报告签署前，谈判小组成员可以对已评环节的评审意见进行修改调整，并在谈判报告中进行记录。谈判报告签署后，评审意见生效，除符合政府采购法律制度规定情形外，任何单位和个人不得擅自改变评审结果。谈判小组成员签字但未写明不同意见或者未说明理由的，视同无意见；拒不签字或加盖电子印章又未另行说明其不同意见和理由的，视同同意评审结果。</w:t>
      </w:r>
    </w:p>
    <w:p>
      <w:pPr>
        <w:pStyle w:val="null3"/>
        <w:jc w:val="left"/>
        <w:outlineLvl w:val="3"/>
      </w:pPr>
      <w:r>
        <w:rPr>
          <w:rFonts w:ascii="仿宋_GB2312" w:hAnsi="仿宋_GB2312" w:cs="仿宋_GB2312" w:eastAsia="仿宋_GB2312"/>
          <w:sz w:val="24"/>
          <w:b/>
        </w:rPr>
        <w:t>5.3.12.评审争议处理规则</w:t>
      </w:r>
    </w:p>
    <w:p>
      <w:pPr>
        <w:pStyle w:val="null3"/>
        <w:ind w:firstLine="480"/>
        <w:jc w:val="left"/>
      </w:pPr>
      <w:r>
        <w:rPr>
          <w:rFonts w:ascii="仿宋_GB2312" w:hAnsi="仿宋_GB2312" w:cs="仿宋_GB2312" w:eastAsia="仿宋_GB2312"/>
        </w:rPr>
        <w:t>谈判小组在谈判过程中，对于资格审查、符合性审查、对供应商响应文件作无效处理及其他需要共同认定的事项存在争议的，应当以少数服从多数的原则作出结论，但不得违反法律法规和谈判文件规定。持不同意见的谈判小组成员应当在谈判报告上明确不同意见及理由，否则视同无意见。持不同意见的谈判小组成员认为认定过程和结果不符合法律法规或者谈判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5.4.评审方法、细则及标准</w:t>
      </w:r>
    </w:p>
    <w:p>
      <w:pPr>
        <w:pStyle w:val="null3"/>
        <w:jc w:val="left"/>
      </w:pPr>
      <w:r>
        <w:rPr>
          <w:rFonts w:ascii="仿宋_GB2312" w:hAnsi="仿宋_GB2312" w:cs="仿宋_GB2312" w:eastAsia="仿宋_GB2312"/>
          <w:b/>
        </w:rPr>
        <w:t>5.4.1.评审方法</w:t>
      </w:r>
    </w:p>
    <w:p>
      <w:pPr>
        <w:pStyle w:val="null3"/>
        <w:ind w:firstLine="480"/>
        <w:jc w:val="left"/>
      </w:pPr>
      <w:r>
        <w:rPr>
          <w:rFonts w:ascii="仿宋_GB2312" w:hAnsi="仿宋_GB2312" w:cs="仿宋_GB2312" w:eastAsia="仿宋_GB2312"/>
        </w:rPr>
        <w:t>最低评标价法，是指响应文件满足谈判文件全部实质性要求且响应报价最低的供应商为成交候选供应商的评审方法。</w:t>
      </w:r>
    </w:p>
    <w:p>
      <w:pPr>
        <w:pStyle w:val="null3"/>
        <w:jc w:val="left"/>
      </w:pPr>
      <w:r>
        <w:rPr>
          <w:rFonts w:ascii="仿宋_GB2312" w:hAnsi="仿宋_GB2312" w:cs="仿宋_GB2312" w:eastAsia="仿宋_GB2312"/>
          <w:b/>
        </w:rPr>
        <w:t>5.4.2.评审细则及标准</w:t>
      </w:r>
    </w:p>
    <w:p>
      <w:pPr>
        <w:pStyle w:val="null3"/>
        <w:jc w:val="left"/>
      </w:pPr>
      <w:r>
        <w:rPr>
          <w:rFonts w:ascii="仿宋_GB2312" w:hAnsi="仿宋_GB2312" w:cs="仿宋_GB2312" w:eastAsia="仿宋_GB2312"/>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扣除比例%（以“C1”表示）</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58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落实支持中小企业发展政策</w:t>
            </w:r>
          </w:p>
        </w:tc>
        <w:tc>
          <w:tcPr>
            <w:tcW w:type="dxa" w:w="1661"/>
          </w:tcPr>
          <w:p>
            <w:pPr>
              <w:pStyle w:val="null3"/>
              <w:jc w:val="left"/>
            </w:pPr>
            <w:r>
              <w:rPr>
                <w:rFonts w:ascii="仿宋_GB2312" w:hAnsi="仿宋_GB2312" w:cs="仿宋_GB2312" w:eastAsia="仿宋_GB2312"/>
              </w:rPr>
              <w:t>符合《政府采购促进中小企业发展管理办法》（财库〔2020〕46号）规定的小微企业报价给予扣除，用扣除后的价格参加评审。</w:t>
            </w:r>
          </w:p>
        </w:tc>
        <w:tc>
          <w:tcPr>
            <w:tcW w:type="dxa" w:w="831"/>
          </w:tcPr>
          <w:p>
            <w:pPr>
              <w:pStyle w:val="null3"/>
              <w:jc w:val="right"/>
            </w:pPr>
            <w:r>
              <w:rPr>
                <w:rFonts w:ascii="仿宋_GB2312" w:hAnsi="仿宋_GB2312" w:cs="仿宋_GB2312" w:eastAsia="仿宋_GB2312"/>
              </w:rPr>
              <w:t>20.00%</w:t>
            </w:r>
          </w:p>
        </w:tc>
        <w:tc>
          <w:tcPr>
            <w:tcW w:type="dxa" w:w="1661"/>
          </w:tcPr>
          <w:p>
            <w:pPr>
              <w:pStyle w:val="null3"/>
              <w:jc w:val="left"/>
            </w:pPr>
            <w:r>
              <w:rPr>
                <w:rFonts w:ascii="仿宋_GB2312" w:hAnsi="仿宋_GB2312" w:cs="仿宋_GB2312" w:eastAsia="仿宋_GB2312"/>
              </w:rPr>
              <w:t>价格扣除计算公式：评标价=投标报价×（1-C1）；监狱企业与残疾人福利性单位视同小型、微型企业，享受同等价格扣除，当企业属性重复时，不重复价格扣除。注：价格扣除比例满足《政府采购促进中小企业发展管理办法》（财库〔2020〕46号）及《关于进一步加大政府采购支持中小企业力度的通知》（财库〔2022〕19号）要求。</w:t>
            </w:r>
          </w:p>
        </w:tc>
        <w:tc>
          <w:tcPr>
            <w:tcW w:type="dxa" w:w="1910"/>
          </w:tcPr>
          <w:p>
            <w:pPr>
              <w:pStyle w:val="null3"/>
              <w:jc w:val="left"/>
            </w:pPr>
            <w:r>
              <w:rPr>
                <w:rFonts w:ascii="仿宋_GB2312" w:hAnsi="仿宋_GB2312" w:cs="仿宋_GB2312" w:eastAsia="仿宋_GB2312"/>
              </w:rPr>
              <w:t>中小企业声明函,残疾人福利性单位声明函,监狱企业的证明文件</w:t>
            </w:r>
          </w:p>
        </w:tc>
      </w:tr>
    </w:tbl>
    <w:p>
      <w:pPr>
        <w:pStyle w:val="null3"/>
        <w:jc w:val="left"/>
      </w:pPr>
      <w:r>
        <w:rPr>
          <w:rFonts w:ascii="仿宋_GB2312" w:hAnsi="仿宋_GB2312" w:cs="仿宋_GB2312" w:eastAsia="仿宋_GB2312"/>
          <w:b/>
        </w:rPr>
        <w:t>价格评审</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价格评审条款</w:t>
      </w:r>
    </w:p>
    <w:tbl>
      <w:tblPr>
        <w:tblW w:w="0" w:type="auto"/>
        <w:tblBorders>
          <w:top w:val="single"/>
          <w:left w:val="single"/>
          <w:bottom w:val="single"/>
          <w:right w:val="single"/>
          <w:insideH w:val="single"/>
          <w:insideV w:val="single"/>
        </w:tblBorders>
      </w:tblPr>
      <w:tblGrid>
        <w:gridCol w:w="646"/>
        <w:gridCol w:w="1846"/>
        <w:gridCol w:w="923"/>
        <w:gridCol w:w="2769"/>
        <w:gridCol w:w="2123"/>
      </w:tblGrid>
      <w:tr>
        <w:tc>
          <w:tcPr>
            <w:tcW w:type="dxa" w:w="646"/>
          </w:tcPr>
          <w:p>
            <w:pPr>
              <w:pStyle w:val="null3"/>
              <w:jc w:val="center"/>
            </w:pPr>
            <w:r>
              <w:rPr>
                <w:rFonts w:ascii="仿宋_GB2312" w:hAnsi="仿宋_GB2312" w:cs="仿宋_GB2312" w:eastAsia="仿宋_GB2312"/>
              </w:rPr>
              <w:t xml:space="preserve"> 序号</w:t>
            </w:r>
          </w:p>
        </w:tc>
        <w:tc>
          <w:tcPr>
            <w:tcW w:type="dxa" w:w="1846"/>
          </w:tcPr>
          <w:p>
            <w:pPr>
              <w:pStyle w:val="null3"/>
              <w:jc w:val="center"/>
            </w:pPr>
            <w:r>
              <w:rPr>
                <w:rFonts w:ascii="仿宋_GB2312" w:hAnsi="仿宋_GB2312" w:cs="仿宋_GB2312" w:eastAsia="仿宋_GB2312"/>
              </w:rPr>
              <w:t xml:space="preserve"> 评审因素</w:t>
            </w:r>
          </w:p>
        </w:tc>
        <w:tc>
          <w:tcPr>
            <w:tcW w:type="dxa" w:w="923"/>
          </w:tcPr>
          <w:p>
            <w:pPr>
              <w:pStyle w:val="null3"/>
              <w:jc w:val="center"/>
            </w:pPr>
            <w:r>
              <w:rPr>
                <w:rFonts w:ascii="仿宋_GB2312" w:hAnsi="仿宋_GB2312" w:cs="仿宋_GB2312" w:eastAsia="仿宋_GB2312"/>
              </w:rPr>
              <w:t xml:space="preserve"> 评审价格权重</w:t>
            </w:r>
          </w:p>
        </w:tc>
        <w:tc>
          <w:tcPr>
            <w:tcW w:type="dxa" w:w="2769"/>
          </w:tcPr>
          <w:p>
            <w:pPr>
              <w:pStyle w:val="null3"/>
              <w:jc w:val="center"/>
            </w:pPr>
            <w:r>
              <w:rPr>
                <w:rFonts w:ascii="仿宋_GB2312" w:hAnsi="仿宋_GB2312" w:cs="仿宋_GB2312" w:eastAsia="仿宋_GB2312"/>
              </w:rPr>
              <w:t xml:space="preserve"> 具体标准和要求</w:t>
            </w:r>
          </w:p>
        </w:tc>
        <w:tc>
          <w:tcPr>
            <w:tcW w:type="dxa" w:w="2123"/>
          </w:tcPr>
          <w:p>
            <w:pPr>
              <w:pStyle w:val="null3"/>
              <w:jc w:val="center"/>
            </w:pPr>
            <w:r>
              <w:rPr>
                <w:rFonts w:ascii="仿宋_GB2312" w:hAnsi="仿宋_GB2312" w:cs="仿宋_GB2312" w:eastAsia="仿宋_GB2312"/>
                <w:b/>
              </w:rPr>
              <w:t xml:space="preserve"> 关联响应文件格式文本</w:t>
            </w:r>
          </w:p>
        </w:tc>
      </w:tr>
      <w:tr>
        <w:tc>
          <w:tcPr>
            <w:tcW w:type="dxa" w:w="646"/>
          </w:tcPr>
          <w:p>
            <w:pPr>
              <w:pStyle w:val="null3"/>
              <w:jc w:val="left"/>
            </w:pPr>
            <w:r>
              <w:rPr>
                <w:rFonts w:ascii="仿宋_GB2312" w:hAnsi="仿宋_GB2312" w:cs="仿宋_GB2312" w:eastAsia="仿宋_GB2312"/>
              </w:rPr>
              <w:t>1</w:t>
            </w:r>
          </w:p>
        </w:tc>
        <w:tc>
          <w:tcPr>
            <w:tcW w:type="dxa" w:w="1846"/>
          </w:tcPr>
          <w:p>
            <w:pPr>
              <w:pStyle w:val="null3"/>
              <w:jc w:val="left"/>
            </w:pPr>
            <w:r>
              <w:rPr>
                <w:rFonts w:ascii="仿宋_GB2312" w:hAnsi="仿宋_GB2312" w:cs="仿宋_GB2312" w:eastAsia="仿宋_GB2312"/>
              </w:rPr>
              <w:t>合计</w:t>
            </w:r>
          </w:p>
        </w:tc>
        <w:tc>
          <w:tcPr>
            <w:tcW w:type="dxa" w:w="923"/>
          </w:tcPr>
          <w:p>
            <w:pPr>
              <w:pStyle w:val="null3"/>
              <w:jc w:val="right"/>
            </w:pPr>
            <w:r>
              <w:rPr>
                <w:rFonts w:ascii="仿宋_GB2312" w:hAnsi="仿宋_GB2312" w:cs="仿宋_GB2312" w:eastAsia="仿宋_GB2312"/>
              </w:rPr>
              <w:t>100.00%</w:t>
            </w:r>
          </w:p>
        </w:tc>
        <w:tc>
          <w:tcPr>
            <w:tcW w:type="dxa" w:w="2769"/>
          </w:tcPr>
          <w:p>
            <w:pPr>
              <w:pStyle w:val="null3"/>
              <w:jc w:val="left"/>
            </w:pPr>
            <w:r>
              <w:rPr>
                <w:rFonts w:ascii="仿宋_GB2312" w:hAnsi="仿宋_GB2312" w:cs="仿宋_GB2312" w:eastAsia="仿宋_GB2312"/>
              </w:rPr>
              <w:t>1. 经评标委员会评审，通过资格和符合性审查，且投标报价最低的投标人的投标报价作为评标基准价。2.投标报价得分=(评标基准价／投标报价)×评审系数。评审价格=响应报价。经价格调整后的评审价格=响应报价×（1-价格调整比例）基准价=经价格调整后评审价格的最低值。</w:t>
            </w:r>
          </w:p>
        </w:tc>
        <w:tc>
          <w:tcPr>
            <w:tcW w:type="dxa" w:w="2123"/>
          </w:tcPr>
          <w:p>
            <w:pPr>
              <w:pStyle w:val="null3"/>
              <w:jc w:val="left"/>
            </w:pPr>
            <w:r>
              <w:rPr>
                <w:rFonts w:ascii="仿宋_GB2312" w:hAnsi="仿宋_GB2312" w:cs="仿宋_GB2312" w:eastAsia="仿宋_GB2312"/>
              </w:rPr>
              <w:t>报价表</w:t>
            </w:r>
          </w:p>
        </w:tc>
      </w:tr>
    </w:tbl>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 xml:space="preserve"> 具体标准和要求</w:t>
            </w:r>
          </w:p>
        </w:tc>
        <w:tc>
          <w:tcPr>
            <w:tcW w:type="dxa" w:w="2955"/>
          </w:tcPr>
          <w:p>
            <w:pPr>
              <w:pStyle w:val="null3"/>
              <w:jc w:val="center"/>
            </w:pPr>
            <w:r>
              <w:rPr>
                <w:rFonts w:ascii="仿宋_GB2312" w:hAnsi="仿宋_GB2312" w:cs="仿宋_GB2312" w:eastAsia="仿宋_GB2312"/>
                <w:b/>
              </w:rPr>
              <w:t xml:space="preserve"> 关联响应文件格式文本</w:t>
            </w:r>
          </w:p>
        </w:tc>
      </w:tr>
      <w:tr>
        <w:tc>
          <w:tcPr>
            <w:tcW w:type="dxa" w:w="559"/>
          </w:tcPr>
          <w:p>
            <w:pPr>
              <w:pStyle w:val="null3"/>
              <w:jc w:val="left"/>
            </w:pPr>
            <w:r>
              <w:rPr>
                <w:rFonts w:ascii="仿宋_GB2312" w:hAnsi="仿宋_GB2312" w:cs="仿宋_GB2312" w:eastAsia="仿宋_GB2312"/>
              </w:rPr>
              <w:t>1</w:t>
            </w:r>
          </w:p>
        </w:tc>
        <w:tc>
          <w:tcPr>
            <w:tcW w:type="dxa" w:w="2396"/>
          </w:tcPr>
          <w:p>
            <w:pPr>
              <w:pStyle w:val="null3"/>
              <w:jc w:val="left"/>
            </w:pPr>
            <w:r>
              <w:rPr>
                <w:rFonts w:ascii="仿宋_GB2312" w:hAnsi="仿宋_GB2312" w:cs="仿宋_GB2312" w:eastAsia="仿宋_GB2312"/>
              </w:rPr>
              <w:t>优先采购环境标志产品</w:t>
            </w:r>
          </w:p>
        </w:tc>
        <w:tc>
          <w:tcPr>
            <w:tcW w:type="dxa" w:w="2396"/>
          </w:tcPr>
          <w:p>
            <w:pPr>
              <w:pStyle w:val="null3"/>
              <w:jc w:val="left"/>
            </w:pPr>
            <w:r>
              <w:rPr>
                <w:rFonts w:ascii="仿宋_GB2312" w:hAnsi="仿宋_GB2312" w:cs="仿宋_GB2312" w:eastAsia="仿宋_GB2312"/>
              </w:rPr>
              <w:t>根据供应商响应的优先采购的环境标志产品，确定具有环境标志产品认证证书的数量，合并计入优先采购产品认证证书数量。说明：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w:t>
            </w:r>
          </w:p>
        </w:tc>
        <w:tc>
          <w:tcPr>
            <w:tcW w:type="dxa" w:w="2955"/>
          </w:tcPr>
          <w:p>
            <w:pPr>
              <w:pStyle w:val="null3"/>
              <w:jc w:val="left"/>
            </w:pPr>
            <w:r>
              <w:rPr>
                <w:rFonts w:ascii="仿宋_GB2312" w:hAnsi="仿宋_GB2312" w:cs="仿宋_GB2312" w:eastAsia="仿宋_GB2312"/>
              </w:rPr>
              <w:t>优先采购的环境、节能标志产品证明材料（货物）.docx</w:t>
            </w:r>
          </w:p>
        </w:tc>
      </w:tr>
    </w:tbl>
    <w:p>
      <w:pPr>
        <w:pStyle w:val="null3"/>
        <w:jc w:val="left"/>
        <w:outlineLvl w:val="2"/>
      </w:pPr>
      <w:r>
        <w:rPr>
          <w:rFonts w:ascii="仿宋_GB2312" w:hAnsi="仿宋_GB2312" w:cs="仿宋_GB2312" w:eastAsia="仿宋_GB2312"/>
          <w:sz w:val="28"/>
          <w:b/>
        </w:rPr>
        <w:t>5.5.终止采购活动</w:t>
      </w:r>
    </w:p>
    <w:p>
      <w:pPr>
        <w:pStyle w:val="null3"/>
        <w:ind w:firstLine="480"/>
        <w:jc w:val="left"/>
      </w:pPr>
      <w:r>
        <w:rPr>
          <w:rFonts w:ascii="仿宋_GB2312" w:hAnsi="仿宋_GB2312" w:cs="仿宋_GB2312" w:eastAsia="仿宋_GB2312"/>
        </w:rPr>
        <w:t>出现下列情形之一的，采购人或者代理机构应当终止竞争性谈判采购活动，发布项目终止公告并说明原因，重新开展采购活动：</w:t>
      </w:r>
    </w:p>
    <w:p>
      <w:pPr>
        <w:pStyle w:val="null3"/>
        <w:ind w:firstLine="480"/>
        <w:jc w:val="left"/>
      </w:pPr>
      <w:r>
        <w:rPr>
          <w:rFonts w:ascii="仿宋_GB2312" w:hAnsi="仿宋_GB2312" w:cs="仿宋_GB2312" w:eastAsia="仿宋_GB2312"/>
        </w:rPr>
        <w:t>一、因情况变化，不再符合规定的竞争性谈判采购方式适用情形的；</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三、在采购过程中符合竞争要求的供应商或者报价未超过采购预算的供应商不足3家的，但《政府采购非招标采购方式管理办法》第二十七条第二款规定的情形除外。</w:t>
      </w:r>
    </w:p>
    <w:p>
      <w:pPr>
        <w:pStyle w:val="null3"/>
        <w:jc w:val="left"/>
        <w:outlineLvl w:val="2"/>
      </w:pPr>
      <w:r>
        <w:rPr>
          <w:rFonts w:ascii="仿宋_GB2312" w:hAnsi="仿宋_GB2312" w:cs="仿宋_GB2312" w:eastAsia="仿宋_GB2312"/>
          <w:sz w:val="28"/>
          <w:b/>
        </w:rPr>
        <w:t>5.6.确定成交供应商</w:t>
      </w:r>
    </w:p>
    <w:p>
      <w:pPr>
        <w:pStyle w:val="null3"/>
        <w:jc w:val="left"/>
      </w:pPr>
      <w:r>
        <w:rPr>
          <w:rFonts w:ascii="仿宋_GB2312" w:hAnsi="仿宋_GB2312" w:cs="仿宋_GB2312" w:eastAsia="仿宋_GB2312"/>
        </w:rPr>
        <w:t>一、评审结束后，代理机构在评审结束后2个工作日内将谈判报告送采购人。</w:t>
      </w:r>
    </w:p>
    <w:p>
      <w:pPr>
        <w:pStyle w:val="null3"/>
        <w:jc w:val="left"/>
      </w:pPr>
      <w:r>
        <w:rPr>
          <w:rFonts w:ascii="仿宋_GB2312" w:hAnsi="仿宋_GB2312" w:cs="仿宋_GB2312" w:eastAsia="仿宋_GB2312"/>
        </w:rPr>
        <w:t>二、采购人应当自收到谈判报告之日起5个工作日内，在谈判报告确定的成交候选供应商名单中按顺序确定1名成交供应商。采购人逾期未确定成交供应商且不提出异议的，视为确定谈判报告提出的排序第一的供应商为成交供应商。</w:t>
      </w:r>
    </w:p>
    <w:p>
      <w:pPr>
        <w:pStyle w:val="null3"/>
        <w:jc w:val="left"/>
      </w:pPr>
      <w:r>
        <w:rPr>
          <w:rFonts w:ascii="仿宋_GB2312" w:hAnsi="仿宋_GB2312" w:cs="仿宋_GB2312" w:eastAsia="仿宋_GB2312"/>
        </w:rPr>
        <w:t>三、采购人或者代理机构应当自成交供应商确定之日起 2 个工作日内，在四川政府采购网公告成交结果，谈判文件应当随成交结果同时公告。</w:t>
      </w:r>
    </w:p>
    <w:p>
      <w:pPr>
        <w:pStyle w:val="null3"/>
        <w:jc w:val="left"/>
        <w:outlineLvl w:val="2"/>
      </w:pPr>
      <w:r>
        <w:rPr>
          <w:rFonts w:ascii="仿宋_GB2312" w:hAnsi="仿宋_GB2312" w:cs="仿宋_GB2312" w:eastAsia="仿宋_GB2312"/>
          <w:sz w:val="28"/>
          <w:b/>
        </w:rPr>
        <w:t>5.7.谈判小组义务</w:t>
      </w:r>
    </w:p>
    <w:p>
      <w:pPr>
        <w:pStyle w:val="null3"/>
        <w:ind w:firstLine="480"/>
        <w:jc w:val="left"/>
      </w:pPr>
      <w:r>
        <w:rPr>
          <w:rFonts w:ascii="仿宋_GB2312" w:hAnsi="仿宋_GB2312" w:cs="仿宋_GB2312" w:eastAsia="仿宋_GB2312"/>
        </w:rPr>
        <w:t>谈判小组在政府采购活动中应当履行下列义务：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二、按照客观、公正、审慎的原则，根据谈判文件规定的评审程序、评审方法和评审标准进行独立评审；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四、及时向监督管理部门报告评审过程中的违法违规情况，包括采购人、代理机构向评审专家作出倾向性、误导性的解释或者说明情况，供应商行贿、提供虚假材料或者串通情况，其他非法干预评审情况等；</w:t>
      </w:r>
    </w:p>
    <w:p>
      <w:pPr>
        <w:pStyle w:val="null3"/>
        <w:ind w:firstLine="480"/>
        <w:jc w:val="left"/>
      </w:pPr>
      <w:r>
        <w:rPr>
          <w:rFonts w:ascii="仿宋_GB2312" w:hAnsi="仿宋_GB2312" w:cs="仿宋_GB2312" w:eastAsia="仿宋_GB2312"/>
        </w:rPr>
        <w:t>五、发现谈判文件内容违反国家有关强制性规定或者存在歧义、重大缺陷导致评审工作无法进行时，停止评审并通过交易系统向代理机构书面说明情况，说明停止评审的情形和具体理由；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5.8.谈判小组成员工作纪律</w:t>
      </w:r>
    </w:p>
    <w:p>
      <w:pPr>
        <w:pStyle w:val="null3"/>
        <w:ind w:firstLine="480"/>
        <w:jc w:val="left"/>
      </w:pPr>
      <w:r>
        <w:rPr>
          <w:rFonts w:ascii="仿宋_GB2312" w:hAnsi="仿宋_GB2312" w:cs="仿宋_GB2312" w:eastAsia="仿宋_GB2312"/>
        </w:rPr>
        <w:t>谈判小组成员在政府采购活动中应当遵守下列工作纪律：</w:t>
      </w:r>
    </w:p>
    <w:p>
      <w:pPr>
        <w:pStyle w:val="null3"/>
        <w:ind w:firstLine="480"/>
        <w:jc w:val="left"/>
      </w:pPr>
      <w:r>
        <w:rPr>
          <w:rFonts w:ascii="仿宋_GB2312" w:hAnsi="仿宋_GB2312" w:cs="仿宋_GB2312" w:eastAsia="仿宋_GB2312"/>
        </w:rPr>
        <w:t>一、严格遵守政府采购法律制度关于谈判小组成员回避的规定。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谈判文件确定的评审程序、评审方法、评审因素和评审标准，不得接受供应商主动提出的澄清和解释，不得征询采购人代表的意见，不得违反规定的评审格式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七、遵守有关廉洁自律规定，不得私下接触供应商，不得收受供应商及有关业务单位和个人的财物或好处，不得接受采购人、代理机构的请托。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详见附件：响应文件封面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详见附件：具有健全财务会计制度的证明材料</w:t>
      </w:r>
    </w:p>
    <w:p>
      <w:pPr>
        <w:pStyle w:val="null3"/>
        <w:ind w:firstLine="960"/>
        <w:jc w:val="left"/>
      </w:pPr>
      <w:r>
        <w:rPr>
          <w:rFonts w:ascii="仿宋_GB2312" w:hAnsi="仿宋_GB2312" w:cs="仿宋_GB2312" w:eastAsia="仿宋_GB2312"/>
        </w:rPr>
        <w:t>详见附件：产品技术参数响应表</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详见附件：报价明细表</w:t>
      </w:r>
    </w:p>
    <w:p>
      <w:pPr>
        <w:pStyle w:val="null3"/>
        <w:ind w:firstLine="960"/>
        <w:jc w:val="left"/>
      </w:pPr>
      <w:r>
        <w:rPr>
          <w:rFonts w:ascii="仿宋_GB2312" w:hAnsi="仿宋_GB2312" w:cs="仿宋_GB2312" w:eastAsia="仿宋_GB2312"/>
        </w:rPr>
        <w:t>详见附件：优先采购的环境、节能标志产品证明材料（货物）.docx</w:t>
      </w:r>
    </w:p>
    <w:p>
      <w:pPr>
        <w:pStyle w:val="null3"/>
        <w:ind w:firstLine="960"/>
        <w:jc w:val="left"/>
      </w:pPr>
      <w:r>
        <w:rPr>
          <w:rFonts w:ascii="仿宋_GB2312" w:hAnsi="仿宋_GB2312" w:cs="仿宋_GB2312" w:eastAsia="仿宋_GB2312"/>
        </w:rPr>
        <w:t>详见附件：商务要求应答表.docx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jc w:val="left"/>
        <w:outlineLvl w:val="0"/>
      </w:pPr>
      <w:r>
        <w:rPr>
          <w:rFonts w:ascii="仿宋_GB2312" w:hAnsi="仿宋_GB2312" w:cs="仿宋_GB2312" w:eastAsia="仿宋_GB2312"/>
          <w:sz w:val="48"/>
          <w:b/>
        </w:rPr>
        <w:t>采购项目名称</w:t>
      </w:r>
      <w:r>
        <w:rPr>
          <w:rFonts w:ascii="仿宋_GB2312" w:hAnsi="仿宋_GB2312" w:cs="仿宋_GB2312" w:eastAsia="仿宋_GB2312"/>
          <w:sz w:val="48"/>
          <w:b/>
        </w:rPr>
        <w:t>-</w:t>
      </w:r>
      <w:r>
        <w:rPr>
          <w:rFonts w:ascii="仿宋_GB2312" w:hAnsi="仿宋_GB2312" w:cs="仿宋_GB2312" w:eastAsia="仿宋_GB2312"/>
          <w:sz w:val="48"/>
          <w:b/>
        </w:rPr>
        <w:t>采购包名称</w:t>
      </w:r>
      <w:r>
        <w:rPr>
          <w:rFonts w:ascii="仿宋_GB2312" w:hAnsi="仿宋_GB2312" w:cs="仿宋_GB2312" w:eastAsia="仿宋_GB2312"/>
          <w:sz w:val="48"/>
          <w:b/>
        </w:rPr>
        <w:t>（第</w:t>
      </w:r>
      <w:r>
        <w:rPr>
          <w:rFonts w:ascii="仿宋_GB2312" w:hAnsi="仿宋_GB2312" w:cs="仿宋_GB2312" w:eastAsia="仿宋_GB2312"/>
          <w:sz w:val="48"/>
          <w:b/>
        </w:rPr>
        <w:t>X</w:t>
      </w:r>
      <w:r>
        <w:rPr>
          <w:rFonts w:ascii="仿宋_GB2312" w:hAnsi="仿宋_GB2312" w:cs="仿宋_GB2312" w:eastAsia="仿宋_GB2312"/>
          <w:sz w:val="48"/>
          <w:b/>
        </w:rPr>
        <w:t>包）</w:t>
      </w:r>
    </w:p>
    <w:p>
      <w:pPr>
        <w:pStyle w:val="null3"/>
        <w:jc w:val="center"/>
        <w:outlineLvl w:val="0"/>
      </w:pPr>
      <w:r>
        <w:rPr>
          <w:rFonts w:ascii="仿宋_GB2312" w:hAnsi="仿宋_GB2312" w:cs="仿宋_GB2312" w:eastAsia="仿宋_GB2312"/>
          <w:sz w:val="48"/>
          <w:b/>
        </w:rPr>
        <w:t xml:space="preserve"> 政府采购合同</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采购人（甲方）：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供应商（乙方）：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签订地点：</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签订时间：</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rPr>
        <w:t xml:space="preserve"> </w:t>
      </w:r>
    </w:p>
    <w:p>
      <w:pPr>
        <w:pStyle w:val="null3"/>
        <w:jc w:val="center"/>
        <w:outlineLvl w:val="1"/>
      </w:pPr>
      <w:r>
        <w:rPr>
          <w:rFonts w:ascii="仿宋_GB2312" w:hAnsi="仿宋_GB2312" w:cs="仿宋_GB2312" w:eastAsia="仿宋_GB2312"/>
          <w:sz w:val="36"/>
          <w:b/>
        </w:rPr>
        <w:t>使用说明</w:t>
      </w:r>
    </w:p>
    <w:p>
      <w:pPr>
        <w:pStyle w:val="null3"/>
        <w:jc w:val="left"/>
        <w:outlineLvl w:val="3"/>
      </w:pPr>
      <w:r>
        <w:rPr>
          <w:rFonts w:ascii="仿宋_GB2312" w:hAnsi="仿宋_GB2312" w:cs="仿宋_GB2312" w:eastAsia="仿宋_GB2312"/>
          <w:sz w:val="24"/>
          <w:b/>
        </w:rPr>
        <w:t>根据《中华人民共和国民法典》《中华人民共和国政府采购法》等法律法规，以及本采购项目的采购文件、乙方的《投标（响应）文件》及《中标（成交）通知书》，甲乙双方同意签订本合同，共同遵守如下条款：</w:t>
      </w:r>
    </w:p>
    <w:p>
      <w:pPr>
        <w:pStyle w:val="null3"/>
        <w:jc w:val="left"/>
        <w:outlineLvl w:val="2"/>
      </w:pPr>
      <w:r>
        <w:rPr>
          <w:rFonts w:ascii="仿宋_GB2312" w:hAnsi="仿宋_GB2312" w:cs="仿宋_GB2312" w:eastAsia="仿宋_GB2312"/>
          <w:sz w:val="28"/>
          <w:b/>
        </w:rPr>
        <w:t>一、项目信息</w:t>
      </w:r>
    </w:p>
    <w:p>
      <w:pPr>
        <w:pStyle w:val="null3"/>
        <w:jc w:val="left"/>
      </w:pPr>
      <w:r>
        <w:rPr>
          <w:rFonts w:ascii="仿宋_GB2312" w:hAnsi="仿宋_GB2312" w:cs="仿宋_GB2312" w:eastAsia="仿宋_GB2312"/>
        </w:rPr>
        <w:t>1.1.采购项目名称：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1.2.采购项目编号：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1.3.采购计划编号：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1.4.政府采购组织形式：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1.5.政府采购方式：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1.6.落实政府采购政策情况：</w:t>
      </w:r>
    </w:p>
    <w:p>
      <w:pPr>
        <w:pStyle w:val="null3"/>
        <w:jc w:val="left"/>
      </w:pPr>
      <w:r>
        <w:rPr>
          <w:rFonts w:ascii="仿宋_GB2312" w:hAnsi="仿宋_GB2312" w:cs="仿宋_GB2312" w:eastAsia="仿宋_GB2312"/>
        </w:rPr>
        <w:t>1.6.1中标（成交）采购标的制造商是否为中小企业：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1.6.2本合同是否为专门面向中小企业的采购合同（中小企业预留合同）：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1.6.3若本项目不专门面向中小企业采购，是否给予小微企业评审优惠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1.6.4中标（成交）采购标的制造商是否为残疾人福利性单位：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1.6.5中标（成交）采购标的制造商是否为监狱企业：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1.7中标（成交）供应商是否为外商投资企业：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本项目外商投资企业类型为：</w:t>
      </w:r>
      <w:r>
        <w:rPr>
          <w:rFonts w:ascii="仿宋_GB2312" w:hAnsi="仿宋_GB2312" w:cs="仿宋_GB2312" w:eastAsia="仿宋_GB2312"/>
        </w:rPr>
        <w:t>全部由外国投资者投资</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1.8项目内容：</w:t>
      </w:r>
    </w:p>
    <w:p>
      <w:pPr>
        <w:pStyle w:val="null3"/>
        <w:jc w:val="left"/>
      </w:pPr>
      <w:r>
        <w:rPr>
          <w:rFonts w:ascii="仿宋_GB2312" w:hAnsi="仿宋_GB2312" w:cs="仿宋_GB2312" w:eastAsia="仿宋_GB2312"/>
        </w:rPr>
        <w:t>采购标的及数量（台/套/个/架/组等）：</w:t>
      </w:r>
      <w:r>
        <w:rPr>
          <w:rFonts w:ascii="仿宋_GB2312" w:hAnsi="仿宋_GB2312" w:cs="仿宋_GB2312" w:eastAsia="仿宋_GB2312"/>
        </w:rPr>
        <w:t>___________________</w:t>
      </w:r>
    </w:p>
    <w:p>
      <w:pPr>
        <w:pStyle w:val="null3"/>
        <w:jc w:val="left"/>
      </w:pPr>
      <w:r>
        <w:rPr>
          <w:rFonts w:ascii="仿宋_GB2312" w:hAnsi="仿宋_GB2312" w:cs="仿宋_GB2312" w:eastAsia="仿宋_GB2312"/>
        </w:rPr>
        <w:t xml:space="preserve"> 品牌： </w:t>
      </w:r>
      <w:r>
        <w:rPr>
          <w:rFonts w:ascii="仿宋_GB2312" w:hAnsi="仿宋_GB2312" w:cs="仿宋_GB2312" w:eastAsia="仿宋_GB2312"/>
        </w:rPr>
        <w:t>___________________</w:t>
      </w:r>
      <w:r>
        <w:rPr>
          <w:rFonts w:ascii="仿宋_GB2312" w:hAnsi="仿宋_GB2312" w:cs="仿宋_GB2312" w:eastAsia="仿宋_GB2312"/>
        </w:rPr>
        <w:t xml:space="preserve"> 规格型号：</w:t>
      </w:r>
      <w:r>
        <w:rPr>
          <w:rFonts w:ascii="仿宋_GB2312" w:hAnsi="仿宋_GB2312" w:cs="仿宋_GB2312" w:eastAsia="仿宋_GB2312"/>
        </w:rPr>
        <w:t>___________________</w:t>
      </w:r>
    </w:p>
    <w:p>
      <w:pPr>
        <w:pStyle w:val="null3"/>
        <w:jc w:val="left"/>
      </w:pPr>
      <w:r>
        <w:rPr>
          <w:rFonts w:ascii="仿宋_GB2312" w:hAnsi="仿宋_GB2312" w:cs="仿宋_GB2312" w:eastAsia="仿宋_GB2312"/>
        </w:rPr>
        <w:t>涉及信息类产品：</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标的名称</w:t>
            </w:r>
          </w:p>
        </w:tc>
        <w:tc>
          <w:tcPr>
            <w:tcW w:type="dxa" w:w="1661"/>
          </w:tcPr>
          <w:p>
            <w:pPr>
              <w:pStyle w:val="null3"/>
              <w:jc w:val="left"/>
            </w:pPr>
            <w:r>
              <w:rPr>
                <w:rFonts w:ascii="仿宋_GB2312" w:hAnsi="仿宋_GB2312" w:cs="仿宋_GB2312" w:eastAsia="仿宋_GB2312"/>
              </w:rPr>
              <w:t>关键部件</w:t>
            </w:r>
          </w:p>
        </w:tc>
        <w:tc>
          <w:tcPr>
            <w:tcW w:type="dxa" w:w="1661"/>
          </w:tcPr>
          <w:p>
            <w:pPr>
              <w:pStyle w:val="null3"/>
              <w:jc w:val="left"/>
            </w:pPr>
            <w:r>
              <w:rPr>
                <w:rFonts w:ascii="仿宋_GB2312" w:hAnsi="仿宋_GB2312" w:cs="仿宋_GB2312" w:eastAsia="仿宋_GB2312"/>
              </w:rPr>
              <w:t>品牌</w:t>
            </w:r>
          </w:p>
        </w:tc>
        <w:tc>
          <w:tcPr>
            <w:tcW w:type="dxa" w:w="1661"/>
          </w:tcPr>
          <w:p>
            <w:pPr>
              <w:pStyle w:val="null3"/>
              <w:jc w:val="left"/>
            </w:pPr>
            <w:r>
              <w:rPr>
                <w:rFonts w:ascii="仿宋_GB2312" w:hAnsi="仿宋_GB2312" w:cs="仿宋_GB2312" w:eastAsia="仿宋_GB2312"/>
              </w:rPr>
              <w:t>型号</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rFonts w:ascii="仿宋_GB2312" w:hAnsi="仿宋_GB2312" w:cs="仿宋_GB2312" w:eastAsia="仿宋_GB2312"/>
        </w:rPr>
        <w:t>涉及采购新能源汽车：</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采购品目名称</w:t>
            </w:r>
          </w:p>
        </w:tc>
        <w:tc>
          <w:tcPr>
            <w:tcW w:type="dxa" w:w="2076"/>
          </w:tcPr>
          <w:p>
            <w:pPr>
              <w:pStyle w:val="null3"/>
              <w:jc w:val="left"/>
            </w:pPr>
            <w:r>
              <w:rPr>
                <w:rFonts w:ascii="仿宋_GB2312" w:hAnsi="仿宋_GB2312" w:cs="仿宋_GB2312" w:eastAsia="仿宋_GB2312"/>
              </w:rPr>
              <w:t>数量</w:t>
            </w:r>
          </w:p>
        </w:tc>
        <w:tc>
          <w:tcPr>
            <w:tcW w:type="dxa" w:w="2076"/>
          </w:tcPr>
          <w:p>
            <w:pPr>
              <w:pStyle w:val="null3"/>
              <w:jc w:val="left"/>
            </w:pPr>
            <w:r>
              <w:rPr>
                <w:rFonts w:ascii="仿宋_GB2312" w:hAnsi="仿宋_GB2312" w:cs="仿宋_GB2312" w:eastAsia="仿宋_GB2312"/>
              </w:rPr>
              <w:t>金额</w:t>
            </w:r>
          </w:p>
        </w:tc>
      </w:tr>
      <w:tr>
        <w:tc>
          <w:tcPr>
            <w:tcW w:type="dxa" w:w="2076"/>
          </w:tcPr>
          <w:p/>
        </w:tc>
        <w:tc>
          <w:tcPr>
            <w:tcW w:type="dxa" w:w="2076"/>
          </w:tcPr>
          <w:p/>
        </w:tc>
        <w:tc>
          <w:tcPr>
            <w:tcW w:type="dxa" w:w="2076"/>
          </w:tcPr>
          <w:p/>
        </w:tc>
        <w:tc>
          <w:tcPr>
            <w:tcW w:type="dxa" w:w="2076"/>
          </w:tcPr>
          <w:p/>
        </w:tc>
      </w:tr>
    </w:tbl>
    <w:p>
      <w:pPr>
        <w:pStyle w:val="null3"/>
        <w:jc w:val="left"/>
      </w:pPr>
      <w:r>
        <w:rPr>
          <w:rFonts w:ascii="仿宋_GB2312" w:hAnsi="仿宋_GB2312" w:cs="仿宋_GB2312" w:eastAsia="仿宋_GB2312"/>
        </w:rPr>
        <w:t>合同分包：</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分包主要内容</w:t>
            </w:r>
          </w:p>
        </w:tc>
        <w:tc>
          <w:tcPr>
            <w:tcW w:type="dxa" w:w="2076"/>
          </w:tcPr>
          <w:p>
            <w:pPr>
              <w:pStyle w:val="null3"/>
              <w:jc w:val="left"/>
            </w:pPr>
            <w:r>
              <w:rPr>
                <w:rFonts w:ascii="仿宋_GB2312" w:hAnsi="仿宋_GB2312" w:cs="仿宋_GB2312" w:eastAsia="仿宋_GB2312"/>
              </w:rPr>
              <w:t>分包供应商/制造商名称</w:t>
            </w:r>
          </w:p>
        </w:tc>
        <w:tc>
          <w:tcPr>
            <w:tcW w:type="dxa" w:w="2076"/>
          </w:tcPr>
          <w:p>
            <w:pPr>
              <w:pStyle w:val="null3"/>
              <w:jc w:val="left"/>
            </w:pPr>
            <w:r>
              <w:rPr>
                <w:rFonts w:ascii="仿宋_GB2312" w:hAnsi="仿宋_GB2312" w:cs="仿宋_GB2312" w:eastAsia="仿宋_GB2312"/>
              </w:rPr>
              <w:t>分包供应商/制造商类型</w:t>
            </w:r>
          </w:p>
        </w:tc>
      </w:tr>
      <w:tr>
        <w:tc>
          <w:tcPr>
            <w:tcW w:type="dxa" w:w="2076"/>
          </w:tcPr>
          <w:p/>
        </w:tc>
        <w:tc>
          <w:tcPr>
            <w:tcW w:type="dxa" w:w="2076"/>
          </w:tcPr>
          <w:p/>
        </w:tc>
        <w:tc>
          <w:tcPr>
            <w:tcW w:type="dxa" w:w="2076"/>
          </w:tcPr>
          <w:p/>
        </w:tc>
        <w:tc>
          <w:tcPr>
            <w:tcW w:type="dxa" w:w="2076"/>
          </w:tcPr>
          <w:p/>
        </w:tc>
      </w:tr>
    </w:tbl>
    <w:p>
      <w:pPr>
        <w:pStyle w:val="null3"/>
        <w:jc w:val="left"/>
      </w:pPr>
      <w:r>
        <w:rPr>
          <w:rFonts w:ascii="仿宋_GB2312" w:hAnsi="仿宋_GB2312" w:cs="仿宋_GB2312" w:eastAsia="仿宋_GB2312"/>
        </w:rPr>
        <w:t>涉及采购进口产品：</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left"/>
            </w:pPr>
            <w:r>
              <w:rPr>
                <w:rFonts w:ascii="仿宋_GB2312" w:hAnsi="仿宋_GB2312" w:cs="仿宋_GB2312" w:eastAsia="仿宋_GB2312"/>
              </w:rPr>
              <w:t>采购品目名称</w:t>
            </w:r>
          </w:p>
        </w:tc>
        <w:tc>
          <w:tcPr>
            <w:tcW w:type="dxa" w:w="1038"/>
          </w:tcPr>
          <w:p>
            <w:pPr>
              <w:pStyle w:val="null3"/>
              <w:jc w:val="left"/>
            </w:pPr>
            <w:r>
              <w:rPr>
                <w:rFonts w:ascii="仿宋_GB2312" w:hAnsi="仿宋_GB2312" w:cs="仿宋_GB2312" w:eastAsia="仿宋_GB2312"/>
              </w:rPr>
              <w:t>标的名称</w:t>
            </w:r>
          </w:p>
        </w:tc>
        <w:tc>
          <w:tcPr>
            <w:tcW w:type="dxa" w:w="1038"/>
          </w:tcPr>
          <w:p>
            <w:pPr>
              <w:pStyle w:val="null3"/>
              <w:jc w:val="left"/>
            </w:pPr>
            <w:r>
              <w:rPr>
                <w:rFonts w:ascii="仿宋_GB2312" w:hAnsi="仿宋_GB2312" w:cs="仿宋_GB2312" w:eastAsia="仿宋_GB2312"/>
              </w:rPr>
              <w:t>产品名称</w:t>
            </w:r>
          </w:p>
        </w:tc>
        <w:tc>
          <w:tcPr>
            <w:tcW w:type="dxa" w:w="1038"/>
          </w:tcPr>
          <w:p>
            <w:pPr>
              <w:pStyle w:val="null3"/>
              <w:jc w:val="left"/>
            </w:pPr>
            <w:r>
              <w:rPr>
                <w:rFonts w:ascii="仿宋_GB2312" w:hAnsi="仿宋_GB2312" w:cs="仿宋_GB2312" w:eastAsia="仿宋_GB2312"/>
              </w:rPr>
              <w:t>品牌</w:t>
            </w:r>
          </w:p>
        </w:tc>
        <w:tc>
          <w:tcPr>
            <w:tcW w:type="dxa" w:w="1038"/>
          </w:tcPr>
          <w:p>
            <w:pPr>
              <w:pStyle w:val="null3"/>
              <w:jc w:val="left"/>
            </w:pPr>
            <w:r>
              <w:rPr>
                <w:rFonts w:ascii="仿宋_GB2312" w:hAnsi="仿宋_GB2312" w:cs="仿宋_GB2312" w:eastAsia="仿宋_GB2312"/>
              </w:rPr>
              <w:t>规格型号</w:t>
            </w:r>
          </w:p>
        </w:tc>
        <w:tc>
          <w:tcPr>
            <w:tcW w:type="dxa" w:w="1038"/>
          </w:tcPr>
          <w:p>
            <w:pPr>
              <w:pStyle w:val="null3"/>
              <w:jc w:val="left"/>
            </w:pPr>
            <w:r>
              <w:rPr>
                <w:rFonts w:ascii="仿宋_GB2312" w:hAnsi="仿宋_GB2312" w:cs="仿宋_GB2312" w:eastAsia="仿宋_GB2312"/>
              </w:rPr>
              <w:t>金额</w:t>
            </w:r>
          </w:p>
        </w:tc>
        <w:tc>
          <w:tcPr>
            <w:tcW w:type="dxa" w:w="1038"/>
          </w:tcPr>
          <w:p>
            <w:pPr>
              <w:pStyle w:val="null3"/>
              <w:jc w:val="left"/>
            </w:pPr>
            <w:r>
              <w:rPr>
                <w:rFonts w:ascii="仿宋_GB2312" w:hAnsi="仿宋_GB2312" w:cs="仿宋_GB2312" w:eastAsia="仿宋_GB2312"/>
              </w:rPr>
              <w:t>国别</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涉及强制采购节能产品：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涉及优先采购环境标志产品：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涉及绿色产品：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二、货物要求</w:t>
      </w:r>
    </w:p>
    <w:p>
      <w:pPr>
        <w:pStyle w:val="null3"/>
        <w:jc w:val="left"/>
      </w:pPr>
      <w:r>
        <w:rPr>
          <w:rFonts w:ascii="仿宋_GB2312" w:hAnsi="仿宋_GB2312" w:cs="仿宋_GB2312" w:eastAsia="仿宋_GB2312"/>
        </w:rPr>
        <w:t>2.1.质量要求</w:t>
      </w:r>
    </w:p>
    <w:p>
      <w:pPr>
        <w:pStyle w:val="null3"/>
        <w:jc w:val="left"/>
      </w:pPr>
      <w:r>
        <w:rPr>
          <w:rFonts w:ascii="仿宋_GB2312" w:hAnsi="仿宋_GB2312" w:cs="仿宋_GB2312" w:eastAsia="仿宋_GB2312"/>
        </w:rPr>
        <w:t>2.1.1乙方所提供的货物应符合合同约定的品牌、规格型号、技术性能、配置、质量、数量等要求。质量要求不明确的，按照强制性国家标准履行；没有强制性国家标准的，按照推荐性国家标准履行；没有推荐性国家标准的，按照行业标准履行；没有国家标准、行业标准的，按照通常标准或者符合合同目的的特定标准履行。</w:t>
      </w:r>
    </w:p>
    <w:p>
      <w:pPr>
        <w:pStyle w:val="null3"/>
        <w:jc w:val="left"/>
      </w:pPr>
      <w:r>
        <w:rPr>
          <w:rFonts w:ascii="仿宋_GB2312" w:hAnsi="仿宋_GB2312" w:cs="仿宋_GB2312" w:eastAsia="仿宋_GB2312"/>
        </w:rPr>
        <w:t>2.1.2乙方所提供的所有货物、辅材中属于《国家强制性货物认证目录》范围内货物的，均通过国家强制性货物认证并取得认证证书。</w:t>
      </w:r>
    </w:p>
    <w:p>
      <w:pPr>
        <w:pStyle w:val="null3"/>
        <w:jc w:val="left"/>
      </w:pPr>
      <w:r>
        <w:rPr>
          <w:rFonts w:ascii="仿宋_GB2312" w:hAnsi="仿宋_GB2312" w:cs="仿宋_GB2312" w:eastAsia="仿宋_GB2312"/>
        </w:rPr>
        <w:t>2.1.3乙方所提供的货物应符合国家有关安全、环保、卫生的规定。</w:t>
      </w:r>
    </w:p>
    <w:p>
      <w:pPr>
        <w:pStyle w:val="null3"/>
        <w:jc w:val="left"/>
      </w:pPr>
      <w:r>
        <w:rPr>
          <w:rFonts w:ascii="仿宋_GB2312" w:hAnsi="仿宋_GB2312" w:cs="仿宋_GB2312" w:eastAsia="仿宋_GB2312"/>
        </w:rPr>
        <w:t>2.1.4乙方应向甲方提交所提供货物的技术文件，包括相应的中文技术文件，如：产品目录、图纸、操作手册、使用说明、维护手册或服务指南等。上述文件应包装好随货物一同发运。</w:t>
      </w:r>
    </w:p>
    <w:p>
      <w:pPr>
        <w:pStyle w:val="null3"/>
        <w:jc w:val="left"/>
      </w:pPr>
      <w:r>
        <w:rPr>
          <w:rFonts w:ascii="仿宋_GB2312" w:hAnsi="仿宋_GB2312" w:cs="仿宋_GB2312" w:eastAsia="仿宋_GB2312"/>
        </w:rPr>
        <w:t>2.2.包装方式及运输方式</w:t>
      </w:r>
    </w:p>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jc w:val="left"/>
      </w:pPr>
      <w:r>
        <w:rPr>
          <w:rFonts w:ascii="仿宋_GB2312" w:hAnsi="仿宋_GB2312" w:cs="仿宋_GB2312" w:eastAsia="仿宋_GB2312"/>
        </w:rPr>
        <w:t>2.3.质量保修范围和保修期</w:t>
      </w:r>
    </w:p>
    <w:p>
      <w:pPr>
        <w:pStyle w:val="null3"/>
        <w:jc w:val="left"/>
      </w:pPr>
      <w:r>
        <w:rPr>
          <w:rFonts w:ascii="仿宋_GB2312" w:hAnsi="仿宋_GB2312" w:cs="仿宋_GB2312" w:eastAsia="仿宋_GB2312"/>
        </w:rPr>
        <w:t>2.3.1乙方应保证提供的货物完全符合合同规定的质量、规格和性能要求。乙方应保证货物在正确安装、正常使用和保养条件下，在其使用寿命期内具备合同约定的性能。存在保修期的，货物最终交付验收合格后在采购文件规定的保修期或者乙方书面承诺（两者以较长的为准）的保修期内，本保证保持有效。</w:t>
      </w:r>
    </w:p>
    <w:p>
      <w:pPr>
        <w:pStyle w:val="null3"/>
        <w:jc w:val="left"/>
      </w:pPr>
      <w:r>
        <w:rPr>
          <w:rFonts w:ascii="仿宋_GB2312" w:hAnsi="仿宋_GB2312" w:cs="仿宋_GB2312" w:eastAsia="仿宋_GB2312"/>
        </w:rPr>
        <w:t>2.3.2在保修期内所发现的缺陷，甲方应尽快以书面形式通知乙方。</w:t>
      </w:r>
    </w:p>
    <w:p>
      <w:pPr>
        <w:pStyle w:val="null3"/>
        <w:jc w:val="left"/>
      </w:pPr>
      <w:r>
        <w:rPr>
          <w:rFonts w:ascii="仿宋_GB2312" w:hAnsi="仿宋_GB2312" w:cs="仿宋_GB2312" w:eastAsia="仿宋_GB2312"/>
        </w:rPr>
        <w:t>2.3.3乙方收到通知后，应在XX日内以合理的速度免费维修或更换有缺陷的货物或部件。</w:t>
      </w:r>
    </w:p>
    <w:p>
      <w:pPr>
        <w:pStyle w:val="null3"/>
        <w:jc w:val="left"/>
      </w:pPr>
      <w:r>
        <w:rPr>
          <w:rFonts w:ascii="仿宋_GB2312" w:hAnsi="仿宋_GB2312" w:cs="仿宋_GB2312" w:eastAsia="仿宋_GB2312"/>
        </w:rPr>
        <w:t>2.3.4在保修期内，如果货物的质量或规格与合同不符，或证实货物是有缺陷的，包括潜在的缺陷或使用不符合要求的材料等，甲方可以根据本合同第8.1条规定以书面形式追究乙方的违约责任。</w:t>
      </w:r>
    </w:p>
    <w:p>
      <w:pPr>
        <w:pStyle w:val="null3"/>
        <w:jc w:val="left"/>
      </w:pPr>
      <w:r>
        <w:rPr>
          <w:rFonts w:ascii="仿宋_GB2312" w:hAnsi="仿宋_GB2312" w:cs="仿宋_GB2312" w:eastAsia="仿宋_GB2312"/>
        </w:rPr>
        <w:t>2.3.5乙方在约定的时间内未能弥补缺陷，甲方可采取必要的补救措施，但其风险和费用将由乙方承担，甲方根据合同约定对乙方行使的其他权利不受影响。</w:t>
      </w:r>
    </w:p>
    <w:p>
      <w:pPr>
        <w:pStyle w:val="null3"/>
        <w:jc w:val="left"/>
      </w:pPr>
      <w:r>
        <w:rPr>
          <w:rFonts w:ascii="仿宋_GB2312" w:hAnsi="仿宋_GB2312" w:cs="仿宋_GB2312" w:eastAsia="仿宋_GB2312"/>
        </w:rPr>
        <w:t>2.4.其他要求</w:t>
      </w:r>
    </w:p>
    <w:p>
      <w:pPr>
        <w:pStyle w:val="null3"/>
        <w:jc w:val="left"/>
        <w:outlineLvl w:val="2"/>
      </w:pPr>
      <w:r>
        <w:rPr>
          <w:rFonts w:ascii="仿宋_GB2312" w:hAnsi="仿宋_GB2312" w:cs="仿宋_GB2312" w:eastAsia="仿宋_GB2312"/>
          <w:sz w:val="28"/>
          <w:b/>
        </w:rPr>
        <w:t>三、合同价款、支付方式和付款进度安排</w:t>
      </w:r>
    </w:p>
    <w:p>
      <w:pPr>
        <w:pStyle w:val="null3"/>
        <w:jc w:val="left"/>
      </w:pPr>
      <w:r>
        <w:rPr>
          <w:rFonts w:ascii="仿宋_GB2312" w:hAnsi="仿宋_GB2312" w:cs="仿宋_GB2312" w:eastAsia="仿宋_GB2312"/>
        </w:rPr>
        <w:t>3.1合同价款</w:t>
      </w:r>
    </w:p>
    <w:p>
      <w:pPr>
        <w:pStyle w:val="null3"/>
        <w:jc w:val="left"/>
      </w:pPr>
      <w:r>
        <w:rPr>
          <w:rFonts w:ascii="仿宋_GB2312" w:hAnsi="仿宋_GB2312" w:cs="仿宋_GB2312" w:eastAsia="仿宋_GB2312"/>
        </w:rPr>
        <w:t>本合同总金额为</w:t>
      </w:r>
      <w:r>
        <w:rPr>
          <w:rFonts w:ascii="仿宋_GB2312" w:hAnsi="仿宋_GB2312" w:cs="仿宋_GB2312" w:eastAsia="仿宋_GB2312"/>
        </w:rPr>
        <w:t>____________________</w:t>
      </w:r>
      <w:r>
        <w:rPr>
          <w:rFonts w:ascii="仿宋_GB2312" w:hAnsi="仿宋_GB2312" w:cs="仿宋_GB2312" w:eastAsia="仿宋_GB2312"/>
        </w:rPr>
        <w:t>元（大写：</w:t>
      </w:r>
      <w:r>
        <w:rPr>
          <w:rFonts w:ascii="仿宋_GB2312" w:hAnsi="仿宋_GB2312" w:cs="仿宋_GB2312" w:eastAsia="仿宋_GB2312"/>
        </w:rPr>
        <w:t>____________________</w:t>
      </w:r>
      <w:r>
        <w:rPr>
          <w:rFonts w:ascii="仿宋_GB2312" w:hAnsi="仿宋_GB2312" w:cs="仿宋_GB2312" w:eastAsia="仿宋_GB2312"/>
        </w:rPr>
        <w:t>元。 ）</w:t>
      </w:r>
    </w:p>
    <w:p>
      <w:pPr>
        <w:pStyle w:val="null3"/>
        <w:jc w:val="left"/>
      </w:pPr>
      <w:r>
        <w:rPr>
          <w:rFonts w:ascii="仿宋_GB2312" w:hAnsi="仿宋_GB2312" w:cs="仿宋_GB2312" w:eastAsia="仿宋_GB2312"/>
        </w:rPr>
        <w:t>其他情况说明：</w:t>
      </w:r>
    </w:p>
    <w:p>
      <w:pPr>
        <w:pStyle w:val="null3"/>
        <w:jc w:val="left"/>
      </w:pPr>
      <w:r>
        <w:rPr>
          <w:rFonts w:ascii="仿宋_GB2312" w:hAnsi="仿宋_GB2312" w:cs="仿宋_GB2312" w:eastAsia="仿宋_GB2312"/>
        </w:rPr>
        <w:t>3.2支付方式</w:t>
      </w:r>
    </w:p>
    <w:p>
      <w:pPr>
        <w:pStyle w:val="null3"/>
        <w:jc w:val="left"/>
      </w:pPr>
      <w:r>
        <w:rPr>
          <w:rFonts w:ascii="仿宋_GB2312" w:hAnsi="仿宋_GB2312" w:cs="仿宋_GB2312" w:eastAsia="仿宋_GB2312"/>
        </w:rPr>
        <w:t>一次性支付</w:t>
      </w:r>
      <w:r>
        <w:rPr>
          <w:rFonts w:ascii="仿宋_GB2312" w:hAnsi="仿宋_GB2312" w:cs="仿宋_GB2312" w:eastAsia="仿宋_GB2312"/>
        </w:rPr>
        <w:t>分期付款</w:t>
      </w:r>
    </w:p>
    <w:p>
      <w:pPr>
        <w:pStyle w:val="null3"/>
        <w:jc w:val="left"/>
      </w:pPr>
      <w:r>
        <w:rPr>
          <w:rFonts w:ascii="仿宋_GB2312" w:hAnsi="仿宋_GB2312" w:cs="仿宋_GB2312" w:eastAsia="仿宋_GB2312"/>
        </w:rPr>
        <w:t>3.3付款进度安排</w:t>
      </w:r>
    </w:p>
    <w:p>
      <w:pPr>
        <w:pStyle w:val="null3"/>
        <w:jc w:val="left"/>
        <w:outlineLvl w:val="2"/>
      </w:pPr>
      <w:r>
        <w:rPr>
          <w:rFonts w:ascii="仿宋_GB2312" w:hAnsi="仿宋_GB2312" w:cs="仿宋_GB2312" w:eastAsia="仿宋_GB2312"/>
          <w:sz w:val="28"/>
          <w:b/>
        </w:rPr>
        <w:t>四、合同履行</w:t>
      </w:r>
    </w:p>
    <w:p>
      <w:pPr>
        <w:pStyle w:val="null3"/>
        <w:jc w:val="left"/>
      </w:pPr>
      <w:r>
        <w:rPr>
          <w:rFonts w:ascii="仿宋_GB2312" w:hAnsi="仿宋_GB2312" w:cs="仿宋_GB2312" w:eastAsia="仿宋_GB2312"/>
        </w:rPr>
        <w:t>4.1交货时间：</w:t>
      </w:r>
      <w:r>
        <w:rPr>
          <w:rFonts w:ascii="仿宋_GB2312" w:hAnsi="仿宋_GB2312" w:cs="仿宋_GB2312" w:eastAsia="仿宋_GB2312"/>
        </w:rPr>
        <w:t>____________________</w:t>
      </w:r>
      <w:r>
        <w:rPr>
          <w:rFonts w:ascii="仿宋_GB2312" w:hAnsi="仿宋_GB2312" w:cs="仿宋_GB2312" w:eastAsia="仿宋_GB2312"/>
        </w:rPr>
        <w:t>，履约时间：</w:t>
      </w:r>
      <w:r>
        <w:rPr>
          <w:rFonts w:ascii="仿宋_GB2312" w:hAnsi="仿宋_GB2312" w:cs="仿宋_GB2312" w:eastAsia="仿宋_GB2312"/>
        </w:rPr>
        <w:t>-</w:t>
      </w:r>
    </w:p>
    <w:p>
      <w:pPr>
        <w:pStyle w:val="null3"/>
        <w:jc w:val="left"/>
      </w:pPr>
      <w:r>
        <w:rPr>
          <w:rFonts w:ascii="仿宋_GB2312" w:hAnsi="仿宋_GB2312" w:cs="仿宋_GB2312" w:eastAsia="仿宋_GB2312"/>
        </w:rPr>
        <w:t>4.2履约地点：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4.3分期履行要求：</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4.4风险处置措施和替代方案：</w:t>
      </w:r>
      <w:r>
        <w:rPr>
          <w:rFonts w:ascii="仿宋_GB2312" w:hAnsi="仿宋_GB2312" w:cs="仿宋_GB2312" w:eastAsia="仿宋_GB2312"/>
        </w:rPr>
        <w:t>____________________</w:t>
      </w:r>
    </w:p>
    <w:p>
      <w:pPr>
        <w:pStyle w:val="null3"/>
        <w:jc w:val="left"/>
        <w:outlineLvl w:val="2"/>
      </w:pPr>
      <w:r>
        <w:rPr>
          <w:rFonts w:ascii="仿宋_GB2312" w:hAnsi="仿宋_GB2312" w:cs="仿宋_GB2312" w:eastAsia="仿宋_GB2312"/>
          <w:sz w:val="28"/>
          <w:b/>
        </w:rPr>
        <w:t>五、验收、交付标准和方法</w:t>
      </w:r>
    </w:p>
    <w:p>
      <w:pPr>
        <w:pStyle w:val="null3"/>
        <w:jc w:val="left"/>
      </w:pPr>
      <w:r>
        <w:rPr>
          <w:rFonts w:ascii="仿宋_GB2312" w:hAnsi="仿宋_GB2312" w:cs="仿宋_GB2312" w:eastAsia="仿宋_GB2312"/>
        </w:rPr>
        <w:t>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outlineLvl w:val="2"/>
      </w:pPr>
      <w:r>
        <w:rPr>
          <w:rFonts w:ascii="仿宋_GB2312" w:hAnsi="仿宋_GB2312" w:cs="仿宋_GB2312" w:eastAsia="仿宋_GB2312"/>
          <w:sz w:val="28"/>
          <w:b/>
        </w:rPr>
        <w:t>六、甲方的权利和义务</w:t>
      </w:r>
    </w:p>
    <w:p>
      <w:pPr>
        <w:pStyle w:val="null3"/>
        <w:jc w:val="left"/>
      </w:pPr>
      <w:r>
        <w:rPr>
          <w:rFonts w:ascii="仿宋_GB2312" w:hAnsi="仿宋_GB2312" w:cs="仿宋_GB2312" w:eastAsia="仿宋_GB2312"/>
        </w:rPr>
        <w:t>6.1.甲方有权依据双方签订的合同对乙方提供的货物进行验收。甲方应当配合乙方完成相关项目实施工作。甲方未在约定的期限内对乙方履约提出任何异议或者向乙方作出任何说明的，视为验收通过。</w:t>
      </w:r>
    </w:p>
    <w:p>
      <w:pPr>
        <w:pStyle w:val="null3"/>
        <w:jc w:val="left"/>
      </w:pPr>
      <w:r>
        <w:rPr>
          <w:rFonts w:ascii="仿宋_GB2312" w:hAnsi="仿宋_GB2312" w:cs="仿宋_GB2312" w:eastAsia="仿宋_GB2312"/>
        </w:rPr>
        <w:t>6.2.根据本合同规定，满足约定支付条件的，甲方应当自收到发票后10日内将资金支付到合同约定的供应商账户，不得以机构变动、人员更替、政策调整等为由延迟付款，不得将采购文件和合同中未规定的义务作为向供应商付款的条件。</w:t>
      </w:r>
    </w:p>
    <w:p>
      <w:pPr>
        <w:pStyle w:val="null3"/>
        <w:jc w:val="left"/>
        <w:outlineLvl w:val="2"/>
      </w:pPr>
      <w:r>
        <w:rPr>
          <w:rFonts w:ascii="仿宋_GB2312" w:hAnsi="仿宋_GB2312" w:cs="仿宋_GB2312" w:eastAsia="仿宋_GB2312"/>
          <w:sz w:val="28"/>
          <w:b/>
        </w:rPr>
        <w:t>七、乙方的权利和义务</w:t>
      </w:r>
    </w:p>
    <w:p>
      <w:pPr>
        <w:pStyle w:val="null3"/>
        <w:jc w:val="left"/>
      </w:pPr>
      <w:r>
        <w:rPr>
          <w:rFonts w:ascii="仿宋_GB2312" w:hAnsi="仿宋_GB2312" w:cs="仿宋_GB2312" w:eastAsia="仿宋_GB2312"/>
        </w:rPr>
        <w:t>7.1.乙方有权根据本合同约定向甲方收取合同价款。</w:t>
      </w:r>
    </w:p>
    <w:p>
      <w:pPr>
        <w:pStyle w:val="null3"/>
        <w:jc w:val="left"/>
      </w:pPr>
      <w:r>
        <w:rPr>
          <w:rFonts w:ascii="仿宋_GB2312" w:hAnsi="仿宋_GB2312" w:cs="仿宋_GB2312" w:eastAsia="仿宋_GB2312"/>
        </w:rPr>
        <w:t>7.2.乙方应按照合同要求履约，充分合理安排，确保提供的货物及相关服务符合合同有关要求。接受项目行业管理部门及政府有关部门的指导，配合甲方的履约检查及验收，并负责项目实施过程中的所有协调工作。</w:t>
      </w:r>
    </w:p>
    <w:p>
      <w:pPr>
        <w:pStyle w:val="null3"/>
        <w:jc w:val="left"/>
      </w:pPr>
      <w:r>
        <w:rPr>
          <w:rFonts w:ascii="仿宋_GB2312" w:hAnsi="仿宋_GB2312" w:cs="仿宋_GB2312" w:eastAsia="仿宋_GB2312"/>
        </w:rPr>
        <w:t>7.3.乙方承诺遵守《中华人民共和国劳动合同法》有关规定和《中华人民共和国妇女权益保障法》中关于“劳动和社会保障权益”的有关要求。</w:t>
      </w:r>
    </w:p>
    <w:p>
      <w:pPr>
        <w:pStyle w:val="null3"/>
        <w:jc w:val="left"/>
        <w:outlineLvl w:val="2"/>
      </w:pPr>
      <w:r>
        <w:rPr>
          <w:rFonts w:ascii="仿宋_GB2312" w:hAnsi="仿宋_GB2312" w:cs="仿宋_GB2312" w:eastAsia="仿宋_GB2312"/>
          <w:sz w:val="28"/>
          <w:b/>
        </w:rPr>
        <w:t>八、违约责任</w:t>
      </w:r>
    </w:p>
    <w:p>
      <w:pPr>
        <w:pStyle w:val="null3"/>
        <w:jc w:val="left"/>
      </w:pPr>
      <w:r>
        <w:rPr>
          <w:rFonts w:ascii="仿宋_GB2312" w:hAnsi="仿宋_GB2312" w:cs="仿宋_GB2312" w:eastAsia="仿宋_GB2312"/>
        </w:rPr>
        <w:t>8.1质量瑕疵的违约责任</w:t>
      </w:r>
    </w:p>
    <w:p>
      <w:pPr>
        <w:pStyle w:val="null3"/>
        <w:jc w:val="left"/>
      </w:pPr>
      <w:r>
        <w:rPr>
          <w:rFonts w:ascii="仿宋_GB2312" w:hAnsi="仿宋_GB2312" w:cs="仿宋_GB2312" w:eastAsia="仿宋_GB2312"/>
        </w:rPr>
        <w:t>乙方提供的产品不符合合同约定的质量标准或存在产品质量缺陷，甲方有权要求乙方及时修理、重作、更换，并承担由此给甲方造成的损失。修理、重作、更换的具体要求为：XX。</w:t>
      </w:r>
    </w:p>
    <w:p>
      <w:pPr>
        <w:pStyle w:val="null3"/>
        <w:jc w:val="left"/>
      </w:pPr>
      <w:r>
        <w:rPr>
          <w:rFonts w:ascii="仿宋_GB2312" w:hAnsi="仿宋_GB2312" w:cs="仿宋_GB2312" w:eastAsia="仿宋_GB2312"/>
        </w:rPr>
        <w:t>8.2迟延交货的违约责任</w:t>
      </w:r>
    </w:p>
    <w:p>
      <w:pPr>
        <w:pStyle w:val="null3"/>
        <w:jc w:val="left"/>
      </w:pPr>
      <w:r>
        <w:rPr>
          <w:rFonts w:ascii="仿宋_GB2312" w:hAnsi="仿宋_GB2312" w:cs="仿宋_GB2312" w:eastAsia="仿宋_GB2312"/>
        </w:rPr>
        <w:t>8.2.1乙方应按照本合同规定的时间、地点交货和提供相关服务。在履行合同过程中，如果乙方遇到可能影响按时交货和提供服务的情形时，应及时以书面形式将迟延的事实、可能迟延的期限和理由通知甲方。甲方在收到乙方通知后，应尽快对情况进行评价，并确定是否同意延长交货时间或延期提供服务。</w:t>
      </w:r>
    </w:p>
    <w:p>
      <w:pPr>
        <w:pStyle w:val="null3"/>
        <w:jc w:val="left"/>
      </w:pPr>
      <w:r>
        <w:rPr>
          <w:rFonts w:ascii="仿宋_GB2312" w:hAnsi="仿宋_GB2312" w:cs="仿宋_GB2312" w:eastAsia="仿宋_GB2312"/>
        </w:rPr>
        <w:t>8.2.2如果乙方没有按照合同规定的时间交货和提供相关服务，甲方有权从货款中扣除误期赔偿费而不影响合同项下的其他补救方法，赔偿费的计算方法为：XX。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8.2.3迟延支付的违约责任</w:t>
      </w:r>
    </w:p>
    <w:p>
      <w:pPr>
        <w:pStyle w:val="null3"/>
        <w:jc w:val="left"/>
      </w:pPr>
      <w:r>
        <w:rPr>
          <w:rFonts w:ascii="仿宋_GB2312" w:hAnsi="仿宋_GB2312" w:cs="仿宋_GB2312" w:eastAsia="仿宋_GB2312"/>
        </w:rPr>
        <w:t>甲方存在迟延支付乙方合同款项的，应当支付逾期付款利息，计算方法为：XX。</w:t>
      </w:r>
    </w:p>
    <w:p>
      <w:pPr>
        <w:pStyle w:val="null3"/>
        <w:jc w:val="left"/>
        <w:outlineLvl w:val="2"/>
      </w:pPr>
      <w:r>
        <w:rPr>
          <w:rFonts w:ascii="仿宋_GB2312" w:hAnsi="仿宋_GB2312" w:cs="仿宋_GB2312" w:eastAsia="仿宋_GB2312"/>
          <w:sz w:val="28"/>
          <w:b/>
        </w:rPr>
        <w:t>九、争议解决方法</w:t>
      </w:r>
    </w:p>
    <w:p>
      <w:pPr>
        <w:pStyle w:val="null3"/>
        <w:jc w:val="left"/>
      </w:pPr>
      <w:r>
        <w:rPr>
          <w:rFonts w:ascii="仿宋_GB2312" w:hAnsi="仿宋_GB2312" w:cs="仿宋_GB2312" w:eastAsia="仿宋_GB2312"/>
        </w:rPr>
        <w:t>9.1.因本合同及合同有关事项发生的争议，由甲乙双方友好协商解决。协商不成时，可以向有关组织申请调解。合同一方或双方不愿调解或调解不成的，可以通过仲裁或诉讼的方式解决争议。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9.2.因本合同及合同有关事项发生的争议，向XX仲裁委员会申请仲裁/向XX人民法院起诉。</w:t>
      </w:r>
    </w:p>
    <w:p>
      <w:pPr>
        <w:pStyle w:val="null3"/>
        <w:jc w:val="left"/>
      </w:pPr>
      <w:r>
        <w:rPr>
          <w:rFonts w:ascii="仿宋_GB2312" w:hAnsi="仿宋_GB2312" w:cs="仿宋_GB2312" w:eastAsia="仿宋_GB2312"/>
        </w:rPr>
        <w:t>9.3.如甲乙双方有争议的事项不影响合同其他部分的履行，在争议解决期间，合同其他部分应当继续履行。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十、组成合同的文件</w:t>
      </w:r>
    </w:p>
    <w:p>
      <w:pPr>
        <w:pStyle w:val="null3"/>
        <w:jc w:val="left"/>
      </w:pPr>
      <w:r>
        <w:rPr>
          <w:rFonts w:ascii="仿宋_GB2312" w:hAnsi="仿宋_GB2312" w:cs="仿宋_GB2312" w:eastAsia="仿宋_GB2312"/>
        </w:rPr>
        <w:t>本合同与下列文件一起构成合同文件，如下述文件之间有任何抵触、矛盾或歧义，应按以下顺序解释：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（1）政府采购合同及其变更、补充协议</w:t>
      </w:r>
    </w:p>
    <w:p>
      <w:pPr>
        <w:pStyle w:val="null3"/>
        <w:jc w:val="left"/>
      </w:pPr>
      <w:r>
        <w:rPr>
          <w:rFonts w:ascii="仿宋_GB2312" w:hAnsi="仿宋_GB2312" w:cs="仿宋_GB2312" w:eastAsia="仿宋_GB2312"/>
        </w:rPr>
        <w:t>（2）中标（成交）通知书</w:t>
      </w:r>
    </w:p>
    <w:p>
      <w:pPr>
        <w:pStyle w:val="null3"/>
        <w:jc w:val="left"/>
      </w:pPr>
      <w:r>
        <w:rPr>
          <w:rFonts w:ascii="仿宋_GB2312" w:hAnsi="仿宋_GB2312" w:cs="仿宋_GB2312" w:eastAsia="仿宋_GB2312"/>
        </w:rPr>
        <w:t>（3）投标（响应）文件</w:t>
      </w:r>
    </w:p>
    <w:p>
      <w:pPr>
        <w:pStyle w:val="null3"/>
        <w:jc w:val="left"/>
      </w:pPr>
      <w:r>
        <w:rPr>
          <w:rFonts w:ascii="仿宋_GB2312" w:hAnsi="仿宋_GB2312" w:cs="仿宋_GB2312" w:eastAsia="仿宋_GB2312"/>
        </w:rPr>
        <w:t>（4）采购文件</w:t>
      </w:r>
    </w:p>
    <w:p>
      <w:pPr>
        <w:pStyle w:val="null3"/>
        <w:jc w:val="left"/>
      </w:pPr>
      <w:r>
        <w:rPr>
          <w:rFonts w:ascii="仿宋_GB2312" w:hAnsi="仿宋_GB2312" w:cs="仿宋_GB2312" w:eastAsia="仿宋_GB2312"/>
        </w:rPr>
        <w:t>（5）有关技术文件，图纸</w:t>
      </w:r>
    </w:p>
    <w:p>
      <w:pPr>
        <w:pStyle w:val="null3"/>
        <w:jc w:val="left"/>
      </w:pPr>
      <w:r>
        <w:rPr>
          <w:rFonts w:ascii="仿宋_GB2312" w:hAnsi="仿宋_GB2312" w:cs="仿宋_GB2312" w:eastAsia="仿宋_GB2312"/>
        </w:rPr>
        <w:t>（6）国家法律、行政法规和规章制度规定或合同约定的作为合同组成部分的其他文件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十一、其他条款</w:t>
      </w:r>
    </w:p>
    <w:p>
      <w:pPr>
        <w:pStyle w:val="null3"/>
        <w:jc w:val="left"/>
      </w:pPr>
      <w:r>
        <w:rPr>
          <w:rFonts w:ascii="仿宋_GB2312" w:hAnsi="仿宋_GB2312" w:cs="仿宋_GB2312" w:eastAsia="仿宋_GB2312"/>
        </w:rPr>
        <w:t>11.1履约保证金</w:t>
      </w:r>
    </w:p>
    <w:p>
      <w:pPr>
        <w:pStyle w:val="null3"/>
        <w:jc w:val="left"/>
      </w:pPr>
      <w:r>
        <w:rPr>
          <w:rFonts w:ascii="仿宋_GB2312" w:hAnsi="仿宋_GB2312" w:cs="仿宋_GB2312" w:eastAsia="仿宋_GB2312"/>
        </w:rPr>
        <w:t>如果乙方未能按合同约定全面履行义务，甲方有权从履约保证金中取得补偿或赔偿，且不影响甲方要求乙方承担合同约定的超过履约保证金的违约责任的权利。甲方逾期退还履约保证金的，乙方可要求甲方支付违约金，违约金支付比例：XX。</w:t>
      </w:r>
    </w:p>
    <w:p>
      <w:pPr>
        <w:pStyle w:val="null3"/>
        <w:jc w:val="left"/>
      </w:pPr>
      <w:r>
        <w:rPr>
          <w:rFonts w:ascii="仿宋_GB2312" w:hAnsi="仿宋_GB2312" w:cs="仿宋_GB2312" w:eastAsia="仿宋_GB2312"/>
        </w:rPr>
        <w:t>11.2不可抗力事件处理</w:t>
      </w:r>
    </w:p>
    <w:p>
      <w:pPr>
        <w:pStyle w:val="null3"/>
        <w:jc w:val="left"/>
      </w:pPr>
      <w:r>
        <w:rPr>
          <w:rFonts w:ascii="仿宋_GB2312" w:hAnsi="仿宋_GB2312" w:cs="仿宋_GB2312" w:eastAsia="仿宋_GB2312"/>
        </w:rPr>
        <w:t>11.2.1.任何一方对由于不可抗力造成的部分或全部不能履行合同不承担违约责任。但迟延履行后发生不可抗力的，不能免除责任。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11.2.2.遇有不可抗力的一方，应及时将事件情况以书面形式告知另一方，并在事件发生后XX天内及时向另一方提交合同不能履行或部分不能履行或需要延期履行的详细报告，以及证明不可抗力发生及其持续时间的证据。</w:t>
      </w:r>
    </w:p>
    <w:p>
      <w:pPr>
        <w:pStyle w:val="null3"/>
        <w:jc w:val="left"/>
      </w:pPr>
      <w:r>
        <w:rPr>
          <w:rFonts w:ascii="仿宋_GB2312" w:hAnsi="仿宋_GB2312" w:cs="仿宋_GB2312" w:eastAsia="仿宋_GB2312"/>
        </w:rPr>
        <w:t>11.2.3.不可抗力事件延续XX天以上，双方应通过友好协商，确定是否继续履行合同。</w:t>
      </w:r>
    </w:p>
    <w:p>
      <w:pPr>
        <w:pStyle w:val="null3"/>
        <w:jc w:val="left"/>
      </w:pPr>
      <w:r>
        <w:rPr>
          <w:rFonts w:ascii="仿宋_GB2312" w:hAnsi="仿宋_GB2312" w:cs="仿宋_GB2312" w:eastAsia="仿宋_GB2312"/>
        </w:rPr>
        <w:t>11.3权利瑕疵担保</w:t>
      </w:r>
    </w:p>
    <w:p>
      <w:pPr>
        <w:pStyle w:val="null3"/>
        <w:jc w:val="left"/>
      </w:pPr>
      <w:r>
        <w:rPr>
          <w:rFonts w:ascii="仿宋_GB2312" w:hAnsi="仿宋_GB2312" w:cs="仿宋_GB2312" w:eastAsia="仿宋_GB2312"/>
        </w:rPr>
        <w:t>乙方保证对其出售的货物享有合法的权利。乙方保证在交付的货物上不存在抵押权等担保物权。如甲方使用上述货物构成对第三人侵权的，则由乙方承担全部责任。</w:t>
      </w:r>
    </w:p>
    <w:p>
      <w:pPr>
        <w:pStyle w:val="null3"/>
        <w:jc w:val="left"/>
      </w:pPr>
      <w:r>
        <w:rPr>
          <w:rFonts w:ascii="仿宋_GB2312" w:hAnsi="仿宋_GB2312" w:cs="仿宋_GB2312" w:eastAsia="仿宋_GB2312"/>
        </w:rPr>
        <w:t>11.4知识产权保护</w:t>
      </w:r>
    </w:p>
    <w:p>
      <w:pPr>
        <w:pStyle w:val="null3"/>
        <w:jc w:val="left"/>
      </w:pPr>
      <w:r>
        <w:rPr>
          <w:rFonts w:ascii="仿宋_GB2312" w:hAnsi="仿宋_GB2312" w:cs="仿宋_GB2312" w:eastAsia="仿宋_GB2312"/>
        </w:rPr>
        <w:t>乙方对其所销售的货物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pPr>
      <w:r>
        <w:rPr>
          <w:rFonts w:ascii="仿宋_GB2312" w:hAnsi="仿宋_GB2312" w:cs="仿宋_GB2312" w:eastAsia="仿宋_GB2312"/>
        </w:rPr>
        <w:t>11.5保密义务</w:t>
      </w:r>
    </w:p>
    <w:p>
      <w:pPr>
        <w:pStyle w:val="null3"/>
        <w:jc w:val="left"/>
      </w:pPr>
      <w:r>
        <w:rPr>
          <w:rFonts w:ascii="仿宋_GB2312" w:hAnsi="仿宋_GB2312" w:cs="仿宋_GB2312" w:eastAsia="仿宋_GB2312"/>
        </w:rPr>
        <w:t>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w:t>
      </w:r>
    </w:p>
    <w:p>
      <w:pPr>
        <w:pStyle w:val="null3"/>
        <w:jc w:val="left"/>
      </w:pPr>
      <w:r>
        <w:rPr>
          <w:rFonts w:ascii="仿宋_GB2312" w:hAnsi="仿宋_GB2312" w:cs="仿宋_GB2312" w:eastAsia="仿宋_GB2312"/>
        </w:rPr>
        <w:t>11.6售后服务</w:t>
      </w:r>
    </w:p>
    <w:p>
      <w:pPr>
        <w:pStyle w:val="null3"/>
        <w:jc w:val="left"/>
      </w:pPr>
      <w:r>
        <w:rPr>
          <w:rFonts w:ascii="仿宋_GB2312" w:hAnsi="仿宋_GB2312" w:cs="仿宋_GB2312" w:eastAsia="仿宋_GB2312"/>
        </w:rPr>
        <w:t>除项目不涉及或采购活动中明确约定无须承担外，乙方还应提供下列服务：</w:t>
      </w:r>
    </w:p>
    <w:p>
      <w:pPr>
        <w:pStyle w:val="null3"/>
        <w:jc w:val="left"/>
      </w:pPr>
      <w:r>
        <w:rPr>
          <w:rFonts w:ascii="仿宋_GB2312" w:hAnsi="仿宋_GB2312" w:cs="仿宋_GB2312" w:eastAsia="仿宋_GB2312"/>
        </w:rPr>
        <w:t>（1）货物的现场移动、安装、调试、启动监督及技术支持；</w:t>
      </w:r>
    </w:p>
    <w:p>
      <w:pPr>
        <w:pStyle w:val="null3"/>
        <w:jc w:val="left"/>
      </w:pPr>
      <w:r>
        <w:rPr>
          <w:rFonts w:ascii="仿宋_GB2312" w:hAnsi="仿宋_GB2312" w:cs="仿宋_GB2312" w:eastAsia="仿宋_GB2312"/>
        </w:rPr>
        <w:t>（2）提供货物组装和维修所需的专用工具和辅助材料；</w:t>
      </w:r>
    </w:p>
    <w:p>
      <w:pPr>
        <w:pStyle w:val="null3"/>
        <w:jc w:val="left"/>
      </w:pPr>
      <w:r>
        <w:rPr>
          <w:rFonts w:ascii="仿宋_GB2312" w:hAnsi="仿宋_GB2312" w:cs="仿宋_GB2312" w:eastAsia="仿宋_GB2312"/>
        </w:rPr>
        <w:t>（3）在XX期限内对所有的货物实施运行监督、维修，但前提条件是该服务并不能免除乙方在质量保证期内所承担的义务；</w:t>
      </w:r>
    </w:p>
    <w:p>
      <w:pPr>
        <w:pStyle w:val="null3"/>
        <w:jc w:val="left"/>
      </w:pPr>
      <w:r>
        <w:rPr>
          <w:rFonts w:ascii="仿宋_GB2312" w:hAnsi="仿宋_GB2312" w:cs="仿宋_GB2312" w:eastAsia="仿宋_GB2312"/>
        </w:rPr>
        <w:t>（4）在制造商所在地或指定现场就货物的安装、启动、运营、维护、废弃处置等对甲方操作人员进行培训；</w:t>
      </w:r>
    </w:p>
    <w:p>
      <w:pPr>
        <w:pStyle w:val="null3"/>
        <w:jc w:val="left"/>
      </w:pPr>
      <w:r>
        <w:rPr>
          <w:rFonts w:ascii="仿宋_GB2312" w:hAnsi="仿宋_GB2312" w:cs="仿宋_GB2312" w:eastAsia="仿宋_GB2312"/>
        </w:rPr>
        <w:t>（5）依照法律、行政法规的规定或者因XX原因，货物在有效使用年限届满后应予回收的，乙方负有自行或者委托第三人对货物予以回收的义务；</w:t>
      </w:r>
    </w:p>
    <w:p>
      <w:pPr>
        <w:pStyle w:val="null3"/>
        <w:jc w:val="left"/>
      </w:pPr>
      <w:r>
        <w:rPr>
          <w:rFonts w:ascii="仿宋_GB2312" w:hAnsi="仿宋_GB2312" w:cs="仿宋_GB2312" w:eastAsia="仿宋_GB2312"/>
        </w:rPr>
        <w:t>乙方提供的售后服务的费用已包含在合同价款中，甲方不再另行支付。</w:t>
      </w:r>
    </w:p>
    <w:p>
      <w:pPr>
        <w:pStyle w:val="null3"/>
        <w:jc w:val="left"/>
      </w:pPr>
      <w:r>
        <w:rPr>
          <w:rFonts w:ascii="仿宋_GB2312" w:hAnsi="仿宋_GB2312" w:cs="仿宋_GB2312" w:eastAsia="仿宋_GB2312"/>
        </w:rPr>
        <w:t>11.7合同变更、中止与终止</w:t>
      </w:r>
    </w:p>
    <w:p>
      <w:pPr>
        <w:pStyle w:val="null3"/>
        <w:jc w:val="left"/>
      </w:pPr>
      <w:r>
        <w:rPr>
          <w:rFonts w:ascii="仿宋_GB2312" w:hAnsi="仿宋_GB2312" w:cs="仿宋_GB2312" w:eastAsia="仿宋_GB2312"/>
        </w:rPr>
        <w:t>11.7.1.合同的变更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政府采购合同履行中，在不改变合同其他条款的前提下，甲方可以在合同价款10%的范围内追加与合同标的相同的货物，并就此与乙方协商一致后签订补充协议。</w:t>
      </w:r>
    </w:p>
    <w:p>
      <w:pPr>
        <w:pStyle w:val="null3"/>
        <w:jc w:val="left"/>
      </w:pPr>
      <w:r>
        <w:rPr>
          <w:rFonts w:ascii="仿宋_GB2312" w:hAnsi="仿宋_GB2312" w:cs="仿宋_GB2312" w:eastAsia="仿宋_GB2312"/>
        </w:rPr>
        <w:t>11.7.2.合同的中止</w:t>
      </w:r>
    </w:p>
    <w:p>
      <w:pPr>
        <w:pStyle w:val="null3"/>
        <w:jc w:val="left"/>
      </w:pPr>
      <w:r>
        <w:rPr>
          <w:rFonts w:ascii="仿宋_GB2312" w:hAnsi="仿宋_GB2312" w:cs="仿宋_GB2312" w:eastAsia="仿宋_GB2312"/>
        </w:rPr>
        <w:t>11.7.2.1合同履行过程中因供应商就采购文件、采购过程或结果提起投诉的，甲方认为有必要的，可以中止合同的履行。</w:t>
      </w:r>
    </w:p>
    <w:p>
      <w:pPr>
        <w:pStyle w:val="null3"/>
        <w:jc w:val="left"/>
      </w:pPr>
      <w:r>
        <w:rPr>
          <w:rFonts w:ascii="仿宋_GB2312" w:hAnsi="仿宋_GB2312" w:cs="仿宋_GB2312" w:eastAsia="仿宋_GB2312"/>
        </w:rPr>
        <w:t>11.7.2.2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11.7.2.3乙方分立、合并或者变更住所的，应当及时以书面形式告知甲方。乙方没有及时告知甲方，致使合同履行发生困难的，甲方可以中止合同履行并要求乙方承担由此给甲方造成的损失。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11.7.2.4甲方不得以行政区划调整、政府换届、机构或者职能调整以及相关责任人更替为由中止合同。</w:t>
      </w:r>
    </w:p>
    <w:p>
      <w:pPr>
        <w:pStyle w:val="null3"/>
        <w:jc w:val="left"/>
      </w:pPr>
      <w:r>
        <w:rPr>
          <w:rFonts w:ascii="仿宋_GB2312" w:hAnsi="仿宋_GB2312" w:cs="仿宋_GB2312" w:eastAsia="仿宋_GB2312"/>
        </w:rPr>
        <w:t>11.7.3.合同的终止</w:t>
      </w:r>
    </w:p>
    <w:p>
      <w:pPr>
        <w:pStyle w:val="null3"/>
        <w:jc w:val="left"/>
      </w:pPr>
      <w:r>
        <w:rPr>
          <w:rFonts w:ascii="仿宋_GB2312" w:hAnsi="仿宋_GB2312" w:cs="仿宋_GB2312" w:eastAsia="仿宋_GB2312"/>
        </w:rPr>
        <w:t>11.7.3.1合同因有效期限届满而终止；</w:t>
      </w:r>
    </w:p>
    <w:p>
      <w:pPr>
        <w:pStyle w:val="null3"/>
        <w:jc w:val="left"/>
      </w:pPr>
      <w:r>
        <w:rPr>
          <w:rFonts w:ascii="仿宋_GB2312" w:hAnsi="仿宋_GB2312" w:cs="仿宋_GB2312" w:eastAsia="仿宋_GB2312"/>
        </w:rPr>
        <w:t>11.7.3.2乙方未按合同约定履行，构成根本性违约的，甲方有权终止合同，并追究乙方的违约责任。</w:t>
      </w:r>
    </w:p>
    <w:p>
      <w:pPr>
        <w:pStyle w:val="null3"/>
        <w:jc w:val="left"/>
      </w:pPr>
      <w:r>
        <w:rPr>
          <w:rFonts w:ascii="仿宋_GB2312" w:hAnsi="仿宋_GB2312" w:cs="仿宋_GB2312" w:eastAsia="仿宋_GB2312"/>
        </w:rPr>
        <w:t>11.7.4.涉及国家利益、社会公共利益的情形</w:t>
      </w:r>
    </w:p>
    <w:p>
      <w:pPr>
        <w:pStyle w:val="null3"/>
        <w:jc w:val="left"/>
      </w:pPr>
      <w:r>
        <w:rPr>
          <w:rFonts w:ascii="仿宋_GB2312" w:hAnsi="仿宋_GB2312" w:cs="仿宋_GB2312" w:eastAsia="仿宋_GB2312"/>
        </w:rPr>
        <w:t>政府采购合同继续履行将损害国家利益和社会公共利益的，双方当事人应当变更、中止或者终止合同。有过错的一方应当承担赔偿责任，双方都有过错的，各自承担相应的责任。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11.8.合同分包</w:t>
      </w:r>
    </w:p>
    <w:p>
      <w:pPr>
        <w:pStyle w:val="null3"/>
        <w:jc w:val="left"/>
      </w:pPr>
      <w:r>
        <w:rPr>
          <w:rFonts w:ascii="仿宋_GB2312" w:hAnsi="仿宋_GB2312" w:cs="仿宋_GB2312" w:eastAsia="仿宋_GB2312"/>
        </w:rPr>
        <w:t>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乙方执行政府采购政策向中小企业依法分包的，乙方应当按采购文件和投标（响应）文件签订分包意向协议，分包意向协议属于本合同组成部分。</w:t>
      </w:r>
    </w:p>
    <w:p>
      <w:pPr>
        <w:pStyle w:val="null3"/>
        <w:jc w:val="left"/>
      </w:pPr>
      <w:r>
        <w:rPr>
          <w:rFonts w:ascii="仿宋_GB2312" w:hAnsi="仿宋_GB2312" w:cs="仿宋_GB2312" w:eastAsia="仿宋_GB2312"/>
        </w:rPr>
        <w:t>11.9法律适用</w:t>
      </w:r>
    </w:p>
    <w:p>
      <w:pPr>
        <w:pStyle w:val="null3"/>
        <w:jc w:val="left"/>
      </w:pPr>
      <w:r>
        <w:rPr>
          <w:rFonts w:ascii="仿宋_GB2312" w:hAnsi="仿宋_GB2312" w:cs="仿宋_GB2312" w:eastAsia="仿宋_GB2312"/>
        </w:rPr>
        <w:t>本合同的订立、生效、解释、履行及与本合同有关的争议解决，均适用法律、行政法规。</w:t>
      </w:r>
    </w:p>
    <w:p>
      <w:pPr>
        <w:pStyle w:val="null3"/>
        <w:jc w:val="left"/>
      </w:pPr>
      <w:r>
        <w:rPr>
          <w:rFonts w:ascii="仿宋_GB2312" w:hAnsi="仿宋_GB2312" w:cs="仿宋_GB2312" w:eastAsia="仿宋_GB2312"/>
        </w:rPr>
        <w:t>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十二、合同生效及其他</w:t>
      </w:r>
    </w:p>
    <w:p>
      <w:pPr>
        <w:pStyle w:val="null3"/>
        <w:jc w:val="left"/>
      </w:pPr>
      <w:r>
        <w:rPr>
          <w:rFonts w:ascii="仿宋_GB2312" w:hAnsi="仿宋_GB2312" w:cs="仿宋_GB2312" w:eastAsia="仿宋_GB2312"/>
        </w:rPr>
        <w:t>12.1.合同经双方法定代表人（或主要负责人）或授权委托代理人签字并加盖公章后生效。</w:t>
      </w:r>
    </w:p>
    <w:p>
      <w:pPr>
        <w:pStyle w:val="null3"/>
        <w:jc w:val="left"/>
      </w:pPr>
      <w:r>
        <w:rPr>
          <w:rFonts w:ascii="仿宋_GB2312" w:hAnsi="仿宋_GB2312" w:cs="仿宋_GB2312" w:eastAsia="仿宋_GB2312"/>
        </w:rPr>
        <w:t>12.2.政府采购合同履行中，甲方需追加与合同标的相同的货物的，在不改变合同其他条款的前提下，可以与乙方协商签订补充合同，但所有补充合同的采购金额不得超过原合同采购金额的百分之十。补充协议签订后，报政府采购监督管理部门备案，方可作为主合同不可分割的一部分。</w:t>
      </w:r>
    </w:p>
    <w:p>
      <w:pPr>
        <w:pStyle w:val="null3"/>
        <w:jc w:val="left"/>
      </w:pPr>
      <w:r>
        <w:rPr>
          <w:rFonts w:ascii="仿宋_GB2312" w:hAnsi="仿宋_GB2312" w:cs="仿宋_GB2312" w:eastAsia="仿宋_GB2312"/>
        </w:rPr>
        <w:t>12.3.本合同一式XX份，自双方签章之日起生效。甲方持有XX份，乙方持有XX份，项目同级财政部门备案XX份，均具有同等法律效力。</w:t>
      </w:r>
      <w:r>
        <w:br/>
      </w:r>
      <w:r>
        <w:br/>
      </w:r>
      <w:r>
        <w:br/>
      </w:r>
    </w:p>
    <w:tbl>
      <w:tblPr>
        <w:tblW w:w="0" w:type="auto"/>
        <w:tblBorders>
          <w:top w:val="single"/>
          <w:left w:val="single"/>
          <w:bottom w:val="single"/>
          <w:right w:val="single"/>
          <w:insideH w:val="single"/>
          <w:insideV w:val="single"/>
        </w:tblBorders>
      </w:tblPr>
      <w:tblGrid>
        <w:gridCol w:w="8306"/>
        <w:gridCol w:w="0"/>
      </w:tblGrid>
      <w:tr>
        <w:tc>
          <w:tcPr>
            <w:tcW w:type="dxa" w:w="8306"/>
            <w:gridSpan w:val="2"/>
          </w:tcPr>
          <w:p>
            <w:pPr>
              <w:pStyle w:val="null3"/>
              <w:jc w:val="center"/>
            </w:pPr>
            <w:r>
              <w:rPr>
                <w:rFonts w:ascii="仿宋_GB2312" w:hAnsi="仿宋_GB2312" w:cs="仿宋_GB2312" w:eastAsia="仿宋_GB2312"/>
              </w:rPr>
              <w:t>甲方</w:t>
            </w:r>
          </w:p>
        </w:tc>
      </w:tr>
      <w:tr>
        <w:tc>
          <w:tcPr>
            <w:tcW w:type="dxa" w:w="8306"/>
          </w:tcPr>
          <w:p>
            <w:pPr>
              <w:pStyle w:val="null3"/>
              <w:jc w:val="center"/>
            </w:pPr>
            <w:r>
              <w:rPr>
                <w:rFonts w:ascii="仿宋_GB2312" w:hAnsi="仿宋_GB2312" w:cs="仿宋_GB2312" w:eastAsia="仿宋_GB2312"/>
              </w:rPr>
              <w:t>单位名称</w:t>
            </w:r>
          </w:p>
        </w:tc>
        <w:tc>
          <w:tcPr>
            <w:tcW w:type="dxa" w:w="0"/>
          </w:tcPr>
          <w:p>
            <w:pPr>
              <w:pStyle w:val="null3"/>
              <w:jc w:val="left"/>
            </w:pPr>
            <w:r>
              <w:rPr>
                <w:rFonts w:ascii="仿宋_GB2312" w:hAnsi="仿宋_GB2312" w:cs="仿宋_GB2312" w:eastAsia="仿宋_GB2312"/>
              </w:rPr>
              <w:t>（盖章）</w:t>
            </w:r>
          </w:p>
        </w:tc>
      </w:tr>
      <w:tr>
        <w:tc>
          <w:tcPr>
            <w:tcW w:type="dxa" w:w="8306"/>
          </w:tcPr>
          <w:p>
            <w:pPr>
              <w:pStyle w:val="null3"/>
              <w:jc w:val="center"/>
            </w:pPr>
            <w:r>
              <w:rPr>
                <w:rFonts w:ascii="仿宋_GB2312" w:hAnsi="仿宋_GB2312" w:cs="仿宋_GB2312" w:eastAsia="仿宋_GB2312"/>
              </w:rPr>
              <w:t>法定代表人或其委托代理人（签章）</w:t>
            </w:r>
          </w:p>
        </w:tc>
        <w:tc>
          <w:tcPr>
            <w:tcW w:type="dxa" w:w="0"/>
          </w:tcPr>
          <w:p/>
        </w:tc>
      </w:tr>
      <w:tr>
        <w:tc>
          <w:tcPr>
            <w:tcW w:type="dxa" w:w="8306"/>
          </w:tcPr>
          <w:p>
            <w:pPr>
              <w:pStyle w:val="null3"/>
              <w:jc w:val="center"/>
            </w:pPr>
            <w:r>
              <w:rPr>
                <w:rFonts w:ascii="仿宋_GB2312" w:hAnsi="仿宋_GB2312" w:cs="仿宋_GB2312" w:eastAsia="仿宋_GB2312"/>
              </w:rPr>
              <w:t>住 所</w:t>
            </w:r>
          </w:p>
        </w:tc>
        <w:tc>
          <w:tcPr>
            <w:tcW w:type="dxa" w:w="0"/>
          </w:tcPr>
          <w:p/>
        </w:tc>
      </w:tr>
      <w:tr>
        <w:tc>
          <w:tcPr>
            <w:tcW w:type="dxa" w:w="8306"/>
          </w:tcPr>
          <w:p>
            <w:pPr>
              <w:pStyle w:val="null3"/>
              <w:jc w:val="center"/>
            </w:pPr>
            <w:r>
              <w:rPr>
                <w:rFonts w:ascii="仿宋_GB2312" w:hAnsi="仿宋_GB2312" w:cs="仿宋_GB2312" w:eastAsia="仿宋_GB2312"/>
              </w:rPr>
              <w:t>开户银行</w:t>
            </w:r>
          </w:p>
        </w:tc>
        <w:tc>
          <w:tcPr>
            <w:tcW w:type="dxa" w:w="0"/>
          </w:tcPr>
          <w:p/>
        </w:tc>
      </w:tr>
      <w:tr>
        <w:tc>
          <w:tcPr>
            <w:tcW w:type="dxa" w:w="8306"/>
          </w:tcPr>
          <w:p>
            <w:pPr>
              <w:pStyle w:val="null3"/>
              <w:jc w:val="center"/>
            </w:pPr>
            <w:r>
              <w:rPr>
                <w:rFonts w:ascii="仿宋_GB2312" w:hAnsi="仿宋_GB2312" w:cs="仿宋_GB2312" w:eastAsia="仿宋_GB2312"/>
              </w:rPr>
              <w:t>银行账号</w:t>
            </w:r>
          </w:p>
        </w:tc>
        <w:tc>
          <w:tcPr>
            <w:tcW w:type="dxa" w:w="0"/>
          </w:tcPr>
          <w:p/>
        </w:tc>
      </w:tr>
      <w:tr>
        <w:tc>
          <w:tcPr>
            <w:tcW w:type="dxa" w:w="8306"/>
          </w:tcPr>
          <w:p>
            <w:pPr>
              <w:pStyle w:val="null3"/>
              <w:jc w:val="center"/>
            </w:pPr>
            <w:r>
              <w:rPr>
                <w:rFonts w:ascii="仿宋_GB2312" w:hAnsi="仿宋_GB2312" w:cs="仿宋_GB2312" w:eastAsia="仿宋_GB2312"/>
              </w:rPr>
              <w:t>签订时间</w:t>
            </w:r>
          </w:p>
        </w:tc>
        <w:tc>
          <w:tcPr>
            <w:tcW w:type="dxa" w:w="0"/>
          </w:tcPr>
          <w:p/>
        </w:tc>
      </w:tr>
    </w:tbl>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center"/>
            </w:pPr>
            <w:r>
              <w:rPr>
                <w:rFonts w:ascii="仿宋_GB2312" w:hAnsi="仿宋_GB2312" w:cs="仿宋_GB2312" w:eastAsia="仿宋_GB2312"/>
              </w:rPr>
              <w:t>乙方</w:t>
            </w:r>
          </w:p>
        </w:tc>
      </w:tr>
      <w:tr>
        <w:tc>
          <w:tcPr>
            <w:tcW w:type="dxa" w:w="4153"/>
          </w:tcPr>
          <w:p>
            <w:pPr>
              <w:pStyle w:val="null3"/>
              <w:jc w:val="center"/>
            </w:pPr>
            <w:r>
              <w:rPr>
                <w:rFonts w:ascii="仿宋_GB2312" w:hAnsi="仿宋_GB2312" w:cs="仿宋_GB2312" w:eastAsia="仿宋_GB2312"/>
              </w:rPr>
              <w:t>单位名称</w:t>
            </w:r>
          </w:p>
        </w:tc>
        <w:tc>
          <w:tcPr>
            <w:tcW w:type="dxa" w:w="4153"/>
          </w:tcPr>
          <w:p>
            <w:pPr>
              <w:pStyle w:val="null3"/>
              <w:jc w:val="left"/>
            </w:pPr>
            <w:r>
              <w:rPr>
                <w:rFonts w:ascii="仿宋_GB2312" w:hAnsi="仿宋_GB2312" w:cs="仿宋_GB2312" w:eastAsia="仿宋_GB2312"/>
              </w:rPr>
              <w:t>（盖章）</w:t>
            </w:r>
          </w:p>
        </w:tc>
      </w:tr>
      <w:tr>
        <w:tc>
          <w:tcPr>
            <w:tcW w:type="dxa" w:w="4153"/>
          </w:tcPr>
          <w:p>
            <w:pPr>
              <w:pStyle w:val="null3"/>
              <w:jc w:val="center"/>
            </w:pPr>
            <w:r>
              <w:rPr>
                <w:rFonts w:ascii="仿宋_GB2312" w:hAnsi="仿宋_GB2312" w:cs="仿宋_GB2312" w:eastAsia="仿宋_GB2312"/>
              </w:rPr>
              <w:t>法定代表人或其委托代理人（签章）</w:t>
            </w:r>
          </w:p>
        </w:tc>
        <w:tc>
          <w:tcPr>
            <w:tcW w:type="dxa" w:w="4153"/>
          </w:tcPr>
          <w:p/>
        </w:tc>
      </w:tr>
      <w:tr>
        <w:tc>
          <w:tcPr>
            <w:tcW w:type="dxa" w:w="4153"/>
          </w:tcPr>
          <w:p>
            <w:pPr>
              <w:pStyle w:val="null3"/>
              <w:jc w:val="center"/>
            </w:pPr>
            <w:r>
              <w:rPr>
                <w:rFonts w:ascii="仿宋_GB2312" w:hAnsi="仿宋_GB2312" w:cs="仿宋_GB2312" w:eastAsia="仿宋_GB2312"/>
              </w:rPr>
              <w:t>住 所</w:t>
            </w:r>
          </w:p>
        </w:tc>
        <w:tc>
          <w:tcPr>
            <w:tcW w:type="dxa" w:w="4153"/>
          </w:tcPr>
          <w:p/>
        </w:tc>
      </w:tr>
      <w:tr>
        <w:tc>
          <w:tcPr>
            <w:tcW w:type="dxa" w:w="4153"/>
          </w:tcPr>
          <w:p>
            <w:pPr>
              <w:pStyle w:val="null3"/>
              <w:jc w:val="center"/>
            </w:pPr>
            <w:r>
              <w:rPr>
                <w:rFonts w:ascii="仿宋_GB2312" w:hAnsi="仿宋_GB2312" w:cs="仿宋_GB2312" w:eastAsia="仿宋_GB2312"/>
              </w:rPr>
              <w:t>开户银行</w:t>
            </w:r>
          </w:p>
        </w:tc>
        <w:tc>
          <w:tcPr>
            <w:tcW w:type="dxa" w:w="4153"/>
          </w:tcPr>
          <w:p/>
        </w:tc>
      </w:tr>
      <w:tr>
        <w:tc>
          <w:tcPr>
            <w:tcW w:type="dxa" w:w="4153"/>
          </w:tcPr>
          <w:p>
            <w:pPr>
              <w:pStyle w:val="null3"/>
              <w:jc w:val="center"/>
            </w:pPr>
            <w:r>
              <w:rPr>
                <w:rFonts w:ascii="仿宋_GB2312" w:hAnsi="仿宋_GB2312" w:cs="仿宋_GB2312" w:eastAsia="仿宋_GB2312"/>
              </w:rPr>
              <w:t>银行账号</w:t>
            </w:r>
          </w:p>
        </w:tc>
        <w:tc>
          <w:tcPr>
            <w:tcW w:type="dxa" w:w="4153"/>
          </w:tcPr>
          <w:p/>
        </w:tc>
      </w:tr>
      <w:tr>
        <w:tc>
          <w:tcPr>
            <w:tcW w:type="dxa" w:w="4153"/>
          </w:tcPr>
          <w:p>
            <w:pPr>
              <w:pStyle w:val="null3"/>
              <w:jc w:val="center"/>
            </w:pPr>
            <w:r>
              <w:rPr>
                <w:rFonts w:ascii="仿宋_GB2312" w:hAnsi="仿宋_GB2312" w:cs="仿宋_GB2312" w:eastAsia="仿宋_GB2312"/>
              </w:rPr>
              <w:t>签订时间</w:t>
            </w:r>
          </w:p>
        </w:tc>
        <w:tc>
          <w:tcPr>
            <w:tcW w:type="dxa" w:w="4153"/>
          </w:tcPr>
          <w:p/>
        </w:tc>
      </w:tr>
    </w:tbl>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