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left"/>
        <w:rPr>
          <w:rFonts w:ascii="Times New Roman" w:hAnsi="Times New Roman" w:eastAsia="仿宋_GB2312"/>
          <w:bCs/>
          <w:color w:val="000000"/>
          <w:sz w:val="32"/>
          <w:szCs w:val="32"/>
        </w:rPr>
      </w:pPr>
      <w:bookmarkStart w:id="1039" w:name="_GoBack"/>
      <w:bookmarkEnd w:id="1039"/>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p>
    <w:p>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pPr>
        <w:jc w:val="center"/>
        <w:rPr>
          <w:rFonts w:ascii="Times New Roman" w:hAnsi="Times New Roman" w:eastAsia="华文中宋"/>
          <w:b/>
          <w:color w:val="000000"/>
          <w:sz w:val="52"/>
          <w:szCs w:val="52"/>
        </w:rPr>
      </w:pPr>
    </w:p>
    <w:p>
      <w:pPr>
        <w:jc w:val="center"/>
        <w:rPr>
          <w:rFonts w:ascii="Times New Roman" w:hAnsi="Times New Roman" w:eastAsia="黑体"/>
          <w:b/>
          <w:color w:val="000000"/>
          <w:sz w:val="72"/>
          <w:szCs w:val="72"/>
        </w:rPr>
      </w:pPr>
    </w:p>
    <w:p>
      <w:pPr>
        <w:jc w:val="center"/>
        <w:rPr>
          <w:rFonts w:ascii="Times New Roman" w:hAnsi="Times New Roman" w:eastAsia="楷体_GB2312"/>
          <w:b/>
          <w:color w:val="000000"/>
          <w:sz w:val="72"/>
          <w:szCs w:val="72"/>
        </w:rPr>
      </w:pPr>
    </w:p>
    <w:p>
      <w:pPr>
        <w:jc w:val="center"/>
        <w:rPr>
          <w:rFonts w:ascii="Times New Roman" w:hAnsi="Times New Roman" w:eastAsia="黑体"/>
          <w:b/>
          <w:color w:val="000000"/>
          <w:sz w:val="52"/>
          <w:szCs w:val="52"/>
        </w:rPr>
      </w:pPr>
    </w:p>
    <w:p>
      <w:pPr>
        <w:rPr>
          <w:rFonts w:ascii="Times New Roman" w:hAnsi="Times New Roman"/>
          <w:b/>
          <w:color w:val="000000"/>
          <w:sz w:val="28"/>
          <w:szCs w:val="28"/>
        </w:rPr>
      </w:pPr>
    </w:p>
    <w:p>
      <w:pPr>
        <w:rPr>
          <w:rFonts w:ascii="Times New Roman" w:hAnsi="Times New Roman"/>
          <w:b/>
          <w:color w:val="000000"/>
          <w:sz w:val="28"/>
          <w:szCs w:val="28"/>
        </w:rPr>
      </w:pPr>
    </w:p>
    <w:p>
      <w:pPr>
        <w:rPr>
          <w:rFonts w:ascii="Times New Roman" w:hAnsi="Times New Roman"/>
          <w:b/>
          <w:color w:val="000000"/>
          <w:sz w:val="28"/>
          <w:szCs w:val="28"/>
        </w:rPr>
      </w:pPr>
    </w:p>
    <w:p>
      <w:pPr>
        <w:rPr>
          <w:rFonts w:ascii="Times New Roman" w:hAnsi="Times New Roman"/>
          <w:b/>
          <w:color w:val="000000"/>
          <w:sz w:val="28"/>
          <w:szCs w:val="28"/>
        </w:rPr>
      </w:pPr>
    </w:p>
    <w:p>
      <w:pPr>
        <w:rPr>
          <w:rFonts w:ascii="Times New Roman" w:hAnsi="Times New Roman"/>
          <w:b/>
          <w:color w:val="000000"/>
          <w:sz w:val="28"/>
          <w:szCs w:val="28"/>
        </w:rPr>
      </w:pPr>
    </w:p>
    <w:p>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8240"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8240;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HNLXHYAAAACQEAAA8AAAAAAAAAAQAgAAAAIgAAAGRycy9kb3ducmV2LnhtbFBLAQIU&#10;ABQAAAAIAIdO4kBhP1yQ8wEAAMwDAAAOAAAAAAAAAAEAIAAAACcBAABkcnMvZTJvRG9jLnhtbFBL&#10;BQYAAAAABgAGAFkBAACMBQAAAAA=&#10;">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pPr>
        <w:rPr>
          <w:rFonts w:ascii="Times New Roman" w:hAnsi="Times New Roman"/>
          <w:b/>
          <w:color w:val="000000"/>
        </w:rPr>
      </w:pPr>
    </w:p>
    <w:p>
      <w:pPr>
        <w:pStyle w:val="47"/>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503025"/>
      <w:bookmarkStart w:id="1" w:name="_Toc296890982"/>
      <w:r>
        <w:rPr>
          <w:rFonts w:hint="eastAsia" w:ascii="Times New Roman" w:hAnsi="Times New Roman" w:eastAsia="华文中宋"/>
          <w:lang w:val="zh-CN"/>
        </w:rPr>
        <w:t>说  明</w:t>
      </w:r>
    </w:p>
    <w:p>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pPr>
        <w:pStyle w:val="47"/>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5"/>
      <w:bookmarkStart w:id="3" w:name="_Hlt356058166"/>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7"/>
      <w:bookmarkStart w:id="5" w:name="_Hlt354658488"/>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pPr>
        <w:pStyle w:val="19"/>
        <w:tabs>
          <w:tab w:val="right" w:leader="dot" w:pos="8810"/>
        </w:tabs>
        <w:rPr>
          <w:rStyle w:val="39"/>
          <w:rFonts w:hint="eastAsia" w:ascii="Times New Roman" w:hAnsi="Times New Roman" w:eastAsia="仿宋_GB2312"/>
          <w:b/>
          <w:sz w:val="28"/>
          <w:szCs w:val="28"/>
          <w:lang/>
        </w:rPr>
      </w:pPr>
    </w:p>
    <w:p>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cs="Times New Roman"/>
          <w:b/>
          <w:color w:val="000000"/>
          <w:sz w:val="30"/>
          <w:szCs w:val="30"/>
          <w:u w:val="single"/>
        </w:rPr>
        <w:t>乐山市金口河区农业农村局</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p>
    <w:p>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s="Times New Roman"/>
          <w:color w:val="000000"/>
          <w:sz w:val="30"/>
          <w:szCs w:val="30"/>
          <w:u w:val="single"/>
        </w:rPr>
        <w:t xml:space="preserve">乐山市金口河区 2023 年省级财政乡村振兴转移支付资金园区建设项目（冷链物流项目）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s="Times New Roman"/>
          <w:color w:val="000000"/>
          <w:sz w:val="30"/>
          <w:szCs w:val="30"/>
          <w:u w:val="single"/>
        </w:rPr>
        <w:t>乐山市金口河区 2023 年省级财政乡村振兴转移支付资金园区建设项目（冷链物流项目）工程</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ascii="Times New Roman" w:hAnsi="Times New Roman" w:eastAsia="仿宋_GB2312" w:cs="Times New Roman"/>
          <w:color w:val="000000"/>
          <w:sz w:val="30"/>
          <w:szCs w:val="30"/>
          <w:u w:val="single"/>
        </w:rPr>
        <w:t>乐山市金口河区永胜乡民主村</w:t>
      </w:r>
      <w:r>
        <w:rPr>
          <w:rFonts w:hint="eastAsia" w:ascii="Times New Roman" w:hAnsi="Times New Roman" w:eastAsia="仿宋_GB2312" w:cs="Times New Roman"/>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s="Times New Roman"/>
          <w:color w:val="000000"/>
          <w:sz w:val="30"/>
          <w:szCs w:val="30"/>
          <w:u w:val="single"/>
        </w:rPr>
        <w:t></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s="Times New Roman"/>
          <w:color w:val="000000"/>
          <w:sz w:val="30"/>
          <w:szCs w:val="30"/>
          <w:u w:val="single"/>
        </w:rPr>
        <w:t>2023 年省级财政乡村振兴转移支付资金</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s="Times New Roman"/>
          <w:color w:val="000000"/>
          <w:sz w:val="30"/>
          <w:szCs w:val="30"/>
          <w:u w:val="single"/>
        </w:rPr>
        <w:t>新建冷链仓储设备冻库 1 个，含制冷设施设备、保温结构、电力配套、地面保温及防护等施工内容（详见工程量清单）</w:t>
      </w:r>
      <w:r>
        <w:rPr>
          <w:rFonts w:ascii="Times New Roman" w:hAnsi="Times New Roman" w:eastAsia="仿宋_GB2312"/>
          <w:bCs/>
          <w:color w:val="000000"/>
          <w:sz w:val="30"/>
          <w:szCs w:val="30"/>
        </w:rPr>
        <w:t>。</w:t>
      </w:r>
    </w:p>
    <w:p>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ascii="Times New Roman" w:hAnsi="Times New Roman" w:eastAsia="仿宋_GB2312" w:cs="Times New Roman"/>
          <w:color w:val="000000"/>
          <w:sz w:val="30"/>
          <w:szCs w:val="30"/>
          <w:u w:val="single"/>
        </w:rPr>
        <w:t>工程量清单及施工图所示全部工程内容（仓储用房施工、冻库设备安装调试、特种设备备案等）</w:t>
      </w:r>
      <w:r>
        <w:rPr>
          <w:rFonts w:ascii="Times New Roman" w:hAnsi="Times New Roman" w:eastAsia="仿宋_GB2312"/>
          <w:color w:val="000000"/>
          <w:sz w:val="30"/>
          <w:szCs w:val="30"/>
        </w:rPr>
        <w:t>。</w:t>
      </w:r>
    </w:p>
    <w:p>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2026</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2026</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90</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s="Times New Roman"/>
          <w:color w:val="000000"/>
          <w:sz w:val="30"/>
          <w:szCs w:val="30"/>
          <w:u w:val="single"/>
        </w:rPr>
        <w:t>工程质量符合国家现行工程施工质量验收规范、行业标准及采购文件要求，达到合格标准。</w:t>
      </w:r>
      <w:r>
        <w:rPr>
          <w:rFonts w:ascii="Times New Roman" w:hAnsi="Times New Roman" w:eastAsia="仿宋_GB2312"/>
          <w:color w:val="000000"/>
          <w:sz w:val="30"/>
          <w:szCs w:val="30"/>
        </w:rPr>
        <w:t>标准。</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2026</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cs="Times New Roman"/>
          <w:bCs/>
          <w:color w:val="000000"/>
          <w:sz w:val="30"/>
          <w:szCs w:val="30"/>
          <w:u w:val="single"/>
        </w:rPr>
        <w:t>乐山市金口河区农业农村局</w:t>
      </w:r>
      <w:r>
        <w:rPr>
          <w:rFonts w:ascii="Times New Roman" w:hAnsi="Times New Roman" w:eastAsia="仿宋_GB2312"/>
          <w:bCs/>
          <w:color w:val="000000"/>
          <w:sz w:val="30"/>
          <w:szCs w:val="30"/>
        </w:rPr>
        <w:t>签订。</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cs="Times New Roman"/>
          <w:bCs/>
          <w:color w:val="000000"/>
          <w:sz w:val="30"/>
          <w:szCs w:val="30"/>
          <w:u w:val="single"/>
        </w:rPr>
        <w:t>本合同自双方法定代表人或授权代理人签字并加盖公章之日起</w:t>
      </w:r>
      <w:r>
        <w:rPr>
          <w:rFonts w:ascii="Times New Roman" w:hAnsi="Times New Roman" w:eastAsia="仿宋_GB2312"/>
          <w:bCs/>
          <w:color w:val="000000"/>
          <w:sz w:val="30"/>
          <w:szCs w:val="30"/>
        </w:rPr>
        <w:t>生效。</w:t>
      </w:r>
    </w:p>
    <w:p>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陆</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叁</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贰</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bCs/>
          <w:color w:val="000000"/>
          <w:sz w:val="30"/>
          <w:szCs w:val="30"/>
        </w:rPr>
      </w:pPr>
    </w:p>
    <w:p>
      <w:pPr>
        <w:spacing w:line="360" w:lineRule="auto"/>
        <w:rPr>
          <w:rFonts w:hint="eastAsia" w:ascii="Times New Roman" w:hAnsi="Times New Roman" w:eastAsia="仿宋_GB2312"/>
          <w:color w:val="000000"/>
          <w:sz w:val="30"/>
          <w:szCs w:val="30"/>
        </w:rPr>
      </w:pPr>
    </w:p>
    <w:p>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pPr>
        <w:spacing w:line="360" w:lineRule="auto"/>
        <w:rPr>
          <w:rFonts w:hint="eastAsia" w:ascii="Times New Roman" w:hAnsi="Times New Roman" w:eastAsia="仿宋_GB2312"/>
          <w:color w:val="000000"/>
          <w:sz w:val="30"/>
          <w:szCs w:val="30"/>
          <w:u w:val="single"/>
        </w:rPr>
      </w:pPr>
    </w:p>
    <w:p>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hint="eastAsia" w:ascii="Times New Roman" w:hAnsi="Times New Roman" w:eastAsia="仿宋_GB2312"/>
          <w:color w:val="000000"/>
          <w:sz w:val="30"/>
          <w:szCs w:val="30"/>
          <w:u w:val="single"/>
          <w:lang w:val="en-US" w:eastAsia="zh-CN"/>
        </w:rPr>
        <w:t>金口河区滨河路三段</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614700</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3"/>
      <w:bookmarkEnd w:id="23"/>
      <w:bookmarkStart w:id="24" w:name="_Toc303538976"/>
      <w:bookmarkEnd w:id="24"/>
      <w:bookmarkStart w:id="25" w:name="_Toc303538975"/>
      <w:bookmarkEnd w:id="25"/>
      <w:bookmarkStart w:id="26" w:name="_Toc303538972"/>
      <w:bookmarkEnd w:id="26"/>
      <w:bookmarkStart w:id="27" w:name="_Toc303538974"/>
      <w:bookmarkEnd w:id="27"/>
      <w:bookmarkStart w:id="28" w:name="_Toc296503027"/>
      <w:bookmarkStart w:id="29" w:name="_Toc296346528"/>
      <w:r>
        <w:rPr>
          <w:rFonts w:ascii="Times New Roman" w:hAnsi="Times New Roman" w:eastAsia="黑体"/>
          <w:b w:val="0"/>
          <w:color w:val="000000"/>
          <w:sz w:val="32"/>
          <w:szCs w:val="32"/>
        </w:rPr>
        <w:t xml:space="preserve"> 一般约定</w:t>
      </w:r>
      <w:bookmarkEnd w:id="21"/>
      <w:bookmarkEnd w:id="22"/>
      <w:bookmarkEnd w:id="28"/>
      <w:bookmarkEnd w:id="29"/>
    </w:p>
    <w:p>
      <w:pPr>
        <w:pStyle w:val="6"/>
        <w:spacing w:before="120" w:after="120" w:line="360" w:lineRule="auto"/>
        <w:ind w:firstLine="600" w:firstLineChars="200"/>
        <w:rPr>
          <w:rFonts w:ascii="Times New Roman" w:hAnsi="Times New Roman" w:eastAsia="黑体"/>
          <w:b w:val="0"/>
          <w:color w:val="000000"/>
          <w:sz w:val="30"/>
          <w:szCs w:val="32"/>
        </w:rPr>
      </w:pPr>
      <w:bookmarkStart w:id="30" w:name="_Toc296503028"/>
      <w:bookmarkStart w:id="31" w:name="_Toc337558728"/>
      <w:bookmarkStart w:id="32" w:name="_Toc296346529"/>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296346530"/>
      <w:bookmarkStart w:id="37" w:name="_Toc351203497"/>
      <w:bookmarkStart w:id="38" w:name="_Toc337558729"/>
      <w:bookmarkStart w:id="39" w:name="_Toc296503029"/>
      <w:r>
        <w:rPr>
          <w:rFonts w:ascii="Times New Roman" w:hAnsi="Times New Roman" w:eastAsia="黑体"/>
          <w:b w:val="0"/>
          <w:color w:val="000000"/>
          <w:sz w:val="30"/>
          <w:szCs w:val="32"/>
        </w:rPr>
        <w:t>1.2语言文字</w:t>
      </w:r>
      <w:bookmarkEnd w:id="36"/>
      <w:bookmarkEnd w:id="37"/>
      <w:bookmarkEnd w:id="38"/>
      <w:bookmarkEnd w:id="39"/>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pPr>
        <w:pStyle w:val="6"/>
        <w:spacing w:before="120" w:after="120" w:line="360" w:lineRule="auto"/>
        <w:ind w:firstLine="600" w:firstLineChars="200"/>
        <w:rPr>
          <w:rFonts w:ascii="Times New Roman" w:hAnsi="Times New Roman" w:eastAsia="黑体"/>
          <w:b w:val="0"/>
          <w:color w:val="000000"/>
          <w:sz w:val="30"/>
          <w:szCs w:val="32"/>
        </w:rPr>
      </w:pPr>
      <w:bookmarkStart w:id="40" w:name="_Toc337558730"/>
      <w:bookmarkStart w:id="41" w:name="_Toc296503030"/>
      <w:bookmarkStart w:id="42" w:name="_Toc351203498"/>
      <w:bookmarkStart w:id="43" w:name="_Toc296346531"/>
      <w:r>
        <w:rPr>
          <w:rFonts w:ascii="Times New Roman" w:hAnsi="Times New Roman" w:eastAsia="黑体"/>
          <w:b w:val="0"/>
          <w:color w:val="000000"/>
          <w:sz w:val="30"/>
          <w:szCs w:val="32"/>
        </w:rPr>
        <w:t>1.3法律</w:t>
      </w:r>
      <w:bookmarkEnd w:id="40"/>
      <w:bookmarkEnd w:id="41"/>
      <w:bookmarkEnd w:id="42"/>
      <w:bookmarkEnd w:id="43"/>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337558731"/>
      <w:bookmarkStart w:id="47" w:name="_Toc296346532"/>
      <w:bookmarkStart w:id="48" w:name="_Toc296503031"/>
      <w:r>
        <w:rPr>
          <w:rFonts w:ascii="Times New Roman" w:hAnsi="Times New Roman" w:eastAsia="黑体"/>
          <w:b w:val="0"/>
          <w:color w:val="000000"/>
          <w:sz w:val="30"/>
          <w:szCs w:val="32"/>
        </w:rPr>
        <w:t>.5 合同文件的优先顺序</w:t>
      </w:r>
      <w:bookmarkEnd w:id="45"/>
    </w:p>
    <w:bookmarkEnd w:id="46"/>
    <w:bookmarkEnd w:id="47"/>
    <w:bookmarkEnd w:id="4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346533"/>
      <w:bookmarkStart w:id="51" w:name="_Toc296503032"/>
      <w:bookmarkStart w:id="52" w:name="_Toc337558732"/>
      <w:r>
        <w:rPr>
          <w:rFonts w:ascii="Times New Roman" w:hAnsi="Times New Roman" w:eastAsia="黑体"/>
          <w:b w:val="0"/>
          <w:color w:val="000000"/>
          <w:sz w:val="30"/>
          <w:szCs w:val="32"/>
        </w:rPr>
        <w:t>.6图纸和承包人文件</w:t>
      </w:r>
      <w:bookmarkEnd w:id="49"/>
    </w:p>
    <w:bookmarkEnd w:id="50"/>
    <w:bookmarkEnd w:id="51"/>
    <w:bookmarkEnd w:id="52"/>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296503033"/>
      <w:bookmarkStart w:id="55" w:name="_Toc296346534"/>
      <w:bookmarkStart w:id="56" w:name="_Toc337558733"/>
      <w:r>
        <w:rPr>
          <w:rFonts w:ascii="Times New Roman" w:hAnsi="Times New Roman" w:eastAsia="黑体"/>
          <w:b w:val="0"/>
          <w:color w:val="000000"/>
          <w:sz w:val="30"/>
          <w:szCs w:val="32"/>
        </w:rPr>
        <w:t>.7联络</w:t>
      </w:r>
      <w:bookmarkEnd w:id="53"/>
    </w:p>
    <w:bookmarkEnd w:id="54"/>
    <w:bookmarkEnd w:id="55"/>
    <w:bookmarkEnd w:id="5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346536"/>
      <w:bookmarkStart w:id="59" w:name="_Toc337558734"/>
      <w:bookmarkStart w:id="60" w:name="_Toc296503035"/>
      <w:r>
        <w:rPr>
          <w:rFonts w:ascii="Times New Roman" w:hAnsi="Times New Roman" w:eastAsia="黑体"/>
          <w:b w:val="0"/>
          <w:color w:val="000000"/>
          <w:sz w:val="30"/>
          <w:szCs w:val="32"/>
        </w:rPr>
        <w:t>.8严禁贿赂</w:t>
      </w:r>
      <w:bookmarkEnd w:id="57"/>
    </w:p>
    <w:bookmarkEnd w:id="58"/>
    <w:bookmarkEnd w:id="59"/>
    <w:bookmarkEnd w:id="6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346537"/>
      <w:bookmarkStart w:id="63" w:name="_Toc296503036"/>
      <w:bookmarkStart w:id="64" w:name="_Toc337558735"/>
      <w:r>
        <w:rPr>
          <w:rFonts w:ascii="Times New Roman" w:hAnsi="Times New Roman" w:eastAsia="黑体"/>
          <w:b w:val="0"/>
          <w:color w:val="000000"/>
          <w:sz w:val="30"/>
          <w:szCs w:val="32"/>
        </w:rPr>
        <w:t>.9化石、文物</w:t>
      </w:r>
      <w:bookmarkEnd w:id="61"/>
    </w:p>
    <w:bookmarkEnd w:id="62"/>
    <w:bookmarkEnd w:id="63"/>
    <w:bookmarkEnd w:id="6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346538"/>
      <w:bookmarkStart w:id="70" w:name="_Toc296503037"/>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337558739"/>
      <w:bookmarkStart w:id="76" w:name="_Toc296346539"/>
      <w:bookmarkStart w:id="77" w:name="_Toc296503038"/>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337558740"/>
      <w:bookmarkStart w:id="82" w:name="_Toc296503039"/>
      <w:bookmarkStart w:id="83" w:name="_Toc296346540"/>
      <w:r>
        <w:rPr>
          <w:rFonts w:ascii="Times New Roman" w:hAnsi="Times New Roman" w:eastAsia="黑体"/>
          <w:b w:val="0"/>
          <w:color w:val="000000"/>
          <w:sz w:val="30"/>
          <w:szCs w:val="32"/>
        </w:rPr>
        <w:t>.1 许可或批准</w:t>
      </w:r>
      <w:bookmarkEnd w:id="80"/>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296503040"/>
      <w:bookmarkStart w:id="88" w:name="_Toc296346541"/>
      <w:bookmarkStart w:id="89" w:name="_Toc337558741"/>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346543"/>
      <w:bookmarkStart w:id="92" w:name="_Toc337558745"/>
      <w:bookmarkStart w:id="93" w:name="_Toc296503042"/>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346546"/>
      <w:bookmarkStart w:id="99" w:name="_Toc337558746"/>
      <w:bookmarkStart w:id="100" w:name="_Toc296503045"/>
      <w:r>
        <w:rPr>
          <w:rFonts w:ascii="Times New Roman" w:hAnsi="Times New Roman" w:eastAsia="黑体"/>
          <w:b w:val="0"/>
          <w:color w:val="000000"/>
          <w:sz w:val="32"/>
          <w:szCs w:val="32"/>
        </w:rPr>
        <w:t>. 承包人</w:t>
      </w:r>
      <w:bookmarkEnd w:id="97"/>
    </w:p>
    <w:bookmarkEnd w:id="98"/>
    <w:bookmarkEnd w:id="99"/>
    <w:bookmarkEnd w:id="100"/>
    <w:p>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503046"/>
      <w:bookmarkStart w:id="103" w:name="_Toc296346547"/>
      <w:bookmarkStart w:id="104" w:name="_Toc337558747"/>
      <w:r>
        <w:rPr>
          <w:rFonts w:ascii="Times New Roman" w:hAnsi="Times New Roman" w:eastAsia="黑体"/>
          <w:b w:val="0"/>
          <w:color w:val="000000"/>
          <w:sz w:val="30"/>
          <w:szCs w:val="32"/>
        </w:rPr>
        <w:t>.1 承包人的一般义务</w:t>
      </w:r>
      <w:bookmarkEnd w:id="101"/>
    </w:p>
    <w:bookmarkEnd w:id="102"/>
    <w:bookmarkEnd w:id="103"/>
    <w:bookmarkEnd w:id="10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296503047"/>
      <w:bookmarkStart w:id="107" w:name="_Toc337558748"/>
      <w:bookmarkStart w:id="108" w:name="_Toc2963465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503048"/>
      <w:bookmarkStart w:id="111" w:name="_Toc296346549"/>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503050"/>
      <w:bookmarkStart w:id="115" w:name="_Toc337558750"/>
      <w:bookmarkStart w:id="116" w:name="_Toc296346551"/>
      <w:r>
        <w:rPr>
          <w:rFonts w:ascii="Times New Roman" w:hAnsi="Times New Roman" w:eastAsia="黑体"/>
          <w:b w:val="0"/>
          <w:color w:val="000000"/>
          <w:sz w:val="30"/>
          <w:szCs w:val="32"/>
        </w:rPr>
        <w:t>.4 承包人现场查勘</w:t>
      </w:r>
      <w:bookmarkEnd w:id="113"/>
    </w:p>
    <w:bookmarkEnd w:id="114"/>
    <w:bookmarkEnd w:id="115"/>
    <w:bookmarkEnd w:id="116"/>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503051"/>
      <w:bookmarkStart w:id="119" w:name="_Toc337558751"/>
      <w:bookmarkStart w:id="120" w:name="_Toc296346552"/>
      <w:r>
        <w:rPr>
          <w:rFonts w:ascii="Times New Roman" w:hAnsi="Times New Roman" w:eastAsia="黑体"/>
          <w:b w:val="0"/>
          <w:color w:val="000000"/>
          <w:sz w:val="30"/>
          <w:szCs w:val="32"/>
        </w:rPr>
        <w:t>.5 分包</w:t>
      </w:r>
      <w:bookmarkEnd w:id="117"/>
    </w:p>
    <w:bookmarkEnd w:id="118"/>
    <w:bookmarkEnd w:id="119"/>
    <w:bookmarkEnd w:id="120"/>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337558752"/>
      <w:bookmarkStart w:id="124" w:name="_Toc296503052"/>
      <w:bookmarkStart w:id="125" w:name="_Toc296346553"/>
      <w:r>
        <w:rPr>
          <w:rFonts w:ascii="Times New Roman" w:hAnsi="Times New Roman" w:eastAsia="黑体"/>
          <w:b w:val="0"/>
          <w:color w:val="000000"/>
          <w:sz w:val="30"/>
          <w:szCs w:val="32"/>
        </w:rPr>
        <w:t>.7 履约担保</w:t>
      </w:r>
      <w:bookmarkEnd w:id="122"/>
    </w:p>
    <w:bookmarkEnd w:id="123"/>
    <w:bookmarkEnd w:id="124"/>
    <w:bookmarkEnd w:id="125"/>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346554"/>
      <w:bookmarkStart w:id="129" w:name="_Toc296503053"/>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296346555"/>
      <w:bookmarkStart w:id="133" w:name="_Toc337558754"/>
      <w:bookmarkStart w:id="134" w:name="_Toc296503054"/>
      <w:r>
        <w:rPr>
          <w:rFonts w:ascii="Times New Roman" w:hAnsi="Times New Roman" w:eastAsia="黑体"/>
          <w:b w:val="0"/>
          <w:color w:val="000000"/>
          <w:sz w:val="30"/>
          <w:szCs w:val="32"/>
        </w:rPr>
        <w:t>.1监理人的一般规定</w:t>
      </w:r>
      <w:bookmarkEnd w:id="131"/>
    </w:p>
    <w:bookmarkEnd w:id="132"/>
    <w:bookmarkEnd w:id="133"/>
    <w:bookmarkEnd w:id="13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346556"/>
      <w:bookmarkStart w:id="139" w:name="_Toc296503055"/>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503057"/>
      <w:bookmarkStart w:id="143" w:name="_Toc296346558"/>
      <w:bookmarkStart w:id="144" w:name="_Toc337558757"/>
      <w:r>
        <w:rPr>
          <w:rFonts w:ascii="Times New Roman" w:hAnsi="Times New Roman" w:eastAsia="黑体"/>
          <w:b w:val="0"/>
          <w:color w:val="000000"/>
          <w:sz w:val="30"/>
          <w:szCs w:val="32"/>
        </w:rPr>
        <w:t>.4 商定或确定</w:t>
      </w:r>
      <w:bookmarkEnd w:id="141"/>
    </w:p>
    <w:bookmarkEnd w:id="142"/>
    <w:bookmarkEnd w:id="143"/>
    <w:bookmarkEnd w:id="14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337558772"/>
      <w:bookmarkStart w:id="177" w:name="_Toc296346574"/>
      <w:bookmarkStart w:id="178" w:name="_Toc296503073"/>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503076"/>
      <w:bookmarkStart w:id="180" w:name="_Toc296346577"/>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346575"/>
      <w:bookmarkStart w:id="183" w:name="_Toc337558773"/>
      <w:bookmarkStart w:id="184" w:name="_Toc296503074"/>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296503075"/>
      <w:bookmarkStart w:id="189" w:name="_Toc296346576"/>
      <w:bookmarkStart w:id="190" w:name="_Toc337558774"/>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346559"/>
      <w:bookmarkStart w:id="196" w:name="_Toc337558776"/>
      <w:bookmarkStart w:id="197" w:name="_Toc296503058"/>
      <w:r>
        <w:rPr>
          <w:rFonts w:ascii="Times New Roman" w:hAnsi="Times New Roman" w:eastAsia="黑体"/>
          <w:b w:val="0"/>
          <w:color w:val="000000"/>
          <w:sz w:val="32"/>
          <w:szCs w:val="32"/>
        </w:rPr>
        <w:t>. 材料与设备</w:t>
      </w:r>
      <w:bookmarkEnd w:id="194"/>
    </w:p>
    <w:bookmarkEnd w:id="195"/>
    <w:bookmarkEnd w:id="196"/>
    <w:bookmarkEnd w:id="197"/>
    <w:p>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346560"/>
      <w:bookmarkStart w:id="200" w:name="_Toc296503059"/>
      <w:bookmarkStart w:id="201" w:name="_Toc337558777"/>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503060"/>
      <w:bookmarkStart w:id="205" w:name="_Toc337558778"/>
      <w:bookmarkStart w:id="206" w:name="_Toc296346561"/>
      <w:r>
        <w:rPr>
          <w:rFonts w:ascii="Times New Roman" w:hAnsi="Times New Roman" w:eastAsia="黑体"/>
          <w:b w:val="0"/>
          <w:color w:val="000000"/>
          <w:sz w:val="30"/>
          <w:szCs w:val="32"/>
        </w:rPr>
        <w:t>.2承包人采购材料与工程设备</w:t>
      </w:r>
      <w:bookmarkEnd w:id="203"/>
    </w:p>
    <w:bookmarkEnd w:id="204"/>
    <w:bookmarkEnd w:id="205"/>
    <w:bookmarkEnd w:id="20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337558779"/>
      <w:bookmarkStart w:id="209" w:name="_Toc296346562"/>
      <w:bookmarkStart w:id="210" w:name="_Toc296503061"/>
      <w:r>
        <w:rPr>
          <w:rFonts w:ascii="Times New Roman" w:hAnsi="Times New Roman" w:eastAsia="黑体"/>
          <w:b w:val="0"/>
          <w:color w:val="000000"/>
          <w:sz w:val="30"/>
          <w:szCs w:val="32"/>
        </w:rPr>
        <w:t>.3材料与工程设备的接收与拒收</w:t>
      </w:r>
      <w:bookmarkEnd w:id="207"/>
    </w:p>
    <w:bookmarkEnd w:id="208"/>
    <w:bookmarkEnd w:id="209"/>
    <w:bookmarkEnd w:id="21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503062"/>
      <w:bookmarkStart w:id="214" w:name="_Toc337558780"/>
      <w:bookmarkStart w:id="215" w:name="_Toc296346563"/>
      <w:r>
        <w:rPr>
          <w:rFonts w:ascii="Times New Roman" w:hAnsi="Times New Roman" w:eastAsia="黑体"/>
          <w:b w:val="0"/>
          <w:color w:val="000000"/>
          <w:sz w:val="30"/>
          <w:szCs w:val="32"/>
        </w:rPr>
        <w:t>.4材料与工程设备的保管与使用</w:t>
      </w:r>
      <w:bookmarkEnd w:id="212"/>
    </w:p>
    <w:bookmarkEnd w:id="213"/>
    <w:bookmarkEnd w:id="214"/>
    <w:bookmarkEnd w:id="21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503063"/>
      <w:bookmarkStart w:id="222" w:name="_Toc296346564"/>
      <w:bookmarkStart w:id="223" w:name="_Toc337558781"/>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503084"/>
      <w:bookmarkStart w:id="240" w:name="_Toc296346585"/>
      <w:bookmarkStart w:id="241" w:name="_Toc337558788"/>
      <w:r>
        <w:rPr>
          <w:rFonts w:ascii="Times New Roman" w:hAnsi="Times New Roman" w:eastAsia="黑体"/>
          <w:b w:val="0"/>
          <w:color w:val="000000"/>
          <w:sz w:val="30"/>
          <w:szCs w:val="32"/>
        </w:rPr>
        <w:t>0.1变更的范围</w:t>
      </w:r>
      <w:bookmarkEnd w:id="238"/>
    </w:p>
    <w:bookmarkEnd w:id="239"/>
    <w:bookmarkEnd w:id="240"/>
    <w:bookmarkEnd w:id="24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337558789"/>
      <w:bookmarkStart w:id="244" w:name="_Toc296503085"/>
      <w:bookmarkStart w:id="245" w:name="_Toc296346586"/>
      <w:r>
        <w:rPr>
          <w:rFonts w:ascii="Times New Roman" w:hAnsi="Times New Roman" w:eastAsia="黑体"/>
          <w:b w:val="0"/>
          <w:color w:val="000000"/>
          <w:sz w:val="30"/>
          <w:szCs w:val="32"/>
        </w:rPr>
        <w:t>0.2变更权</w:t>
      </w:r>
      <w:bookmarkEnd w:id="242"/>
    </w:p>
    <w:bookmarkEnd w:id="243"/>
    <w:bookmarkEnd w:id="244"/>
    <w:bookmarkEnd w:id="24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296503086"/>
      <w:bookmarkStart w:id="248" w:name="_Toc337558790"/>
      <w:bookmarkStart w:id="249" w:name="_Toc296346587"/>
      <w:r>
        <w:rPr>
          <w:rFonts w:ascii="Times New Roman" w:hAnsi="Times New Roman" w:eastAsia="黑体"/>
          <w:b w:val="0"/>
          <w:color w:val="000000"/>
          <w:sz w:val="30"/>
          <w:szCs w:val="32"/>
        </w:rPr>
        <w:t>0.3变更程序</w:t>
      </w:r>
      <w:bookmarkEnd w:id="246"/>
    </w:p>
    <w:bookmarkEnd w:id="247"/>
    <w:bookmarkEnd w:id="248"/>
    <w:bookmarkEnd w:id="249"/>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296346588"/>
      <w:bookmarkStart w:id="252" w:name="_Toc337558791"/>
      <w:bookmarkStart w:id="253" w:name="_Toc296503087"/>
      <w:r>
        <w:rPr>
          <w:rFonts w:ascii="Times New Roman" w:hAnsi="Times New Roman" w:eastAsia="黑体"/>
          <w:b w:val="0"/>
          <w:color w:val="000000"/>
          <w:sz w:val="30"/>
          <w:szCs w:val="32"/>
        </w:rPr>
        <w:t>0.4变更估价</w:t>
      </w:r>
      <w:bookmarkEnd w:id="250"/>
    </w:p>
    <w:bookmarkEnd w:id="251"/>
    <w:bookmarkEnd w:id="252"/>
    <w:bookmarkEnd w:id="253"/>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503094"/>
      <w:bookmarkStart w:id="256" w:name="_Toc296346595"/>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503090"/>
      <w:bookmarkStart w:id="264" w:name="_Toc322522561"/>
      <w:bookmarkStart w:id="265" w:name="_Toc296346591"/>
      <w:r>
        <w:rPr>
          <w:rFonts w:ascii="Times New Roman" w:hAnsi="Times New Roman" w:eastAsia="黑体"/>
          <w:b w:val="0"/>
          <w:color w:val="000000"/>
          <w:sz w:val="30"/>
          <w:szCs w:val="32"/>
        </w:rPr>
        <w:t>0.8暂列金额</w:t>
      </w:r>
      <w:bookmarkEnd w:id="261"/>
    </w:p>
    <w:bookmarkEnd w:id="26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296503091"/>
      <w:bookmarkStart w:id="268" w:name="_Toc337558796"/>
      <w:bookmarkStart w:id="269" w:name="_Toc296346592"/>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346593"/>
      <w:bookmarkStart w:id="273" w:name="_Toc296503092"/>
      <w:bookmarkStart w:id="274" w:name="_Toc337558797"/>
      <w:r>
        <w:rPr>
          <w:rFonts w:ascii="Times New Roman" w:hAnsi="Times New Roman" w:eastAsia="黑体"/>
          <w:b w:val="0"/>
          <w:color w:val="000000"/>
          <w:sz w:val="30"/>
          <w:szCs w:val="32"/>
        </w:rPr>
        <w:t>11.1市场价格波动引起的调整</w:t>
      </w:r>
      <w:bookmarkEnd w:id="271"/>
    </w:p>
    <w:bookmarkEnd w:id="272"/>
    <w:bookmarkEnd w:id="273"/>
    <w:bookmarkEnd w:id="274"/>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346594"/>
      <w:bookmarkStart w:id="278" w:name="_Toc296503093"/>
      <w:bookmarkStart w:id="279" w:name="_Toc337558798"/>
      <w:r>
        <w:rPr>
          <w:rFonts w:ascii="Times New Roman" w:hAnsi="Times New Roman" w:eastAsia="黑体"/>
          <w:b w:val="0"/>
          <w:color w:val="000000"/>
          <w:sz w:val="30"/>
          <w:szCs w:val="32"/>
        </w:rPr>
        <w:t>11.2法律变化引起的调整</w:t>
      </w:r>
      <w:bookmarkEnd w:id="276"/>
    </w:p>
    <w:bookmarkEnd w:id="277"/>
    <w:bookmarkEnd w:id="278"/>
    <w:bookmarkEnd w:id="279"/>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503096"/>
      <w:bookmarkStart w:id="283" w:name="_Toc296346597"/>
      <w:r>
        <w:rPr>
          <w:rFonts w:ascii="Times New Roman" w:hAnsi="Times New Roman" w:eastAsia="黑体"/>
          <w:b w:val="0"/>
          <w:color w:val="000000"/>
          <w:sz w:val="32"/>
          <w:szCs w:val="32"/>
        </w:rPr>
        <w:t>12. 合同价格、计量与支付</w:t>
      </w:r>
      <w:bookmarkEnd w:id="280"/>
    </w:p>
    <w:bookmarkEnd w:id="281"/>
    <w:p>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pPr>
        <w:pStyle w:val="6"/>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503100"/>
      <w:bookmarkStart w:id="291" w:name="_Toc296346601"/>
      <w:r>
        <w:rPr>
          <w:rFonts w:ascii="Times New Roman" w:hAnsi="Times New Roman" w:eastAsia="黑体"/>
          <w:b w:val="0"/>
          <w:color w:val="000000"/>
          <w:sz w:val="30"/>
          <w:szCs w:val="32"/>
        </w:rPr>
        <w:t>付款</w:t>
      </w:r>
      <w:bookmarkEnd w:id="288"/>
    </w:p>
    <w:bookmarkEnd w:id="289"/>
    <w:bookmarkEnd w:id="290"/>
    <w:bookmarkEnd w:id="291"/>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pPr>
        <w:pStyle w:val="6"/>
        <w:spacing w:before="120" w:after="120" w:line="360" w:lineRule="auto"/>
        <w:ind w:firstLine="600" w:firstLineChars="200"/>
        <w:rPr>
          <w:rFonts w:ascii="Times New Roman" w:hAnsi="Times New Roman" w:eastAsia="黑体"/>
          <w:b w:val="0"/>
          <w:color w:val="000000"/>
          <w:sz w:val="30"/>
          <w:szCs w:val="32"/>
        </w:rPr>
      </w:pPr>
      <w:bookmarkStart w:id="294" w:name="_Toc296346602"/>
      <w:bookmarkStart w:id="295" w:name="_Toc296503101"/>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pPr>
        <w:pStyle w:val="5"/>
        <w:spacing w:before="120" w:after="120" w:line="360" w:lineRule="auto"/>
        <w:rPr>
          <w:rFonts w:ascii="Times New Roman" w:hAnsi="Times New Roman" w:eastAsia="黑体"/>
          <w:b w:val="0"/>
          <w:color w:val="000000"/>
          <w:sz w:val="32"/>
          <w:szCs w:val="32"/>
        </w:rPr>
      </w:pPr>
      <w:bookmarkStart w:id="299" w:name="_Toc351203586"/>
      <w:bookmarkStart w:id="300" w:name="_Toc296503106"/>
      <w:bookmarkStart w:id="301" w:name="_Toc296346607"/>
      <w:bookmarkStart w:id="302" w:name="_Toc322522574"/>
      <w:bookmarkStart w:id="303" w:name="_Toc337558804"/>
      <w:r>
        <w:rPr>
          <w:rFonts w:ascii="Times New Roman" w:hAnsi="Times New Roman" w:eastAsia="黑体"/>
          <w:b w:val="0"/>
          <w:color w:val="000000"/>
          <w:sz w:val="32"/>
          <w:szCs w:val="32"/>
        </w:rPr>
        <w:t>13. 验收和工程试车</w:t>
      </w:r>
      <w:bookmarkEnd w:id="299"/>
    </w:p>
    <w:bookmarkEnd w:id="300"/>
    <w:bookmarkEnd w:id="301"/>
    <w:bookmarkEnd w:id="302"/>
    <w:bookmarkEnd w:id="303"/>
    <w:p>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346611"/>
      <w:bookmarkStart w:id="307" w:name="_Toc296503110"/>
      <w:r>
        <w:rPr>
          <w:rFonts w:ascii="Times New Roman" w:hAnsi="Times New Roman" w:eastAsia="黑体"/>
          <w:b w:val="0"/>
          <w:color w:val="000000"/>
          <w:sz w:val="30"/>
          <w:szCs w:val="32"/>
        </w:rPr>
        <w:t>13.1分部分项工程验收</w:t>
      </w:r>
      <w:bookmarkEnd w:id="304"/>
    </w:p>
    <w:bookmarkEnd w:id="305"/>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346612"/>
      <w:bookmarkStart w:id="313" w:name="_Toc296503111"/>
      <w:bookmarkStart w:id="314" w:name="_Toc337558807"/>
      <w:r>
        <w:rPr>
          <w:rFonts w:ascii="Times New Roman" w:hAnsi="Times New Roman" w:eastAsia="黑体"/>
          <w:b w:val="0"/>
          <w:color w:val="000000"/>
          <w:sz w:val="30"/>
          <w:szCs w:val="32"/>
        </w:rPr>
        <w:t>13.3工程试车</w:t>
      </w:r>
      <w:bookmarkEnd w:id="311"/>
    </w:p>
    <w:bookmarkEnd w:id="312"/>
    <w:bookmarkEnd w:id="313"/>
    <w:bookmarkEnd w:id="314"/>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pPr>
        <w:pStyle w:val="6"/>
        <w:spacing w:before="120" w:after="120" w:line="360" w:lineRule="auto"/>
        <w:ind w:firstLine="600" w:firstLineChars="200"/>
        <w:rPr>
          <w:rFonts w:ascii="Times New Roman" w:hAnsi="Times New Roman" w:eastAsia="黑体"/>
          <w:b w:val="0"/>
          <w:color w:val="000000"/>
          <w:sz w:val="30"/>
          <w:szCs w:val="32"/>
        </w:rPr>
      </w:pPr>
      <w:bookmarkStart w:id="318" w:name="_Toc296346613"/>
      <w:bookmarkStart w:id="319" w:name="_Toc296503112"/>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503113"/>
      <w:bookmarkStart w:id="325" w:name="_Toc296346614"/>
      <w:r>
        <w:rPr>
          <w:rFonts w:ascii="Times New Roman" w:hAnsi="Times New Roman" w:eastAsia="黑体"/>
          <w:b w:val="0"/>
          <w:color w:val="000000"/>
          <w:sz w:val="32"/>
          <w:szCs w:val="32"/>
        </w:rPr>
        <w:t>14. 竣工结算</w:t>
      </w:r>
      <w:bookmarkEnd w:id="322"/>
    </w:p>
    <w:bookmarkEnd w:id="323"/>
    <w:p>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503114"/>
      <w:bookmarkStart w:id="339" w:name="_Toc296346615"/>
      <w:r>
        <w:rPr>
          <w:rFonts w:ascii="Times New Roman" w:hAnsi="Times New Roman" w:eastAsia="黑体"/>
          <w:b w:val="0"/>
          <w:color w:val="000000"/>
          <w:sz w:val="30"/>
          <w:szCs w:val="32"/>
        </w:rPr>
        <w:t>15.1 工程保修的原则</w:t>
      </w:r>
      <w:bookmarkEnd w:id="336"/>
    </w:p>
    <w:bookmarkEnd w:id="337"/>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503115"/>
      <w:bookmarkStart w:id="345" w:name="_Toc296346616"/>
      <w:r>
        <w:rPr>
          <w:rFonts w:ascii="Times New Roman" w:hAnsi="Times New Roman" w:eastAsia="黑体"/>
          <w:b w:val="0"/>
          <w:color w:val="000000"/>
          <w:sz w:val="30"/>
          <w:szCs w:val="32"/>
        </w:rPr>
        <w:t>15.3 质量保证金</w:t>
      </w:r>
      <w:bookmarkEnd w:id="342"/>
    </w:p>
    <w:bookmarkEnd w:id="34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pPr>
        <w:pStyle w:val="6"/>
        <w:spacing w:before="120" w:after="120" w:line="360" w:lineRule="auto"/>
        <w:ind w:firstLine="600" w:firstLineChars="200"/>
        <w:rPr>
          <w:rFonts w:ascii="Times New Roman" w:hAnsi="Times New Roman" w:eastAsia="黑体"/>
          <w:b w:val="0"/>
          <w:color w:val="000000"/>
          <w:sz w:val="30"/>
          <w:szCs w:val="32"/>
        </w:rPr>
      </w:pPr>
      <w:bookmarkStart w:id="352" w:name="_Toc296346630"/>
      <w:bookmarkStart w:id="353" w:name="_Toc296503129"/>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296503131"/>
      <w:bookmarkStart w:id="358" w:name="_Toc337558822"/>
      <w:bookmarkStart w:id="359" w:name="_Toc296346632"/>
      <w:r>
        <w:rPr>
          <w:rFonts w:ascii="Times New Roman" w:hAnsi="Times New Roman" w:eastAsia="黑体"/>
          <w:b w:val="0"/>
          <w:color w:val="000000"/>
          <w:sz w:val="30"/>
          <w:szCs w:val="32"/>
        </w:rPr>
        <w:t>16.2 承包人违约</w:t>
      </w:r>
      <w:bookmarkEnd w:id="356"/>
    </w:p>
    <w:bookmarkEnd w:id="357"/>
    <w:bookmarkEnd w:id="358"/>
    <w:bookmarkEnd w:id="359"/>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pPr>
        <w:pStyle w:val="5"/>
        <w:spacing w:before="120" w:after="120" w:line="360" w:lineRule="auto"/>
        <w:rPr>
          <w:rFonts w:ascii="Times New Roman" w:hAnsi="Times New Roman" w:eastAsia="黑体"/>
          <w:b w:val="0"/>
          <w:color w:val="000000"/>
          <w:sz w:val="32"/>
          <w:szCs w:val="32"/>
        </w:rPr>
      </w:pPr>
      <w:bookmarkStart w:id="361" w:name="_Toc351203607"/>
      <w:bookmarkStart w:id="362" w:name="_Toc296346617"/>
      <w:bookmarkStart w:id="363" w:name="_Toc337558823"/>
      <w:bookmarkStart w:id="364" w:name="_Toc296503116"/>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337558824"/>
      <w:bookmarkStart w:id="367" w:name="_Toc296503117"/>
      <w:bookmarkStart w:id="368" w:name="_Toc296346618"/>
      <w:r>
        <w:rPr>
          <w:rFonts w:ascii="Times New Roman" w:hAnsi="Times New Roman" w:eastAsia="黑体"/>
          <w:b w:val="0"/>
          <w:color w:val="000000"/>
          <w:sz w:val="30"/>
          <w:szCs w:val="32"/>
        </w:rPr>
        <w:t>17.1 不可抗力的确认</w:t>
      </w:r>
      <w:bookmarkEnd w:id="365"/>
    </w:p>
    <w:bookmarkEnd w:id="366"/>
    <w:bookmarkEnd w:id="367"/>
    <w:bookmarkEnd w:id="36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296346619"/>
      <w:bookmarkStart w:id="371" w:name="_Toc337558825"/>
      <w:bookmarkStart w:id="372" w:name="_Toc296503118"/>
      <w:r>
        <w:rPr>
          <w:rFonts w:ascii="Times New Roman" w:hAnsi="Times New Roman" w:eastAsia="黑体"/>
          <w:b w:val="0"/>
          <w:color w:val="000000"/>
          <w:sz w:val="30"/>
          <w:szCs w:val="32"/>
        </w:rPr>
        <w:t>17.2 不可抗力的通知</w:t>
      </w:r>
      <w:bookmarkEnd w:id="369"/>
    </w:p>
    <w:bookmarkEnd w:id="370"/>
    <w:bookmarkEnd w:id="371"/>
    <w:bookmarkEnd w:id="37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337558826"/>
      <w:bookmarkStart w:id="375" w:name="_Toc296503119"/>
      <w:bookmarkStart w:id="376" w:name="_Toc296346620"/>
      <w:r>
        <w:rPr>
          <w:rFonts w:ascii="Times New Roman" w:hAnsi="Times New Roman" w:eastAsia="黑体"/>
          <w:b w:val="0"/>
          <w:color w:val="000000"/>
          <w:sz w:val="30"/>
          <w:szCs w:val="32"/>
        </w:rPr>
        <w:t>17.3 不可抗力后果的承担</w:t>
      </w:r>
      <w:bookmarkEnd w:id="373"/>
    </w:p>
    <w:bookmarkEnd w:id="374"/>
    <w:bookmarkEnd w:id="375"/>
    <w:bookmarkEnd w:id="37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pPr>
        <w:pStyle w:val="5"/>
        <w:spacing w:before="120" w:after="120" w:line="360" w:lineRule="auto"/>
        <w:rPr>
          <w:rFonts w:ascii="Times New Roman" w:hAnsi="Times New Roman" w:eastAsia="黑体"/>
          <w:b w:val="0"/>
          <w:color w:val="000000"/>
          <w:sz w:val="32"/>
          <w:szCs w:val="32"/>
        </w:rPr>
      </w:pPr>
      <w:bookmarkStart w:id="379" w:name="_Toc351203612"/>
      <w:bookmarkStart w:id="380" w:name="_Toc337558828"/>
      <w:bookmarkStart w:id="381" w:name="_Toc296346621"/>
      <w:bookmarkStart w:id="382" w:name="_Toc296503120"/>
      <w:r>
        <w:rPr>
          <w:rFonts w:ascii="Times New Roman" w:hAnsi="Times New Roman" w:eastAsia="黑体"/>
          <w:b w:val="0"/>
          <w:color w:val="000000"/>
          <w:sz w:val="32"/>
          <w:szCs w:val="32"/>
        </w:rPr>
        <w:t>18. 保险</w:t>
      </w:r>
      <w:bookmarkEnd w:id="379"/>
    </w:p>
    <w:bookmarkEnd w:id="380"/>
    <w:bookmarkEnd w:id="381"/>
    <w:bookmarkEnd w:id="382"/>
    <w:p>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337558829"/>
      <w:bookmarkStart w:id="385" w:name="_Toc296346622"/>
      <w:bookmarkStart w:id="386" w:name="_Toc296503121"/>
      <w:r>
        <w:rPr>
          <w:rFonts w:ascii="Times New Roman" w:hAnsi="Times New Roman" w:eastAsia="黑体"/>
          <w:b w:val="0"/>
          <w:color w:val="000000"/>
          <w:sz w:val="30"/>
          <w:szCs w:val="32"/>
        </w:rPr>
        <w:t>18.1 工程保险</w:t>
      </w:r>
      <w:bookmarkEnd w:id="383"/>
    </w:p>
    <w:bookmarkEnd w:id="384"/>
    <w:bookmarkEnd w:id="385"/>
    <w:bookmarkEnd w:id="38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296503122"/>
      <w:bookmarkStart w:id="389" w:name="_Toc296346623"/>
      <w:bookmarkStart w:id="390" w:name="_Toc337558830"/>
      <w:r>
        <w:rPr>
          <w:rFonts w:ascii="Times New Roman" w:hAnsi="Times New Roman" w:eastAsia="黑体"/>
          <w:b w:val="0"/>
          <w:color w:val="000000"/>
          <w:sz w:val="30"/>
          <w:szCs w:val="32"/>
        </w:rPr>
        <w:t>18.2 工伤保险</w:t>
      </w:r>
      <w:bookmarkEnd w:id="387"/>
    </w:p>
    <w:bookmarkEnd w:id="388"/>
    <w:bookmarkEnd w:id="389"/>
    <w:bookmarkEnd w:id="39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503125"/>
      <w:bookmarkStart w:id="393" w:name="_Toc296346626"/>
      <w:bookmarkStart w:id="394" w:name="_Toc337558831"/>
      <w:r>
        <w:rPr>
          <w:rFonts w:ascii="Times New Roman" w:hAnsi="Times New Roman" w:eastAsia="黑体"/>
          <w:b w:val="0"/>
          <w:color w:val="000000"/>
          <w:sz w:val="30"/>
          <w:szCs w:val="32"/>
        </w:rPr>
        <w:t>18.3其他保险</w:t>
      </w:r>
      <w:bookmarkEnd w:id="391"/>
    </w:p>
    <w:bookmarkEnd w:id="392"/>
    <w:bookmarkEnd w:id="393"/>
    <w:bookmarkEnd w:id="394"/>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346627"/>
      <w:bookmarkStart w:id="398" w:name="_Toc337558832"/>
      <w:bookmarkStart w:id="399" w:name="_Toc296503126"/>
      <w:r>
        <w:rPr>
          <w:rFonts w:ascii="Times New Roman" w:hAnsi="Times New Roman" w:eastAsia="黑体"/>
          <w:b w:val="0"/>
          <w:color w:val="000000"/>
          <w:sz w:val="30"/>
          <w:szCs w:val="32"/>
        </w:rPr>
        <w:t>18.5 保险凭证</w:t>
      </w:r>
      <w:bookmarkEnd w:id="396"/>
    </w:p>
    <w:bookmarkEnd w:id="397"/>
    <w:bookmarkEnd w:id="398"/>
    <w:bookmarkEnd w:id="399"/>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296503127"/>
      <w:bookmarkStart w:id="402" w:name="_Toc337558833"/>
      <w:bookmarkStart w:id="403" w:name="_Toc296346628"/>
      <w:r>
        <w:rPr>
          <w:rFonts w:ascii="Times New Roman" w:hAnsi="Times New Roman" w:eastAsia="黑体"/>
          <w:b w:val="0"/>
          <w:color w:val="000000"/>
          <w:sz w:val="30"/>
          <w:szCs w:val="32"/>
        </w:rPr>
        <w:t>18.6 未按约定投保的补救</w:t>
      </w:r>
      <w:bookmarkEnd w:id="400"/>
    </w:p>
    <w:bookmarkEnd w:id="401"/>
    <w:bookmarkEnd w:id="402"/>
    <w:bookmarkEnd w:id="403"/>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pPr>
        <w:pStyle w:val="5"/>
        <w:spacing w:before="120" w:after="120" w:line="360" w:lineRule="auto"/>
        <w:rPr>
          <w:rFonts w:ascii="Times New Roman" w:hAnsi="Times New Roman" w:eastAsia="黑体"/>
          <w:b w:val="0"/>
          <w:color w:val="000000"/>
          <w:sz w:val="32"/>
          <w:szCs w:val="32"/>
        </w:rPr>
      </w:pPr>
      <w:bookmarkStart w:id="406" w:name="_Toc351203620"/>
      <w:bookmarkStart w:id="407" w:name="_Toc337558835"/>
      <w:bookmarkStart w:id="408" w:name="_Toc296503140"/>
      <w:bookmarkStart w:id="409" w:name="_Toc296346641"/>
      <w:r>
        <w:rPr>
          <w:rFonts w:ascii="Times New Roman" w:hAnsi="Times New Roman" w:eastAsia="黑体"/>
          <w:b w:val="0"/>
          <w:color w:val="000000"/>
          <w:sz w:val="32"/>
          <w:szCs w:val="32"/>
        </w:rPr>
        <w:t>19. 索赔</w:t>
      </w:r>
      <w:bookmarkEnd w:id="406"/>
    </w:p>
    <w:bookmarkEnd w:id="407"/>
    <w:bookmarkEnd w:id="408"/>
    <w:bookmarkEnd w:id="409"/>
    <w:p>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337558836"/>
      <w:bookmarkStart w:id="412" w:name="_Toc296503141"/>
      <w:bookmarkStart w:id="413" w:name="_Toc296346642"/>
      <w:r>
        <w:rPr>
          <w:rFonts w:ascii="Times New Roman" w:hAnsi="Times New Roman" w:eastAsia="黑体"/>
          <w:b w:val="0"/>
          <w:color w:val="000000"/>
          <w:sz w:val="30"/>
          <w:szCs w:val="32"/>
        </w:rPr>
        <w:t>19.1承包人的索赔</w:t>
      </w:r>
      <w:bookmarkEnd w:id="410"/>
    </w:p>
    <w:bookmarkEnd w:id="411"/>
    <w:bookmarkEnd w:id="412"/>
    <w:bookmarkEnd w:id="413"/>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346643"/>
      <w:bookmarkStart w:id="416" w:name="_Toc337558837"/>
      <w:bookmarkStart w:id="417" w:name="_Toc296503142"/>
      <w:r>
        <w:rPr>
          <w:rFonts w:ascii="Times New Roman" w:hAnsi="Times New Roman" w:eastAsia="黑体"/>
          <w:b w:val="0"/>
          <w:color w:val="000000"/>
          <w:sz w:val="30"/>
          <w:szCs w:val="32"/>
        </w:rPr>
        <w:t>19.2 对承包人索赔的处理</w:t>
      </w:r>
      <w:bookmarkEnd w:id="414"/>
    </w:p>
    <w:bookmarkEnd w:id="415"/>
    <w:bookmarkEnd w:id="416"/>
    <w:bookmarkEnd w:id="417"/>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296346644"/>
      <w:bookmarkStart w:id="420" w:name="_Toc337558838"/>
      <w:bookmarkStart w:id="421" w:name="_Toc296503143"/>
      <w:r>
        <w:rPr>
          <w:rFonts w:ascii="Times New Roman" w:hAnsi="Times New Roman" w:eastAsia="黑体"/>
          <w:b w:val="0"/>
          <w:color w:val="000000"/>
          <w:sz w:val="30"/>
          <w:szCs w:val="32"/>
        </w:rPr>
        <w:t>19.3发包人的索赔</w:t>
      </w:r>
      <w:bookmarkEnd w:id="418"/>
    </w:p>
    <w:bookmarkEnd w:id="419"/>
    <w:bookmarkEnd w:id="420"/>
    <w:bookmarkEnd w:id="421"/>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296346645"/>
      <w:bookmarkStart w:id="424" w:name="_Toc296503144"/>
      <w:bookmarkStart w:id="425" w:name="_Toc337558839"/>
      <w:r>
        <w:rPr>
          <w:rFonts w:ascii="Times New Roman" w:hAnsi="Times New Roman" w:eastAsia="黑体"/>
          <w:b w:val="0"/>
          <w:color w:val="000000"/>
          <w:sz w:val="30"/>
          <w:szCs w:val="32"/>
        </w:rPr>
        <w:t>19.4 对发包人索赔的处理</w:t>
      </w:r>
      <w:bookmarkEnd w:id="422"/>
    </w:p>
    <w:bookmarkEnd w:id="423"/>
    <w:bookmarkEnd w:id="424"/>
    <w:bookmarkEnd w:id="425"/>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337558840"/>
      <w:bookmarkStart w:id="429" w:name="_Toc296503146"/>
      <w:bookmarkStart w:id="430" w:name="_Toc296346647"/>
      <w:r>
        <w:rPr>
          <w:rFonts w:ascii="Times New Roman" w:hAnsi="Times New Roman" w:eastAsia="黑体"/>
          <w:b w:val="0"/>
          <w:color w:val="000000"/>
          <w:sz w:val="32"/>
          <w:szCs w:val="32"/>
        </w:rPr>
        <w:t>. 争议解决</w:t>
      </w:r>
      <w:bookmarkEnd w:id="427"/>
    </w:p>
    <w:bookmarkEnd w:id="428"/>
    <w:bookmarkEnd w:id="429"/>
    <w:bookmarkEnd w:id="430"/>
    <w:p>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346648"/>
      <w:bookmarkStart w:id="433" w:name="_Toc296503147"/>
      <w:bookmarkStart w:id="434" w:name="_Toc337558841"/>
      <w:r>
        <w:rPr>
          <w:rFonts w:ascii="Times New Roman" w:hAnsi="Times New Roman" w:eastAsia="黑体"/>
          <w:b w:val="0"/>
          <w:color w:val="000000"/>
          <w:sz w:val="30"/>
          <w:szCs w:val="32"/>
        </w:rPr>
        <w:t>20.1和解</w:t>
      </w:r>
      <w:bookmarkEnd w:id="431"/>
    </w:p>
    <w:bookmarkEnd w:id="432"/>
    <w:bookmarkEnd w:id="433"/>
    <w:bookmarkEnd w:id="434"/>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337558842"/>
      <w:bookmarkStart w:id="437" w:name="_Toc296503148"/>
      <w:bookmarkStart w:id="438" w:name="_Toc296346649"/>
      <w:r>
        <w:rPr>
          <w:rFonts w:ascii="Times New Roman" w:hAnsi="Times New Roman" w:eastAsia="黑体"/>
          <w:b w:val="0"/>
          <w:color w:val="000000"/>
          <w:sz w:val="30"/>
          <w:szCs w:val="32"/>
        </w:rPr>
        <w:t>.2调解</w:t>
      </w:r>
      <w:bookmarkEnd w:id="435"/>
    </w:p>
    <w:bookmarkEnd w:id="436"/>
    <w:bookmarkEnd w:id="437"/>
    <w:bookmarkEnd w:id="438"/>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503149"/>
      <w:bookmarkStart w:id="441" w:name="_Toc296346650"/>
      <w:bookmarkStart w:id="442" w:name="_Toc337558843"/>
      <w:r>
        <w:rPr>
          <w:rFonts w:ascii="Times New Roman" w:hAnsi="Times New Roman" w:eastAsia="黑体"/>
          <w:b w:val="0"/>
          <w:color w:val="000000"/>
          <w:sz w:val="30"/>
          <w:szCs w:val="32"/>
        </w:rPr>
        <w:t>20.3争议评审</w:t>
      </w:r>
      <w:bookmarkEnd w:id="439"/>
    </w:p>
    <w:bookmarkEnd w:id="440"/>
    <w:bookmarkEnd w:id="441"/>
    <w:bookmarkEnd w:id="442"/>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503150"/>
      <w:bookmarkStart w:id="445" w:name="_Toc296346651"/>
      <w:bookmarkStart w:id="446" w:name="_Toc337558844"/>
      <w:r>
        <w:rPr>
          <w:rFonts w:ascii="Times New Roman" w:hAnsi="Times New Roman" w:eastAsia="黑体"/>
          <w:b w:val="0"/>
          <w:color w:val="000000"/>
          <w:sz w:val="30"/>
          <w:szCs w:val="32"/>
        </w:rPr>
        <w:t>20.4仲裁或诉讼</w:t>
      </w:r>
      <w:bookmarkEnd w:id="443"/>
    </w:p>
    <w:bookmarkEnd w:id="444"/>
    <w:bookmarkEnd w:id="445"/>
    <w:bookmarkEnd w:id="446"/>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337558845"/>
      <w:bookmarkStart w:id="449" w:name="_Toc296503152"/>
      <w:bookmarkStart w:id="450" w:name="_Toc296346653"/>
      <w:r>
        <w:rPr>
          <w:rFonts w:ascii="Times New Roman" w:hAnsi="Times New Roman" w:eastAsia="黑体"/>
          <w:b w:val="0"/>
          <w:color w:val="000000"/>
          <w:sz w:val="30"/>
          <w:szCs w:val="32"/>
        </w:rPr>
        <w:t>20.5争议解决条款效力</w:t>
      </w:r>
      <w:bookmarkEnd w:id="447"/>
    </w:p>
    <w:bookmarkEnd w:id="448"/>
    <w:bookmarkEnd w:id="449"/>
    <w:bookmarkEnd w:id="450"/>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6346657"/>
      <w:bookmarkStart w:id="454" w:name="_Toc296503156"/>
      <w:bookmarkStart w:id="455" w:name="_Toc296347155"/>
      <w:bookmarkStart w:id="456" w:name="_Toc296890984"/>
      <w:bookmarkStart w:id="457" w:name="_Toc296891196"/>
      <w:bookmarkStart w:id="458" w:name="_Toc292559866"/>
      <w:bookmarkStart w:id="459" w:name="_Toc296944495"/>
      <w:bookmarkStart w:id="460" w:name="_Toc297120456"/>
      <w:bookmarkStart w:id="461" w:name="_Toc297048342"/>
      <w:bookmarkStart w:id="462" w:name="_Toc292559361"/>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w:t>
      </w:r>
      <w:r>
        <w:rPr>
          <w:rFonts w:ascii="Times New Roman" w:hAnsi="Times New Roman" w:eastAsia="仿宋_GB2312" w:cs="Times New Roman"/>
          <w:color w:val="000000"/>
          <w:sz w:val="30"/>
          <w:szCs w:val="32"/>
          <w:u w:val="single"/>
        </w:rPr>
        <w:t>采购文件、工程量清单、成交供应商响应文件、特种设备备案要求文件</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依据设计图纸确定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双方在合同履行过程中确定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执行通用条款</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pPr>
        <w:spacing w:line="360" w:lineRule="auto"/>
        <w:ind w:left="596" w:leftChars="284"/>
        <w:rPr>
          <w:rFonts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执行通用条款</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hint="eastAsia" w:ascii="Times New Roman" w:hAnsi="Times New Roman" w:eastAsia="仿宋_GB2312" w:cs="Times New Roman"/>
          <w:color w:val="000000"/>
          <w:sz w:val="30"/>
          <w:szCs w:val="32"/>
          <w:u w:val="single"/>
          <w:lang w:val="en-US" w:eastAsia="zh-CN"/>
        </w:rPr>
        <w:t xml:space="preserve">执行通用条款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进场前提供施工图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1套</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施工图</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（1）施工方案：（2）施工现场平面</w:t>
      </w:r>
      <w:r>
        <w:rPr>
          <w:rFonts w:hint="eastAsia" w:ascii="Times New Roman" w:hAnsi="Times New Roman" w:eastAsia="仿宋_GB2312"/>
          <w:color w:val="000000"/>
          <w:sz w:val="30"/>
          <w:szCs w:val="32"/>
          <w:u w:val="single"/>
          <w:lang w:val="en-US" w:eastAsia="zh-CN"/>
        </w:rPr>
        <w:t>布置图</w:t>
      </w:r>
      <w:r>
        <w:rPr>
          <w:rFonts w:hint="eastAsia" w:ascii="Times New Roman" w:hAnsi="Times New Roman" w:eastAsia="仿宋_GB2312"/>
          <w:color w:val="000000"/>
          <w:sz w:val="30"/>
          <w:szCs w:val="32"/>
          <w:u w:val="single"/>
        </w:rPr>
        <w:t>：（3）施工进度和保证措施：（4）劳动力及材供应计划：（5）施工机械设备选用：（6）质量保证体系及措施：（7）安全生产、文明施工措施：（8</w:t>
      </w:r>
      <w:r>
        <w:rPr>
          <w:rFonts w:hint="eastAsia" w:ascii="Times New Roman" w:hAnsi="Times New Roman" w:eastAsia="仿宋_GB2312"/>
          <w:color w:val="000000"/>
          <w:sz w:val="30"/>
          <w:szCs w:val="32"/>
          <w:u w:val="single"/>
          <w:lang w:eastAsia="zh-CN"/>
        </w:rPr>
        <w:t>）</w:t>
      </w:r>
      <w:r>
        <w:rPr>
          <w:rFonts w:hint="eastAsia" w:ascii="Times New Roman" w:hAnsi="Times New Roman" w:eastAsia="仿宋_GB2312"/>
          <w:color w:val="000000"/>
          <w:sz w:val="30"/>
          <w:szCs w:val="32"/>
          <w:u w:val="single"/>
        </w:rPr>
        <w:t>环境保护、成本控制措施（9）合同当事人约定的其他内容</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按通用合同条款执行</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hint="eastAsia" w:ascii="Times New Roman" w:hAnsi="Times New Roman" w:eastAsia="仿宋_GB2312"/>
          <w:color w:val="000000"/>
          <w:sz w:val="30"/>
          <w:szCs w:val="32"/>
          <w:u w:val="single"/>
        </w:rPr>
        <w:t>承包人应在施现场另外</w:t>
      </w:r>
      <w:r>
        <w:rPr>
          <w:rFonts w:hint="eastAsia" w:ascii="Times New Roman" w:hAnsi="Times New Roman" w:eastAsia="仿宋_GB2312"/>
          <w:color w:val="000000"/>
          <w:sz w:val="30"/>
          <w:szCs w:val="32"/>
          <w:u w:val="single"/>
          <w:lang w:val="en-US" w:eastAsia="zh-CN"/>
        </w:rPr>
        <w:t>保存</w:t>
      </w:r>
      <w:r>
        <w:rPr>
          <w:rFonts w:hint="eastAsia" w:ascii="Times New Roman" w:hAnsi="Times New Roman" w:eastAsia="仿宋_GB2312"/>
          <w:color w:val="000000"/>
          <w:sz w:val="30"/>
          <w:szCs w:val="32"/>
          <w:u w:val="single"/>
        </w:rPr>
        <w:t>一套完整的图纸和承包人文件，供发包人</w:t>
      </w:r>
      <w:r>
        <w:rPr>
          <w:rFonts w:hint="eastAsia" w:ascii="Times New Roman" w:hAnsi="Times New Roman" w:eastAsia="仿宋_GB2312"/>
          <w:color w:val="000000"/>
          <w:sz w:val="30"/>
          <w:szCs w:val="32"/>
          <w:u w:val="single"/>
          <w:lang w:eastAsia="zh-CN"/>
        </w:rPr>
        <w:t>、</w:t>
      </w:r>
      <w:r>
        <w:rPr>
          <w:rFonts w:hint="eastAsia" w:ascii="Times New Roman" w:hAnsi="Times New Roman" w:eastAsia="仿宋_GB2312"/>
          <w:color w:val="000000"/>
          <w:sz w:val="30"/>
          <w:szCs w:val="32"/>
          <w:u w:val="single"/>
        </w:rPr>
        <w:t>监理人及有关人员进行程检查</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7</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乐山市金口河区农业农村局</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项目经理部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hint="eastAsia" w:ascii="Times New Roman" w:hAnsi="Times New Roman" w:eastAsia="仿宋_GB2312"/>
          <w:color w:val="000000"/>
          <w:sz w:val="30"/>
          <w:szCs w:val="32"/>
          <w:u w:val="single"/>
          <w:lang w:val="en-US" w:eastAsia="zh-CN"/>
        </w:rPr>
        <w:t>承包方项目经理</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18581155"/>
      <w:bookmarkStart w:id="464" w:name="_Toc312677986"/>
      <w:bookmarkStart w:id="465" w:name="_Toc303539100"/>
      <w:bookmarkStart w:id="466" w:name="_Toc300934943"/>
      <w:bookmarkStart w:id="467" w:name="_Toc304295521"/>
      <w:r>
        <w:rPr>
          <w:rFonts w:ascii="Times New Roman" w:hAnsi="Times New Roman" w:eastAsia="仿宋_GB2312"/>
          <w:sz w:val="30"/>
          <w:szCs w:val="32"/>
        </w:rPr>
        <w:t>.10.1 出入现场的权利</w:t>
      </w:r>
    </w:p>
    <w:p>
      <w:pPr>
        <w:spacing w:line="360" w:lineRule="auto"/>
        <w:ind w:left="596" w:leftChars="284"/>
        <w:rPr>
          <w:rFonts w:ascii="Times New Roman" w:hAnsi="Times New Roman" w:eastAsia="仿宋_GB2312"/>
          <w:sz w:val="30"/>
          <w:szCs w:val="32"/>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承包人应根据程需要自行办理取得出人施工场地的专用及临时道路的通行权，由承包人负责实施、办理</w:t>
      </w:r>
      <w:r>
        <w:rPr>
          <w:rFonts w:hint="eastAsia" w:ascii="Times New Roman" w:hAnsi="Times New Roman" w:eastAsia="仿宋_GB2312"/>
          <w:color w:val="000000"/>
          <w:sz w:val="30"/>
          <w:szCs w:val="32"/>
          <w:u w:val="single"/>
          <w:lang w:val="en-US" w:eastAsia="zh-CN"/>
        </w:rPr>
        <w:t>有</w:t>
      </w:r>
      <w:r>
        <w:rPr>
          <w:rFonts w:hint="eastAsia" w:ascii="Times New Roman" w:hAnsi="Times New Roman" w:eastAsia="仿宋_GB2312"/>
          <w:color w:val="000000"/>
          <w:sz w:val="30"/>
          <w:szCs w:val="32"/>
          <w:u w:val="single"/>
        </w:rPr>
        <w:t>关手续，由此产生的费用在投标报价中已进行了综合考虑，不再另计</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12677987"/>
      <w:bookmarkStart w:id="469" w:name="_Toc303539101"/>
      <w:bookmarkStart w:id="470" w:name="_Toc318581156"/>
      <w:bookmarkStart w:id="471" w:name="_Toc304295522"/>
      <w:bookmarkStart w:id="472" w:name="_Toc300934944"/>
      <w:r>
        <w:rPr>
          <w:rFonts w:ascii="Times New Roman" w:hAnsi="Times New Roman" w:eastAsia="仿宋_GB2312"/>
          <w:sz w:val="30"/>
          <w:szCs w:val="32"/>
        </w:rPr>
        <w:t>.10.3 场内交通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hint="eastAsia" w:ascii="Times New Roman" w:hAnsi="Times New Roman" w:eastAsia="仿宋_GB2312"/>
          <w:color w:val="000000"/>
          <w:sz w:val="30"/>
          <w:szCs w:val="32"/>
          <w:u w:val="single"/>
          <w:lang w:val="en-US" w:eastAsia="zh-CN"/>
        </w:rPr>
        <w:t>按通用合同条款执行</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hint="eastAsia" w:ascii="Times New Roman" w:hAnsi="Times New Roman" w:eastAsia="仿宋_GB2312"/>
          <w:color w:val="000000"/>
          <w:sz w:val="30"/>
          <w:szCs w:val="32"/>
          <w:u w:val="single"/>
          <w:lang w:val="en-US" w:eastAsia="zh-CN"/>
        </w:rPr>
        <w:t>按通用合同条款执行</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承包方</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发包人</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left="596" w:leftChars="284"/>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hint="eastAsia" w:ascii="Times New Roman" w:hAnsi="Times New Roman" w:eastAsia="仿宋_GB2312"/>
          <w:color w:val="000000"/>
          <w:sz w:val="30"/>
          <w:szCs w:val="32"/>
          <w:u w:val="single"/>
          <w:lang w:val="en-US" w:eastAsia="zh-CN"/>
        </w:rPr>
        <w:t>执行通用条款</w:t>
      </w:r>
      <w:r>
        <w:rPr>
          <w:rFonts w:ascii="Times New Roman" w:hAnsi="Times New Roman" w:eastAsia="仿宋_GB2312"/>
          <w:color w:val="000000"/>
          <w:sz w:val="30"/>
          <w:szCs w:val="32"/>
        </w:rPr>
        <w:t>。</w:t>
      </w:r>
    </w:p>
    <w:p>
      <w:pPr>
        <w:spacing w:line="360" w:lineRule="auto"/>
        <w:ind w:left="596" w:leftChars="284"/>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hint="eastAsia" w:ascii="Times New Roman" w:hAnsi="Times New Roman" w:eastAsia="仿宋_GB2312"/>
          <w:color w:val="000000"/>
          <w:sz w:val="30"/>
          <w:szCs w:val="32"/>
          <w:u w:val="single"/>
          <w:lang w:val="en-US" w:eastAsia="zh-CN"/>
        </w:rPr>
        <w:t>发包人</w:t>
      </w:r>
      <w:r>
        <w:rPr>
          <w:rFonts w:ascii="Times New Roman" w:hAnsi="Times New Roman" w:eastAsia="仿宋_GB2312"/>
          <w:color w:val="000000"/>
          <w:sz w:val="30"/>
          <w:szCs w:val="32"/>
        </w:rPr>
        <w:t>。</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执行通用条款</w:t>
      </w:r>
      <w:r>
        <w:rPr>
          <w:rFonts w:ascii="Times New Roman" w:hAnsi="Times New Roman" w:eastAsia="仿宋_GB2312"/>
          <w:color w:val="000000"/>
          <w:sz w:val="30"/>
          <w:szCs w:val="32"/>
        </w:rPr>
        <w:t>。</w:t>
      </w:r>
    </w:p>
    <w:p>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hint="eastAsia" w:ascii="Times New Roman" w:hAnsi="Times New Roman" w:eastAsia="仿宋_GB2312"/>
          <w:color w:val="000000"/>
          <w:sz w:val="30"/>
          <w:szCs w:val="32"/>
          <w:u w:val="single"/>
          <w:lang w:val="en-US" w:eastAsia="zh-CN"/>
        </w:rPr>
        <w:t>执行通用条款</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按规定执行</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6944496"/>
      <w:bookmarkStart w:id="476" w:name="_Toc296890985"/>
      <w:bookmarkStart w:id="477" w:name="_Toc296891197"/>
      <w:bookmarkStart w:id="478" w:name="_Toc292559362"/>
      <w:bookmarkStart w:id="479" w:name="_Toc292559867"/>
      <w:bookmarkStart w:id="480" w:name="_Toc296503157"/>
      <w:bookmarkStart w:id="481" w:name="_Toc296347156"/>
      <w:bookmarkStart w:id="482" w:name="_Toc297048343"/>
      <w:bookmarkStart w:id="483" w:name="_Toc296346658"/>
      <w:bookmarkStart w:id="484" w:name="_Toc297120457"/>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b/>
          <w:color w:val="000000"/>
          <w:sz w:val="30"/>
          <w:szCs w:val="32"/>
        </w:rPr>
      </w:pPr>
      <w:r>
        <w:rPr>
          <w:rFonts w:ascii="Times New Roman" w:hAnsi="Times New Roman" w:eastAsia="仿宋_GB2312"/>
          <w:color w:val="000000"/>
          <w:sz w:val="30"/>
          <w:szCs w:val="32"/>
        </w:rPr>
        <w:t>发包人对发包人代表的授权范围如下：</w:t>
      </w:r>
      <w:r>
        <w:rPr>
          <w:rFonts w:hint="eastAsia" w:ascii="Times New Roman" w:hAnsi="Times New Roman" w:eastAsia="仿宋_GB2312"/>
          <w:color w:val="000000"/>
          <w:sz w:val="30"/>
          <w:szCs w:val="32"/>
          <w:u w:val="single"/>
        </w:rPr>
        <w:t>督促指导监理工程师行使职权，协调施工现场各方面的关系，协调工程质量，进度和安全文明施</w:t>
      </w:r>
      <w:r>
        <w:rPr>
          <w:rFonts w:hint="eastAsia" w:ascii="Times New Roman" w:hAnsi="Times New Roman" w:eastAsia="仿宋_GB2312"/>
          <w:color w:val="000000"/>
          <w:sz w:val="30"/>
          <w:szCs w:val="32"/>
          <w:u w:val="single"/>
          <w:lang w:val="en-US" w:eastAsia="zh-CN"/>
        </w:rPr>
        <w:t>工</w:t>
      </w:r>
      <w:r>
        <w:rPr>
          <w:rFonts w:hint="eastAsia" w:ascii="Times New Roman" w:hAnsi="Times New Roman" w:eastAsia="仿宋_GB2312"/>
          <w:color w:val="000000"/>
          <w:sz w:val="30"/>
          <w:szCs w:val="32"/>
          <w:u w:val="single"/>
        </w:rPr>
        <w:t xml:space="preserve">中存在的问题，解决有关设计和技术签证，办理、签认现场经济技术签证，审核工程进度报表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合同签订后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按通用合同执行</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503158"/>
      <w:bookmarkStart w:id="487" w:name="_Toc297120458"/>
      <w:bookmarkStart w:id="488" w:name="_Toc292559868"/>
      <w:bookmarkStart w:id="489" w:name="_Toc297048344"/>
      <w:bookmarkStart w:id="490" w:name="_Toc296944497"/>
      <w:bookmarkStart w:id="491" w:name="_Toc292559363"/>
      <w:bookmarkStart w:id="492" w:name="_Toc296347157"/>
      <w:bookmarkStart w:id="493" w:name="_Toc296346659"/>
      <w:bookmarkStart w:id="494" w:name="_Toc296891198"/>
      <w:bookmarkStart w:id="495" w:name="_Toc296890986"/>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按通用合同执行</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四套（包含竣工图）</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由承包人承担        </w:t>
      </w:r>
      <w:r>
        <w:rPr>
          <w:rFonts w:ascii="Times New Roman" w:hAnsi="Times New Roman" w:eastAsia="仿宋_GB2312"/>
          <w:color w:val="000000"/>
          <w:sz w:val="30"/>
          <w:szCs w:val="32"/>
        </w:rPr>
        <w:t>。</w:t>
      </w:r>
    </w:p>
    <w:p>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工程竣工验收合格后的28天内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书面及电子文档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双方另行确定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必须保证每月25天以上</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处以5000元罚款，责令限期提供劳动合同并补交社会保险</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处以2万元罚款，承包人承担上述违约给发包人造成的一切损失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处以2万元罚款，承包人承担上述违约给发包人造成的一切损失</w:t>
      </w:r>
      <w:r>
        <w:rPr>
          <w:rFonts w:ascii="Times New Roman" w:hAnsi="Times New Roman" w:eastAsia="仿宋_GB2312"/>
          <w:color w:val="000000"/>
          <w:sz w:val="30"/>
          <w:szCs w:val="32"/>
          <w:u w:val="single"/>
        </w:rPr>
        <w:t xml:space="preserve">            </w:t>
      </w:r>
    </w:p>
    <w:p>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处以5万元罚款，承包人承担上述违约给发包人造成的一切损失</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工程开工前2天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处以1万元罚款，承包人承担上述违约给发包人造成的一切损失</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按通用合同条款执行</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处以1万元罚款，承包人承担上述违约给发包人造成的一切损失</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处以5000元罚款，承包人承担上述违约给发包人造成的一切损失</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2559364"/>
      <w:bookmarkStart w:id="497" w:name="_Toc303539102"/>
      <w:bookmarkStart w:id="498" w:name="_Toc296346660"/>
      <w:bookmarkStart w:id="499" w:name="_Toc296503159"/>
      <w:bookmarkStart w:id="500" w:name="_Toc304295523"/>
      <w:bookmarkStart w:id="501" w:name="_Toc297048345"/>
      <w:bookmarkStart w:id="502" w:name="_Toc297120459"/>
      <w:bookmarkStart w:id="503" w:name="_Toc297216151"/>
      <w:bookmarkStart w:id="504" w:name="_Toc300934945"/>
      <w:bookmarkStart w:id="505" w:name="_Toc296890987"/>
      <w:bookmarkStart w:id="506" w:name="_Toc312677988"/>
      <w:bookmarkStart w:id="507" w:name="_Toc296944498"/>
      <w:bookmarkStart w:id="508" w:name="_Toc296891199"/>
      <w:bookmarkStart w:id="509" w:name="_Toc297123492"/>
      <w:bookmarkStart w:id="510" w:name="_Toc292559869"/>
      <w:bookmarkStart w:id="511" w:name="_Toc296347158"/>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7123493"/>
      <w:bookmarkStart w:id="513" w:name="_Toc296346661"/>
      <w:bookmarkStart w:id="514" w:name="_Toc296503160"/>
      <w:bookmarkStart w:id="515" w:name="_Toc292559365"/>
      <w:bookmarkStart w:id="516" w:name="_Toc292559870"/>
      <w:bookmarkStart w:id="517" w:name="_Toc297216152"/>
      <w:bookmarkStart w:id="518" w:name="_Toc303539103"/>
      <w:bookmarkStart w:id="519" w:name="_Toc304295524"/>
      <w:bookmarkStart w:id="520" w:name="_Toc296891200"/>
      <w:bookmarkStart w:id="521" w:name="_Toc297120460"/>
      <w:bookmarkStart w:id="522" w:name="_Toc296890988"/>
      <w:bookmarkStart w:id="523" w:name="_Toc296944499"/>
      <w:bookmarkStart w:id="524" w:name="_Toc297048346"/>
      <w:bookmarkStart w:id="525" w:name="_Toc300934946"/>
      <w:bookmarkStart w:id="526" w:name="_Toc296347159"/>
      <w:bookmarkStart w:id="527" w:name="_Toc318581158"/>
      <w:bookmarkStart w:id="528" w:name="_Toc312677989"/>
      <w:r>
        <w:rPr>
          <w:rFonts w:ascii="Times New Roman" w:hAnsi="Times New Roman" w:eastAsia="仿宋_GB2312"/>
          <w:sz w:val="30"/>
          <w:szCs w:val="32"/>
        </w:rPr>
        <w:t>.5.1 分包的一般约定</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项目的所以分项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890989"/>
      <w:bookmarkStart w:id="530" w:name="_Toc296346662"/>
      <w:bookmarkStart w:id="531" w:name="_Toc297048347"/>
      <w:bookmarkStart w:id="532" w:name="_Toc297123494"/>
      <w:bookmarkStart w:id="533" w:name="_Toc296347160"/>
      <w:bookmarkStart w:id="534" w:name="_Toc296503161"/>
      <w:bookmarkStart w:id="535" w:name="_Toc297216153"/>
      <w:bookmarkStart w:id="536" w:name="_Toc304295525"/>
      <w:bookmarkStart w:id="537" w:name="_Toc297120461"/>
      <w:bookmarkStart w:id="538" w:name="_Toc296944500"/>
      <w:bookmarkStart w:id="539" w:name="_Toc303539104"/>
      <w:bookmarkStart w:id="540" w:name="_Toc300934947"/>
      <w:bookmarkStart w:id="541" w:name="_Toc296891201"/>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8581159"/>
      <w:bookmarkStart w:id="543" w:name="_Toc312677990"/>
      <w:r>
        <w:rPr>
          <w:rFonts w:ascii="Times New Roman" w:hAnsi="Times New Roman" w:eastAsia="仿宋_GB2312"/>
          <w:sz w:val="30"/>
          <w:szCs w:val="32"/>
        </w:rPr>
        <w:t>.5.2分包的确定</w:t>
      </w:r>
    </w:p>
    <w:p>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禁止分包</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sz w:val="30"/>
          <w:szCs w:val="32"/>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禁止分包</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sz w:val="30"/>
          <w:szCs w:val="32"/>
          <w:u w:val="single"/>
          <w:lang w:val="en-US" w:eastAsia="zh-CN"/>
        </w:rPr>
        <w:t>按通用合同执行</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提供</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hint="eastAsia" w:ascii="Times New Roman" w:hAnsi="Times New Roman" w:eastAsia="仿宋_GB2312" w:cs="Times New Roman"/>
          <w:color w:val="000000"/>
          <w:sz w:val="30"/>
          <w:szCs w:val="32"/>
          <w:u w:val="single"/>
          <w:lang w:val="en-US" w:eastAsia="zh-CN"/>
        </w:rPr>
        <w:t>按通用合同条款执行</w:t>
      </w:r>
      <w:r>
        <w:rPr>
          <w:rFonts w:ascii="Times New Roman" w:hAnsi="Times New Roman" w:eastAsia="仿宋_GB2312" w:cs="Times New Roman"/>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6890990"/>
      <w:bookmarkStart w:id="546" w:name="_Toc296503162"/>
      <w:bookmarkStart w:id="547" w:name="_Toc292559366"/>
      <w:bookmarkStart w:id="548" w:name="_Toc296347161"/>
      <w:bookmarkStart w:id="549" w:name="_Toc267251413"/>
      <w:bookmarkStart w:id="550" w:name="_Toc292559871"/>
      <w:bookmarkStart w:id="551" w:name="_Toc296891202"/>
      <w:bookmarkStart w:id="552" w:name="_Toc296346663"/>
      <w:bookmarkStart w:id="553" w:name="_Toc296944501"/>
      <w:bookmarkStart w:id="554" w:name="_Toc297048348"/>
      <w:bookmarkStart w:id="555" w:name="_Toc297120462"/>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7048349"/>
      <w:bookmarkStart w:id="559" w:name="_Toc297120463"/>
      <w:bookmarkStart w:id="560" w:name="_Toc292559872"/>
      <w:bookmarkStart w:id="561" w:name="_Toc296891203"/>
      <w:bookmarkStart w:id="562" w:name="_Toc296346664"/>
      <w:bookmarkStart w:id="563" w:name="_Toc296944502"/>
      <w:bookmarkStart w:id="564" w:name="_Toc292559367"/>
      <w:bookmarkStart w:id="565" w:name="_Toc296890991"/>
      <w:bookmarkStart w:id="566" w:name="_Toc296347162"/>
      <w:bookmarkStart w:id="567" w:name="_Toc296503163"/>
      <w:r>
        <w:rPr>
          <w:rFonts w:ascii="Times New Roman" w:hAnsi="Times New Roman" w:eastAsia="黑体"/>
          <w:b w:val="0"/>
          <w:color w:val="000000"/>
          <w:sz w:val="32"/>
          <w:szCs w:val="32"/>
        </w:rPr>
        <w:t>. 工程质量</w:t>
      </w:r>
      <w:bookmarkEnd w:id="557"/>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5</w:t>
      </w:r>
      <w:bookmarkStart w:id="568" w:name="_Toc300934949"/>
      <w:bookmarkStart w:id="569" w:name="_Toc297123496"/>
      <w:bookmarkStart w:id="570" w:name="_Toc304295527"/>
      <w:bookmarkStart w:id="571" w:name="_Toc318581164"/>
      <w:bookmarkStart w:id="572" w:name="_Toc297216155"/>
      <w:bookmarkStart w:id="573" w:name="_Toc303539106"/>
      <w:bookmarkStart w:id="574" w:name="_Toc312677997"/>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符合现行国家有关工程施工验收规范和标准的合格要求</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共同检查前48小时书面通知监理人。承包人准备验收记录，验收合格，发包人</w:t>
      </w:r>
      <w:r>
        <w:rPr>
          <w:rFonts w:hint="eastAsia" w:ascii="Times New Roman" w:hAnsi="Times New Roman" w:eastAsia="仿宋_GB2312"/>
          <w:sz w:val="30"/>
          <w:szCs w:val="32"/>
          <w:u w:val="single"/>
          <w:lang w:val="en-US" w:eastAsia="zh-CN"/>
        </w:rPr>
        <w:t>派驻</w:t>
      </w:r>
      <w:r>
        <w:rPr>
          <w:rFonts w:hint="eastAsia" w:ascii="Times New Roman" w:hAnsi="Times New Roman" w:eastAsia="仿宋_GB2312"/>
          <w:sz w:val="30"/>
          <w:szCs w:val="32"/>
          <w:u w:val="single"/>
        </w:rPr>
        <w:t>的</w:t>
      </w:r>
      <w:r>
        <w:rPr>
          <w:rFonts w:hint="eastAsia" w:ascii="Times New Roman" w:hAnsi="Times New Roman" w:eastAsia="仿宋_GB2312"/>
          <w:sz w:val="30"/>
          <w:szCs w:val="32"/>
          <w:u w:val="single"/>
          <w:lang w:val="en-US" w:eastAsia="zh-CN"/>
        </w:rPr>
        <w:t>现场</w:t>
      </w:r>
      <w:r>
        <w:rPr>
          <w:rFonts w:hint="eastAsia" w:ascii="Times New Roman" w:hAnsi="Times New Roman" w:eastAsia="仿宋_GB2312"/>
          <w:sz w:val="30"/>
          <w:szCs w:val="32"/>
          <w:u w:val="single"/>
        </w:rPr>
        <w:t>负责人及监理工程师在验收记录上签字后，承包人可进行</w:t>
      </w:r>
      <w:r>
        <w:rPr>
          <w:rFonts w:hint="eastAsia" w:ascii="Times New Roman" w:hAnsi="Times New Roman" w:eastAsia="仿宋_GB2312"/>
          <w:sz w:val="30"/>
          <w:szCs w:val="32"/>
          <w:u w:val="single"/>
          <w:lang w:val="en-US" w:eastAsia="zh-CN"/>
        </w:rPr>
        <w:t>隐蔽</w:t>
      </w:r>
      <w:r>
        <w:rPr>
          <w:rFonts w:hint="eastAsia" w:ascii="Times New Roman" w:hAnsi="Times New Roman" w:eastAsia="仿宋_GB2312"/>
          <w:sz w:val="30"/>
          <w:szCs w:val="32"/>
          <w:u w:val="single"/>
        </w:rPr>
        <w:t>和继续施工。验收不合格，承包人应在发包人限定的时间内</w:t>
      </w:r>
      <w:r>
        <w:rPr>
          <w:rFonts w:hint="eastAsia" w:ascii="Times New Roman" w:hAnsi="Times New Roman" w:eastAsia="仿宋_GB2312"/>
          <w:sz w:val="30"/>
          <w:szCs w:val="32"/>
          <w:u w:val="single"/>
          <w:lang w:val="en-US" w:eastAsia="zh-CN"/>
        </w:rPr>
        <w:t>修改</w:t>
      </w:r>
      <w:r>
        <w:rPr>
          <w:rFonts w:hint="eastAsia" w:ascii="Times New Roman" w:hAnsi="Times New Roman" w:eastAsia="仿宋_GB2312"/>
          <w:sz w:val="30"/>
          <w:szCs w:val="32"/>
          <w:u w:val="single"/>
        </w:rPr>
        <w:t>后重新验收</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24</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48</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r>
        <w:rPr>
          <w:rFonts w:hint="eastAsia"/>
          <w:spacing w:val="-4"/>
          <w:sz w:val="24"/>
          <w:szCs w:val="24"/>
          <w:u w:val="single" w:color="auto"/>
        </w:rPr>
        <w:t xml:space="preserve">承包人对施工安全责任的约定：保障现场所有工作人员、过往车辆及行人的安全，保障施工场地用电安全，不得发生触电和火灾事故。承包人严格按安全标准组织施工，采取相应的防护措施(费用由承包人负责)，在存在安全隐患的地方应自费提供照明、警卫、护棚、警示标志等安全防护设施，在并随时接受行业安全检查人员依法实施的监督检查。由于承包人安全措施不力造成事故以及事故人员伤亡、财产损失(包括第三者人员伤亡和财产损失) 的责任和因此发生的费用，由承包人承担。发生安全事故的,除按《安全生产违法行为行政处罚办法》(国家安监总局第 15 号令) 由行业行政主管部门给予行政处罚外，发包人将按《生产安全事故报告和调查处理条例》(第 493 号国务院令) 对承包人进行经济处罚,具体标准如下：一般安全事故(直接经济损失在 5000~50000 元或造成工程永久质量缺陷的) ： 处罚 10000— 100000 元；严重安全事故(直接经济损失在 50000~100000 元、 影响使用功能或工程结构安全) ：处罚 100000~200000元；重大安全事故(造成人员伤亡或重伤 3 人以上) ：处罚 200000 元以上 </w:t>
      </w:r>
      <w:r>
        <w:rPr>
          <w:rFonts w:ascii="Times New Roman" w:hAnsi="Times New Roman" w:eastAsia="仿宋_GB2312"/>
          <w:sz w:val="30"/>
          <w:szCs w:val="32"/>
        </w:rPr>
        <w:t>。</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r>
        <w:rPr>
          <w:rFonts w:hint="eastAsia"/>
          <w:spacing w:val="-1"/>
          <w:sz w:val="24"/>
          <w:szCs w:val="24"/>
          <w:u w:val="single" w:color="auto"/>
        </w:rPr>
        <w:t>由承包人承担现场治安保卫责任</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textAlignment w:val="baseline"/>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hint="eastAsia"/>
          <w:spacing w:val="-3"/>
          <w:sz w:val="24"/>
          <w:szCs w:val="24"/>
          <w:u w:val="single" w:color="auto"/>
        </w:rPr>
        <w:t>由承包人负责编制，除保证施工现场治安保卫工作之外还要服从发包方办公场所的整体治安保卫要求</w:t>
      </w:r>
      <w:r>
        <w:rPr>
          <w:spacing w:val="-3"/>
          <w:sz w:val="24"/>
          <w:szCs w:val="24"/>
          <w:u w:val="single" w:color="auto"/>
        </w:rPr>
        <w:t xml:space="preserve"> </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textAlignment w:val="baseline"/>
        <w:rPr>
          <w:rFonts w:hint="eastAsia"/>
          <w:spacing w:val="-1"/>
          <w:sz w:val="24"/>
          <w:szCs w:val="24"/>
          <w:u w:val="single" w:color="auto"/>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spacing w:val="-1"/>
          <w:sz w:val="24"/>
          <w:szCs w:val="24"/>
          <w:u w:val="single" w:color="auto"/>
        </w:rPr>
        <w:t>工程建设实施过程中，承包人应遵守</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76" w:firstLineChars="200"/>
        <w:jc w:val="left"/>
        <w:textAlignment w:val="baseline"/>
        <w:rPr>
          <w:rFonts w:ascii="Times New Roman" w:hAnsi="Times New Roman" w:eastAsia="仿宋_GB2312"/>
          <w:sz w:val="30"/>
          <w:szCs w:val="32"/>
        </w:rPr>
      </w:pPr>
      <w:r>
        <w:rPr>
          <w:rFonts w:hint="eastAsia"/>
          <w:spacing w:val="-1"/>
          <w:sz w:val="24"/>
          <w:szCs w:val="24"/>
          <w:u w:val="single" w:color="auto"/>
        </w:rPr>
        <w:t>环境保护法，并切实执行技术规范中有关环境保护方面的要求和规定，加强施工现场的 环境保护措施</w:t>
      </w:r>
      <w:r>
        <w:rPr>
          <w:rFonts w:hint="eastAsia" w:ascii="Times New Roman" w:hAnsi="Times New Roman" w:eastAsia="宋体" w:cs="Times New Roman"/>
          <w:spacing w:val="-1"/>
          <w:sz w:val="24"/>
          <w:szCs w:val="24"/>
          <w:u w:val="single" w:color="auto"/>
        </w:rPr>
        <w:t>。由于承包人措施不力造成的水土流失、地质灾害、粉尘、噪声 和水体污染等事故以及事故人员伤亡、财产损失的责任和因此发生的费用由承 包人承担。按照《乐山市建设工程文明施工(扬尘治理) 指导手则》要求，做 好“六必须”、“六不准”、“六个 100% ”等标准化工地建设。</w:t>
      </w:r>
    </w:p>
    <w:p>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r>
        <w:rPr>
          <w:rFonts w:hint="eastAsia"/>
          <w:spacing w:val="-1"/>
          <w:sz w:val="24"/>
          <w:szCs w:val="24"/>
          <w:u w:val="single" w:color="auto"/>
          <w:lang w:val="en-US" w:eastAsia="zh-CN"/>
        </w:rPr>
        <w:t>/</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sz w:val="24"/>
          <w:szCs w:val="24"/>
          <w:u w:val="single" w:color="auto"/>
          <w:lang w:val="en-US" w:eastAsia="zh-CN"/>
        </w:rPr>
        <w:t>按监理工程师审核内容为准</w:t>
      </w:r>
      <w:r>
        <w:rPr>
          <w:rFonts w:ascii="Times New Roman" w:hAnsi="Times New Roman" w:eastAsia="仿宋_GB2312"/>
          <w:sz w:val="30"/>
          <w:szCs w:val="32"/>
        </w:rPr>
        <w:t>。</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pPr>
        <w:autoSpaceDE w:val="0"/>
        <w:autoSpaceDN w:val="0"/>
        <w:adjustRightInd w:val="0"/>
        <w:spacing w:line="360" w:lineRule="auto"/>
        <w:jc w:val="left"/>
        <w:rPr>
          <w:rFonts w:hint="eastAsia" w:ascii="Times New Roman" w:hAnsi="Times New Roman" w:eastAsia="仿宋_GB2312"/>
          <w:sz w:val="30"/>
          <w:szCs w:val="32"/>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spacing w:val="-1"/>
          <w:sz w:val="24"/>
          <w:szCs w:val="24"/>
          <w:u w:val="single" w:color="auto"/>
        </w:rPr>
        <w:t>开工前</w:t>
      </w:r>
      <w:r>
        <w:rPr>
          <w:rFonts w:hint="eastAsia"/>
          <w:spacing w:val="-1"/>
          <w:sz w:val="24"/>
          <w:szCs w:val="24"/>
          <w:u w:val="single" w:color="auto"/>
          <w:lang w:val="en-US" w:eastAsia="zh-CN"/>
        </w:rPr>
        <w:t>5日</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spacing w:val="-9"/>
          <w:sz w:val="24"/>
          <w:szCs w:val="24"/>
          <w:u w:val="single" w:color="auto"/>
        </w:rPr>
        <w:t>收到后</w:t>
      </w:r>
      <w:r>
        <w:rPr>
          <w:spacing w:val="-40"/>
          <w:sz w:val="24"/>
          <w:szCs w:val="24"/>
          <w:u w:val="single" w:color="auto"/>
        </w:rPr>
        <w:t xml:space="preserve"> </w:t>
      </w:r>
      <w:r>
        <w:rPr>
          <w:rFonts w:hint="eastAsia"/>
          <w:spacing w:val="-40"/>
          <w:sz w:val="24"/>
          <w:szCs w:val="24"/>
          <w:u w:val="single" w:color="auto"/>
          <w:lang w:val="en-US" w:eastAsia="zh-CN"/>
        </w:rPr>
        <w:t xml:space="preserve">15  </w:t>
      </w:r>
      <w:r>
        <w:rPr>
          <w:spacing w:val="-9"/>
          <w:sz w:val="24"/>
          <w:szCs w:val="24"/>
          <w:u w:val="single" w:color="auto"/>
        </w:rPr>
        <w:t>日内</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04295541"/>
      <w:bookmarkStart w:id="578" w:name="_Toc312677479"/>
      <w:bookmarkStart w:id="579" w:name="_Toc312678005"/>
      <w:bookmarkStart w:id="580" w:name="_Toc297123514"/>
      <w:bookmarkStart w:id="581" w:name="_Toc297216173"/>
      <w:bookmarkStart w:id="582" w:name="_Toc300934966"/>
      <w:bookmarkStart w:id="583" w:name="_Toc303539123"/>
      <w:r>
        <w:rPr>
          <w:rFonts w:ascii="Times New Roman" w:hAnsi="Times New Roman" w:eastAsia="黑体"/>
          <w:color w:val="000000"/>
          <w:sz w:val="30"/>
          <w:szCs w:val="32"/>
        </w:rPr>
        <w:t>.2 施工进度计划</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spacing w:val="-6"/>
          <w:sz w:val="24"/>
          <w:szCs w:val="24"/>
          <w:u w:val="single" w:color="auto"/>
        </w:rPr>
        <w:t>收到后</w:t>
      </w:r>
      <w:r>
        <w:rPr>
          <w:spacing w:val="-39"/>
          <w:sz w:val="24"/>
          <w:szCs w:val="24"/>
          <w:u w:val="single" w:color="auto"/>
        </w:rPr>
        <w:t xml:space="preserve"> </w:t>
      </w:r>
      <w:r>
        <w:rPr>
          <w:spacing w:val="-6"/>
          <w:sz w:val="24"/>
          <w:szCs w:val="24"/>
          <w:u w:val="single" w:color="auto"/>
        </w:rPr>
        <w:t>5</w:t>
      </w:r>
      <w:r>
        <w:rPr>
          <w:spacing w:val="-46"/>
          <w:sz w:val="24"/>
          <w:szCs w:val="24"/>
          <w:u w:val="single" w:color="auto"/>
        </w:rPr>
        <w:t xml:space="preserve"> </w:t>
      </w:r>
      <w:r>
        <w:rPr>
          <w:rFonts w:hint="eastAsia"/>
          <w:spacing w:val="-46"/>
          <w:sz w:val="24"/>
          <w:szCs w:val="24"/>
          <w:u w:val="single" w:color="auto"/>
          <w:lang w:val="en-US" w:eastAsia="zh-CN"/>
        </w:rPr>
        <w:t xml:space="preserve"> </w:t>
      </w:r>
      <w:r>
        <w:rPr>
          <w:spacing w:val="-6"/>
          <w:sz w:val="24"/>
          <w:szCs w:val="24"/>
          <w:u w:val="single" w:color="auto"/>
        </w:rPr>
        <w:t>天内</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spacing w:val="-2"/>
          <w:sz w:val="24"/>
          <w:szCs w:val="24"/>
          <w:u w:val="single" w:color="auto"/>
        </w:rPr>
        <w:t xml:space="preserve"> 开工前</w:t>
      </w:r>
      <w:r>
        <w:rPr>
          <w:rFonts w:hint="eastAsia"/>
          <w:spacing w:val="-2"/>
          <w:sz w:val="24"/>
          <w:szCs w:val="24"/>
          <w:u w:val="single" w:color="auto"/>
          <w:lang w:val="en-US" w:eastAsia="zh-CN"/>
        </w:rPr>
        <w:t xml:space="preserve"> 2 日</w:t>
      </w:r>
      <w:r>
        <w:rPr>
          <w:rFonts w:ascii="Times New Roman" w:hAnsi="Times New Roman" w:eastAsia="仿宋_GB2312"/>
          <w:sz w:val="30"/>
          <w:szCs w:val="32"/>
        </w:rPr>
        <w:t>。</w:t>
      </w:r>
    </w:p>
    <w:p>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spacing w:val="-2"/>
          <w:sz w:val="24"/>
          <w:szCs w:val="24"/>
          <w:u w:val="single" w:color="auto"/>
        </w:rPr>
        <w:t xml:space="preserve"> 开工前</w:t>
      </w:r>
      <w:r>
        <w:rPr>
          <w:rFonts w:hint="eastAsia"/>
          <w:spacing w:val="-2"/>
          <w:sz w:val="24"/>
          <w:szCs w:val="24"/>
          <w:u w:val="single" w:color="auto"/>
          <w:lang w:val="en-US" w:eastAsia="zh-CN"/>
        </w:rPr>
        <w:t xml:space="preserve"> 2 日</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60</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spacing w:val="-8"/>
          <w:sz w:val="24"/>
          <w:szCs w:val="24"/>
          <w:u w:val="single" w:color="auto"/>
          <w:lang w:val="en-US" w:eastAsia="zh-CN"/>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297123516"/>
      <w:bookmarkStart w:id="585" w:name="_Toc300934968"/>
      <w:bookmarkStart w:id="586" w:name="_Toc312678010"/>
      <w:bookmarkStart w:id="587" w:name="_Toc304295546"/>
      <w:bookmarkStart w:id="588" w:name="_Toc312677484"/>
      <w:bookmarkStart w:id="589" w:name="_Toc297216175"/>
      <w:bookmarkStart w:id="590" w:name="_Toc303539125"/>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r>
        <w:rPr>
          <w:rFonts w:hint="eastAsia"/>
          <w:spacing w:val="-4"/>
          <w:sz w:val="24"/>
          <w:szCs w:val="24"/>
          <w:u w:val="single" w:color="auto"/>
        </w:rPr>
        <w:t>若在关键节点延误的，经发包人、监理工程师确认，工期相应顺延</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7486"/>
      <w:bookmarkStart w:id="592" w:name="_Toc318581169"/>
      <w:bookmarkStart w:id="593" w:name="_Toc312678012"/>
      <w:bookmarkStart w:id="594" w:name="_Toc304295548"/>
      <w:bookmarkStart w:id="595" w:name="_Toc303539127"/>
      <w:bookmarkStart w:id="596" w:name="_Toc300934970"/>
      <w:bookmarkStart w:id="597" w:name="_Toc297123518"/>
      <w:bookmarkStart w:id="598" w:name="_Toc297216177"/>
      <w:r>
        <w:rPr>
          <w:rFonts w:ascii="Times New Roman" w:hAnsi="Times New Roman" w:eastAsia="仿宋_GB2312"/>
          <w:sz w:val="30"/>
          <w:szCs w:val="32"/>
        </w:rPr>
        <w:t>.5.2 因承包人原因导致工期延误</w:t>
      </w:r>
    </w:p>
    <w:bookmarkEnd w:id="591"/>
    <w:bookmarkEnd w:id="592"/>
    <w:bookmarkEnd w:id="593"/>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7487"/>
      <w:bookmarkStart w:id="600" w:name="_Toc312678013"/>
      <w:bookmarkStart w:id="601" w:name="_Toc318581170"/>
      <w:r>
        <w:rPr>
          <w:rFonts w:ascii="Times New Roman" w:hAnsi="Times New Roman" w:eastAsia="仿宋_GB2312"/>
          <w:sz w:val="30"/>
          <w:szCs w:val="32"/>
        </w:rPr>
        <w:t>承包人原因造成工期延误，逾期竣工违约金的计算方法为：</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sz w:val="24"/>
          <w:szCs w:val="24"/>
          <w:u w:val="single" w:color="auto"/>
        </w:rPr>
        <w:t>每延误一天按 2000 元/天计算工期违约金</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pPr>
        <w:spacing w:line="360" w:lineRule="auto"/>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8581171"/>
      <w:bookmarkStart w:id="603"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r>
        <w:rPr>
          <w:rFonts w:hint="eastAsia"/>
          <w:spacing w:val="-4"/>
          <w:sz w:val="24"/>
          <w:szCs w:val="24"/>
          <w:u w:val="single" w:color="auto"/>
          <w:lang w:val="en-US" w:eastAsia="zh-CN"/>
        </w:rPr>
        <w:t>合同价20%</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12678015"/>
      <w:bookmarkStart w:id="605" w:name="_Toc297216178"/>
      <w:bookmarkStart w:id="606" w:name="_Toc297123519"/>
      <w:bookmarkStart w:id="607" w:name="_Toc304295549"/>
      <w:bookmarkStart w:id="608" w:name="_Toc303539128"/>
      <w:bookmarkStart w:id="609" w:name="_Toc300934971"/>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pPr>
        <w:spacing w:line="360" w:lineRule="auto"/>
        <w:ind w:firstLine="600" w:firstLineChars="200"/>
        <w:jc w:val="left"/>
        <w:rPr>
          <w:rFonts w:ascii="Times New Roman" w:hAnsi="Times New Roman" w:eastAsia="仿宋_GB2312"/>
          <w:sz w:val="30"/>
          <w:szCs w:val="32"/>
          <w:u w:val="single"/>
        </w:rPr>
      </w:pPr>
      <w:bookmarkStart w:id="610" w:name="_Toc297216179"/>
      <w:bookmarkStart w:id="611" w:name="_Toc303539129"/>
      <w:bookmarkStart w:id="612" w:name="_Toc300934972"/>
      <w:bookmarkStart w:id="613" w:name="_Toc312678016"/>
      <w:bookmarkStart w:id="614" w:name="_Toc297123520"/>
      <w:bookmarkStart w:id="615" w:name="_Toc318581172"/>
      <w:bookmarkStart w:id="616" w:name="_Toc304295550"/>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r>
        <w:rPr>
          <w:spacing w:val="-1"/>
          <w:sz w:val="24"/>
          <w:szCs w:val="24"/>
          <w:u w:val="single" w:color="auto"/>
        </w:rPr>
        <w:t xml:space="preserve"> </w:t>
      </w:r>
      <w:r>
        <w:rPr>
          <w:rFonts w:hint="eastAsia"/>
          <w:spacing w:val="-1"/>
          <w:sz w:val="24"/>
          <w:szCs w:val="24"/>
          <w:u w:val="single" w:color="auto"/>
          <w:lang w:val="en-US" w:eastAsia="zh-CN"/>
        </w:rPr>
        <w:t>无</w:t>
      </w:r>
      <w:r>
        <w:rPr>
          <w:spacing w:val="-1"/>
          <w:sz w:val="24"/>
          <w:szCs w:val="24"/>
          <w:u w:val="single" w:color="auto"/>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300934973"/>
      <w:bookmarkStart w:id="618" w:name="_Toc303539130"/>
      <w:bookmarkStart w:id="619" w:name="_Toc312678017"/>
      <w:bookmarkStart w:id="620" w:name="_Toc304295551"/>
      <w:bookmarkStart w:id="621" w:name="_Toc297123521"/>
      <w:bookmarkStart w:id="622" w:name="_Toc297216180"/>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spacing w:val="-4"/>
          <w:sz w:val="24"/>
          <w:szCs w:val="24"/>
          <w:u w:val="single" w:color="auto"/>
        </w:rPr>
        <w:t>由当地气象主管部门认定，承包人不可预防的特大暴风雨、台风、冰雹</w:t>
      </w:r>
      <w:r>
        <w:rPr>
          <w:spacing w:val="-5"/>
          <w:sz w:val="24"/>
          <w:szCs w:val="24"/>
          <w:u w:val="single" w:color="auto"/>
        </w:rPr>
        <w:t>、洪</w:t>
      </w:r>
      <w:r>
        <w:rPr>
          <w:sz w:val="24"/>
          <w:szCs w:val="24"/>
        </w:rPr>
        <w:t xml:space="preserve"> </w:t>
      </w:r>
      <w:r>
        <w:rPr>
          <w:spacing w:val="-1"/>
          <w:sz w:val="24"/>
          <w:szCs w:val="24"/>
          <w:u w:val="single" w:color="auto"/>
        </w:rPr>
        <w:t>水、地震等自然灾害</w:t>
      </w:r>
      <w:r>
        <w:rPr>
          <w:rFonts w:ascii="Times New Roman" w:hAnsi="Times New Roman" w:eastAsia="仿宋_GB2312"/>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304295556"/>
      <w:bookmarkStart w:id="625" w:name="_Toc303539136"/>
      <w:bookmarkStart w:id="626" w:name="_Toc296347166"/>
      <w:bookmarkStart w:id="627" w:name="_Toc312677493"/>
      <w:bookmarkStart w:id="628" w:name="_Toc296346668"/>
      <w:bookmarkStart w:id="629" w:name="_Toc296890995"/>
      <w:bookmarkStart w:id="630" w:name="_Toc292559372"/>
      <w:bookmarkStart w:id="631" w:name="_Toc297123527"/>
      <w:bookmarkStart w:id="632" w:name="_Toc296503167"/>
      <w:bookmarkStart w:id="633" w:name="_Toc300934979"/>
      <w:bookmarkStart w:id="634" w:name="_Toc296944506"/>
      <w:bookmarkStart w:id="635" w:name="_Toc297216186"/>
      <w:bookmarkStart w:id="636" w:name="_Toc312678019"/>
      <w:bookmarkStart w:id="637" w:name="_Toc280868654"/>
      <w:bookmarkStart w:id="638" w:name="_Toc297120467"/>
      <w:bookmarkStart w:id="639" w:name="_Toc292559877"/>
      <w:bookmarkStart w:id="640" w:name="_Toc297048353"/>
      <w:bookmarkStart w:id="641" w:name="_Toc296891207"/>
      <w:bookmarkStart w:id="642" w:name="_Toc267251424"/>
      <w:bookmarkStart w:id="643" w:name="_Toc280868656"/>
      <w:bookmarkStart w:id="644" w:name="_Toc280868655"/>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w:t>
      </w:r>
      <w:bookmarkStart w:id="645" w:name="_Toc292559373"/>
      <w:bookmarkStart w:id="646" w:name="_Toc292559878"/>
      <w:bookmarkStart w:id="647" w:name="_Toc304295557"/>
      <w:bookmarkStart w:id="648" w:name="_Toc296944507"/>
      <w:bookmarkStart w:id="649" w:name="_Toc303539137"/>
      <w:bookmarkStart w:id="650" w:name="_Toc312677494"/>
      <w:bookmarkStart w:id="651" w:name="_Toc312678020"/>
      <w:bookmarkStart w:id="652" w:name="_Toc296891208"/>
      <w:bookmarkStart w:id="653" w:name="_Toc300934980"/>
      <w:bookmarkStart w:id="654" w:name="_Toc296347167"/>
      <w:bookmarkStart w:id="655" w:name="_Toc296503168"/>
      <w:bookmarkStart w:id="656" w:name="_Toc297123528"/>
      <w:bookmarkStart w:id="657" w:name="_Toc296890996"/>
      <w:bookmarkStart w:id="658" w:name="_Toc296346669"/>
      <w:bookmarkStart w:id="659" w:name="_Toc318581173"/>
      <w:bookmarkStart w:id="660" w:name="_Toc297048354"/>
      <w:bookmarkStart w:id="661" w:name="_Toc297216187"/>
      <w:bookmarkStart w:id="662" w:name="_Toc297120468"/>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spacing w:val="-1"/>
          <w:sz w:val="24"/>
          <w:szCs w:val="24"/>
          <w:u w:val="single" w:color="auto"/>
          <w:lang w:val="en-US" w:eastAsia="zh-CN"/>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spacing w:val="-1"/>
          <w:sz w:val="24"/>
          <w:szCs w:val="24"/>
          <w:u w:val="single" w:color="auto"/>
        </w:rPr>
        <w:t xml:space="preserve"> 按管理部门要求和发包人需求确定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spacing w:val="-1"/>
          <w:sz w:val="24"/>
          <w:szCs w:val="24"/>
          <w:u w:val="single" w:color="auto"/>
        </w:rPr>
        <w:t>由承包人承担</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303539139"/>
      <w:bookmarkStart w:id="665" w:name="_Toc312678021"/>
      <w:bookmarkStart w:id="666" w:name="_Toc304295559"/>
      <w:bookmarkStart w:id="667" w:name="_Toc297216192"/>
      <w:bookmarkStart w:id="668" w:name="_Toc312677495"/>
      <w:bookmarkStart w:id="669" w:name="_Toc297123533"/>
      <w:bookmarkStart w:id="670" w:name="_Toc300934982"/>
      <w:bookmarkStart w:id="671" w:name="_Toc296891213"/>
      <w:bookmarkStart w:id="672" w:name="_Toc296503173"/>
      <w:bookmarkStart w:id="673" w:name="_Toc296944512"/>
      <w:bookmarkStart w:id="674" w:name="_Toc292559378"/>
      <w:bookmarkStart w:id="675" w:name="_Toc297048359"/>
      <w:bookmarkStart w:id="676" w:name="_Toc296347172"/>
      <w:bookmarkStart w:id="677" w:name="_Toc292559883"/>
      <w:bookmarkStart w:id="678" w:name="_Toc297120473"/>
      <w:bookmarkStart w:id="679" w:name="_Toc267251428"/>
      <w:bookmarkStart w:id="680" w:name="_Toc296346674"/>
      <w:bookmarkStart w:id="681" w:name="_Toc296891001"/>
      <w:bookmarkStart w:id="682" w:name="_Toc267251427"/>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300934983"/>
      <w:bookmarkStart w:id="684" w:name="_Toc297123534"/>
      <w:bookmarkStart w:id="685" w:name="_Toc304295560"/>
      <w:bookmarkStart w:id="686" w:name="_Toc297216193"/>
      <w:bookmarkStart w:id="687" w:name="_Toc312678022"/>
      <w:bookmarkStart w:id="688" w:name="_Toc303539140"/>
      <w:bookmarkStart w:id="689" w:name="_Toc312677496"/>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297123535"/>
      <w:bookmarkStart w:id="691" w:name="_Toc297216194"/>
      <w:bookmarkStart w:id="692" w:name="_Toc312678023"/>
      <w:bookmarkStart w:id="693" w:name="_Toc312677497"/>
      <w:bookmarkStart w:id="694" w:name="_Toc304295561"/>
      <w:bookmarkStart w:id="695" w:name="_Toc300934984"/>
      <w:bookmarkStart w:id="696" w:name="_Toc303539141"/>
      <w:bookmarkStart w:id="697" w:name="_Toc318581174"/>
      <w:r>
        <w:rPr>
          <w:rFonts w:ascii="Times New Roman" w:hAnsi="Times New Roman" w:eastAsia="仿宋_GB2312"/>
          <w:sz w:val="30"/>
          <w:szCs w:val="32"/>
        </w:rPr>
        <w:t>.1.2 试验设备</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04295562"/>
      <w:bookmarkStart w:id="699" w:name="_Toc297216195"/>
      <w:bookmarkStart w:id="700" w:name="_Toc303539142"/>
      <w:bookmarkStart w:id="701" w:name="_Toc297123536"/>
      <w:bookmarkStart w:id="702" w:name="_Toc300934985"/>
      <w:bookmarkStart w:id="703" w:name="_Toc312677498"/>
      <w:bookmarkStart w:id="704" w:name="_Toc312678024"/>
      <w:r>
        <w:rPr>
          <w:rFonts w:ascii="Times New Roman" w:hAnsi="Times New Roman" w:eastAsia="仿宋_GB2312"/>
          <w:sz w:val="30"/>
          <w:szCs w:val="32"/>
          <w:u w:val="single"/>
        </w:rPr>
        <w:t xml:space="preserve">  </w:t>
      </w:r>
      <w:r>
        <w:rPr>
          <w:rFonts w:hint="eastAsia"/>
          <w:spacing w:val="-2"/>
          <w:sz w:val="24"/>
          <w:szCs w:val="24"/>
          <w:u w:val="single" w:color="auto"/>
          <w:lang w:val="en-US" w:eastAsia="zh-CN"/>
        </w:rPr>
        <w:t>/</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spacing w:val="-2"/>
          <w:sz w:val="24"/>
          <w:szCs w:val="24"/>
          <w:u w:val="single" w:color="auto"/>
          <w:lang w:val="en-US" w:eastAsia="zh-CN"/>
        </w:rPr>
        <w:t>/</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right="0"/>
        <w:jc w:val="both"/>
        <w:textAlignment w:val="baseline"/>
        <w:rPr>
          <w:rFonts w:hint="eastAsia" w:ascii="Times New Roman" w:hAnsi="Times New Roman" w:eastAsia="仿宋_GB2312"/>
          <w:sz w:val="30"/>
          <w:szCs w:val="32"/>
        </w:rPr>
      </w:pPr>
      <w:r>
        <w:rPr>
          <w:rFonts w:ascii="Times New Roman" w:hAnsi="Times New Roman" w:eastAsia="仿宋_GB2312"/>
          <w:sz w:val="30"/>
          <w:szCs w:val="32"/>
        </w:rPr>
        <w:t>现场工艺试验的有关约定：</w:t>
      </w:r>
      <w:r>
        <w:rPr>
          <w:rFonts w:hint="eastAsia"/>
          <w:spacing w:val="-1"/>
          <w:sz w:val="24"/>
          <w:szCs w:val="24"/>
          <w:u w:val="single" w:color="auto"/>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7216199"/>
      <w:bookmarkStart w:id="707" w:name="_Toc304295566"/>
      <w:bookmarkStart w:id="708" w:name="_Toc296503193"/>
      <w:bookmarkStart w:id="709" w:name="_Toc296891021"/>
      <w:bookmarkStart w:id="710" w:name="_Toc300934989"/>
      <w:bookmarkStart w:id="711" w:name="_Toc296944532"/>
      <w:bookmarkStart w:id="712" w:name="_Toc297120493"/>
      <w:bookmarkStart w:id="713" w:name="_Toc292559903"/>
      <w:bookmarkStart w:id="714" w:name="_Toc297048379"/>
      <w:bookmarkStart w:id="715" w:name="_Toc296347192"/>
      <w:bookmarkStart w:id="716" w:name="_Toc296891233"/>
      <w:bookmarkStart w:id="717" w:name="_Toc303539146"/>
      <w:bookmarkStart w:id="718" w:name="_Toc292559398"/>
      <w:bookmarkStart w:id="719" w:name="_Toc296346694"/>
      <w:bookmarkStart w:id="720" w:name="_Toc297123540"/>
      <w:bookmarkStart w:id="721" w:name="_Toc312678025"/>
      <w:bookmarkStart w:id="722" w:name="_Toc312677499"/>
      <w:bookmarkStart w:id="723" w:name="_Toc267251441"/>
      <w:bookmarkStart w:id="724" w:name="_Toc267251435"/>
      <w:bookmarkStart w:id="725" w:name="_Toc267251439"/>
      <w:bookmarkStart w:id="726" w:name="_Toc267251437"/>
      <w:bookmarkStart w:id="727" w:name="_Toc267251433"/>
      <w:bookmarkStart w:id="728" w:name="_Toc267251440"/>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303539147"/>
      <w:bookmarkStart w:id="731" w:name="_Toc296891234"/>
      <w:bookmarkStart w:id="732" w:name="_Toc297123541"/>
      <w:bookmarkStart w:id="733" w:name="_Toc304295567"/>
      <w:bookmarkStart w:id="734" w:name="_Toc297216200"/>
      <w:bookmarkStart w:id="735" w:name="_Toc292559399"/>
      <w:bookmarkStart w:id="736" w:name="_Toc312677500"/>
      <w:bookmarkStart w:id="737" w:name="_Toc296891022"/>
      <w:bookmarkStart w:id="738" w:name="_Toc297120494"/>
      <w:bookmarkStart w:id="739" w:name="_Toc300934990"/>
      <w:bookmarkStart w:id="740" w:name="_Toc296347193"/>
      <w:bookmarkStart w:id="741" w:name="_Toc296346695"/>
      <w:bookmarkStart w:id="742" w:name="_Toc297048380"/>
      <w:bookmarkStart w:id="743" w:name="_Toc312678026"/>
      <w:bookmarkStart w:id="744" w:name="_Toc296503194"/>
      <w:bookmarkStart w:id="745" w:name="_Toc296944533"/>
      <w:bookmarkStart w:id="746" w:name="_Toc292559904"/>
      <w:r>
        <w:rPr>
          <w:rFonts w:ascii="Times New Roman" w:hAnsi="Times New Roman" w:eastAsia="黑体"/>
          <w:color w:val="000000"/>
          <w:sz w:val="30"/>
          <w:szCs w:val="32"/>
        </w:rPr>
        <w:t>0.1变更的范围</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textAlignment w:val="baseline"/>
        <w:rPr>
          <w:rFonts w:hint="eastAsia"/>
          <w:spacing w:val="-1"/>
          <w:sz w:val="24"/>
          <w:szCs w:val="24"/>
          <w:u w:val="single" w:color="auto"/>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spacing w:val="-1"/>
          <w:sz w:val="24"/>
          <w:szCs w:val="24"/>
          <w:u w:val="single" w:color="auto"/>
        </w:rPr>
        <w:t xml:space="preserve"> </w:t>
      </w:r>
      <w:r>
        <w:rPr>
          <w:rFonts w:hint="eastAsia"/>
          <w:spacing w:val="-1"/>
          <w:sz w:val="24"/>
          <w:szCs w:val="24"/>
          <w:u w:val="single" w:color="auto"/>
        </w:rPr>
        <w:t>(1) 变更权的约定：工程变更决定权归发包</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leftChars="0" w:right="0" w:firstLine="0" w:firstLineChars="0"/>
        <w:jc w:val="both"/>
        <w:textAlignment w:val="baseline"/>
        <w:rPr>
          <w:rFonts w:ascii="Times New Roman" w:hAnsi="Times New Roman" w:eastAsia="仿宋_GB2312"/>
          <w:color w:val="000000"/>
          <w:sz w:val="30"/>
          <w:szCs w:val="32"/>
        </w:rPr>
      </w:pPr>
      <w:r>
        <w:rPr>
          <w:rFonts w:hint="eastAsia"/>
          <w:spacing w:val="-1"/>
          <w:sz w:val="24"/>
          <w:szCs w:val="24"/>
          <w:u w:val="single" w:color="auto"/>
        </w:rPr>
        <w:t>人，承包人不得在未经发包人允许的情况下擅自改变。承包人与设计方、监理方串通 进行不必要的设计变更造成工程造价增加，则发包人有权单方面终止施工合同， 由此引起的相关损失由承包人承担。 (2)变更程序：按乐山市金口河区人民政府《关于印发&lt;乐山市金口河区政府投资项目管理办法(试行) &gt;的通知》(金府发【2019】3 号)、乐山市金口河区人民政府《关于印发&lt;乐山市金口河区政府投资建设项目概算调整和工程变更管理实施细则&gt;的通知》(金府发【2019】4 号) 文的规定程序执行</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textAlignment w:val="baseline"/>
        <w:rPr>
          <w:rFonts w:hint="eastAsia"/>
          <w:spacing w:val="-1"/>
          <w:sz w:val="24"/>
          <w:szCs w:val="24"/>
          <w:u w:val="single" w:color="auto"/>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spacing w:val="-1"/>
          <w:sz w:val="24"/>
          <w:szCs w:val="24"/>
          <w:u w:val="single" w:color="auto"/>
        </w:rPr>
        <w:t>严格按照乐山市金口河区人民政府《关于印发</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right="0"/>
        <w:jc w:val="left"/>
        <w:textAlignment w:val="baseline"/>
        <w:rPr>
          <w:rFonts w:ascii="Times New Roman" w:hAnsi="Times New Roman" w:eastAsia="仿宋_GB2312"/>
          <w:color w:val="000000"/>
          <w:sz w:val="30"/>
          <w:szCs w:val="32"/>
          <w:u w:val="single"/>
        </w:rPr>
      </w:pPr>
      <w:r>
        <w:rPr>
          <w:rFonts w:hint="eastAsia"/>
          <w:spacing w:val="-1"/>
          <w:sz w:val="24"/>
          <w:szCs w:val="24"/>
          <w:u w:val="single" w:color="auto"/>
        </w:rPr>
        <w:t>&lt;乐山市金口河区政府投资建设项目概算调整和工程变更管理实施细则&gt;的通知》(金府发【2019】4 号) 文件规定程序执行</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6944536"/>
      <w:bookmarkStart w:id="748" w:name="_Toc303539150"/>
      <w:bookmarkStart w:id="749" w:name="_Toc296347196"/>
      <w:bookmarkStart w:id="750" w:name="_Toc297120497"/>
      <w:bookmarkStart w:id="751" w:name="_Toc300934993"/>
      <w:bookmarkStart w:id="752" w:name="_Toc296503197"/>
      <w:bookmarkStart w:id="753" w:name="_Toc297048383"/>
      <w:bookmarkStart w:id="754" w:name="_Toc292559907"/>
      <w:bookmarkStart w:id="755" w:name="_Toc296891237"/>
      <w:bookmarkStart w:id="756" w:name="_Toc292559402"/>
      <w:bookmarkStart w:id="757" w:name="_Toc297123544"/>
      <w:bookmarkStart w:id="758" w:name="_Toc296891025"/>
      <w:bookmarkStart w:id="759" w:name="_Toc296346698"/>
      <w:bookmarkStart w:id="760" w:name="_Toc297216203"/>
      <w:bookmarkStart w:id="761" w:name="_Toc304295570"/>
      <w:bookmarkStart w:id="762" w:name="_Toc312678029"/>
      <w:bookmarkStart w:id="763" w:name="_Toc312677503"/>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303539151"/>
      <w:bookmarkStart w:id="765" w:name="_Toc297120503"/>
      <w:bookmarkStart w:id="766" w:name="_Toc296503203"/>
      <w:bookmarkStart w:id="767" w:name="_Toc297216204"/>
      <w:bookmarkStart w:id="768" w:name="_Toc296891031"/>
      <w:bookmarkStart w:id="769" w:name="_Toc292559913"/>
      <w:bookmarkStart w:id="770" w:name="_Toc296346704"/>
      <w:bookmarkStart w:id="771" w:name="_Toc297123545"/>
      <w:bookmarkStart w:id="772" w:name="_Toc296347202"/>
      <w:bookmarkStart w:id="773" w:name="_Toc292559408"/>
      <w:bookmarkStart w:id="774" w:name="_Toc300934994"/>
      <w:bookmarkStart w:id="775" w:name="_Toc296891243"/>
      <w:bookmarkStart w:id="776" w:name="_Toc297048389"/>
      <w:bookmarkStart w:id="777" w:name="_Toc296944542"/>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spacing w:val="-1"/>
          <w:sz w:val="24"/>
          <w:szCs w:val="24"/>
          <w:u w:val="single" w:color="auto"/>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spacing w:val="-1"/>
          <w:sz w:val="24"/>
          <w:szCs w:val="24"/>
          <w:u w:val="single" w:color="auto"/>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jc w:val="left"/>
        <w:rPr>
          <w:rFonts w:ascii="Times New Roman" w:hAnsi="Times New Roman" w:eastAsia="仿宋_GB2312"/>
          <w:sz w:val="30"/>
          <w:szCs w:val="32"/>
          <w:u w:val="single"/>
        </w:rPr>
      </w:pPr>
      <w:r>
        <w:rPr>
          <w:rFonts w:ascii="Times New Roman" w:hAnsi="Times New Roman" w:eastAsia="仿宋_GB2312"/>
          <w:sz w:val="30"/>
          <w:szCs w:val="32"/>
        </w:rPr>
        <w:t>承</w:t>
      </w:r>
      <w:bookmarkStart w:id="778" w:name="_Toc297120504"/>
      <w:bookmarkStart w:id="779" w:name="_Toc297123546"/>
      <w:bookmarkStart w:id="780" w:name="_Toc318581175"/>
      <w:bookmarkStart w:id="781" w:name="_Toc296347203"/>
      <w:bookmarkStart w:id="782" w:name="_Toc296891032"/>
      <w:bookmarkStart w:id="783" w:name="_Toc303539152"/>
      <w:bookmarkStart w:id="784" w:name="_Toc292559409"/>
      <w:bookmarkStart w:id="785" w:name="_Toc292559914"/>
      <w:bookmarkStart w:id="786" w:name="_Toc297048390"/>
      <w:bookmarkStart w:id="787" w:name="_Toc312678030"/>
      <w:bookmarkStart w:id="788" w:name="_Toc297216205"/>
      <w:bookmarkStart w:id="789" w:name="_Toc296503204"/>
      <w:bookmarkStart w:id="790" w:name="_Toc296891244"/>
      <w:bookmarkStart w:id="791" w:name="_Toc304295571"/>
      <w:bookmarkStart w:id="792" w:name="_Toc300934995"/>
      <w:bookmarkStart w:id="793" w:name="_Toc296346705"/>
      <w:bookmarkStart w:id="794" w:name="_Toc312677504"/>
      <w:bookmarkStart w:id="795" w:name="_Toc296944543"/>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7123548"/>
      <w:bookmarkStart w:id="797" w:name="_Toc303539154"/>
      <w:bookmarkStart w:id="798" w:name="_Toc300934997"/>
      <w:bookmarkStart w:id="799" w:name="_Toc312677507"/>
      <w:bookmarkStart w:id="800" w:name="_Toc292559909"/>
      <w:bookmarkStart w:id="801" w:name="_Toc296347198"/>
      <w:bookmarkStart w:id="802" w:name="_Toc312678033"/>
      <w:bookmarkStart w:id="803" w:name="_Toc296503199"/>
      <w:bookmarkStart w:id="804" w:name="_Toc304295574"/>
      <w:bookmarkStart w:id="805" w:name="_Toc296944538"/>
      <w:bookmarkStart w:id="806" w:name="_Toc296891239"/>
      <w:bookmarkStart w:id="807" w:name="_Toc297216207"/>
      <w:bookmarkStart w:id="808" w:name="_Toc297048385"/>
      <w:bookmarkStart w:id="809" w:name="_Toc296891027"/>
      <w:bookmarkStart w:id="810" w:name="_Toc296346700"/>
      <w:bookmarkStart w:id="811" w:name="_Toc292559404"/>
      <w:bookmarkStart w:id="812" w:name="_Toc297120499"/>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7508"/>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8035"/>
      <w:bookmarkStart w:id="817" w:name="_Toc312677509"/>
      <w:bookmarkStart w:id="818" w:name="_Toc318581177"/>
      <w:r>
        <w:rPr>
          <w:rFonts w:ascii="Times New Roman" w:hAnsi="Times New Roman" w:eastAsia="仿宋_GB2312"/>
          <w:sz w:val="30"/>
          <w:szCs w:val="32"/>
        </w:rPr>
        <w:t>0.7.1 依法必须招标的暂估价项目</w:t>
      </w:r>
    </w:p>
    <w:bookmarkEnd w:id="816"/>
    <w:bookmarkEnd w:id="817"/>
    <w:bookmarkEnd w:id="818"/>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jc w:val="left"/>
        <w:textAlignment w:val="baseline"/>
        <w:rPr>
          <w:rFonts w:hint="eastAsia"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r>
        <w:rPr>
          <w:rFonts w:hint="eastAsia"/>
          <w:sz w:val="24"/>
          <w:szCs w:val="24"/>
          <w:u w:val="single" w:color="auto"/>
        </w:rPr>
        <w:t>由承包人自行实施，并形成暂估价询价明细认质认价单，交于监理单位、发包人询价确定，最后以财政结算作为最终金额</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spacing w:val="-1"/>
          <w:sz w:val="24"/>
          <w:szCs w:val="24"/>
          <w:u w:val="single" w:color="auto"/>
          <w:lang w:val="en-US" w:eastAsia="zh-CN"/>
        </w:rPr>
        <w:t>按通用合同条款执行</w:t>
      </w:r>
      <w:r>
        <w:rPr>
          <w:rFonts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pPr>
        <w:spacing w:after="120" w:line="360" w:lineRule="auto"/>
        <w:ind w:firstLine="600" w:firstLineChars="200"/>
        <w:rPr>
          <w:rFonts w:ascii="Times New Roman" w:hAnsi="Times New Roman" w:eastAsia="黑体"/>
          <w:color w:val="000000"/>
          <w:sz w:val="30"/>
          <w:szCs w:val="32"/>
        </w:rPr>
      </w:pPr>
      <w:bookmarkStart w:id="820" w:name="_Toc296891241"/>
      <w:bookmarkStart w:id="821" w:name="_Toc300935000"/>
      <w:bookmarkStart w:id="822" w:name="_Toc296346702"/>
      <w:bookmarkStart w:id="823" w:name="_Toc296347200"/>
      <w:bookmarkStart w:id="824" w:name="_Toc297123550"/>
      <w:bookmarkStart w:id="825" w:name="_Toc297048387"/>
      <w:bookmarkStart w:id="826" w:name="_Toc297216209"/>
      <w:bookmarkStart w:id="827" w:name="_Toc296503201"/>
      <w:bookmarkStart w:id="828" w:name="_Toc312678039"/>
      <w:bookmarkStart w:id="829" w:name="_Toc303539157"/>
      <w:bookmarkStart w:id="830" w:name="_Toc292559911"/>
      <w:bookmarkStart w:id="831" w:name="_Toc296891029"/>
      <w:bookmarkStart w:id="832" w:name="_Toc304295577"/>
      <w:bookmarkStart w:id="833" w:name="_Toc292559406"/>
      <w:bookmarkStart w:id="834" w:name="_Toc296944540"/>
      <w:bookmarkStart w:id="835" w:name="_Toc297120501"/>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spacing w:val="-1"/>
          <w:sz w:val="24"/>
          <w:szCs w:val="24"/>
          <w:u w:val="single" w:color="auto"/>
        </w:rPr>
        <w:t>不调整</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pPr>
        <w:pStyle w:val="5"/>
        <w:spacing w:before="120" w:after="120" w:line="360" w:lineRule="auto"/>
        <w:rPr>
          <w:rFonts w:ascii="Times New Roman" w:hAnsi="Times New Roman" w:eastAsia="黑体"/>
          <w:b w:val="0"/>
          <w:color w:val="000000"/>
          <w:sz w:val="32"/>
          <w:szCs w:val="32"/>
        </w:rPr>
      </w:pPr>
      <w:bookmarkStart w:id="836" w:name="_Toc297048391"/>
      <w:bookmarkStart w:id="837" w:name="_Toc296891033"/>
      <w:bookmarkStart w:id="838" w:name="_Toc296346706"/>
      <w:bookmarkStart w:id="839" w:name="_Toc292559410"/>
      <w:bookmarkStart w:id="840" w:name="_Toc296503205"/>
      <w:bookmarkStart w:id="841" w:name="_Toc296891245"/>
      <w:bookmarkStart w:id="842" w:name="_Toc296944544"/>
      <w:bookmarkStart w:id="843" w:name="_Toc296347204"/>
      <w:bookmarkStart w:id="844" w:name="_Toc297120505"/>
      <w:bookmarkStart w:id="845" w:name="_Toc292559915"/>
      <w:bookmarkStart w:id="846" w:name="_Toc351203644"/>
      <w:bookmarkStart w:id="847" w:name="_Toc300935002"/>
      <w:bookmarkStart w:id="848" w:name="_Toc297216211"/>
      <w:bookmarkStart w:id="849" w:name="_Toc304295579"/>
      <w:bookmarkStart w:id="850" w:name="_Toc312678040"/>
      <w:bookmarkStart w:id="851" w:name="_Toc297123552"/>
      <w:bookmarkStart w:id="852" w:name="_Toc303539159"/>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pPr>
        <w:spacing w:after="120" w:line="360" w:lineRule="auto"/>
        <w:ind w:firstLine="600" w:firstLineChars="200"/>
        <w:rPr>
          <w:rFonts w:ascii="Times New Roman" w:hAnsi="Times New Roman" w:eastAsia="黑体"/>
          <w:color w:val="000000"/>
          <w:sz w:val="30"/>
          <w:szCs w:val="32"/>
        </w:rPr>
      </w:pPr>
      <w:bookmarkStart w:id="853" w:name="_Toc267251461"/>
      <w:bookmarkStart w:id="854" w:name="_Toc292559916"/>
      <w:bookmarkStart w:id="855" w:name="_Toc292559411"/>
      <w:bookmarkStart w:id="856" w:name="_Toc296503206"/>
      <w:bookmarkStart w:id="857" w:name="_Toc296347205"/>
      <w:bookmarkStart w:id="858" w:name="_Toc297048392"/>
      <w:bookmarkStart w:id="859" w:name="_Toc296891246"/>
      <w:bookmarkStart w:id="860" w:name="_Toc296944545"/>
      <w:bookmarkStart w:id="861" w:name="_Toc296346707"/>
      <w:bookmarkStart w:id="862" w:name="_Toc296891034"/>
      <w:bookmarkStart w:id="863" w:name="_Toc297120506"/>
      <w:bookmarkStart w:id="864" w:name="_Toc303539160"/>
      <w:bookmarkStart w:id="865" w:name="_Toc297216212"/>
      <w:bookmarkStart w:id="866" w:name="_Toc300935003"/>
      <w:bookmarkStart w:id="867" w:name="_Toc304295580"/>
      <w:bookmarkStart w:id="868" w:name="_Toc297123553"/>
      <w:bookmarkStart w:id="869" w:name="_Toc312678041"/>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r>
        <w:rPr>
          <w:spacing w:val="-3"/>
          <w:sz w:val="24"/>
          <w:szCs w:val="24"/>
          <w:u w:val="single" w:color="auto"/>
        </w:rPr>
        <w:t xml:space="preserve"> 各种因素引起的材料价格、人工工</w:t>
      </w:r>
      <w:r>
        <w:rPr>
          <w:spacing w:val="-4"/>
          <w:sz w:val="24"/>
          <w:szCs w:val="24"/>
          <w:u w:val="single" w:color="auto"/>
        </w:rPr>
        <w:t>资、施工机</w:t>
      </w:r>
      <w:r>
        <w:rPr>
          <w:sz w:val="24"/>
          <w:szCs w:val="24"/>
        </w:rPr>
        <w:t xml:space="preserve"> </w:t>
      </w:r>
      <w:r>
        <w:rPr>
          <w:spacing w:val="-1"/>
          <w:sz w:val="24"/>
          <w:szCs w:val="24"/>
          <w:u w:val="single" w:color="auto"/>
        </w:rPr>
        <w:t>械使用费、管理费、利润等变化及风险因素</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rPr>
        <w:t>。</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hint="eastAsia"/>
          <w:spacing w:val="-1"/>
          <w:sz w:val="24"/>
          <w:szCs w:val="24"/>
          <w:u w:val="single" w:color="auto"/>
          <w:lang w:val="en-US" w:eastAsia="zh-CN"/>
        </w:rPr>
        <w:t>不调整</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bookmarkStart w:id="870" w:name="_Toc303539161"/>
      <w:bookmarkStart w:id="871" w:name="_Toc300935004"/>
      <w:bookmarkStart w:id="872" w:name="_Toc312678042"/>
      <w:bookmarkStart w:id="873" w:name="_Toc297123554"/>
      <w:bookmarkStart w:id="874" w:name="_Toc297216213"/>
      <w:bookmarkStart w:id="875" w:name="_Toc304295581"/>
      <w:bookmarkStart w:id="876" w:name="_Toc296891247"/>
      <w:bookmarkStart w:id="877" w:name="_Toc296891035"/>
      <w:bookmarkStart w:id="878" w:name="_Toc292559917"/>
      <w:bookmarkStart w:id="879" w:name="_Toc297120507"/>
      <w:bookmarkStart w:id="880" w:name="_Toc296944546"/>
      <w:bookmarkStart w:id="881" w:name="_Toc296503207"/>
      <w:bookmarkStart w:id="882" w:name="_Toc297048393"/>
      <w:bookmarkStart w:id="883" w:name="_Toc296347206"/>
      <w:bookmarkStart w:id="884" w:name="_Toc296346708"/>
      <w:bookmarkStart w:id="885" w:name="_Toc292559412"/>
      <w:r>
        <w:rPr>
          <w:rFonts w:ascii="Times New Roman" w:hAnsi="Times New Roman" w:eastAsia="黑体"/>
          <w:color w:val="000000"/>
          <w:sz w:val="30"/>
          <w:szCs w:val="32"/>
        </w:rPr>
        <w:t>12.2 预付款</w:t>
      </w:r>
    </w:p>
    <w:bookmarkEnd w:id="870"/>
    <w:bookmarkEnd w:id="871"/>
    <w:bookmarkEnd w:id="872"/>
    <w:bookmarkEnd w:id="873"/>
    <w:bookmarkEnd w:id="874"/>
    <w:bookmarkEnd w:id="875"/>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宋体" w:hAnsi="宋体" w:eastAsia="宋体" w:cs="宋体"/>
          <w:color w:val="auto"/>
          <w:spacing w:val="-3"/>
          <w:sz w:val="24"/>
          <w:szCs w:val="24"/>
          <w:u w:val="single"/>
        </w:rPr>
        <w:t>监理下达</w:t>
      </w:r>
      <w:r>
        <w:rPr>
          <w:rFonts w:hint="eastAsia" w:cs="宋体"/>
          <w:color w:val="auto"/>
          <w:spacing w:val="-3"/>
          <w:sz w:val="24"/>
          <w:szCs w:val="24"/>
          <w:u w:val="single"/>
          <w:lang w:eastAsia="zh-CN"/>
        </w:rPr>
        <w:t>开工令</w:t>
      </w:r>
      <w:r>
        <w:rPr>
          <w:rFonts w:hint="eastAsia" w:ascii="宋体" w:hAnsi="宋体" w:eastAsia="宋体" w:cs="宋体"/>
          <w:color w:val="auto"/>
          <w:spacing w:val="-3"/>
          <w:sz w:val="24"/>
          <w:szCs w:val="24"/>
          <w:u w:val="single"/>
        </w:rPr>
        <w:t>并进场施工后支付合同金额的 30%开工预付款</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spacing w:val="-1"/>
          <w:sz w:val="24"/>
          <w:szCs w:val="24"/>
          <w:u w:val="single" w:color="auto"/>
        </w:rPr>
        <w:t>本项目不扣回预付款，预付款直接当进度款支付</w:t>
      </w:r>
      <w:r>
        <w:rPr>
          <w:rFonts w:hint="eastAsia"/>
          <w:spacing w:val="-1"/>
          <w:sz w:val="24"/>
          <w:szCs w:val="24"/>
          <w:u w:val="single" w:color="auto"/>
          <w:lang w:eastAsia="zh-CN"/>
        </w:rPr>
        <w:t>。</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spacing w:val="-2"/>
          <w:sz w:val="24"/>
          <w:szCs w:val="24"/>
          <w:u w:val="single" w:color="auto"/>
          <w:lang w:val="en-US" w:eastAsia="zh-CN"/>
        </w:rPr>
        <w:t>预付款拨款之前</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spacing w:val="-1"/>
          <w:sz w:val="24"/>
          <w:szCs w:val="24"/>
          <w:u w:val="single"/>
          <w:lang w:val="en-US" w:eastAsia="zh-CN"/>
        </w:rPr>
        <w:t>具有资质的担保公司出具的正式保函</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spacing w:val="-1"/>
          <w:sz w:val="24"/>
          <w:szCs w:val="24"/>
          <w:u w:val="single" w:color="auto"/>
        </w:rPr>
        <w:t>工程量清单中的工程量计算规则按有关国家、行业 标准规定执行，工程量的确认应得到监理工程师及发包人的认定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pPr>
        <w:spacing w:line="360" w:lineRule="auto"/>
        <w:ind w:firstLine="600" w:firstLineChars="200"/>
        <w:jc w:val="left"/>
        <w:rPr>
          <w:rFonts w:ascii="Times New Roman" w:hAnsi="Times New Roman" w:eastAsia="仿宋_GB2312"/>
          <w:color w:val="000000"/>
          <w:sz w:val="30"/>
          <w:szCs w:val="32"/>
        </w:rPr>
      </w:pPr>
      <w:bookmarkStart w:id="886" w:name="_Toc297120511"/>
      <w:bookmarkStart w:id="887" w:name="_Toc296347210"/>
      <w:bookmarkStart w:id="888" w:name="_Toc296503211"/>
      <w:bookmarkStart w:id="889" w:name="_Toc296891251"/>
      <w:bookmarkStart w:id="890" w:name="_Toc300935006"/>
      <w:bookmarkStart w:id="891" w:name="_Toc297048397"/>
      <w:bookmarkStart w:id="892" w:name="_Toc303539163"/>
      <w:bookmarkStart w:id="893" w:name="_Toc297216215"/>
      <w:bookmarkStart w:id="894" w:name="_Toc292559921"/>
      <w:bookmarkStart w:id="895" w:name="_Toc297123556"/>
      <w:bookmarkStart w:id="896" w:name="_Toc296891039"/>
      <w:bookmarkStart w:id="897" w:name="_Toc296346712"/>
      <w:bookmarkStart w:id="898" w:name="_Toc292559416"/>
      <w:bookmarkStart w:id="899" w:name="_Toc296944550"/>
      <w:r>
        <w:rPr>
          <w:rFonts w:ascii="Times New Roman" w:hAnsi="Times New Roman" w:eastAsia="仿宋_GB2312"/>
          <w:color w:val="000000"/>
          <w:sz w:val="30"/>
          <w:szCs w:val="32"/>
        </w:rPr>
        <w:t>12.4.1 付款周期</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color w:val="auto"/>
          <w:spacing w:val="-3"/>
          <w:sz w:val="24"/>
          <w:szCs w:val="24"/>
          <w:u w:val="single"/>
          <w:lang w:val="en-US" w:eastAsia="zh-CN"/>
        </w:rPr>
        <w:t>支付合同价的30%作为工程预付款，达到付款条件起10日内，据实结算说明为完成产值达到签约合同价30%前不再支付任何费用。从30%开始计算进度款，项目每月进度付款根据工程施工进度进行支付（每次进度款支付比例为完成对应合格工程量的100%）；项自完工前支付至不超过合同价款的79%；项自验收合格后支付至合同价款的80%；项自</w:t>
      </w:r>
      <w:r>
        <w:rPr>
          <w:rFonts w:hint="eastAsia" w:ascii="Times New Roman" w:hAnsi="Times New Roman" w:eastAsia="宋体" w:cs="Times New Roman"/>
          <w:color w:val="auto"/>
          <w:spacing w:val="-3"/>
          <w:sz w:val="24"/>
          <w:szCs w:val="24"/>
          <w:u w:val="single"/>
          <w:lang w:val="en-US" w:eastAsia="zh-CN"/>
        </w:rPr>
        <w:t>完成结算评审后支付至审定金额的97%（以财政结算金额为准）：审定金额的3%作为质</w:t>
      </w:r>
      <w:r>
        <w:rPr>
          <w:rFonts w:hint="eastAsia"/>
          <w:color w:val="auto"/>
          <w:spacing w:val="-3"/>
          <w:sz w:val="24"/>
          <w:szCs w:val="24"/>
          <w:u w:val="single"/>
          <w:lang w:val="en-US" w:eastAsia="zh-CN"/>
        </w:rPr>
        <w:t>保金，待缺陷贡任期满后无工程质量问题，经承包人申请，发包人无息全额将质保金支付至承包人。在每次发包人付款前，承包人都应该提交付款申请和与付款申请等额、合法、有效的增值税发票，如因承包人原因导致发票提交不及时或不符合要求，发包人有权延后支付合同价款且不承担任何法律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pPr>
        <w:pStyle w:val="16"/>
        <w:keepNext w:val="0"/>
        <w:keepLines w:val="0"/>
        <w:pageBreakBefore w:val="0"/>
        <w:widowControl/>
        <w:kinsoku w:val="0"/>
        <w:wordWrap/>
        <w:overflowPunct/>
        <w:topLinePunct w:val="0"/>
        <w:autoSpaceDE w:val="0"/>
        <w:autoSpaceDN w:val="0"/>
        <w:bidi w:val="0"/>
        <w:adjustRightInd w:val="0"/>
        <w:snapToGrid w:val="0"/>
        <w:spacing w:line="680" w:lineRule="exact"/>
        <w:ind w:left="0" w:right="0" w:firstLine="600" w:firstLineChars="200"/>
        <w:jc w:val="left"/>
        <w:textAlignment w:val="baseline"/>
        <w:rPr>
          <w:rFonts w:ascii="Times New Roman" w:hAnsi="Times New Roman" w:eastAsia="仿宋_GB2312"/>
          <w:color w:val="000000"/>
          <w:sz w:val="30"/>
          <w:szCs w:val="32"/>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spacing w:val="-1"/>
          <w:sz w:val="24"/>
          <w:szCs w:val="24"/>
          <w:u w:val="single" w:color="auto"/>
        </w:rPr>
        <w:t>施工合同、已完工程量统计及造价报表、进度款结算资料审签表、请款申请等</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pPr>
        <w:pStyle w:val="5"/>
        <w:spacing w:before="120" w:after="120" w:line="360" w:lineRule="auto"/>
        <w:rPr>
          <w:rFonts w:ascii="Times New Roman" w:hAnsi="Times New Roman" w:eastAsia="黑体"/>
          <w:b w:val="0"/>
          <w:color w:val="000000"/>
          <w:sz w:val="32"/>
          <w:szCs w:val="32"/>
        </w:rPr>
      </w:pPr>
      <w:bookmarkStart w:id="900" w:name="_Toc351203645"/>
      <w:bookmarkStart w:id="901" w:name="_Toc292559929"/>
      <w:bookmarkStart w:id="902" w:name="_Toc303539172"/>
      <w:bookmarkStart w:id="903" w:name="_Toc304295593"/>
      <w:bookmarkStart w:id="904" w:name="_Toc312678053"/>
      <w:bookmarkStart w:id="905" w:name="_Toc296944558"/>
      <w:bookmarkStart w:id="906" w:name="_Toc297123564"/>
      <w:bookmarkStart w:id="907" w:name="_Toc296347218"/>
      <w:bookmarkStart w:id="908" w:name="_Toc292559424"/>
      <w:bookmarkStart w:id="909" w:name="_Toc300935015"/>
      <w:bookmarkStart w:id="910" w:name="_Toc296891259"/>
      <w:bookmarkStart w:id="911" w:name="_Toc297048405"/>
      <w:bookmarkStart w:id="912" w:name="_Toc297216223"/>
      <w:bookmarkStart w:id="913" w:name="_Toc296503219"/>
      <w:bookmarkStart w:id="914" w:name="_Toc297120519"/>
      <w:bookmarkStart w:id="915" w:name="_Toc296346720"/>
      <w:bookmarkStart w:id="916" w:name="_Toc296891047"/>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24</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48</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pPr>
        <w:spacing w:after="120" w:line="360" w:lineRule="auto"/>
        <w:ind w:firstLine="600" w:firstLineChars="200"/>
        <w:rPr>
          <w:rFonts w:ascii="Times New Roman" w:hAnsi="Times New Roman" w:eastAsia="黑体"/>
          <w:color w:val="000000"/>
          <w:sz w:val="30"/>
          <w:szCs w:val="32"/>
        </w:rPr>
      </w:pPr>
      <w:bookmarkStart w:id="917" w:name="_Toc304295596"/>
      <w:bookmarkStart w:id="918" w:name="_Toc297123565"/>
      <w:bookmarkStart w:id="919" w:name="_Toc292559428"/>
      <w:bookmarkStart w:id="920" w:name="_Toc300935016"/>
      <w:bookmarkStart w:id="921" w:name="_Toc297048409"/>
      <w:bookmarkStart w:id="922" w:name="_Toc297216224"/>
      <w:bookmarkStart w:id="923" w:name="_Toc292559933"/>
      <w:bookmarkStart w:id="924" w:name="_Toc312678056"/>
      <w:bookmarkStart w:id="925" w:name="_Toc303539173"/>
      <w:bookmarkStart w:id="926" w:name="_Toc296891051"/>
      <w:bookmarkStart w:id="927" w:name="_Toc296503223"/>
      <w:bookmarkStart w:id="928" w:name="_Toc296944562"/>
      <w:bookmarkStart w:id="929" w:name="_Toc297120523"/>
      <w:bookmarkStart w:id="930" w:name="_Toc296346724"/>
      <w:bookmarkStart w:id="931" w:name="_Toc296347222"/>
      <w:bookmarkStart w:id="932" w:name="_Toc296891263"/>
      <w:bookmarkStart w:id="933" w:name="_Toc267251476"/>
      <w:bookmarkStart w:id="934" w:name="_Toc267251474"/>
      <w:bookmarkStart w:id="935" w:name="_Toc267251470"/>
      <w:bookmarkStart w:id="936" w:name="_Toc267251471"/>
      <w:bookmarkStart w:id="937" w:name="_Toc267251475"/>
      <w:bookmarkStart w:id="938" w:name="_Toc267251472"/>
      <w:bookmarkStart w:id="939" w:name="_Toc267251473"/>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r>
        <w:rPr>
          <w:spacing w:val="-1"/>
          <w:sz w:val="24"/>
          <w:szCs w:val="24"/>
          <w:u w:val="single" w:color="auto"/>
        </w:rPr>
        <w:t>按通用条款执行</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spacing w:val="-1"/>
          <w:sz w:val="24"/>
          <w:szCs w:val="24"/>
          <w:u w:val="single" w:color="auto"/>
        </w:rPr>
        <w:t>按通用条款执行</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spacing w:val="-1"/>
          <w:sz w:val="24"/>
          <w:szCs w:val="24"/>
          <w:u w:val="single" w:color="auto"/>
        </w:rPr>
        <w:t>按通用条款执行</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spacing w:val="-2"/>
          <w:sz w:val="24"/>
          <w:szCs w:val="24"/>
          <w:u w:val="single" w:color="auto"/>
        </w:rPr>
        <w:t>颁发工程接收证书后</w:t>
      </w:r>
      <w:r>
        <w:rPr>
          <w:spacing w:val="-31"/>
          <w:sz w:val="24"/>
          <w:szCs w:val="24"/>
          <w:u w:val="single" w:color="auto"/>
        </w:rPr>
        <w:t xml:space="preserve"> </w:t>
      </w:r>
      <w:r>
        <w:rPr>
          <w:spacing w:val="-2"/>
          <w:sz w:val="24"/>
          <w:szCs w:val="24"/>
          <w:u w:val="single" w:color="auto"/>
        </w:rPr>
        <w:t>3</w:t>
      </w:r>
      <w:r>
        <w:rPr>
          <w:spacing w:val="-46"/>
          <w:sz w:val="24"/>
          <w:szCs w:val="24"/>
          <w:u w:val="single" w:color="auto"/>
        </w:rPr>
        <w:t xml:space="preserve"> </w:t>
      </w:r>
      <w:r>
        <w:rPr>
          <w:spacing w:val="-2"/>
          <w:sz w:val="24"/>
          <w:szCs w:val="24"/>
          <w:u w:val="single" w:color="auto"/>
        </w:rPr>
        <w:t>天内</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spacing w:val="-2"/>
          <w:sz w:val="24"/>
          <w:szCs w:val="24"/>
          <w:u w:val="single" w:color="auto"/>
          <w:lang w:val="en-US" w:eastAsia="zh-CN"/>
        </w:rPr>
        <w:t>工程竣工验收合格后28天内</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spacing w:val="-1"/>
          <w:sz w:val="24"/>
          <w:szCs w:val="24"/>
          <w:u w:val="single" w:color="auto"/>
        </w:rPr>
        <w:t>按通用条款执行</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spacing w:val="-3"/>
          <w:sz w:val="24"/>
          <w:szCs w:val="24"/>
          <w:u w:val="single" w:color="auto"/>
        </w:rPr>
        <w:t>收到竣工付款申请单</w:t>
      </w:r>
      <w:r>
        <w:rPr>
          <w:spacing w:val="-38"/>
          <w:sz w:val="24"/>
          <w:szCs w:val="24"/>
          <w:u w:val="single" w:color="auto"/>
        </w:rPr>
        <w:t xml:space="preserve"> </w:t>
      </w:r>
      <w:r>
        <w:rPr>
          <w:spacing w:val="-3"/>
          <w:sz w:val="24"/>
          <w:szCs w:val="24"/>
          <w:u w:val="single" w:color="auto"/>
        </w:rPr>
        <w:t>28</w:t>
      </w:r>
      <w:r>
        <w:rPr>
          <w:spacing w:val="-46"/>
          <w:sz w:val="24"/>
          <w:szCs w:val="24"/>
          <w:u w:val="single" w:color="auto"/>
        </w:rPr>
        <w:t xml:space="preserve"> </w:t>
      </w:r>
      <w:r>
        <w:rPr>
          <w:spacing w:val="-3"/>
          <w:sz w:val="24"/>
          <w:szCs w:val="24"/>
          <w:u w:val="single" w:color="auto"/>
        </w:rPr>
        <w:t>天内</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spacing w:val="-2"/>
          <w:sz w:val="24"/>
          <w:szCs w:val="24"/>
          <w:u w:val="single" w:color="auto"/>
        </w:rPr>
        <w:t>签发竣工付款申请单</w:t>
      </w:r>
      <w:r>
        <w:rPr>
          <w:spacing w:val="-31"/>
          <w:sz w:val="24"/>
          <w:szCs w:val="24"/>
          <w:u w:val="single" w:color="auto"/>
        </w:rPr>
        <w:t xml:space="preserve"> </w:t>
      </w:r>
      <w:r>
        <w:rPr>
          <w:spacing w:val="-2"/>
          <w:sz w:val="24"/>
          <w:szCs w:val="24"/>
          <w:u w:val="single" w:color="auto"/>
        </w:rPr>
        <w:t>28</w:t>
      </w:r>
      <w:r>
        <w:rPr>
          <w:spacing w:val="-46"/>
          <w:sz w:val="24"/>
          <w:szCs w:val="24"/>
          <w:u w:val="single" w:color="auto"/>
        </w:rPr>
        <w:t xml:space="preserve"> </w:t>
      </w:r>
      <w:r>
        <w:rPr>
          <w:spacing w:val="-2"/>
          <w:sz w:val="24"/>
          <w:szCs w:val="24"/>
          <w:u w:val="single" w:color="auto"/>
        </w:rPr>
        <w:t>天内</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spacing w:val="-1"/>
          <w:sz w:val="24"/>
          <w:szCs w:val="24"/>
          <w:u w:val="single" w:color="auto"/>
        </w:rPr>
        <w:t>按通用条款执行</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spacing w:val="-2"/>
          <w:sz w:val="24"/>
          <w:szCs w:val="24"/>
          <w:u w:val="single" w:color="auto"/>
        </w:rPr>
        <w:t xml:space="preserve"> 申请</w:t>
      </w:r>
      <w:r>
        <w:rPr>
          <w:spacing w:val="-3"/>
          <w:sz w:val="24"/>
          <w:szCs w:val="24"/>
          <w:u w:val="single" w:color="auto"/>
        </w:rPr>
        <w:t>签发后</w:t>
      </w:r>
      <w:r>
        <w:rPr>
          <w:spacing w:val="-32"/>
          <w:sz w:val="24"/>
          <w:szCs w:val="24"/>
          <w:u w:val="single" w:color="auto"/>
        </w:rPr>
        <w:t xml:space="preserve"> </w:t>
      </w:r>
      <w:r>
        <w:rPr>
          <w:spacing w:val="-3"/>
          <w:sz w:val="24"/>
          <w:szCs w:val="24"/>
          <w:u w:val="single" w:color="auto"/>
        </w:rPr>
        <w:t>14</w:t>
      </w:r>
      <w:r>
        <w:rPr>
          <w:spacing w:val="-46"/>
          <w:sz w:val="24"/>
          <w:szCs w:val="24"/>
          <w:u w:val="single" w:color="auto"/>
        </w:rPr>
        <w:t xml:space="preserve"> </w:t>
      </w:r>
      <w:r>
        <w:rPr>
          <w:spacing w:val="-3"/>
          <w:sz w:val="24"/>
          <w:szCs w:val="24"/>
          <w:u w:val="single" w:color="auto"/>
        </w:rPr>
        <w:t>天内</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color w:val="auto"/>
          <w:spacing w:val="-1"/>
          <w:sz w:val="24"/>
          <w:szCs w:val="24"/>
          <w:u w:val="single" w:color="auto"/>
          <w:lang w:val="en-US" w:eastAsia="zh-CN"/>
        </w:rPr>
        <w:t>24</w:t>
      </w:r>
      <w:r>
        <w:rPr>
          <w:color w:val="auto"/>
          <w:spacing w:val="-1"/>
          <w:sz w:val="24"/>
          <w:szCs w:val="24"/>
          <w:u w:val="single" w:color="auto"/>
        </w:rPr>
        <w:t>个月</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86"/>
      <w:bookmarkStart w:id="953" w:name="_Toc267251488"/>
      <w:bookmarkStart w:id="954" w:name="_Toc267251489"/>
      <w:bookmarkStart w:id="955" w:name="_Toc267251490"/>
      <w:bookmarkStart w:id="956" w:name="_Toc267251497"/>
      <w:bookmarkStart w:id="957" w:name="_Toc267251501"/>
      <w:bookmarkStart w:id="958" w:name="_Toc267251503"/>
      <w:bookmarkStart w:id="959" w:name="_Toc267251502"/>
      <w:bookmarkStart w:id="960" w:name="_Toc267251496"/>
      <w:bookmarkStart w:id="961" w:name="_Toc267251492"/>
      <w:bookmarkStart w:id="962" w:name="_Toc267251495"/>
      <w:bookmarkStart w:id="963" w:name="_Toc267251491"/>
      <w:bookmarkStart w:id="964" w:name="_Toc267251498"/>
      <w:bookmarkStart w:id="965" w:name="_Toc267251499"/>
      <w:bookmarkStart w:id="966" w:name="_Toc267251493"/>
      <w:bookmarkStart w:id="967" w:name="_Toc267251494"/>
      <w:bookmarkStart w:id="968" w:name="_Toc267251506"/>
      <w:bookmarkStart w:id="969" w:name="_Toc267251504"/>
      <w:bookmarkStart w:id="970" w:name="_Toc267251507"/>
      <w:bookmarkStart w:id="971" w:name="_Toc267251508"/>
      <w:bookmarkStart w:id="972" w:name="_Toc267251511"/>
      <w:bookmarkStart w:id="973" w:name="_Toc267251509"/>
      <w:bookmarkStart w:id="974" w:name="_Toc267251513"/>
      <w:bookmarkStart w:id="975" w:name="_Toc267251510"/>
      <w:bookmarkStart w:id="976" w:name="_Toc267251515"/>
      <w:bookmarkStart w:id="977" w:name="_Toc267251514"/>
      <w:r>
        <w:rPr>
          <w:rFonts w:ascii="Times New Roman" w:hAnsi="Times New Roman" w:eastAsia="黑体"/>
          <w:b w:val="0"/>
          <w:color w:val="000000"/>
          <w:sz w:val="32"/>
          <w:szCs w:val="32"/>
        </w:rPr>
        <w:t>15. 缺陷责任期与保修</w:t>
      </w:r>
      <w:bookmarkEnd w:id="947"/>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pPr>
        <w:spacing w:line="360" w:lineRule="auto"/>
        <w:ind w:firstLine="600" w:firstLineChars="200"/>
        <w:jc w:val="left"/>
        <w:rPr>
          <w:rFonts w:hint="eastAsia" w:ascii="Times New Roman" w:hAnsi="Times New Roman" w:eastAsia="仿宋_GB2312"/>
          <w:color w:val="000000"/>
          <w:sz w:val="30"/>
          <w:szCs w:val="32"/>
        </w:rPr>
      </w:pPr>
    </w:p>
    <w:p>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eastAsia="zh-CN"/>
        </w:rPr>
        <w:t>（</w:t>
      </w:r>
      <w:r>
        <w:rPr>
          <w:rFonts w:hint="eastAsia" w:ascii="Times New Roman" w:hAnsi="Times New Roman" w:eastAsia="仿宋_GB2312"/>
          <w:color w:val="000000"/>
          <w:sz w:val="30"/>
          <w:szCs w:val="32"/>
          <w:u w:val="single"/>
          <w:lang w:val="en-US" w:eastAsia="zh-CN"/>
        </w:rPr>
        <w:t>2</w:t>
      </w:r>
      <w:r>
        <w:rPr>
          <w:rFonts w:hint="eastAsia" w:ascii="Times New Roman" w:hAnsi="Times New Roman" w:eastAsia="仿宋_GB2312"/>
          <w:color w:val="000000"/>
          <w:sz w:val="30"/>
          <w:szCs w:val="32"/>
          <w:u w:val="single"/>
          <w:lang w:eastAsia="zh-CN"/>
        </w:rPr>
        <w:t>）</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hint="eastAsia"/>
          <w:color w:val="auto"/>
          <w:spacing w:val="3"/>
          <w:sz w:val="24"/>
          <w:szCs w:val="24"/>
          <w:u w:val="single" w:color="auto"/>
          <w:lang w:val="en-US" w:eastAsia="zh-CN"/>
        </w:rPr>
        <w:t>3</w:t>
      </w:r>
      <w:r>
        <w:rPr>
          <w:color w:val="auto"/>
          <w:spacing w:val="3"/>
          <w:sz w:val="24"/>
          <w:szCs w:val="24"/>
          <w:u w:val="single" w:color="auto"/>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2</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r>
        <w:rPr>
          <w:spacing w:val="-2"/>
          <w:sz w:val="24"/>
          <w:szCs w:val="24"/>
          <w:u w:val="single" w:color="auto"/>
        </w:rPr>
        <w:t xml:space="preserve"> </w:t>
      </w:r>
      <w:r>
        <w:rPr>
          <w:rFonts w:hint="eastAsia"/>
          <w:spacing w:val="-2"/>
          <w:sz w:val="24"/>
          <w:szCs w:val="24"/>
          <w:u w:val="single" w:color="auto"/>
        </w:rPr>
        <w:t>24 个月。质量保修范围为本项目所有竣工验收内容</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r>
        <w:rPr>
          <w:spacing w:val="-1"/>
          <w:sz w:val="24"/>
          <w:szCs w:val="24"/>
          <w:u w:val="single" w:color="auto"/>
        </w:rPr>
        <w:t>24</w:t>
      </w:r>
      <w:r>
        <w:rPr>
          <w:spacing w:val="-41"/>
          <w:sz w:val="24"/>
          <w:szCs w:val="24"/>
          <w:u w:val="single" w:color="auto"/>
        </w:rPr>
        <w:t xml:space="preserve"> </w:t>
      </w:r>
      <w:r>
        <w:rPr>
          <w:spacing w:val="-1"/>
          <w:sz w:val="24"/>
          <w:szCs w:val="24"/>
          <w:u w:val="single" w:color="auto"/>
        </w:rPr>
        <w:t>小时内</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60</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jc w:val="left"/>
        <w:textAlignment w:val="baseline"/>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r>
        <w:rPr>
          <w:rFonts w:hint="eastAsia"/>
          <w:sz w:val="24"/>
          <w:szCs w:val="24"/>
          <w:u w:val="single" w:color="auto"/>
        </w:rPr>
        <w:t xml:space="preserve">16.2.1.1 若承包人要更换施工方案中的项目班子主要成员：项目负责人、项目技术负责人、施工员，需征得发包人同意方能调换，并应提前 10 天通知甲方；16.2.1.2 若发包人认为承包人委派的项目班子成员对工程质量、进度、现场管理、安全、工程造价控制等工作不称职，发包人有权要求承包人更换认为不称职的项目班子成员。除按通用条款及专用条款执行外，承包人其他违约的具体责任如下：（1）承包人承担的项目质量未达到合同协议书约定的标准应承担的违约责任：项目质量不符合设计图纸和质量验收规范，承包方负责无偿维修或返工、改建，由承包人承担由此造成的损失，并由发包人酌情进行处罚。（2）如果承包人安全文明施工工作不合格，被举报属实，受行政主管部门查处，每次从工程款中扣减 1000～5000 元。当因承包人责任而发生伤亡事故，除由承包人自行承担伤亡事故一切费用外，发包人对承包人按死亡人数 50000 元/人予以处罚，重伤 30000 元/人予以处罚，并从合同价款中扣除。（3）如承包人在接到关于修复或运走、替换不合格材料、设备的规定发出的通知或指令后的 14 天内不遵守该通知或指令，无视监理工程师事先的书面警告，一贯或公然忽视履行其合同规定的义务，发包人在向承包人发出书面通知的 14 天内仍未见纠正后， 发包人可以向承包人扣除以专用条款中规定的违约金，直至解除承包合同。（4）承包人所用材料品牌、规格、技术指标、质量应与最终经过审批的材料一致，并满足经评审的设计方案、施工图和国家颁布的质量检验及验收规范要求，非因技术和供货原因，未经发包人书面同意，承包人不得擅自更换，如经发现由于承包人原因私自更换了材料，承包人应向发包人支付合同价款的 1%～5% 的违约金（违约金在工程款中扣除），发包人将保留解除合同的权利，并由承包人承担由此产生的一切损失；如非承包人原因需更换投标文件中所报材料，承包人应在 5 日前向监理单位申报，经核实情况后由发包人批准更换 </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jc w:val="left"/>
        <w:textAlignment w:val="baseline"/>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r>
        <w:rPr>
          <w:rFonts w:hint="eastAsia"/>
          <w:spacing w:val="1"/>
          <w:sz w:val="24"/>
          <w:szCs w:val="24"/>
          <w:u w:val="single" w:color="auto"/>
        </w:rPr>
        <w:t>承包人应承担因其违约行为而增加的费用和（或）延误的工期</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spacing w:val="-1"/>
          <w:sz w:val="24"/>
          <w:szCs w:val="24"/>
          <w:u w:val="single" w:color="auto"/>
        </w:rPr>
        <w:t>按通用条款执行</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spacing w:val="-1"/>
          <w:sz w:val="24"/>
          <w:szCs w:val="24"/>
          <w:u w:val="single" w:color="auto"/>
          <w:lang w:val="en-US" w:eastAsia="zh-CN"/>
        </w:rPr>
        <w:t>不承担费用</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sz w:val="24"/>
          <w:szCs w:val="24"/>
          <w:u w:val="single" w:color="auto"/>
          <w:lang w:val="en-US" w:eastAsia="zh-CN"/>
        </w:rPr>
        <w:t>按通用条款执行</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60</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spacing w:val="-1"/>
          <w:sz w:val="24"/>
          <w:szCs w:val="24"/>
          <w:u w:val="single" w:color="auto"/>
          <w:lang w:val="en-US" w:eastAsia="zh-CN"/>
        </w:rPr>
        <w:t>承包人承担</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jc w:val="left"/>
        <w:textAlignment w:val="baseline"/>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spacing w:val="-1"/>
          <w:sz w:val="24"/>
          <w:szCs w:val="24"/>
          <w:u w:val="single" w:color="auto"/>
        </w:rPr>
        <w:t>关于其他保险的约定：农民工工资保证金的缴存金额：投标人应当自取得施工许可证（开工报告批复）之日起 20 个工作日内，根据《保障农民工工工资支付条例》、《工程建设领域农民工工资保证金规定》向属地人力资源和社会保障局申请缴存农民工工资保证金，缴存方式有银行储存工资保证金或提交银行保函、工程保证保险等，工资保证金缴纳比例按差额化管理办法一般按施工合同价款的 2%比例缴存，具体缴存方式及缴存比例以属地人力资源和社会保障局实际批复为准。农民工工资保证金的扣留条件： 存在拖欠农民工工资的行为。农民工工资保证金的返还时间：工程完工，施工单位向属地人力资源和社会保障局申请，作出书面承诺该工程不存在未解决的拖欠农民工工资问题，并在施工现场维权信息告示牌及属地人力资源和社会保障局门户网站公示30日后，核实无拖欠工资后，可以申请退还</w:t>
      </w:r>
      <w:r>
        <w:rPr>
          <w:rFonts w:ascii="Times New Roman" w:hAnsi="Times New Roman" w:eastAsia="仿宋_GB2312"/>
          <w:color w:val="000000"/>
          <w:kern w:val="0"/>
          <w:sz w:val="30"/>
          <w:szCs w:val="32"/>
        </w:rPr>
        <w:t>。</w:t>
      </w:r>
    </w:p>
    <w:p>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spacing w:val="-1"/>
          <w:sz w:val="24"/>
          <w:szCs w:val="24"/>
          <w:u w:val="single" w:color="auto"/>
        </w:rPr>
        <w:t>按通用条款执行</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pPr>
        <w:pStyle w:val="16"/>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00" w:firstLineChars="200"/>
        <w:jc w:val="left"/>
        <w:textAlignment w:val="baseline"/>
        <w:rPr>
          <w:rFonts w:ascii="Times New Roman" w:hAnsi="Times New Roman" w:eastAsia="仿宋_GB2312"/>
          <w:color w:val="000000"/>
          <w:sz w:val="30"/>
          <w:szCs w:val="32"/>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spacing w:val="-1"/>
          <w:sz w:val="24"/>
          <w:szCs w:val="24"/>
          <w:u w:val="single" w:color="auto"/>
        </w:rPr>
        <w:t>承包人变更除工伤保险之外的保险合同时，应事先征得发包人书面同意，并通知监理人</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2</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hint="eastAsia"/>
          <w:spacing w:val="-2"/>
          <w:sz w:val="24"/>
          <w:szCs w:val="24"/>
          <w:u w:val="single"/>
          <w:lang w:val="en-US" w:eastAsia="zh-CN"/>
        </w:rPr>
        <w:t>乐山市金口河区</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bl>
    <w:p>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503225"/>
      <w:bookmarkStart w:id="986" w:name="_Toc296347224"/>
      <w:bookmarkStart w:id="987" w:name="_Toc296944564"/>
      <w:bookmarkStart w:id="988" w:name="_Toc296346726"/>
      <w:bookmarkStart w:id="989" w:name="_Toc267261692"/>
      <w:bookmarkStart w:id="990" w:name="_Toc296891265"/>
      <w:bookmarkStart w:id="991" w:name="_Toc296891053"/>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pPr>
              <w:jc w:val="center"/>
              <w:rPr>
                <w:rFonts w:eastAsia="仿宋_GB2312"/>
                <w:color w:val="000000"/>
                <w:sz w:val="30"/>
                <w:szCs w:val="30"/>
              </w:rPr>
            </w:pPr>
          </w:p>
        </w:tc>
        <w:tc>
          <w:tcPr>
            <w:tcW w:w="1276" w:type="dxa"/>
            <w:noWrap w:val="0"/>
            <w:vAlign w:val="center"/>
          </w:tcPr>
          <w:p>
            <w:pPr>
              <w:jc w:val="center"/>
              <w:rPr>
                <w:rFonts w:eastAsia="仿宋_GB2312"/>
                <w:color w:val="000000"/>
                <w:sz w:val="30"/>
                <w:szCs w:val="30"/>
              </w:rPr>
            </w:pPr>
          </w:p>
        </w:tc>
        <w:tc>
          <w:tcPr>
            <w:tcW w:w="1418" w:type="dxa"/>
            <w:noWrap w:val="0"/>
            <w:vAlign w:val="center"/>
          </w:tcPr>
          <w:p>
            <w:pPr>
              <w:jc w:val="center"/>
              <w:rPr>
                <w:rFonts w:eastAsia="仿宋_GB2312"/>
                <w:color w:val="000000"/>
                <w:sz w:val="30"/>
                <w:szCs w:val="30"/>
              </w:rPr>
            </w:pPr>
          </w:p>
        </w:tc>
        <w:tc>
          <w:tcPr>
            <w:tcW w:w="940"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044"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c>
          <w:tcPr>
            <w:tcW w:w="851" w:type="dxa"/>
            <w:noWrap w:val="0"/>
            <w:vAlign w:val="center"/>
          </w:tcPr>
          <w:p>
            <w:pPr>
              <w:jc w:val="center"/>
              <w:rPr>
                <w:rFonts w:eastAsia="仿宋_GB2312"/>
                <w:color w:val="000000"/>
                <w:sz w:val="30"/>
                <w:szCs w:val="30"/>
              </w:rPr>
            </w:pPr>
          </w:p>
        </w:tc>
        <w:tc>
          <w:tcPr>
            <w:tcW w:w="1487" w:type="dxa"/>
            <w:noWrap w:val="0"/>
            <w:vAlign w:val="center"/>
          </w:tcPr>
          <w:p>
            <w:pPr>
              <w:jc w:val="center"/>
              <w:rPr>
                <w:rFonts w:eastAsia="仿宋_GB2312"/>
                <w:color w:val="000000"/>
                <w:sz w:val="30"/>
                <w:szCs w:val="30"/>
              </w:rPr>
            </w:pPr>
          </w:p>
        </w:tc>
        <w:tc>
          <w:tcPr>
            <w:tcW w:w="992" w:type="dxa"/>
            <w:noWrap w:val="0"/>
            <w:vAlign w:val="center"/>
          </w:tcPr>
          <w:p>
            <w:pPr>
              <w:jc w:val="center"/>
              <w:rPr>
                <w:rFonts w:eastAsia="仿宋_GB2312"/>
                <w:color w:val="000000"/>
                <w:sz w:val="30"/>
                <w:szCs w:val="30"/>
              </w:rPr>
            </w:pPr>
          </w:p>
        </w:tc>
      </w:tr>
    </w:tbl>
    <w:p>
      <w:pPr>
        <w:spacing w:line="440" w:lineRule="exact"/>
        <w:rPr>
          <w:rFonts w:ascii="Times New Roman" w:hAnsi="Times New Roman" w:eastAsia="仿宋_GB2312"/>
          <w:color w:val="000000"/>
          <w:sz w:val="30"/>
          <w:szCs w:val="30"/>
        </w:rPr>
      </w:pPr>
    </w:p>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891054"/>
      <w:bookmarkStart w:id="993" w:name="_Toc296347225"/>
      <w:bookmarkStart w:id="994" w:name="_Toc296944565"/>
      <w:bookmarkStart w:id="995" w:name="_Toc296891266"/>
      <w:bookmarkStart w:id="996" w:name="_Toc296503226"/>
      <w:bookmarkStart w:id="997" w:name="_Toc296346727"/>
      <w:bookmarkStart w:id="998" w:name="_Toc267261693"/>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hint="eastAsia"/>
          <w:spacing w:val="-2"/>
          <w:sz w:val="24"/>
          <w:szCs w:val="24"/>
          <w:u w:val="single" w:color="auto"/>
        </w:rPr>
        <w:t>乐山市金口河区农业农村局</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pPr>
        <w:spacing w:line="440" w:lineRule="exact"/>
        <w:rPr>
          <w:rFonts w:ascii="Times New Roman" w:hAnsi="Times New Roman" w:eastAsia="仿宋_GB2312"/>
          <w:color w:val="000000"/>
          <w:sz w:val="30"/>
          <w:szCs w:val="30"/>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s="Times New Roman"/>
          <w:color w:val="000000"/>
          <w:sz w:val="30"/>
          <w:szCs w:val="30"/>
          <w:u w:val="single"/>
        </w:rPr>
        <w:t xml:space="preserve"> </w:t>
      </w:r>
      <w:r>
        <w:rPr>
          <w:rFonts w:hint="eastAsia" w:ascii="Times New Roman" w:hAnsi="Times New Roman" w:eastAsia="仿宋_GB2312" w:cs="Times New Roman"/>
          <w:color w:val="000000"/>
          <w:sz w:val="30"/>
          <w:szCs w:val="30"/>
          <w:u w:val="single"/>
          <w:lang w:eastAsia="zh-CN"/>
        </w:rPr>
        <w:t>乐山市金口河区2023年省级财政乡村振兴转移支付资金园区建设项目（冷链物流项目）工程</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sz w:val="24"/>
          <w:szCs w:val="24"/>
          <w:u w:val="single" w:color="auto"/>
        </w:rPr>
        <w:t>详见《建设工程质量管理条例》第六章第</w:t>
      </w:r>
      <w:r>
        <w:rPr>
          <w:spacing w:val="-46"/>
          <w:sz w:val="24"/>
          <w:szCs w:val="24"/>
          <w:u w:val="single" w:color="auto"/>
        </w:rPr>
        <w:t xml:space="preserve"> </w:t>
      </w:r>
      <w:r>
        <w:rPr>
          <w:sz w:val="24"/>
          <w:szCs w:val="24"/>
          <w:u w:val="single" w:color="auto"/>
        </w:rPr>
        <w:t>39</w:t>
      </w:r>
      <w:r>
        <w:rPr>
          <w:spacing w:val="-1"/>
          <w:sz w:val="24"/>
          <w:szCs w:val="24"/>
          <w:u w:val="single" w:color="auto"/>
        </w:rPr>
        <w:t>—42</w:t>
      </w:r>
      <w:r>
        <w:rPr>
          <w:spacing w:val="-49"/>
          <w:sz w:val="24"/>
          <w:szCs w:val="24"/>
          <w:u w:val="single" w:color="auto"/>
        </w:rPr>
        <w:t xml:space="preserve"> </w:t>
      </w:r>
      <w:r>
        <w:rPr>
          <w:rFonts w:ascii="Times New Roman" w:hAnsi="Times New Roman" w:eastAsia="仿宋_GB2312"/>
          <w:color w:val="000000"/>
          <w:sz w:val="30"/>
          <w:szCs w:val="30"/>
        </w:rPr>
        <w:t>。</w:t>
      </w:r>
    </w:p>
    <w:p>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5</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2</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s="Times New Roman"/>
          <w:color w:val="000000"/>
          <w:sz w:val="30"/>
          <w:szCs w:val="30"/>
          <w:u w:val="single"/>
        </w:rPr>
        <w:t xml:space="preserve"> 其他项目的保修期限为  2 年    </w:t>
      </w:r>
      <w:r>
        <w:rPr>
          <w:rFonts w:ascii="Times New Roman" w:hAnsi="Times New Roman" w:eastAsia="仿宋_GB2312"/>
          <w:color w:val="000000"/>
          <w:sz w:val="30"/>
          <w:szCs w:val="30"/>
        </w:rPr>
        <w:t>。</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pPr>
        <w:spacing w:line="360" w:lineRule="auto"/>
        <w:jc w:val="left"/>
        <w:rPr>
          <w:rFonts w:ascii="Times New Roman" w:hAnsi="Times New Roman" w:eastAsia="仿宋_GB2312"/>
          <w:color w:val="000000"/>
          <w:sz w:val="30"/>
          <w:szCs w:val="30"/>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s="Times New Roman"/>
          <w:color w:val="000000"/>
          <w:sz w:val="30"/>
          <w:szCs w:val="30"/>
        </w:rPr>
        <w:t xml:space="preserve"> </w:t>
      </w:r>
      <w:r>
        <w:rPr>
          <w:rFonts w:ascii="Times New Roman" w:hAnsi="Times New Roman" w:eastAsia="仿宋_GB2312" w:cs="Times New Roman"/>
          <w:color w:val="000000"/>
          <w:sz w:val="30"/>
          <w:szCs w:val="30"/>
          <w:u w:val="single"/>
        </w:rPr>
        <w:t xml:space="preserve">质量保证金按工程竣工结算价的 3%计算，质量保证金的退还按合同约定， 不计利息。承包方接到保修通知书后三天内必须到场保修，否则发包方可请人保 修，所发生的费用在保修金中支付 </w:t>
      </w:r>
      <w:r>
        <w:rPr>
          <w:rFonts w:ascii="Times New Roman" w:hAnsi="Times New Roman" w:eastAsia="仿宋_GB2312"/>
          <w:color w:val="000000"/>
          <w:sz w:val="30"/>
          <w:szCs w:val="30"/>
        </w:rPr>
        <w:t>。</w:t>
      </w:r>
    </w:p>
    <w:p>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pPr>
        <w:spacing w:line="360" w:lineRule="auto"/>
        <w:ind w:firstLine="420"/>
        <w:rPr>
          <w:rFonts w:ascii="Times New Roman" w:hAnsi="Times New Roman" w:eastAsia="仿宋_GB2312"/>
          <w:color w:val="000000"/>
          <w:sz w:val="30"/>
          <w:szCs w:val="30"/>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hint="eastAsia"/>
          <w:spacing w:val="-3"/>
          <w:sz w:val="24"/>
          <w:szCs w:val="24"/>
          <w:u w:val="single" w:color="auto"/>
        </w:rPr>
        <w:t>乐山市金口河区农业农村局</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pPr>
              <w:rPr>
                <w:rFonts w:eastAsia="仿宋_GB2312"/>
                <w:color w:val="000000"/>
                <w:sz w:val="30"/>
                <w:szCs w:val="30"/>
              </w:rPr>
            </w:pPr>
          </w:p>
        </w:tc>
        <w:tc>
          <w:tcPr>
            <w:tcW w:w="1276"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243" w:type="dxa"/>
            <w:noWrap w:val="0"/>
            <w:vAlign w:val="top"/>
          </w:tcPr>
          <w:p>
            <w:pPr>
              <w:rPr>
                <w:rFonts w:eastAsia="仿宋_GB2312"/>
                <w:color w:val="000000"/>
                <w:sz w:val="30"/>
                <w:szCs w:val="30"/>
              </w:rPr>
            </w:pPr>
          </w:p>
        </w:tc>
        <w:tc>
          <w:tcPr>
            <w:tcW w:w="1450" w:type="dxa"/>
            <w:noWrap w:val="0"/>
            <w:vAlign w:val="top"/>
          </w:tcPr>
          <w:p>
            <w:pPr>
              <w:rPr>
                <w:rFonts w:eastAsia="仿宋_GB2312"/>
                <w:color w:val="000000"/>
                <w:sz w:val="30"/>
                <w:szCs w:val="30"/>
              </w:rPr>
            </w:pPr>
          </w:p>
        </w:tc>
        <w:tc>
          <w:tcPr>
            <w:tcW w:w="1667" w:type="dxa"/>
            <w:noWrap w:val="0"/>
            <w:vAlign w:val="top"/>
          </w:tcPr>
          <w:p>
            <w:pPr>
              <w:rPr>
                <w:rFonts w:eastAsia="仿宋_GB2312"/>
                <w:color w:val="000000"/>
                <w:sz w:val="30"/>
                <w:szCs w:val="30"/>
              </w:rPr>
            </w:pPr>
          </w:p>
        </w:tc>
      </w:tr>
    </w:tbl>
    <w:p>
      <w:pPr>
        <w:spacing w:line="440" w:lineRule="exact"/>
        <w:rPr>
          <w:rFonts w:hint="eastAsia" w:ascii="Times New Roman" w:hAnsi="Times New Roman" w:eastAsia="仿宋_GB2312"/>
          <w:color w:val="000000"/>
          <w:sz w:val="30"/>
          <w:szCs w:val="30"/>
        </w:rPr>
      </w:pPr>
    </w:p>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503227"/>
      <w:bookmarkStart w:id="1000" w:name="_Toc267261698"/>
      <w:bookmarkStart w:id="1001" w:name="_Toc296944566"/>
      <w:bookmarkStart w:id="1002" w:name="_Toc296347226"/>
      <w:bookmarkStart w:id="1003" w:name="_Toc296891055"/>
      <w:bookmarkStart w:id="1004" w:name="_Toc296346728"/>
      <w:bookmarkStart w:id="1005" w:name="_Toc296891267"/>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pPr>
              <w:rPr>
                <w:rFonts w:eastAsia="仿宋_GB2312"/>
                <w:color w:val="000000"/>
                <w:sz w:val="30"/>
                <w:szCs w:val="30"/>
              </w:rPr>
            </w:pPr>
          </w:p>
        </w:tc>
        <w:tc>
          <w:tcPr>
            <w:tcW w:w="1418" w:type="dxa"/>
            <w:noWrap w:val="0"/>
            <w:vAlign w:val="top"/>
          </w:tcPr>
          <w:p>
            <w:pPr>
              <w:rPr>
                <w:rFonts w:eastAsia="仿宋_GB2312"/>
                <w:color w:val="000000"/>
                <w:sz w:val="30"/>
                <w:szCs w:val="30"/>
              </w:rPr>
            </w:pPr>
          </w:p>
        </w:tc>
        <w:tc>
          <w:tcPr>
            <w:tcW w:w="850" w:type="dxa"/>
            <w:noWrap w:val="0"/>
            <w:vAlign w:val="top"/>
          </w:tcPr>
          <w:p>
            <w:pPr>
              <w:rPr>
                <w:rFonts w:eastAsia="仿宋_GB2312"/>
                <w:color w:val="000000"/>
                <w:sz w:val="30"/>
                <w:szCs w:val="30"/>
              </w:rPr>
            </w:pPr>
          </w:p>
        </w:tc>
        <w:tc>
          <w:tcPr>
            <w:tcW w:w="1058" w:type="dxa"/>
            <w:noWrap w:val="0"/>
            <w:vAlign w:val="top"/>
          </w:tcPr>
          <w:p>
            <w:pPr>
              <w:rPr>
                <w:rFonts w:eastAsia="仿宋_GB2312"/>
                <w:color w:val="000000"/>
                <w:sz w:val="30"/>
                <w:szCs w:val="30"/>
              </w:rPr>
            </w:pPr>
          </w:p>
        </w:tc>
        <w:tc>
          <w:tcPr>
            <w:tcW w:w="8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1480" w:type="dxa"/>
            <w:noWrap w:val="0"/>
            <w:vAlign w:val="top"/>
          </w:tcPr>
          <w:p>
            <w:pPr>
              <w:rPr>
                <w:rFonts w:eastAsia="仿宋_GB2312"/>
                <w:color w:val="000000"/>
                <w:sz w:val="30"/>
                <w:szCs w:val="30"/>
              </w:rPr>
            </w:pPr>
          </w:p>
        </w:tc>
        <w:tc>
          <w:tcPr>
            <w:tcW w:w="1020" w:type="dxa"/>
            <w:noWrap w:val="0"/>
            <w:vAlign w:val="top"/>
          </w:tcPr>
          <w:p>
            <w:pPr>
              <w:rPr>
                <w:rFonts w:eastAsia="仿宋_GB2312"/>
                <w:color w:val="000000"/>
                <w:sz w:val="30"/>
                <w:szCs w:val="30"/>
              </w:rPr>
            </w:pPr>
          </w:p>
        </w:tc>
        <w:tc>
          <w:tcPr>
            <w:tcW w:w="921" w:type="dxa"/>
            <w:noWrap w:val="0"/>
            <w:vAlign w:val="top"/>
          </w:tcPr>
          <w:p>
            <w:pPr>
              <w:rPr>
                <w:rFonts w:eastAsia="仿宋_GB2312"/>
                <w:color w:val="000000"/>
                <w:sz w:val="30"/>
                <w:szCs w:val="30"/>
              </w:rPr>
            </w:pPr>
          </w:p>
        </w:tc>
      </w:tr>
    </w:tbl>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67261699"/>
      <w:bookmarkStart w:id="1007" w:name="_Toc296944567"/>
      <w:bookmarkStart w:id="1008" w:name="_Toc296503228"/>
      <w:bookmarkStart w:id="1009" w:name="_Toc296891268"/>
      <w:bookmarkStart w:id="1010" w:name="_Toc296346729"/>
      <w:bookmarkStart w:id="1011" w:name="_Toc296891056"/>
      <w:bookmarkStart w:id="1012" w:name="_Toc296347227"/>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bl>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891057"/>
      <w:bookmarkStart w:id="1014" w:name="_Toc296346730"/>
      <w:bookmarkStart w:id="1015" w:name="_Toc296944568"/>
      <w:bookmarkStart w:id="1016" w:name="_Toc296347228"/>
      <w:bookmarkStart w:id="1017" w:name="_Toc296503229"/>
      <w:bookmarkStart w:id="1018" w:name="_Toc296891269"/>
      <w:r>
        <w:rPr>
          <w:rFonts w:ascii="Times New Roman" w:hAnsi="Times New Roman" w:eastAsia="仿宋_GB2312"/>
          <w:color w:val="000000"/>
          <w:sz w:val="30"/>
          <w:szCs w:val="30"/>
        </w:rPr>
        <w:t>件7：</w:t>
      </w:r>
    </w:p>
    <w:bookmarkEnd w:id="1013"/>
    <w:bookmarkEnd w:id="1014"/>
    <w:bookmarkEnd w:id="1015"/>
    <w:bookmarkEnd w:id="1016"/>
    <w:bookmarkEnd w:id="1017"/>
    <w:bookmarkEnd w:id="1018"/>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pPr>
              <w:pStyle w:val="16"/>
              <w:keepNext/>
              <w:spacing w:after="0" w:line="440" w:lineRule="exact"/>
              <w:ind w:left="63" w:right="63"/>
              <w:rPr>
                <w:rFonts w:eastAsia="仿宋_GB2312"/>
                <w:color w:val="000000"/>
                <w:kern w:val="2"/>
                <w:sz w:val="30"/>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pPr>
              <w:pStyle w:val="16"/>
              <w:keepNext/>
              <w:spacing w:after="0" w:line="440" w:lineRule="exact"/>
              <w:ind w:left="63" w:right="63"/>
              <w:rPr>
                <w:rFonts w:eastAsia="仿宋_GB2312"/>
                <w:color w:val="000000"/>
                <w:kern w:val="2"/>
                <w:sz w:val="30"/>
                <w:szCs w:val="30"/>
                <w:lang w:val="en-US" w:eastAsia="zh-CN"/>
              </w:rPr>
            </w:pPr>
          </w:p>
        </w:tc>
      </w:tr>
    </w:tbl>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891271"/>
      <w:bookmarkStart w:id="1021" w:name="_Toc296347230"/>
      <w:bookmarkStart w:id="1022" w:name="_Toc296944570"/>
      <w:bookmarkStart w:id="1023" w:name="_Toc296503231"/>
      <w:bookmarkStart w:id="1024" w:name="_Toc296346732"/>
      <w:bookmarkStart w:id="1025" w:name="_Toc296891059"/>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pPr>
        <w:spacing w:line="440" w:lineRule="exact"/>
        <w:rPr>
          <w:rFonts w:ascii="Times New Roman" w:hAnsi="Times New Roman" w:eastAsia="仿宋_GB2312"/>
          <w:color w:val="000000"/>
          <w:sz w:val="30"/>
          <w:szCs w:val="30"/>
        </w:rPr>
      </w:pP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pPr>
        <w:spacing w:line="360" w:lineRule="auto"/>
        <w:rPr>
          <w:rFonts w:hint="eastAsia" w:ascii="Times New Roman" w:hAnsi="Times New Roman" w:eastAsia="仿宋_GB2312"/>
          <w:color w:val="000000"/>
          <w:sz w:val="30"/>
          <w:szCs w:val="30"/>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jc w:val="left"/>
        <w:rPr>
          <w:rFonts w:ascii="Times New Roman" w:hAnsi="Times New Roman" w:eastAsia="仿宋_GB2312"/>
          <w:color w:val="000000"/>
          <w:sz w:val="30"/>
          <w:szCs w:val="30"/>
          <w:u w:val="single"/>
        </w:rPr>
      </w:pPr>
    </w:p>
    <w:p>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ascii="Times New Roman" w:hAnsi="Times New Roman" w:eastAsia="仿宋_GB2312"/>
          <w:color w:val="000000"/>
          <w:sz w:val="30"/>
          <w:szCs w:val="30"/>
        </w:rPr>
      </w:pPr>
    </w:p>
    <w:p>
      <w:pPr>
        <w:spacing w:line="360" w:lineRule="auto"/>
        <w:ind w:left="1899" w:hanging="1899" w:hangingChars="633"/>
        <w:rPr>
          <w:rFonts w:hint="eastAsia" w:ascii="Times New Roman" w:hAnsi="Times New Roman" w:eastAsia="仿宋_GB2312"/>
          <w:color w:val="000000"/>
          <w:sz w:val="30"/>
          <w:szCs w:val="30"/>
        </w:rPr>
      </w:pPr>
    </w:p>
    <w:p>
      <w:pPr>
        <w:spacing w:line="360" w:lineRule="auto"/>
        <w:rPr>
          <w:rFonts w:hint="eastAsia" w:ascii="Times New Roman" w:hAnsi="Times New Roman" w:eastAsia="仿宋_GB2312"/>
          <w:color w:val="000000"/>
          <w:sz w:val="30"/>
          <w:szCs w:val="30"/>
        </w:rPr>
      </w:pPr>
    </w:p>
    <w:p>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67261702"/>
      <w:bookmarkStart w:id="1027" w:name="_Toc296891060"/>
      <w:bookmarkStart w:id="1028" w:name="_Toc296891272"/>
      <w:bookmarkStart w:id="1029" w:name="_Toc296346733"/>
      <w:bookmarkStart w:id="1030" w:name="_Toc296347231"/>
      <w:bookmarkStart w:id="1031" w:name="_Toc296944571"/>
      <w:bookmarkStart w:id="1032" w:name="_Toc296503232"/>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pPr>
        <w:spacing w:line="360" w:lineRule="auto"/>
        <w:rPr>
          <w:rFonts w:ascii="Times New Roman" w:hAnsi="Times New Roman" w:eastAsia="仿宋_GB2312"/>
          <w:color w:val="000000"/>
          <w:sz w:val="30"/>
          <w:szCs w:val="30"/>
        </w:rPr>
      </w:pPr>
    </w:p>
    <w:p>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pPr>
        <w:spacing w:line="360" w:lineRule="auto"/>
        <w:rPr>
          <w:rFonts w:hint="eastAsia" w:ascii="Times New Roman" w:hAnsi="Times New Roman" w:eastAsia="仿宋_GB2312"/>
          <w:color w:val="000000"/>
          <w:sz w:val="30"/>
          <w:szCs w:val="30"/>
        </w:rPr>
      </w:pPr>
    </w:p>
    <w:p>
      <w:pPr>
        <w:spacing w:line="360" w:lineRule="auto"/>
        <w:rPr>
          <w:rFonts w:hint="eastAsia" w:ascii="Times New Roman" w:hAnsi="Times New Roman" w:eastAsia="仿宋_GB2312"/>
          <w:color w:val="000000"/>
          <w:sz w:val="30"/>
          <w:szCs w:val="30"/>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pPr>
        <w:spacing w:line="360" w:lineRule="auto"/>
        <w:rPr>
          <w:rFonts w:ascii="Times New Roman" w:hAnsi="Times New Roman" w:eastAsia="仿宋_GB2312"/>
          <w:color w:val="000000"/>
          <w:sz w:val="30"/>
          <w:szCs w:val="30"/>
          <w:u w:val="single"/>
        </w:rPr>
      </w:pPr>
    </w:p>
    <w:p>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891273"/>
      <w:bookmarkStart w:id="1034" w:name="_Toc296503233"/>
      <w:bookmarkStart w:id="1035" w:name="_Toc296944572"/>
      <w:bookmarkStart w:id="1036" w:name="_Toc296346734"/>
      <w:bookmarkStart w:id="1037" w:name="_Toc296347232"/>
      <w:bookmarkStart w:id="1038" w:name="_Toc296891061"/>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pPr>
        <w:spacing w:line="440" w:lineRule="exact"/>
        <w:jc w:val="left"/>
        <w:rPr>
          <w:rFonts w:ascii="Times New Roman" w:hAnsi="Times New Roman" w:eastAsia="仿宋_GB2312"/>
          <w:color w:val="000000"/>
          <w:sz w:val="30"/>
          <w:szCs w:val="30"/>
        </w:rPr>
      </w:pPr>
    </w:p>
    <w:p>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pPr>
        <w:spacing w:line="360" w:lineRule="auto"/>
        <w:jc w:val="left"/>
        <w:rPr>
          <w:rFonts w:hint="eastAsia" w:ascii="Times New Roman" w:hAnsi="Times New Roman" w:eastAsia="仿宋_GB2312"/>
          <w:color w:val="000000"/>
          <w:sz w:val="30"/>
          <w:szCs w:val="30"/>
        </w:rPr>
      </w:pP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pPr>
        <w:spacing w:line="360" w:lineRule="auto"/>
        <w:ind w:firstLine="600" w:firstLineChars="200"/>
        <w:jc w:val="left"/>
        <w:rPr>
          <w:rFonts w:hint="eastAsia" w:ascii="Times New Roman" w:hAnsi="Times New Roman" w:eastAsia="仿宋_GB2312"/>
          <w:color w:val="000000"/>
          <w:sz w:val="30"/>
          <w:szCs w:val="30"/>
        </w:rPr>
      </w:pPr>
    </w:p>
    <w:p>
      <w:pPr>
        <w:spacing w:line="360" w:lineRule="auto"/>
        <w:ind w:right="600"/>
        <w:jc w:val="left"/>
        <w:rPr>
          <w:rFonts w:hint="eastAsia" w:ascii="Times New Roman" w:hAnsi="Times New Roman" w:eastAsia="仿宋_GB2312"/>
          <w:color w:val="000000"/>
          <w:sz w:val="30"/>
          <w:szCs w:val="30"/>
        </w:rPr>
      </w:pPr>
    </w:p>
    <w:p>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pPr>
        <w:spacing w:line="360" w:lineRule="auto"/>
        <w:ind w:right="150" w:firstLine="600" w:firstLineChars="200"/>
        <w:jc w:val="left"/>
        <w:rPr>
          <w:rFonts w:ascii="Times New Roman" w:hAnsi="Times New Roman" w:eastAsia="仿宋_GB2312"/>
          <w:color w:val="000000"/>
          <w:sz w:val="30"/>
          <w:szCs w:val="30"/>
          <w:u w:val="single"/>
        </w:rPr>
      </w:pPr>
    </w:p>
    <w:p>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bl>
    <w:p>
      <w:pPr>
        <w:spacing w:before="156" w:beforeLines="50" w:after="156" w:afterLines="50" w:line="440" w:lineRule="exact"/>
        <w:rPr>
          <w:rFonts w:hint="eastAsia" w:ascii="Times New Roman" w:hAnsi="Times New Roman" w:eastAsia="黑体"/>
          <w:color w:val="000000"/>
          <w:sz w:val="30"/>
          <w:szCs w:val="30"/>
        </w:rPr>
      </w:pPr>
    </w:p>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pPr>
              <w:pStyle w:val="16"/>
              <w:keepNext/>
              <w:spacing w:after="0" w:line="440" w:lineRule="exact"/>
              <w:ind w:left="63" w:right="63"/>
              <w:rPr>
                <w:rFonts w:eastAsia="仿宋_GB2312"/>
                <w:color w:val="000000"/>
                <w:kern w:val="2"/>
                <w:sz w:val="28"/>
                <w:szCs w:val="30"/>
                <w:lang w:val="en-US" w:eastAsia="zh-CN"/>
              </w:rPr>
            </w:pPr>
          </w:p>
        </w:tc>
      </w:tr>
    </w:tbl>
    <w:p>
      <w:pPr>
        <w:spacing w:line="440" w:lineRule="exact"/>
        <w:rPr>
          <w:rFonts w:ascii="Times New Roman" w:hAnsi="Times New Roman" w:eastAsia="仿宋_GB2312"/>
          <w:color w:val="000000"/>
          <w:sz w:val="30"/>
          <w:szCs w:val="30"/>
        </w:rPr>
      </w:pPr>
    </w:p>
    <w:p>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pPr>
              <w:pStyle w:val="16"/>
              <w:keepNext/>
              <w:spacing w:after="0" w:line="440" w:lineRule="exact"/>
              <w:ind w:left="63" w:right="63"/>
              <w:rPr>
                <w:color w:val="000000"/>
                <w:kern w:val="2"/>
                <w:sz w:val="21"/>
                <w:szCs w:val="21"/>
                <w:lang w:val="en-US" w:eastAsia="zh-CN"/>
              </w:rPr>
            </w:pPr>
          </w:p>
        </w:tc>
        <w:tc>
          <w:tcPr>
            <w:tcW w:w="1984" w:type="dxa"/>
            <w:noWrap w:val="0"/>
            <w:vAlign w:val="top"/>
          </w:tcPr>
          <w:p>
            <w:pPr>
              <w:pStyle w:val="16"/>
              <w:keepNext/>
              <w:spacing w:after="0" w:line="440" w:lineRule="exact"/>
              <w:ind w:left="63" w:right="63"/>
              <w:rPr>
                <w:color w:val="000000"/>
                <w:kern w:val="2"/>
                <w:sz w:val="21"/>
                <w:szCs w:val="21"/>
                <w:lang w:val="en-US" w:eastAsia="zh-CN"/>
              </w:rPr>
            </w:pPr>
          </w:p>
        </w:tc>
        <w:tc>
          <w:tcPr>
            <w:tcW w:w="4678" w:type="dxa"/>
            <w:noWrap w:val="0"/>
            <w:vAlign w:val="top"/>
          </w:tcPr>
          <w:p>
            <w:pPr>
              <w:pStyle w:val="16"/>
              <w:keepNext/>
              <w:spacing w:after="0" w:line="440" w:lineRule="exact"/>
              <w:ind w:left="63" w:right="63"/>
              <w:rPr>
                <w:color w:val="000000"/>
                <w:kern w:val="2"/>
                <w:sz w:val="21"/>
                <w:szCs w:val="21"/>
                <w:lang w:val="en-US" w:eastAsia="zh-CN"/>
              </w:rPr>
            </w:pPr>
          </w:p>
        </w:tc>
        <w:tc>
          <w:tcPr>
            <w:tcW w:w="1276" w:type="dxa"/>
            <w:noWrap w:val="0"/>
            <w:vAlign w:val="top"/>
          </w:tcPr>
          <w:p>
            <w:pPr>
              <w:pStyle w:val="16"/>
              <w:keepNext/>
              <w:spacing w:after="0" w:line="440" w:lineRule="exact"/>
              <w:ind w:left="63" w:right="63"/>
              <w:rPr>
                <w:color w:val="000000"/>
                <w:kern w:val="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08660843"/>
    <w:rsid w:val="0A5A6B71"/>
    <w:rsid w:val="147817F9"/>
    <w:rsid w:val="17F756BE"/>
    <w:rsid w:val="189D4236"/>
    <w:rsid w:val="197A1548"/>
    <w:rsid w:val="1ACD0F46"/>
    <w:rsid w:val="1EE3002C"/>
    <w:rsid w:val="1F6D323E"/>
    <w:rsid w:val="22492B53"/>
    <w:rsid w:val="240D4995"/>
    <w:rsid w:val="2A391AC2"/>
    <w:rsid w:val="32A6050E"/>
    <w:rsid w:val="3ADB24CE"/>
    <w:rsid w:val="3E0D7E71"/>
    <w:rsid w:val="41B265FD"/>
    <w:rsid w:val="4B33401B"/>
    <w:rsid w:val="4D610C84"/>
    <w:rsid w:val="5F302739"/>
    <w:rsid w:val="6486709D"/>
    <w:rsid w:val="67FA7AD8"/>
    <w:rsid w:val="6F253944"/>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53"/>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54"/>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55"/>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56"/>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57"/>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58"/>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59"/>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60"/>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61"/>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62"/>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63"/>
    <w:uiPriority w:val="0"/>
    <w:pPr>
      <w:jc w:val="left"/>
    </w:pPr>
  </w:style>
  <w:style w:type="paragraph" w:styleId="16">
    <w:name w:val="Body Text"/>
    <w:basedOn w:val="1"/>
    <w:link w:val="64"/>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65"/>
    <w:uiPriority w:val="0"/>
    <w:pPr>
      <w:ind w:left="100" w:leftChars="2500"/>
    </w:pPr>
    <w:rPr>
      <w:rFonts w:ascii="宋体" w:hAnsi="Times New Roman"/>
      <w:kern w:val="0"/>
      <w:sz w:val="28"/>
      <w:szCs w:val="20"/>
    </w:rPr>
  </w:style>
  <w:style w:type="paragraph" w:styleId="22">
    <w:name w:val="Balloon Text"/>
    <w:basedOn w:val="1"/>
    <w:link w:val="66"/>
    <w:uiPriority w:val="0"/>
    <w:rPr>
      <w:rFonts w:ascii="宋体" w:hAnsi="Times New Roman"/>
      <w:kern w:val="0"/>
      <w:sz w:val="18"/>
      <w:szCs w:val="18"/>
    </w:rPr>
  </w:style>
  <w:style w:type="paragraph" w:styleId="23">
    <w:name w:val="footer"/>
    <w:basedOn w:val="1"/>
    <w:link w:val="67"/>
    <w:uiPriority w:val="0"/>
    <w:pPr>
      <w:tabs>
        <w:tab w:val="center" w:pos="4153"/>
        <w:tab w:val="right" w:pos="8306"/>
      </w:tabs>
      <w:snapToGrid w:val="0"/>
      <w:jc w:val="left"/>
    </w:pPr>
    <w:rPr>
      <w:sz w:val="18"/>
      <w:szCs w:val="18"/>
    </w:rPr>
  </w:style>
  <w:style w:type="paragraph" w:styleId="24">
    <w:name w:val="header"/>
    <w:basedOn w:val="1"/>
    <w:link w:val="68"/>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69"/>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70"/>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71"/>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paragraph" w:styleId="41">
    <w:name w:val="Intense Quote"/>
    <w:basedOn w:val="1"/>
    <w:next w:val="1"/>
    <w:link w:val="73"/>
    <w:qFormat/>
    <w:uiPriority w:val="0"/>
    <w:pPr>
      <w:pBdr>
        <w:bottom w:val="single" w:color="4F81BD" w:sz="4" w:space="4"/>
      </w:pBdr>
      <w:spacing w:before="200" w:beforeLines="0" w:after="280" w:afterLines="0"/>
      <w:ind w:left="936" w:right="936"/>
    </w:pPr>
    <w:rPr>
      <w:b/>
      <w:bCs/>
      <w:i/>
      <w:iCs/>
      <w:color w:val="4F81BD"/>
    </w:rPr>
  </w:style>
  <w:style w:type="paragraph" w:customStyle="1" w:styleId="42">
    <w:name w:val="标题4"/>
    <w:basedOn w:val="3"/>
    <w:next w:val="17"/>
    <w:link w:val="75"/>
    <w:uiPriority w:val="0"/>
    <w:pPr>
      <w:spacing w:line="413" w:lineRule="auto"/>
    </w:pPr>
    <w:rPr>
      <w:rFonts w:ascii="Arial" w:hAnsi="Arial"/>
      <w:kern w:val="0"/>
      <w:sz w:val="24"/>
    </w:rPr>
  </w:style>
  <w:style w:type="paragraph" w:customStyle="1" w:styleId="43">
    <w:name w:val="标题5"/>
    <w:basedOn w:val="4"/>
    <w:link w:val="76"/>
    <w:uiPriority w:val="0"/>
    <w:pPr>
      <w:spacing w:line="413" w:lineRule="auto"/>
    </w:pPr>
    <w:rPr>
      <w:rFonts w:ascii="Arial" w:hAnsi="Arial"/>
      <w:kern w:val="0"/>
      <w:sz w:val="24"/>
    </w:rPr>
  </w:style>
  <w:style w:type="paragraph" w:styleId="44">
    <w:name w:val="Quote"/>
    <w:basedOn w:val="1"/>
    <w:next w:val="1"/>
    <w:link w:val="80"/>
    <w:qFormat/>
    <w:uiPriority w:val="0"/>
    <w:rPr>
      <w:i/>
      <w:iCs/>
      <w:color w:val="000000"/>
    </w:rPr>
  </w:style>
  <w:style w:type="paragraph" w:styleId="45">
    <w:name w:val=""/>
    <w:uiPriority w:val="0"/>
    <w:rPr>
      <w:rFonts w:ascii="Times New Roman" w:hAnsi="Times New Roman"/>
      <w:kern w:val="2"/>
      <w:sz w:val="21"/>
      <w:szCs w:val="24"/>
      <w:lang w:val="en-US" w:eastAsia="zh-CN" w:bidi="ar-SA"/>
    </w:rPr>
  </w:style>
  <w:style w:type="paragraph" w:customStyle="1" w:styleId="46">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47">
    <w:name w:val=""/>
    <w:basedOn w:val="2"/>
    <w:next w:val="1"/>
    <w:qFormat/>
    <w:uiPriority w:val="0"/>
    <w:pPr>
      <w:outlineLvl w:val="9"/>
    </w:pPr>
  </w:style>
  <w:style w:type="paragraph" w:customStyle="1" w:styleId="48">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49">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50">
    <w:name w:val="No Spacing"/>
    <w:qFormat/>
    <w:uiPriority w:val="0"/>
    <w:pPr>
      <w:widowControl w:val="0"/>
      <w:jc w:val="both"/>
    </w:pPr>
    <w:rPr>
      <w:kern w:val="2"/>
      <w:sz w:val="21"/>
      <w:szCs w:val="22"/>
      <w:lang w:val="en-US" w:eastAsia="zh-CN" w:bidi="ar-SA"/>
    </w:rPr>
  </w:style>
  <w:style w:type="paragraph" w:styleId="51">
    <w:name w:val="List Paragraph"/>
    <w:basedOn w:val="1"/>
    <w:qFormat/>
    <w:uiPriority w:val="0"/>
    <w:pPr>
      <w:ind w:firstLine="420" w:firstLineChars="200"/>
    </w:pPr>
  </w:style>
  <w:style w:type="paragraph" w:customStyle="1" w:styleId="52">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 w:type="character" w:customStyle="1" w:styleId="53">
    <w:name w:val="标题 1 Char"/>
    <w:link w:val="2"/>
    <w:uiPriority w:val="0"/>
    <w:rPr>
      <w:b/>
      <w:bCs/>
      <w:kern w:val="44"/>
      <w:sz w:val="44"/>
      <w:szCs w:val="44"/>
    </w:rPr>
  </w:style>
  <w:style w:type="character" w:customStyle="1" w:styleId="54">
    <w:name w:val="标题 2 Char"/>
    <w:link w:val="3"/>
    <w:uiPriority w:val="0"/>
    <w:rPr>
      <w:rFonts w:ascii="Cambria" w:hAnsi="Cambria" w:eastAsia="宋体" w:cs="Times New Roman"/>
      <w:b/>
      <w:bCs/>
      <w:kern w:val="2"/>
      <w:sz w:val="32"/>
      <w:szCs w:val="32"/>
    </w:rPr>
  </w:style>
  <w:style w:type="character" w:customStyle="1" w:styleId="55">
    <w:name w:val="标题 3 Char"/>
    <w:link w:val="4"/>
    <w:uiPriority w:val="0"/>
    <w:rPr>
      <w:b/>
      <w:bCs/>
      <w:kern w:val="2"/>
      <w:sz w:val="32"/>
      <w:szCs w:val="32"/>
    </w:rPr>
  </w:style>
  <w:style w:type="character" w:customStyle="1" w:styleId="56">
    <w:name w:val="标题 4 Char"/>
    <w:link w:val="5"/>
    <w:uiPriority w:val="0"/>
    <w:rPr>
      <w:rFonts w:ascii="Cambria" w:hAnsi="Cambria" w:eastAsia="宋体" w:cs="Times New Roman"/>
      <w:b/>
      <w:bCs/>
      <w:kern w:val="2"/>
      <w:sz w:val="28"/>
      <w:szCs w:val="28"/>
    </w:rPr>
  </w:style>
  <w:style w:type="character" w:customStyle="1" w:styleId="57">
    <w:name w:val="标题 5 Char"/>
    <w:link w:val="6"/>
    <w:uiPriority w:val="0"/>
    <w:rPr>
      <w:b/>
      <w:bCs/>
      <w:kern w:val="2"/>
      <w:sz w:val="28"/>
      <w:szCs w:val="28"/>
    </w:rPr>
  </w:style>
  <w:style w:type="character" w:customStyle="1" w:styleId="58">
    <w:name w:val="标题 6 Char"/>
    <w:link w:val="7"/>
    <w:uiPriority w:val="0"/>
    <w:rPr>
      <w:rFonts w:ascii="Cambria" w:hAnsi="Cambria" w:eastAsia="宋体" w:cs="Times New Roman"/>
      <w:b/>
      <w:bCs/>
      <w:kern w:val="2"/>
      <w:sz w:val="24"/>
      <w:szCs w:val="24"/>
    </w:rPr>
  </w:style>
  <w:style w:type="character" w:customStyle="1" w:styleId="59">
    <w:name w:val="标题 7 Char"/>
    <w:link w:val="8"/>
    <w:uiPriority w:val="0"/>
    <w:rPr>
      <w:b/>
      <w:bCs/>
      <w:kern w:val="2"/>
      <w:sz w:val="24"/>
      <w:szCs w:val="24"/>
    </w:rPr>
  </w:style>
  <w:style w:type="character" w:customStyle="1" w:styleId="60">
    <w:name w:val="标题 8 Char"/>
    <w:link w:val="9"/>
    <w:uiPriority w:val="0"/>
    <w:rPr>
      <w:rFonts w:ascii="Cambria" w:hAnsi="Cambria" w:eastAsia="宋体" w:cs="Times New Roman"/>
      <w:kern w:val="2"/>
      <w:sz w:val="24"/>
      <w:szCs w:val="24"/>
    </w:rPr>
  </w:style>
  <w:style w:type="character" w:customStyle="1" w:styleId="61">
    <w:name w:val="标题 9 Char"/>
    <w:link w:val="10"/>
    <w:uiPriority w:val="0"/>
    <w:rPr>
      <w:rFonts w:ascii="Cambria" w:hAnsi="Cambria" w:eastAsia="宋体" w:cs="Times New Roman"/>
      <w:kern w:val="2"/>
      <w:sz w:val="21"/>
      <w:szCs w:val="21"/>
    </w:rPr>
  </w:style>
  <w:style w:type="character" w:customStyle="1" w:styleId="62">
    <w:name w:val="文档结构图 Char"/>
    <w:link w:val="14"/>
    <w:uiPriority w:val="0"/>
    <w:rPr>
      <w:rFonts w:ascii="Times New Roman" w:hAnsi="Times New Roman"/>
      <w:szCs w:val="24"/>
      <w:shd w:val="clear" w:color="auto" w:fill="000080"/>
    </w:rPr>
  </w:style>
  <w:style w:type="character" w:customStyle="1" w:styleId="63">
    <w:name w:val="批注文字 Char"/>
    <w:link w:val="15"/>
    <w:uiPriority w:val="0"/>
    <w:rPr>
      <w:kern w:val="2"/>
      <w:sz w:val="21"/>
      <w:szCs w:val="22"/>
    </w:rPr>
  </w:style>
  <w:style w:type="character" w:customStyle="1" w:styleId="64">
    <w:name w:val="正文文本 Char"/>
    <w:link w:val="16"/>
    <w:uiPriority w:val="0"/>
    <w:rPr>
      <w:rFonts w:ascii="Times New Roman" w:hAnsi="Times New Roman"/>
    </w:rPr>
  </w:style>
  <w:style w:type="character" w:customStyle="1" w:styleId="65">
    <w:name w:val="日期 Char"/>
    <w:link w:val="21"/>
    <w:uiPriority w:val="0"/>
    <w:rPr>
      <w:rFonts w:ascii="宋体" w:hAnsi="Times New Roman"/>
      <w:sz w:val="28"/>
    </w:rPr>
  </w:style>
  <w:style w:type="character" w:customStyle="1" w:styleId="66">
    <w:name w:val="批注框文本 Char"/>
    <w:link w:val="22"/>
    <w:uiPriority w:val="0"/>
    <w:rPr>
      <w:rFonts w:ascii="宋体" w:hAnsi="Times New Roman"/>
      <w:sz w:val="18"/>
      <w:szCs w:val="18"/>
    </w:rPr>
  </w:style>
  <w:style w:type="character" w:customStyle="1" w:styleId="67">
    <w:name w:val="页脚 Char"/>
    <w:link w:val="23"/>
    <w:uiPriority w:val="0"/>
    <w:rPr>
      <w:kern w:val="2"/>
      <w:sz w:val="18"/>
      <w:szCs w:val="18"/>
    </w:rPr>
  </w:style>
  <w:style w:type="character" w:customStyle="1" w:styleId="68">
    <w:name w:val="页眉 Char"/>
    <w:link w:val="24"/>
    <w:uiPriority w:val="0"/>
    <w:rPr>
      <w:kern w:val="2"/>
      <w:sz w:val="18"/>
      <w:szCs w:val="18"/>
    </w:rPr>
  </w:style>
  <w:style w:type="character" w:customStyle="1" w:styleId="69">
    <w:name w:val="副标题 Char"/>
    <w:link w:val="27"/>
    <w:uiPriority w:val="0"/>
    <w:rPr>
      <w:rFonts w:ascii="Cambria" w:hAnsi="Cambria" w:cs="Times New Roman"/>
      <w:b/>
      <w:bCs/>
      <w:kern w:val="28"/>
      <w:sz w:val="32"/>
      <w:szCs w:val="32"/>
    </w:rPr>
  </w:style>
  <w:style w:type="character" w:customStyle="1" w:styleId="70">
    <w:name w:val="标题 Char"/>
    <w:link w:val="32"/>
    <w:uiPriority w:val="0"/>
    <w:rPr>
      <w:rFonts w:ascii="Cambria" w:hAnsi="Cambria" w:cs="Times New Roman"/>
      <w:b/>
      <w:bCs/>
      <w:kern w:val="2"/>
      <w:sz w:val="32"/>
      <w:szCs w:val="32"/>
    </w:rPr>
  </w:style>
  <w:style w:type="character" w:customStyle="1" w:styleId="71">
    <w:name w:val="批注主题 Char"/>
    <w:link w:val="33"/>
    <w:uiPriority w:val="0"/>
    <w:rPr>
      <w:rFonts w:ascii="宋体" w:hAnsi="Times New Roman"/>
      <w:b/>
      <w:bCs/>
      <w:sz w:val="28"/>
    </w:rPr>
  </w:style>
  <w:style w:type="character" w:customStyle="1" w:styleId="72">
    <w:name w:val="正文文本 Char1"/>
    <w:uiPriority w:val="0"/>
    <w:rPr>
      <w:kern w:val="2"/>
      <w:sz w:val="21"/>
      <w:szCs w:val="22"/>
    </w:rPr>
  </w:style>
  <w:style w:type="character" w:customStyle="1" w:styleId="73">
    <w:name w:val="明显引用 Char"/>
    <w:link w:val="41"/>
    <w:uiPriority w:val="0"/>
    <w:rPr>
      <w:b/>
      <w:bCs/>
      <w:i/>
      <w:iCs/>
      <w:color w:val="4F81BD"/>
      <w:kern w:val="2"/>
      <w:sz w:val="21"/>
      <w:szCs w:val="22"/>
    </w:rPr>
  </w:style>
  <w:style w:type="character" w:styleId="74">
    <w:name w:val=""/>
    <w:qFormat/>
    <w:uiPriority w:val="0"/>
    <w:rPr>
      <w:i/>
      <w:iCs/>
      <w:color w:val="808080"/>
    </w:rPr>
  </w:style>
  <w:style w:type="character" w:customStyle="1" w:styleId="75">
    <w:name w:val="标题4 Char Char"/>
    <w:link w:val="42"/>
    <w:uiPriority w:val="0"/>
    <w:rPr>
      <w:rFonts w:ascii="Arial" w:hAnsi="Arial"/>
      <w:b/>
      <w:bCs/>
      <w:sz w:val="24"/>
      <w:szCs w:val="32"/>
    </w:rPr>
  </w:style>
  <w:style w:type="character" w:customStyle="1" w:styleId="76">
    <w:name w:val="标题5 Char Char"/>
    <w:link w:val="43"/>
    <w:uiPriority w:val="0"/>
    <w:rPr>
      <w:rFonts w:ascii="Arial" w:hAnsi="Arial"/>
      <w:b/>
      <w:bCs/>
      <w:sz w:val="24"/>
      <w:szCs w:val="32"/>
    </w:rPr>
  </w:style>
  <w:style w:type="character" w:styleId="77">
    <w:name w:val=""/>
    <w:qFormat/>
    <w:uiPriority w:val="0"/>
    <w:rPr>
      <w:b/>
      <w:bCs/>
      <w:smallCaps/>
      <w:color w:val="C0504D"/>
      <w:spacing w:val="5"/>
      <w:u w:val="single"/>
    </w:rPr>
  </w:style>
  <w:style w:type="character" w:styleId="78">
    <w:name w:val=""/>
    <w:qFormat/>
    <w:uiPriority w:val="0"/>
    <w:rPr>
      <w:b/>
      <w:bCs/>
      <w:smallCaps/>
      <w:spacing w:val="5"/>
    </w:rPr>
  </w:style>
  <w:style w:type="character" w:customStyle="1" w:styleId="79">
    <w:name w:val="批注框文本 Char1"/>
    <w:uiPriority w:val="0"/>
    <w:rPr>
      <w:kern w:val="2"/>
      <w:sz w:val="18"/>
      <w:szCs w:val="18"/>
    </w:rPr>
  </w:style>
  <w:style w:type="character" w:customStyle="1" w:styleId="80">
    <w:name w:val="引用 Char"/>
    <w:link w:val="44"/>
    <w:uiPriority w:val="0"/>
    <w:rPr>
      <w:i/>
      <w:iCs/>
      <w:color w:val="000000"/>
      <w:kern w:val="2"/>
      <w:sz w:val="21"/>
      <w:szCs w:val="22"/>
    </w:rPr>
  </w:style>
  <w:style w:type="character" w:customStyle="1" w:styleId="81">
    <w:name w:val="批注主题 Char1"/>
    <w:uiPriority w:val="0"/>
    <w:rPr>
      <w:b/>
      <w:bCs/>
      <w:kern w:val="2"/>
      <w:sz w:val="21"/>
      <w:szCs w:val="22"/>
    </w:rPr>
  </w:style>
  <w:style w:type="character" w:customStyle="1" w:styleId="82">
    <w:name w:val="日期 Char1"/>
    <w:uiPriority w:val="0"/>
    <w:rPr>
      <w:kern w:val="2"/>
      <w:sz w:val="21"/>
      <w:szCs w:val="22"/>
    </w:rPr>
  </w:style>
  <w:style w:type="character" w:styleId="83">
    <w:name w:val=""/>
    <w:qFormat/>
    <w:uiPriority w:val="0"/>
    <w:rPr>
      <w:b/>
      <w:bCs/>
      <w:i/>
      <w:iCs/>
      <w:color w:val="4F81BD"/>
    </w:rPr>
  </w:style>
  <w:style w:type="character" w:customStyle="1" w:styleId="84">
    <w:name w:val="textcontents"/>
    <w:uiPriority w:val="0"/>
    <w:rPr>
      <w:rFonts w:cs="Times New Roman"/>
    </w:rPr>
  </w:style>
  <w:style w:type="character" w:styleId="85">
    <w:name w:val=""/>
    <w:qFormat/>
    <w:uiPriority w:val="0"/>
    <w:rPr>
      <w:smallCaps/>
      <w:color w:val="C0504D"/>
      <w:u w:val="single"/>
    </w:rPr>
  </w:style>
  <w:style w:type="character" w:customStyle="1" w:styleId="86">
    <w:name w:val="批注文字 Char Char"/>
    <w:uiPriority w:val="0"/>
    <w:rPr>
      <w:rFonts w:ascii="宋体" w:hAnsi="Times New Roman" w:eastAsia="宋体" w:cs="Times New Roman"/>
      <w:sz w:val="28"/>
      <w:szCs w:val="20"/>
    </w:rPr>
  </w:style>
  <w:style w:type="character" w:customStyle="1" w:styleId="87">
    <w:name w:val="文档结构图 Char1"/>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166</Pages>
  <Words>12970</Words>
  <Characters>14427</Characters>
  <Lines>648</Lines>
  <Paragraphs>182</Paragraphs>
  <TotalTime>2</TotalTime>
  <ScaleCrop>false</ScaleCrop>
  <LinksUpToDate>false</LinksUpToDate>
  <CharactersWithSpaces>15354</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WPS_1669882747</cp:lastModifiedBy>
  <cp:lastPrinted>2017-10-20T05:26:27Z</cp:lastPrinted>
  <dcterms:modified xsi:type="dcterms:W3CDTF">2026-04-29T06:40:51Z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KSOTemplateDocerSaveRecord">
    <vt:lpwstr>eyJoZGlkIjoiZGM1YWUxMWRjODY0ZjY1NmE2ODc4MzE5NDhkMGNiZGIiLCJ1c2VySWQiOiIzMzUwODMwMzEifQ==</vt:lpwstr>
  </property>
  <property fmtid="{D5CDD505-2E9C-101B-9397-08002B2CF9AE}" pid="4" name="ICV">
    <vt:lpwstr>842DF9DE45EC4A929890696682C1CCFA_12</vt:lpwstr>
  </property>
</Properties>
</file>