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both"/>
        <w:textAlignment w:val="auto"/>
        <w:rPr>
          <w:rFonts w:hint="eastAsia" w:ascii="Times New Roman" w:hAnsi="Times New Roman" w:eastAsia="方正小标宋简体" w:cs="方正小标宋简体"/>
          <w:color w:val="auto"/>
          <w:sz w:val="44"/>
          <w:szCs w:val="52"/>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方正小标宋简体" w:cs="方正小标宋简体"/>
          <w:color w:val="auto"/>
          <w:sz w:val="44"/>
          <w:szCs w:val="52"/>
          <w:lang w:val="en-US" w:eastAsia="zh-CN"/>
        </w:rPr>
      </w:pPr>
      <w:bookmarkStart w:id="70" w:name="_GoBack"/>
      <w:r>
        <w:rPr>
          <w:rFonts w:hint="eastAsia" w:ascii="方正小标宋简体" w:hAnsi="方正小标宋简体" w:eastAsia="方正小标宋简体" w:cs="方正小标宋简体"/>
          <w:color w:val="auto"/>
          <w:sz w:val="44"/>
          <w:szCs w:val="52"/>
          <w:lang w:val="en-US" w:eastAsia="zh-CN"/>
        </w:rPr>
        <w:t>乐山市金口河区乡镇级片区（大瓦山高山农旅片区）应急体系专项规划（2021—2035年）</w:t>
      </w:r>
      <w:bookmarkEnd w:id="70"/>
      <w:r>
        <w:rPr>
          <w:rFonts w:hint="eastAsia" w:ascii="Times New Roman" w:hAnsi="Times New Roman" w:eastAsia="方正小标宋简体" w:cs="方正小标宋简体"/>
          <w:color w:val="auto"/>
          <w:sz w:val="44"/>
          <w:szCs w:val="52"/>
          <w:lang w:val="en-US" w:eastAsia="zh-CN"/>
        </w:rPr>
        <w:t xml:space="preserve">  </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color w:val="auto"/>
          <w:lang w:val="en-US" w:eastAsia="zh-CN"/>
        </w:rPr>
      </w:pPr>
    </w:p>
    <w:p>
      <w:pPr>
        <w:rPr>
          <w:rFonts w:hint="default" w:ascii="Times New Roman" w:hAnsi="Times New Roman"/>
          <w:color w:val="auto"/>
          <w:lang w:val="en-US" w:eastAsia="zh-CN"/>
        </w:rPr>
      </w:pPr>
    </w:p>
    <w:p>
      <w:pPr>
        <w:pStyle w:val="9"/>
        <w:rPr>
          <w:rFonts w:hint="default"/>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color w:val="auto"/>
          <w:lang w:val="en-US" w:eastAsia="zh-CN"/>
        </w:rPr>
      </w:pPr>
    </w:p>
    <w:p>
      <w:pPr>
        <w:rPr>
          <w:rFonts w:hint="default" w:ascii="Times New Roman" w:hAnsi="Times New Roman"/>
          <w:color w:val="auto"/>
          <w:lang w:val="en-US" w:eastAsia="zh-CN"/>
        </w:rPr>
      </w:pPr>
    </w:p>
    <w:p>
      <w:pPr>
        <w:pStyle w:val="9"/>
        <w:rPr>
          <w:rFonts w:hint="default" w:ascii="Times New Roman" w:hAnsi="Times New Roman"/>
          <w:color w:val="auto"/>
          <w:lang w:val="en-US" w:eastAsia="zh-CN"/>
        </w:rPr>
      </w:pPr>
    </w:p>
    <w:p>
      <w:pPr>
        <w:rPr>
          <w:rFonts w:hint="default" w:ascii="Times New Roman" w:hAnsi="Times New Roman"/>
          <w:color w:val="auto"/>
          <w:lang w:val="en-US" w:eastAsia="zh-CN"/>
        </w:rPr>
      </w:pPr>
    </w:p>
    <w:p>
      <w:pPr>
        <w:pStyle w:val="16"/>
        <w:rPr>
          <w:rFonts w:hint="default" w:ascii="Times New Roman" w:hAnsi="Times New Roman"/>
          <w:color w:val="auto"/>
          <w:lang w:val="en-US" w:eastAsia="zh-CN"/>
        </w:rPr>
      </w:pPr>
    </w:p>
    <w:p>
      <w:pPr>
        <w:rPr>
          <w:rFonts w:hint="default" w:ascii="Times New Roman" w:hAnsi="Times New Roman"/>
          <w:color w:val="auto"/>
          <w:lang w:val="en-US" w:eastAsia="zh-CN"/>
        </w:rPr>
      </w:pPr>
    </w:p>
    <w:p>
      <w:pPr>
        <w:pStyle w:val="16"/>
        <w:rPr>
          <w:rFonts w:hint="default"/>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黑体" w:cs="黑体"/>
          <w:color w:val="auto"/>
          <w:sz w:val="32"/>
          <w:szCs w:val="40"/>
          <w:lang w:val="en-US" w:eastAsia="zh-CN"/>
        </w:rPr>
      </w:pPr>
      <w:r>
        <w:rPr>
          <w:rFonts w:hint="eastAsia" w:ascii="Times New Roman" w:hAnsi="Times New Roman" w:eastAsia="黑体" w:cs="黑体"/>
          <w:color w:val="auto"/>
          <w:sz w:val="32"/>
          <w:szCs w:val="40"/>
          <w:lang w:val="en-US" w:eastAsia="zh-CN"/>
        </w:rPr>
        <w:t>乐山市金口河区人民政府</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Times New Roman" w:hAnsi="Times New Roman" w:eastAsia="仿宋" w:cs="仿宋"/>
          <w:color w:val="auto"/>
          <w:sz w:val="32"/>
          <w:szCs w:val="40"/>
          <w:lang w:val="en-US" w:eastAsia="zh-CN"/>
        </w:rPr>
      </w:pPr>
      <w:r>
        <w:rPr>
          <w:rFonts w:hint="eastAsia" w:ascii="Times New Roman" w:hAnsi="Times New Roman" w:eastAsia="黑体" w:cs="黑体"/>
          <w:color w:val="auto"/>
          <w:sz w:val="32"/>
          <w:szCs w:val="40"/>
          <w:lang w:val="en-US" w:eastAsia="zh-CN"/>
        </w:rPr>
        <w:t>二〇二三年二月</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640" w:firstLineChars="200"/>
        <w:jc w:val="both"/>
        <w:textAlignment w:val="auto"/>
        <w:rPr>
          <w:rFonts w:hint="eastAsia" w:ascii="Times New Roman" w:hAnsi="Times New Roman" w:eastAsia="仿宋" w:cs="仿宋"/>
          <w:color w:val="auto"/>
          <w:sz w:val="32"/>
          <w:szCs w:val="40"/>
          <w:lang w:val="en-US" w:eastAsia="zh-CN"/>
        </w:rPr>
        <w:sectPr>
          <w:pgSz w:w="11906" w:h="16838"/>
          <w:pgMar w:top="2098" w:right="1474" w:bottom="1984" w:left="1587" w:header="850" w:footer="1134" w:gutter="0"/>
          <w:pgNumType w:fmt="decimal"/>
          <w:cols w:space="0" w:num="1"/>
          <w:rtlGutter w:val="0"/>
          <w:docGrid w:type="lines" w:linePitch="312" w:charSpace="0"/>
        </w:sectPr>
      </w:pPr>
    </w:p>
    <w:sdt>
      <w:sdtPr>
        <w:rPr>
          <w:rFonts w:ascii="Times New Roman" w:hAnsi="Times New Roman" w:eastAsia="宋体" w:cstheme="minorBidi"/>
          <w:color w:val="auto"/>
          <w:kern w:val="2"/>
          <w:sz w:val="21"/>
          <w:szCs w:val="24"/>
          <w:lang w:val="en-US" w:eastAsia="zh-CN" w:bidi="ar-SA"/>
        </w:rPr>
        <w:id w:val="147454851"/>
        <w15:color w:val="DBDBDB"/>
        <w:docPartObj>
          <w:docPartGallery w:val="Table of Contents"/>
          <w:docPartUnique/>
        </w:docPartObj>
      </w:sdtPr>
      <w:sdtEndPr>
        <w:rPr>
          <w:rFonts w:hint="eastAsia" w:ascii="Times New Roman" w:hAnsi="Times New Roman" w:eastAsia="仿宋" w:cs="仿宋"/>
          <w:color w:val="auto"/>
          <w:kern w:val="2"/>
          <w:sz w:val="32"/>
          <w:szCs w:val="40"/>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b w:val="0"/>
              <w:bCs w:val="0"/>
              <w:color w:val="auto"/>
            </w:rPr>
          </w:pPr>
          <w:r>
            <w:rPr>
              <w:rFonts w:hint="eastAsia" w:ascii="Times New Roman" w:hAnsi="Times New Roman" w:eastAsia="黑体" w:cs="黑体"/>
              <w:b w:val="0"/>
              <w:bCs w:val="0"/>
              <w:color w:val="auto"/>
              <w:sz w:val="44"/>
              <w:szCs w:val="52"/>
            </w:rPr>
            <w:t>目录</w:t>
          </w:r>
        </w:p>
        <w:p>
          <w:pPr>
            <w:pStyle w:val="12"/>
            <w:tabs>
              <w:tab w:val="right" w:leader="dot" w:pos="8845"/>
            </w:tabs>
            <w:rPr>
              <w:rFonts w:hint="default" w:ascii="Times New Roman" w:hAnsi="Times New Roman" w:cs="Times New Roman"/>
              <w:sz w:val="32"/>
              <w:szCs w:val="32"/>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TOC \o "1-2" \h \u </w:instrText>
          </w:r>
          <w:r>
            <w:rPr>
              <w:rFonts w:hint="default" w:ascii="Times New Roman" w:hAnsi="Times New Roman" w:cs="Times New Roman"/>
              <w:b w:val="0"/>
              <w:bCs w:val="0"/>
              <w:color w:val="auto"/>
            </w:rPr>
            <w:fldChar w:fldCharType="separate"/>
          </w: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_Toc2729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sz w:val="32"/>
              <w:szCs w:val="32"/>
              <w:lang w:val="en-US" w:eastAsia="zh-CN"/>
            </w:rPr>
            <w:t>一、总则</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_Toc2729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_Toc19139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（一）地位作用</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_Toc19139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_Toc28886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（二）规划依据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_Toc28886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_Toc11364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（三）规划原则</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_Toc11364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7</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_Toc3483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（四）规划期限</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_Toc3483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2"/>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_Toc5831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sz w:val="32"/>
              <w:szCs w:val="32"/>
              <w:lang w:val="en-US" w:eastAsia="zh-CN"/>
            </w:rPr>
            <w:t>二、规划背景</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_Toc5831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_Toc31613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（一）片区现状</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_Toc31613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_Toc30875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（二）面临形势</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_Toc30875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2"/>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_Toc15277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sz w:val="32"/>
              <w:szCs w:val="32"/>
              <w:lang w:val="en-US" w:eastAsia="zh-CN"/>
            </w:rPr>
            <w:t>三、规划目标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_Toc15277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14</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_Toc20131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（一）近期目标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_Toc20131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14</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_Toc7918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（二）远期目标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_Toc7918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17</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2"/>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_Toc31095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sz w:val="32"/>
              <w:szCs w:val="32"/>
              <w:lang w:val="en-US" w:eastAsia="zh-CN"/>
            </w:rPr>
            <w:t>四、主要任务和重点工程</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_Toc31095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17</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_Toc4818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（一）应急管理体制机制方面</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_Toc4818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17</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_Toc27218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（二）安全生产风险防控方面</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_Toc27218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19</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_Toc24012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（三）自然灾害防治方面</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_Toc24012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21</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_Toc10074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（四）应急能力建设方面</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_Toc10074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23</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_Toc26859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（五）先进技术应用方面</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_Toc26859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27</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_Toc27388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（六）</w:t>
          </w:r>
          <w:r>
            <w:rPr>
              <w:rFonts w:hint="default" w:ascii="Times New Roman" w:hAnsi="Times New Roman" w:eastAsia="楷体" w:cs="Times New Roman"/>
              <w:bCs w:val="0"/>
              <w:sz w:val="32"/>
              <w:szCs w:val="32"/>
            </w:rPr>
            <w:t>应急管理共建共治共享方面</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_Toc27388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28</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2"/>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_Toc27695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sz w:val="32"/>
              <w:szCs w:val="32"/>
              <w:lang w:val="en-US" w:eastAsia="zh-CN"/>
            </w:rPr>
            <w:t>五、保障措施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_Toc27695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_Toc32595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（一）加强组织领导</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_Toc32595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_Toc15071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（二）加强资金保障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_Toc15071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_Toc15805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（三）加强人才培养</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_Toc15805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31</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pStyle w:val="13"/>
            <w:tabs>
              <w:tab w:val="right" w:leader="dot" w:pos="8845"/>
            </w:tabs>
            <w:rPr>
              <w:rFonts w:hint="default" w:ascii="Times New Roman" w:hAnsi="Times New Roman" w:cs="Times New Roman"/>
              <w:bCs w:val="0"/>
              <w:color w:val="auto"/>
              <w:sz w:val="32"/>
              <w:szCs w:val="32"/>
            </w:rPr>
          </w:pPr>
          <w:r>
            <w:rPr>
              <w:rFonts w:hint="default" w:ascii="Times New Roman" w:hAnsi="Times New Roman" w:cs="Times New Roman"/>
              <w:bCs w:val="0"/>
              <w:color w:val="auto"/>
              <w:sz w:val="32"/>
              <w:szCs w:val="32"/>
            </w:rPr>
            <w:fldChar w:fldCharType="begin"/>
          </w:r>
          <w:r>
            <w:rPr>
              <w:rFonts w:hint="default" w:ascii="Times New Roman" w:hAnsi="Times New Roman" w:cs="Times New Roman"/>
              <w:bCs w:val="0"/>
              <w:sz w:val="32"/>
              <w:szCs w:val="32"/>
            </w:rPr>
            <w:instrText xml:space="preserve"> HYPERLINK \l _Toc5969 </w:instrText>
          </w:r>
          <w:r>
            <w:rPr>
              <w:rFonts w:hint="default" w:ascii="Times New Roman" w:hAnsi="Times New Roman" w:cs="Times New Roman"/>
              <w:bCs w:val="0"/>
              <w:sz w:val="32"/>
              <w:szCs w:val="32"/>
            </w:rPr>
            <w:fldChar w:fldCharType="separate"/>
          </w:r>
          <w:r>
            <w:rPr>
              <w:rFonts w:hint="default" w:ascii="Times New Roman" w:hAnsi="Times New Roman" w:eastAsia="楷体" w:cs="Times New Roman"/>
              <w:sz w:val="32"/>
              <w:szCs w:val="32"/>
              <w:lang w:val="en-US" w:eastAsia="zh-CN"/>
            </w:rPr>
            <w:t>（四）加强监督管理</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_Toc5969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31</w:t>
          </w:r>
          <w:r>
            <w:rPr>
              <w:rFonts w:hint="default" w:ascii="Times New Roman" w:hAnsi="Times New Roman" w:cs="Times New Roman"/>
              <w:sz w:val="32"/>
              <w:szCs w:val="32"/>
            </w:rPr>
            <w:fldChar w:fldCharType="end"/>
          </w:r>
          <w:r>
            <w:rPr>
              <w:rFonts w:hint="default" w:ascii="Times New Roman" w:hAnsi="Times New Roman" w:cs="Times New Roman"/>
              <w:bCs w:val="0"/>
              <w:color w:val="auto"/>
              <w:sz w:val="32"/>
              <w:szCs w:val="32"/>
            </w:rPr>
            <w:fldChar w:fldCharType="end"/>
          </w:r>
        </w:p>
        <w:p>
          <w:pPr>
            <w:rPr>
              <w:rFonts w:hint="default" w:ascii="Times New Roman" w:hAnsi="Times New Roman" w:cs="Times New Roman"/>
              <w:lang w:val="en-US"/>
            </w:rPr>
          </w:pPr>
          <w:r>
            <w:rPr>
              <w:rFonts w:hint="default" w:ascii="Times New Roman" w:hAnsi="Times New Roman" w:eastAsia="黑体" w:cs="Times New Roman"/>
              <w:bCs w:val="0"/>
              <w:kern w:val="2"/>
              <w:sz w:val="32"/>
              <w:szCs w:val="48"/>
              <w:lang w:val="en-US" w:eastAsia="zh-CN" w:bidi="ar-SA"/>
            </w:rPr>
            <w:t>规划附表及附图..............................................................................</w:t>
          </w:r>
          <w:r>
            <w:rPr>
              <w:rFonts w:hint="eastAsia" w:ascii="Times New Roman" w:hAnsi="Times New Roman" w:eastAsia="黑体" w:cs="Times New Roman"/>
              <w:bCs w:val="0"/>
              <w:kern w:val="2"/>
              <w:sz w:val="32"/>
              <w:szCs w:val="48"/>
              <w:lang w:val="en-US" w:eastAsia="zh-CN" w:bidi="ar-SA"/>
            </w:rPr>
            <w:t>32</w:t>
          </w:r>
        </w:p>
        <w:p>
          <w:pPr>
            <w:rPr>
              <w:rFonts w:hint="eastAsia" w:ascii="Times New Roman" w:hAnsi="Times New Roman" w:eastAsia="仿宋" w:cs="仿宋"/>
              <w:color w:val="auto"/>
              <w:kern w:val="2"/>
              <w:sz w:val="32"/>
              <w:szCs w:val="40"/>
              <w:lang w:val="en-US" w:eastAsia="zh-CN" w:bidi="ar-SA"/>
            </w:rPr>
          </w:pPr>
          <w:r>
            <w:rPr>
              <w:rFonts w:hint="default" w:ascii="Times New Roman" w:hAnsi="Times New Roman" w:cs="Times New Roman"/>
              <w:bCs w:val="0"/>
              <w:color w:val="auto"/>
            </w:rPr>
            <w:fldChar w:fldCharType="end"/>
          </w:r>
        </w:p>
      </w:sdtContent>
    </w:sdt>
    <w:p>
      <w:pPr>
        <w:rPr>
          <w:rFonts w:hint="eastAsia" w:ascii="Times New Roman" w:hAnsi="Times New Roman" w:eastAsia="仿宋" w:cs="仿宋"/>
          <w:color w:val="auto"/>
          <w:kern w:val="2"/>
          <w:sz w:val="32"/>
          <w:szCs w:val="40"/>
          <w:lang w:val="en-US" w:eastAsia="zh-CN" w:bidi="ar-SA"/>
        </w:rPr>
      </w:pPr>
    </w:p>
    <w:p>
      <w:pPr>
        <w:rPr>
          <w:rFonts w:hint="eastAsia" w:ascii="Times New Roman" w:hAnsi="Times New Roman" w:eastAsia="仿宋" w:cs="仿宋"/>
          <w:color w:val="auto"/>
          <w:kern w:val="2"/>
          <w:sz w:val="32"/>
          <w:szCs w:val="40"/>
          <w:lang w:val="en-US" w:eastAsia="zh-CN" w:bidi="ar-SA"/>
        </w:rPr>
      </w:pPr>
    </w:p>
    <w:p>
      <w:pPr>
        <w:rPr>
          <w:rFonts w:hint="eastAsia" w:ascii="Times New Roman" w:hAnsi="Times New Roman" w:eastAsia="仿宋" w:cs="仿宋"/>
          <w:color w:val="auto"/>
          <w:kern w:val="2"/>
          <w:sz w:val="32"/>
          <w:szCs w:val="40"/>
          <w:lang w:val="en-US" w:eastAsia="zh-CN" w:bidi="ar-SA"/>
        </w:rPr>
      </w:pPr>
    </w:p>
    <w:p>
      <w:pPr>
        <w:rPr>
          <w:rFonts w:hint="eastAsia" w:ascii="Times New Roman" w:hAnsi="Times New Roman" w:eastAsia="仿宋" w:cs="仿宋"/>
          <w:color w:val="auto"/>
          <w:kern w:val="2"/>
          <w:sz w:val="32"/>
          <w:szCs w:val="40"/>
          <w:lang w:val="en-US" w:eastAsia="zh-CN" w:bidi="ar-SA"/>
        </w:rPr>
      </w:pPr>
    </w:p>
    <w:p>
      <w:pPr>
        <w:rPr>
          <w:rFonts w:hint="eastAsia" w:ascii="Times New Roman" w:hAnsi="Times New Roman" w:eastAsia="仿宋" w:cs="仿宋"/>
          <w:color w:val="auto"/>
          <w:kern w:val="2"/>
          <w:sz w:val="32"/>
          <w:szCs w:val="40"/>
          <w:lang w:val="en-US" w:eastAsia="zh-CN" w:bidi="ar-SA"/>
        </w:rPr>
      </w:pPr>
    </w:p>
    <w:p>
      <w:pPr>
        <w:rPr>
          <w:rFonts w:hint="eastAsia" w:ascii="Times New Roman" w:hAnsi="Times New Roman" w:eastAsia="仿宋" w:cs="仿宋"/>
          <w:color w:val="auto"/>
          <w:kern w:val="2"/>
          <w:sz w:val="32"/>
          <w:szCs w:val="40"/>
          <w:lang w:val="en-US" w:eastAsia="zh-CN" w:bidi="ar-SA"/>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both"/>
        <w:textAlignment w:val="auto"/>
        <w:rPr>
          <w:rFonts w:hint="eastAsia" w:ascii="Times New Roman" w:hAnsi="Times New Roman" w:eastAsia="仿宋" w:cs="仿宋"/>
          <w:color w:val="auto"/>
          <w:sz w:val="32"/>
          <w:szCs w:val="40"/>
          <w:lang w:val="en-US" w:eastAsia="zh-CN"/>
        </w:rPr>
        <w:sectPr>
          <w:footerReference r:id="rId3" w:type="default"/>
          <w:pgSz w:w="11906" w:h="16838"/>
          <w:pgMar w:top="2098" w:right="1474" w:bottom="1984" w:left="1587" w:header="850" w:footer="1134" w:gutter="0"/>
          <w:pgNumType w:fmt="decimal"/>
          <w:cols w:space="0" w:num="1"/>
          <w:rtlGutter w:val="0"/>
          <w:docGrid w:type="lines" w:linePitch="312" w:charSpace="0"/>
        </w:sect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为做好全省乡镇行政区划和村级建制调整改革“后半篇”文章，持续深化大瓦山高山农旅片区应急管理改革发展，全力推进片区应急管理体系完善，切实保障片区内人民群众生命和财产安全，根据四川省委省政府、乐山市委市政府、乐山市金口河区委区政府以及相关文件要求，编制《乐山市金口河区乡镇级片区（大瓦山高山农旅片区）应急体系专项规划（2021—2035年）》（以下简称《规划》）。</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0"/>
        <w:rPr>
          <w:rFonts w:hint="eastAsia" w:ascii="Times New Roman" w:hAnsi="Times New Roman"/>
          <w:color w:val="auto"/>
          <w:lang w:val="en-US" w:eastAsia="zh-CN"/>
        </w:rPr>
      </w:pPr>
      <w:bookmarkStart w:id="0" w:name="_Toc28210"/>
      <w:bookmarkStart w:id="1" w:name="_Toc2729"/>
      <w:r>
        <w:rPr>
          <w:rFonts w:hint="eastAsia" w:ascii="Times New Roman" w:hAnsi="Times New Roman" w:eastAsia="黑体" w:cs="黑体"/>
          <w:color w:val="auto"/>
          <w:sz w:val="32"/>
          <w:szCs w:val="32"/>
          <w:lang w:val="en-US" w:eastAsia="zh-CN"/>
        </w:rPr>
        <w:t>一、总则</w:t>
      </w:r>
      <w:bookmarkEnd w:id="0"/>
      <w:bookmarkEnd w:id="1"/>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2" w:name="_Toc19139"/>
      <w:bookmarkStart w:id="3" w:name="_Toc20454"/>
      <w:r>
        <w:rPr>
          <w:rFonts w:hint="eastAsia" w:ascii="Times New Roman" w:hAnsi="Times New Roman" w:eastAsia="楷体" w:cs="楷体"/>
          <w:color w:val="auto"/>
          <w:sz w:val="32"/>
          <w:szCs w:val="32"/>
          <w:lang w:val="en-US" w:eastAsia="zh-CN"/>
        </w:rPr>
        <w:t>（一）地位作用</w:t>
      </w:r>
      <w:bookmarkEnd w:id="2"/>
      <w:bookmarkEnd w:id="3"/>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编制乡镇级片区应急体系专项规划，是全面落实乐山市金口河区委区政府关于做好两项改革“后半篇”文章的重大举措，是融合衔接乡镇级片区国土空间规划的实际需求，是对“十四五”应急体系规划和提升基层应急能力工作方案的细化和深化，是自然灾害综合风险普查成果的具体应用，是健全完善基层应急体系、提升基层应急能力的重要依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楷体" w:cs="楷体"/>
          <w:color w:val="auto"/>
          <w:sz w:val="32"/>
          <w:szCs w:val="32"/>
          <w:lang w:val="en-US" w:eastAsia="zh-CN"/>
        </w:rPr>
      </w:pPr>
      <w:bookmarkStart w:id="4" w:name="_Toc28886"/>
      <w:bookmarkStart w:id="5" w:name="_Toc16351"/>
      <w:r>
        <w:rPr>
          <w:rFonts w:hint="eastAsia" w:ascii="Times New Roman" w:hAnsi="Times New Roman" w:eastAsia="楷体" w:cs="楷体"/>
          <w:color w:val="auto"/>
          <w:sz w:val="32"/>
          <w:szCs w:val="32"/>
          <w:lang w:val="en-US" w:eastAsia="zh-CN"/>
        </w:rPr>
        <w:t>（二）规划依据</w:t>
      </w:r>
      <w:bookmarkEnd w:id="4"/>
      <w:bookmarkEnd w:id="5"/>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《中华人民共和国安全生产法》</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《中华人民共和国突发事件应对法》</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《中共四川省委办公厅四川省人民政府办公厅关于印发&lt;关于做好乡镇行政区划和村级建制调整改革“后半篇”文章的实施方案）的通知》（川委厅〔2021〕6号）</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《中共四川省委办公厅四川省人民政府办公厅印发〈关于全省区域内片区划分的指导意见〉〈关于以片区为单元编制乡村国土空间规划的指导意见〉的通知》（川委厅〔2021〕53号）</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《四川省人民政府关于印发〈四川省“十四五”应急体系规划〉的通知》（川府发〔2021〕43号）</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《四川省自然资源厅关于印发〈乡镇级片区专项规划省级工作方案&gt;的通知》（川自然资发〔2021〕43号）</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《四川省应急管理厅关于印发〈四川省乡镇级片区应急体系专项规划编制要点（试行）〉〈四川省乡镇级片区应急体系专项规划备案程序及审查要点（试行）〉的通知》（川应急〔2022〕3号）</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《四川省应急管理厅山洪、地质灾害应急处置项目实施意见（试行）》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《乐山市国民经济和社会发展第十四个五年规划和二〇三五年远景目标纲要》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《乐山市金口河区国民经济和社会发展第十四个五年规划和二〇三五远景目标纲》</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《乐山市“十四五”应急体系规划》</w:t>
      </w:r>
      <w:r>
        <w:rPr>
          <w:rFonts w:hint="eastAsia" w:ascii="仿宋_GB2312" w:hAnsi="仿宋_GB2312" w:eastAsia="仿宋_GB2312" w:cs="仿宋_GB2312"/>
          <w:b w:val="0"/>
          <w:bCs w:val="0"/>
          <w:color w:val="auto"/>
          <w:sz w:val="32"/>
          <w:szCs w:val="32"/>
        </w:rPr>
        <w:t>（乐府发〔2022〕13 号）</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《乐山市金口河区国土空间总体规划》</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《乐山市金口河区突发公共事件总体应急预案》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6" w:name="_Toc6885"/>
      <w:bookmarkStart w:id="7" w:name="_Toc11364"/>
      <w:r>
        <w:rPr>
          <w:rFonts w:hint="eastAsia" w:ascii="Times New Roman" w:hAnsi="Times New Roman" w:eastAsia="楷体" w:cs="楷体"/>
          <w:color w:val="auto"/>
          <w:sz w:val="32"/>
          <w:szCs w:val="32"/>
          <w:lang w:val="en-US" w:eastAsia="zh-CN"/>
        </w:rPr>
        <w:t>（三）规划原则</w:t>
      </w:r>
      <w:bookmarkEnd w:id="6"/>
      <w:bookmarkEnd w:id="7"/>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注重现状，规划引领。</w:t>
      </w:r>
      <w:r>
        <w:rPr>
          <w:rFonts w:hint="eastAsia" w:ascii="仿宋_GB2312" w:hAnsi="仿宋_GB2312" w:eastAsia="仿宋_GB2312" w:cs="仿宋_GB2312"/>
          <w:color w:val="auto"/>
          <w:sz w:val="32"/>
          <w:szCs w:val="32"/>
          <w:lang w:val="en-US" w:eastAsia="zh-CN"/>
        </w:rPr>
        <w:t>规划要考虑当前片区的实际情况，弥补现有短板、发挥已有优势，使规划既具有可操作行，又能发挥带动引领作用，坚持量力而行、尽力而为，确保规划能用管用好用。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因地制宜，资源整合。</w:t>
      </w:r>
      <w:r>
        <w:rPr>
          <w:rFonts w:hint="eastAsia" w:ascii="仿宋_GB2312" w:hAnsi="仿宋_GB2312" w:eastAsia="仿宋_GB2312" w:cs="仿宋_GB2312"/>
          <w:color w:val="auto"/>
          <w:sz w:val="32"/>
          <w:szCs w:val="32"/>
          <w:lang w:val="en-US" w:eastAsia="zh-CN"/>
        </w:rPr>
        <w:t>立足于乡镇行政区划和村级建制调整、镇村驻地房屋空余等现状，在国土空间规划的框架内，盘活用好剩余闲置资产。结合不同乡镇、部门在应急方面需求，把有限的资源用好，最大限度让项目发挥最大效用。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加强联系，开拓创新。</w:t>
      </w:r>
      <w:r>
        <w:rPr>
          <w:rFonts w:hint="eastAsia" w:ascii="仿宋_GB2312" w:hAnsi="仿宋_GB2312" w:eastAsia="仿宋_GB2312" w:cs="仿宋_GB2312"/>
          <w:color w:val="auto"/>
          <w:sz w:val="32"/>
          <w:szCs w:val="32"/>
          <w:lang w:val="en-US" w:eastAsia="zh-CN"/>
        </w:rPr>
        <w:t>利用新技术手段，加大宣传培训和科普力度，积极发挥乡镇、村（社区）领导干部带头作用，把提高社会公众自救互救能力摆在更加突出位置，构建共建共治共享新时代。</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8" w:name="_Toc3483"/>
      <w:bookmarkStart w:id="9" w:name="_Toc2672"/>
      <w:r>
        <w:rPr>
          <w:rFonts w:hint="eastAsia" w:ascii="Times New Roman" w:hAnsi="Times New Roman" w:eastAsia="楷体" w:cs="楷体"/>
          <w:color w:val="auto"/>
          <w:sz w:val="32"/>
          <w:szCs w:val="32"/>
          <w:lang w:val="en-US" w:eastAsia="zh-CN"/>
        </w:rPr>
        <w:t>（四）规划期限</w:t>
      </w:r>
      <w:bookmarkEnd w:id="8"/>
      <w:bookmarkEnd w:id="9"/>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本规划基期年为2020年，期限为2021-2035年，近期至2025年。</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Times New Roman" w:hAnsi="Times New Roman" w:eastAsia="仿宋" w:cs="仿宋"/>
          <w:color w:val="auto"/>
          <w:sz w:val="32"/>
          <w:szCs w:val="32"/>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0"/>
        <w:rPr>
          <w:rFonts w:hint="eastAsia" w:ascii="Times New Roman" w:hAnsi="Times New Roman" w:eastAsia="仿宋" w:cs="仿宋"/>
          <w:color w:val="auto"/>
          <w:sz w:val="32"/>
          <w:szCs w:val="32"/>
          <w:lang w:val="en-US" w:eastAsia="zh-CN"/>
        </w:rPr>
      </w:pPr>
      <w:bookmarkStart w:id="10" w:name="_Toc30124"/>
      <w:bookmarkStart w:id="11" w:name="_Toc5831"/>
      <w:r>
        <w:rPr>
          <w:rFonts w:hint="eastAsia" w:ascii="Times New Roman" w:hAnsi="Times New Roman" w:eastAsia="黑体" w:cs="黑体"/>
          <w:color w:val="auto"/>
          <w:sz w:val="32"/>
          <w:szCs w:val="32"/>
          <w:lang w:val="en-US" w:eastAsia="zh-CN"/>
        </w:rPr>
        <w:t>二、规划背景</w:t>
      </w:r>
      <w:bookmarkEnd w:id="10"/>
      <w:bookmarkEnd w:id="11"/>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楷体" w:cs="楷体"/>
          <w:color w:val="auto"/>
          <w:sz w:val="32"/>
          <w:szCs w:val="32"/>
          <w:lang w:val="en-US" w:eastAsia="zh-CN"/>
        </w:rPr>
      </w:pPr>
      <w:bookmarkStart w:id="12" w:name="_Toc31613"/>
      <w:bookmarkStart w:id="13" w:name="_Toc4941"/>
      <w:r>
        <w:rPr>
          <w:rFonts w:hint="eastAsia" w:ascii="Times New Roman" w:hAnsi="Times New Roman" w:eastAsia="楷体" w:cs="楷体"/>
          <w:color w:val="auto"/>
          <w:sz w:val="32"/>
          <w:szCs w:val="32"/>
          <w:lang w:val="en-US" w:eastAsia="zh-CN"/>
        </w:rPr>
        <w:t>（一）片区现状</w:t>
      </w:r>
      <w:bookmarkEnd w:id="12"/>
      <w:bookmarkEnd w:id="13"/>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lang w:val="en-US" w:eastAsia="zh-CN"/>
        </w:rPr>
        <w:t>片区基本情况。</w:t>
      </w:r>
      <w:r>
        <w:rPr>
          <w:rFonts w:hint="eastAsia" w:ascii="仿宋_GB2312" w:hAnsi="仿宋_GB2312" w:eastAsia="仿宋_GB2312" w:cs="仿宋_GB2312"/>
          <w:color w:val="auto"/>
          <w:sz w:val="32"/>
          <w:szCs w:val="32"/>
          <w:lang w:val="en-US" w:eastAsia="zh-CN"/>
        </w:rPr>
        <w:t>大瓦山高山农旅片区由永胜乡、金河镇组成，共有11个行政村、1个社区，户籍人口1.53万人，常住人口0.93万人，面积298.15平方公里，中心镇为永胜乡。片区功能定位为重点发展山地旅游、道地中药材、高山蔬菜、高山茶叶等产业，建设“两山”理念实践创新基地。</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片区内以金河镇三角石工业园区为基础，打造“中国绿色硅谷”上游产业配套基地，预计工业硅企业年生产工业硅25万吨，产值60亿。药蔬茶产业基础雄厚，有全市唯一道地高山中药材产业园区，万亩川牛膝、万亩红豆杉基地，道地中药材2.9万亩、林下乌天麻基地10万平方米以上、以黄柏为主的“三黄”现代农业产业基地1万亩、高山有机蔬菜0.35万亩、枇杷花椒0.1万亩、高山云雾茶0.15万亩。片区内有“世界最具魔力的天然公园—四川大瓦山国家级湿地公园”“血肉筑成的抗战公路一乐西公路”、国防战备库遗迹等文旅资源。</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安全生产情况。</w:t>
      </w:r>
      <w:r>
        <w:rPr>
          <w:rFonts w:hint="eastAsia" w:ascii="仿宋_GB2312" w:hAnsi="仿宋_GB2312" w:eastAsia="仿宋_GB2312" w:cs="仿宋_GB2312"/>
          <w:color w:val="auto"/>
          <w:sz w:val="32"/>
          <w:szCs w:val="32"/>
          <w:lang w:val="en-US" w:eastAsia="zh-CN"/>
        </w:rPr>
        <w:t>该片区现有学校2所，医疗卫生机构3个，文化场所15所，旅游景区3处（不含乡村旅游点）；危险化学品经营企业2家，地下矿山3座，尾矿库1座，露天矿山2座，冶炼企业2家。片区2个乡镇均成立了安全生产委员会、应急管理委员会、道路交通委员会，设立了安全生产、地灾防治、森林防灭火、防汛抗旱等专项工作应急指挥部负责突发事件应急指挥工作，组建基层应急管理机构—社会治理办公室（挂应急管理和安全生产委员会办公室）。</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自然灾害情况。</w:t>
      </w:r>
      <w:r>
        <w:rPr>
          <w:rFonts w:hint="eastAsia" w:ascii="仿宋_GB2312" w:hAnsi="仿宋_GB2312" w:eastAsia="仿宋_GB2312" w:cs="仿宋_GB2312"/>
          <w:color w:val="auto"/>
          <w:sz w:val="32"/>
          <w:szCs w:val="32"/>
          <w:lang w:val="en-US" w:eastAsia="zh-CN"/>
        </w:rPr>
        <w:t>大瓦山高山农旅片区地处四川盆地与川西高原过渡地带，紧邻龙门山、鲜水河、安宁河三大地震断裂带。区域地质构造复杂，河谷深切，岩体破碎，断层、褶皱发育，断裂活动多。片区内有“金口河断裂”，并受周边“洪雅总岗山—柳江”、“峨眉山—金阳”等断裂影响，断裂、褶皱虽较为发育，但规模不大，属中强地震区（5级左右），根据《中国地震动参数区划图》（GB18306—2015），金口河区地震基本烈度为7度。</w:t>
      </w:r>
      <w:r>
        <w:rPr>
          <w:rStyle w:val="27"/>
          <w:rFonts w:hint="eastAsia" w:ascii="仿宋_GB2312" w:hAnsi="仿宋_GB2312" w:eastAsia="仿宋_GB2312" w:cs="仿宋_GB2312"/>
          <w:b w:val="0"/>
          <w:bCs/>
          <w:i w:val="0"/>
          <w:caps w:val="0"/>
          <w:color w:val="auto"/>
          <w:spacing w:val="2"/>
          <w:w w:val="100"/>
          <w:kern w:val="2"/>
          <w:sz w:val="32"/>
          <w:szCs w:val="32"/>
          <w:lang w:val="en-US" w:eastAsia="zh-CN" w:bidi="ar-SA"/>
        </w:rPr>
        <w:t>该片区所属的金口河区自2008年以来已连续多年被列为四川省的地震重点危险区和监视防御区。</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片区内有顺水河、野牛河两条主干河流以及鱼池、大天池、小天池等高山湖泊，山体滑坡、崩塌、泥石流等次生灾害频发。截至2022年，经调查统计入库后有山洪灾害危险区22处、地质灾害隐患点20处，其中滑坡15处、崩塌（危岩）3处、泥石流2处。</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片区内金河镇的同心村、民心村、铜河村、吉星村、五一村，永胜乡的瓦山村、民主村以及国有林区为森林火灾高风险区；金河镇的新坪村、曙光村，永胜乡的桅杆村、顺河村为一般森林防火区。自1978年建区以来未发生过较大规模以上森林火灾。</w:t>
      </w:r>
    </w:p>
    <w:p>
      <w:pPr>
        <w:keepNext w:val="0"/>
        <w:keepLines w:val="0"/>
        <w:pageBreakBefore w:val="0"/>
        <w:widowControl w:val="0"/>
        <w:kinsoku/>
        <w:wordWrap/>
        <w:overflowPunct/>
        <w:topLinePunct w:val="0"/>
        <w:autoSpaceDE/>
        <w:autoSpaceDN/>
        <w:bidi w:val="0"/>
        <w:adjustRightInd/>
        <w:snapToGrid/>
        <w:spacing w:line="560" w:lineRule="exact"/>
        <w:ind w:firstLine="2880" w:firstLineChars="900"/>
        <w:textAlignment w:val="auto"/>
        <w:outlineLvl w:val="1"/>
        <w:rPr>
          <w:rFonts w:hint="eastAsia" w:ascii="Times New Roman" w:hAnsi="Times New Roman" w:eastAsia="仿宋" w:cs="仿宋"/>
          <w:color w:val="auto"/>
          <w:sz w:val="32"/>
          <w:szCs w:val="32"/>
          <w:lang w:val="en-US" w:eastAsia="zh-CN"/>
        </w:rPr>
      </w:pPr>
      <w:bookmarkStart w:id="14" w:name="_Toc13724"/>
      <w:bookmarkStart w:id="15" w:name="_Toc30875"/>
      <w:r>
        <w:rPr>
          <w:rFonts w:hint="eastAsia" w:ascii="Times New Roman" w:hAnsi="Times New Roman" w:eastAsia="楷体" w:cs="楷体"/>
          <w:color w:val="auto"/>
          <w:sz w:val="32"/>
          <w:szCs w:val="32"/>
          <w:lang w:val="en-US" w:eastAsia="zh-CN"/>
        </w:rPr>
        <w:t>（二）面临形势</w:t>
      </w:r>
      <w:bookmarkEnd w:id="14"/>
      <w:bookmarkEnd w:id="15"/>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企业安全方面。</w:t>
      </w:r>
      <w:r>
        <w:rPr>
          <w:rFonts w:hint="eastAsia" w:ascii="仿宋_GB2312" w:hAnsi="仿宋_GB2312" w:eastAsia="仿宋_GB2312" w:cs="仿宋_GB2312"/>
          <w:color w:val="auto"/>
          <w:sz w:val="32"/>
          <w:szCs w:val="32"/>
          <w:lang w:val="en-US" w:eastAsia="zh-CN"/>
        </w:rPr>
        <w:t>企业信息化系统长期未升级更新，需要进一步落实安全监管制度，强化源头管控，加强安全风险监控预警现代化建设，建立健全监测预警响应机制，推广视频识别、物联网等先进技术应用。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lang w:val="en-US" w:eastAsia="zh-CN"/>
        </w:rPr>
        <w:t>交通运输方面。</w:t>
      </w:r>
      <w:r>
        <w:rPr>
          <w:rFonts w:hint="eastAsia" w:ascii="仿宋_GB2312" w:hAnsi="仿宋_GB2312" w:eastAsia="仿宋_GB2312" w:cs="仿宋_GB2312"/>
          <w:color w:val="auto"/>
          <w:sz w:val="32"/>
          <w:szCs w:val="32"/>
          <w:lang w:val="en-US" w:eastAsia="zh-CN"/>
        </w:rPr>
        <w:t>片区公路运输企业及营运车辆多，道路陡坡急弯较多，配套安全设施不足，部分乡村公路缺少安全防护栏、广角镜及标志标牌等安全装置，狭窄道路中缺乏汇车位置，部分道路未硬化。</w:t>
      </w:r>
      <w:r>
        <w:rPr>
          <w:rFonts w:hint="eastAsia" w:ascii="仿宋_GB2312" w:hAnsi="仿宋_GB2312" w:eastAsia="仿宋_GB2312" w:cs="仿宋_GB2312"/>
          <w:b w:val="0"/>
          <w:bCs w:val="0"/>
          <w:color w:val="auto"/>
          <w:sz w:val="32"/>
          <w:szCs w:val="32"/>
        </w:rPr>
        <w:t>山体滑坡和塌方导致的道路阻断时有发生，</w:t>
      </w:r>
      <w:r>
        <w:rPr>
          <w:rFonts w:hint="eastAsia" w:ascii="仿宋_GB2312" w:hAnsi="仿宋_GB2312" w:eastAsia="仿宋_GB2312" w:cs="仿宋_GB2312"/>
          <w:b w:val="0"/>
          <w:bCs w:val="0"/>
          <w:color w:val="auto"/>
          <w:sz w:val="32"/>
          <w:szCs w:val="32"/>
          <w:lang w:val="en-US" w:eastAsia="zh-CN"/>
        </w:rPr>
        <w:t>片区内</w:t>
      </w:r>
      <w:r>
        <w:rPr>
          <w:rFonts w:hint="eastAsia" w:ascii="仿宋_GB2312" w:hAnsi="仿宋_GB2312" w:eastAsia="仿宋_GB2312" w:cs="仿宋_GB2312"/>
          <w:b w:val="0"/>
          <w:bCs w:val="0"/>
          <w:color w:val="auto"/>
          <w:sz w:val="32"/>
          <w:szCs w:val="32"/>
        </w:rPr>
        <w:t>有60%的乡镇不通三级及以上公路，有1</w:t>
      </w:r>
      <w:r>
        <w:rPr>
          <w:rFonts w:hint="eastAsia" w:ascii="仿宋_GB2312" w:hAnsi="仿宋_GB2312" w:eastAsia="仿宋_GB2312" w:cs="仿宋_GB2312"/>
          <w:b w:val="0"/>
          <w:bCs w:val="0"/>
          <w:color w:val="auto"/>
          <w:sz w:val="32"/>
          <w:szCs w:val="32"/>
          <w:lang w:val="en-US" w:eastAsia="zh-CN"/>
        </w:rPr>
        <w:t>0</w:t>
      </w:r>
      <w:r>
        <w:rPr>
          <w:rFonts w:hint="eastAsia" w:ascii="仿宋_GB2312" w:hAnsi="仿宋_GB2312" w:eastAsia="仿宋_GB2312" w:cs="仿宋_GB2312"/>
          <w:b w:val="0"/>
          <w:bCs w:val="0"/>
          <w:color w:val="auto"/>
          <w:sz w:val="32"/>
          <w:szCs w:val="32"/>
        </w:rPr>
        <w:t>%的30户以上自然村未通硬化路，83.7%的路面宽度小于4.5米</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制约了本片区应急疏散</w:t>
      </w:r>
      <w:r>
        <w:rPr>
          <w:rFonts w:hint="eastAsia" w:ascii="仿宋_GB2312" w:hAnsi="仿宋_GB2312" w:eastAsia="仿宋_GB2312" w:cs="仿宋_GB2312"/>
          <w:b w:val="0"/>
          <w:bCs w:val="0"/>
          <w:color w:val="auto"/>
          <w:sz w:val="32"/>
          <w:szCs w:val="32"/>
          <w:lang w:val="en-US" w:eastAsia="zh-CN"/>
        </w:rPr>
        <w:t>及救援</w:t>
      </w:r>
      <w:r>
        <w:rPr>
          <w:rFonts w:hint="eastAsia" w:ascii="仿宋_GB2312" w:hAnsi="仿宋_GB2312" w:eastAsia="仿宋_GB2312" w:cs="仿宋_GB2312"/>
          <w:b w:val="0"/>
          <w:bCs w:val="0"/>
          <w:color w:val="auto"/>
          <w:sz w:val="32"/>
          <w:szCs w:val="32"/>
        </w:rPr>
        <w:t>能力</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需加强道路交通安全基础设施建设。</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城乡消防方面。</w:t>
      </w:r>
      <w:r>
        <w:rPr>
          <w:rFonts w:hint="eastAsia" w:ascii="仿宋_GB2312" w:hAnsi="仿宋_GB2312" w:eastAsia="仿宋_GB2312" w:cs="仿宋_GB2312"/>
          <w:color w:val="auto"/>
          <w:sz w:val="32"/>
          <w:szCs w:val="32"/>
          <w:lang w:val="en-US" w:eastAsia="zh-CN"/>
        </w:rPr>
        <w:t>金河镇道路宽度有限，消防隐患多。现有消防力量不足，人员少、装备缺，难以满足片区消防安全需要。永胜乡下属除民主村有1个消火栓和1个消防水池外，瓦山村、桅杆村、顺河村均无消防设施，应适当增加场镇的消火栓，乡（镇）、村两级设立微型消防站并配强消防装备，提升消防救援能力。</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旅游安全方面。</w:t>
      </w:r>
      <w:r>
        <w:rPr>
          <w:rFonts w:hint="eastAsia" w:ascii="仿宋_GB2312" w:hAnsi="仿宋_GB2312" w:eastAsia="仿宋_GB2312" w:cs="仿宋_GB2312"/>
          <w:color w:val="auto"/>
          <w:sz w:val="32"/>
          <w:szCs w:val="32"/>
          <w:lang w:val="en-US" w:eastAsia="zh-CN"/>
        </w:rPr>
        <w:t>“十四五”期间，片区内继续加大发展农旅产业力度，农家民宿发展迅速，但相关民宿应急设施缺乏，人员应急意识及技能水平偏低。大瓦山高山农旅片区内有大瓦山国家湿地公园，鹿儿坪工区、二道坪工区、板厂坪工区三大高山林地，地理位置偏远、地势险峻，缺乏满足山地救援需求的应急队伍。</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自然灾害方面。</w:t>
      </w:r>
      <w:r>
        <w:rPr>
          <w:rFonts w:hint="eastAsia" w:ascii="仿宋_GB2312" w:hAnsi="仿宋_GB2312" w:eastAsia="仿宋_GB2312" w:cs="仿宋_GB2312"/>
          <w:color w:val="auto"/>
          <w:sz w:val="32"/>
          <w:szCs w:val="32"/>
          <w:lang w:val="en-US" w:eastAsia="zh-CN"/>
        </w:rPr>
        <w:t>该片区总的形势是自然灾害风险增大。随着全球气候变化，极端天气候事件增多增强趋势明显，多灾并发日益突出，山洪、干旱、地灾的风险进一步加剧，自然灾害形成机理、发生规律、时空特征、损失程度和影响深度广度出现新特点和新变化，林区发生</w:t>
      </w:r>
      <w:r>
        <w:rPr>
          <w:rFonts w:hint="eastAsia" w:ascii="仿宋_GB2312" w:hAnsi="仿宋_GB2312" w:eastAsia="仿宋_GB2312" w:cs="仿宋_GB2312"/>
          <w:b w:val="0"/>
          <w:bCs w:val="0"/>
          <w:color w:val="auto"/>
          <w:sz w:val="32"/>
          <w:szCs w:val="32"/>
        </w:rPr>
        <w:t>较大规模</w:t>
      </w:r>
      <w:r>
        <w:rPr>
          <w:rFonts w:hint="eastAsia" w:ascii="仿宋_GB2312" w:hAnsi="仿宋_GB2312" w:eastAsia="仿宋_GB2312" w:cs="仿宋_GB2312"/>
          <w:color w:val="auto"/>
          <w:sz w:val="32"/>
          <w:szCs w:val="32"/>
          <w:lang w:val="en-US" w:eastAsia="zh-CN"/>
        </w:rPr>
        <w:t>森林火灾可能性逐年上升。</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片区内水系丰富，且以高山流水为主，水情季节变化明显。自动雨量站点和自动水位站点数量少，数据采集系统性不足且无完整独立气象数据库，山洪灾害预警员足、报警器数量不足，山洪灾害防范能力弱。需加强自动监测预警设备建设，加大业务培训。片区无人工水库，仅有高粱池、大天池、小天池、鱼池等高山湖泊，蓄水设施设备不足。</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片区地质灾害隐患点位多，受威胁群众多且分布分散，地震地灾监测预警能力差，地质灾害监测员基本为村民兼任，专业水平不够，</w:t>
      </w:r>
      <w:r>
        <w:rPr>
          <w:rFonts w:hint="eastAsia" w:ascii="仿宋_GB2312" w:hAnsi="仿宋_GB2312" w:eastAsia="仿宋_GB2312" w:cs="仿宋_GB2312"/>
          <w:b w:val="0"/>
          <w:bCs w:val="0"/>
          <w:color w:val="auto"/>
          <w:sz w:val="32"/>
          <w:szCs w:val="32"/>
        </w:rPr>
        <w:t>仅有</w:t>
      </w:r>
      <w:r>
        <w:rPr>
          <w:rFonts w:hint="eastAsia" w:ascii="仿宋_GB2312" w:hAnsi="仿宋_GB2312" w:eastAsia="仿宋_GB2312" w:cs="仿宋_GB2312"/>
          <w:b w:val="0"/>
          <w:bCs w:val="0"/>
          <w:color w:val="auto"/>
          <w:sz w:val="32"/>
          <w:szCs w:val="32"/>
          <w:lang w:val="en-US" w:eastAsia="zh-CN"/>
        </w:rPr>
        <w:t>宏观地震监</w:t>
      </w:r>
      <w:r>
        <w:rPr>
          <w:rFonts w:hint="eastAsia" w:ascii="仿宋_GB2312" w:hAnsi="仿宋_GB2312" w:eastAsia="仿宋_GB2312" w:cs="仿宋_GB2312"/>
          <w:b w:val="0"/>
          <w:bCs w:val="0"/>
          <w:color w:val="auto"/>
          <w:sz w:val="32"/>
          <w:szCs w:val="32"/>
        </w:rPr>
        <w:t>测员</w:t>
      </w:r>
      <w:r>
        <w:rPr>
          <w:rFonts w:hint="eastAsia" w:ascii="仿宋_GB2312" w:hAnsi="仿宋_GB2312" w:eastAsia="仿宋_GB2312" w:cs="仿宋_GB2312"/>
          <w:b w:val="0"/>
          <w:bCs w:val="0"/>
          <w:color w:val="auto"/>
          <w:sz w:val="32"/>
          <w:szCs w:val="32"/>
          <w:lang w:val="en-US" w:eastAsia="zh-CN"/>
        </w:rPr>
        <w:t>9</w:t>
      </w:r>
      <w:r>
        <w:rPr>
          <w:rFonts w:hint="eastAsia" w:ascii="仿宋_GB2312" w:hAnsi="仿宋_GB2312" w:eastAsia="仿宋_GB2312" w:cs="仿宋_GB2312"/>
          <w:b w:val="0"/>
          <w:bCs w:val="0"/>
          <w:color w:val="auto"/>
          <w:sz w:val="32"/>
          <w:szCs w:val="32"/>
        </w:rPr>
        <w:t>名，</w:t>
      </w:r>
      <w:r>
        <w:rPr>
          <w:rFonts w:hint="eastAsia" w:ascii="仿宋_GB2312" w:hAnsi="仿宋_GB2312" w:eastAsia="仿宋_GB2312" w:cs="仿宋_GB2312"/>
          <w:b w:val="0"/>
          <w:bCs w:val="0"/>
          <w:color w:val="auto"/>
          <w:sz w:val="32"/>
          <w:szCs w:val="32"/>
          <w:lang w:val="en-US" w:eastAsia="zh-CN"/>
        </w:rPr>
        <w:t>乡镇防震减灾助理员2名，村（社区）地震安全员12名，</w:t>
      </w:r>
      <w:r>
        <w:rPr>
          <w:rFonts w:hint="eastAsia" w:ascii="仿宋_GB2312" w:hAnsi="仿宋_GB2312" w:eastAsia="仿宋_GB2312" w:cs="仿宋_GB2312"/>
          <w:b w:val="0"/>
          <w:bCs w:val="0"/>
          <w:color w:val="auto"/>
          <w:sz w:val="32"/>
          <w:szCs w:val="32"/>
        </w:rPr>
        <w:t>自动监测预警</w:t>
      </w:r>
      <w:r>
        <w:rPr>
          <w:rFonts w:hint="eastAsia" w:ascii="仿宋_GB2312" w:hAnsi="仿宋_GB2312" w:eastAsia="仿宋_GB2312" w:cs="仿宋_GB2312"/>
          <w:b w:val="0"/>
          <w:bCs w:val="0"/>
          <w:color w:val="auto"/>
          <w:sz w:val="32"/>
          <w:szCs w:val="32"/>
          <w:lang w:val="en-US" w:eastAsia="zh-CN"/>
        </w:rPr>
        <w:t>0</w:t>
      </w:r>
      <w:r>
        <w:rPr>
          <w:rFonts w:hint="eastAsia" w:ascii="仿宋_GB2312" w:hAnsi="仿宋_GB2312" w:eastAsia="仿宋_GB2312" w:cs="仿宋_GB2312"/>
          <w:b w:val="0"/>
          <w:bCs w:val="0"/>
          <w:color w:val="auto"/>
          <w:sz w:val="32"/>
          <w:szCs w:val="32"/>
        </w:rPr>
        <w:t>套，地震观测台</w:t>
      </w:r>
      <w:r>
        <w:rPr>
          <w:rFonts w:hint="eastAsia" w:ascii="仿宋_GB2312" w:hAnsi="仿宋_GB2312" w:eastAsia="仿宋_GB2312" w:cs="仿宋_GB2312"/>
          <w:color w:val="auto"/>
          <w:sz w:val="32"/>
          <w:szCs w:val="32"/>
          <w:lang w:val="en-US" w:eastAsia="zh-CN"/>
        </w:rPr>
        <w:t>1个，需要实施隐患点工程治理和排危除险工程，建设自动监测预警，加强对地质灾害监测员业务培训。</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片区内金河镇为重点林区镇，片区内没有森林防火预警系统，林火识别、自动报警等设施设备缺乏，防火预警主要依靠人工瞭望、日常巡护以及当地群众举报，效率低下，发现森林火灾的及时性和准确性有待提高。</w:t>
      </w:r>
      <w:r>
        <w:rPr>
          <w:rFonts w:hint="eastAsia" w:ascii="仿宋_GB2312" w:hAnsi="仿宋_GB2312" w:eastAsia="仿宋_GB2312" w:cs="仿宋_GB2312"/>
          <w:b w:val="0"/>
          <w:bCs w:val="0"/>
          <w:color w:val="auto"/>
          <w:sz w:val="32"/>
          <w:szCs w:val="32"/>
        </w:rPr>
        <w:t>防灭火水池不足，</w:t>
      </w:r>
      <w:r>
        <w:rPr>
          <w:rFonts w:hint="eastAsia" w:ascii="仿宋_GB2312" w:hAnsi="仿宋_GB2312" w:eastAsia="仿宋_GB2312" w:cs="仿宋_GB2312"/>
          <w:b w:val="0"/>
          <w:bCs w:val="0"/>
          <w:color w:val="auto"/>
          <w:kern w:val="2"/>
          <w:sz w:val="32"/>
          <w:szCs w:val="32"/>
          <w:lang w:val="en-US" w:eastAsia="zh-CN" w:bidi="ar-SA"/>
        </w:rPr>
        <w:t>森林消防蓄水池覆盖率10%</w:t>
      </w:r>
      <w:r>
        <w:rPr>
          <w:rFonts w:hint="eastAsia" w:ascii="仿宋_GB2312" w:hAnsi="仿宋_GB2312" w:eastAsia="仿宋_GB2312" w:cs="仿宋_GB2312"/>
          <w:b w:val="0"/>
          <w:bCs w:val="0"/>
          <w:color w:val="auto"/>
          <w:sz w:val="32"/>
          <w:szCs w:val="32"/>
        </w:rPr>
        <w:t>，已无法满足未来的扑火需求。</w:t>
      </w:r>
      <w:r>
        <w:rPr>
          <w:rFonts w:hint="eastAsia" w:ascii="仿宋_GB2312" w:hAnsi="仿宋_GB2312" w:eastAsia="仿宋_GB2312" w:cs="仿宋_GB2312"/>
          <w:color w:val="auto"/>
          <w:sz w:val="32"/>
          <w:szCs w:val="32"/>
          <w:lang w:val="en-US" w:eastAsia="zh-CN"/>
        </w:rPr>
        <w:t>绝大部分的国有林区由于地势偏远、交通不便、地广人稀，</w:t>
      </w:r>
      <w:r>
        <w:rPr>
          <w:rFonts w:hint="eastAsia" w:ascii="仿宋_GB2312" w:hAnsi="仿宋_GB2312" w:eastAsia="仿宋_GB2312" w:cs="仿宋_GB2312"/>
          <w:b w:val="0"/>
          <w:bCs w:val="0"/>
          <w:color w:val="auto"/>
          <w:kern w:val="2"/>
          <w:sz w:val="32"/>
          <w:szCs w:val="32"/>
          <w:lang w:val="en-US" w:eastAsia="zh-CN" w:bidi="ar-SA"/>
        </w:rPr>
        <w:t>林火监测覆盖率只有50%，火场应急通信（语音、视频通信）覆盖率仅为35%</w:t>
      </w:r>
      <w:r>
        <w:rPr>
          <w:rFonts w:hint="eastAsia" w:ascii="仿宋_GB2312" w:hAnsi="仿宋_GB2312" w:eastAsia="仿宋_GB2312" w:cs="仿宋_GB2312"/>
          <w:b w:val="0"/>
          <w:bCs w:val="0"/>
          <w:color w:val="auto"/>
          <w:kern w:val="2"/>
          <w:sz w:val="32"/>
          <w:szCs w:val="32"/>
          <w:lang w:eastAsia="zh-CN" w:bidi="ar-SA"/>
        </w:rPr>
        <w:t>，</w:t>
      </w:r>
      <w:r>
        <w:rPr>
          <w:rFonts w:hint="eastAsia" w:ascii="仿宋_GB2312" w:hAnsi="仿宋_GB2312" w:eastAsia="仿宋_GB2312" w:cs="仿宋_GB2312"/>
          <w:b w:val="0"/>
          <w:bCs w:val="0"/>
          <w:color w:val="auto"/>
          <w:kern w:val="2"/>
          <w:sz w:val="32"/>
          <w:szCs w:val="32"/>
          <w:lang w:val="en-US" w:eastAsia="zh-CN" w:bidi="ar-SA"/>
        </w:rPr>
        <w:t>市、县级信息指挥中心及镇（片区站）级信息指挥中心互联互通率为0</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val="0"/>
          <w:bCs w:val="0"/>
          <w:color w:val="auto"/>
          <w:sz w:val="32"/>
          <w:szCs w:val="32"/>
        </w:rPr>
        <w:t>重点林区道路里程短，部分道路</w:t>
      </w:r>
      <w:r>
        <w:rPr>
          <w:rFonts w:hint="eastAsia" w:ascii="仿宋_GB2312" w:hAnsi="仿宋_GB2312" w:eastAsia="仿宋_GB2312" w:cs="仿宋_GB2312"/>
          <w:b w:val="0"/>
          <w:bCs w:val="0"/>
          <w:color w:val="auto"/>
          <w:sz w:val="32"/>
          <w:szCs w:val="32"/>
          <w:lang w:val="en-US" w:eastAsia="zh-CN"/>
        </w:rPr>
        <w:t>宽度</w:t>
      </w:r>
      <w:r>
        <w:rPr>
          <w:rFonts w:hint="eastAsia" w:ascii="仿宋_GB2312" w:hAnsi="仿宋_GB2312" w:eastAsia="仿宋_GB2312" w:cs="仿宋_GB2312"/>
          <w:b w:val="0"/>
          <w:bCs w:val="0"/>
          <w:color w:val="auto"/>
          <w:sz w:val="32"/>
          <w:szCs w:val="32"/>
        </w:rPr>
        <w:t>窄、路况差，通行能力弱，发生火情后难以做到快速处置。一旦发生森林火灾，救援压力较大，</w:t>
      </w:r>
      <w:r>
        <w:rPr>
          <w:rFonts w:hint="eastAsia" w:ascii="仿宋_GB2312" w:hAnsi="仿宋_GB2312" w:eastAsia="仿宋_GB2312" w:cs="仿宋_GB2312"/>
          <w:b w:val="0"/>
          <w:bCs w:val="0"/>
          <w:color w:val="auto"/>
          <w:sz w:val="32"/>
          <w:szCs w:val="32"/>
          <w:lang w:val="en-US" w:eastAsia="zh-CN"/>
        </w:rPr>
        <w:t>容易</w:t>
      </w:r>
      <w:r>
        <w:rPr>
          <w:rFonts w:hint="eastAsia" w:ascii="仿宋_GB2312" w:hAnsi="仿宋_GB2312" w:eastAsia="仿宋_GB2312" w:cs="仿宋_GB2312"/>
          <w:b w:val="0"/>
          <w:bCs w:val="0"/>
          <w:color w:val="auto"/>
          <w:sz w:val="32"/>
          <w:szCs w:val="32"/>
        </w:rPr>
        <w:t>造成较</w:t>
      </w:r>
      <w:r>
        <w:rPr>
          <w:rFonts w:hint="eastAsia" w:ascii="仿宋_GB2312" w:hAnsi="仿宋_GB2312" w:eastAsia="仿宋_GB2312" w:cs="仿宋_GB2312"/>
          <w:b w:val="0"/>
          <w:bCs w:val="0"/>
          <w:color w:val="auto"/>
          <w:sz w:val="32"/>
          <w:szCs w:val="32"/>
          <w:lang w:val="en-US" w:eastAsia="zh-CN"/>
        </w:rPr>
        <w:t>大</w:t>
      </w:r>
      <w:r>
        <w:rPr>
          <w:rFonts w:hint="eastAsia" w:ascii="仿宋_GB2312" w:hAnsi="仿宋_GB2312" w:eastAsia="仿宋_GB2312" w:cs="仿宋_GB2312"/>
          <w:b w:val="0"/>
          <w:bCs w:val="0"/>
          <w:color w:val="auto"/>
          <w:sz w:val="32"/>
          <w:szCs w:val="32"/>
        </w:rPr>
        <w:t>经济损失。</w:t>
      </w:r>
      <w:r>
        <w:rPr>
          <w:rFonts w:hint="eastAsia" w:ascii="仿宋_GB2312" w:hAnsi="仿宋_GB2312" w:eastAsia="仿宋_GB2312" w:cs="仿宋_GB2312"/>
          <w:color w:val="auto"/>
          <w:sz w:val="32"/>
          <w:szCs w:val="32"/>
          <w:lang w:val="en-US" w:eastAsia="zh-CN"/>
        </w:rPr>
        <w:t>需要加强森林防火道路建设，增设防灭火水池，在金河镇新建消防站，板厂坪工区增设通讯基站。在林区管护上，加强北斗系统、无人机动态监控等新技术的应用。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应急能力方面。</w:t>
      </w:r>
      <w:r>
        <w:rPr>
          <w:rFonts w:hint="eastAsia" w:ascii="仿宋_GB2312" w:hAnsi="仿宋_GB2312" w:eastAsia="仿宋_GB2312" w:cs="仿宋_GB2312"/>
          <w:color w:val="auto"/>
          <w:sz w:val="32"/>
          <w:szCs w:val="32"/>
          <w:lang w:val="en-US" w:eastAsia="zh-CN"/>
        </w:rPr>
        <w:t>该片区应急管理工作和能力建设任务较重，难度较大，应急管理体制机制有待完善。片区乡镇应急保障制度、培训制度、预警预报制度等还未健全完善，没有形成系统化的应急管理体制机制，应急指挥能力差。需要完善区、乡（镇）、村（社区）的三级应急管理框架，健全完善信息报送等工作机制。应急救援力量薄弱，片区没有能够满足山地救援、矿山救援、水上救援需求的救援队伍。需要提升“一主两辅”队伍都装备水平和技术能力，组建一支经验丰富、技术过硬、专业实力强，满足矿山救援、森林扑火、消防救援、水上救援、山地救援等需求的综合救援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应急信息化水平低，乡镇应急指挥可用装备缺乏，科技信息化手段在监测预警、指挥决策、救援实战中的运用占比较低。需要在片区和中心乡镇新扩建应急指挥阵地，增置应急指挥装备。应急避难场地（所）数量少、规模小、设施差、设备缺、标准低。乡镇、村（社区）应急资金保障不足，应急物资品种不齐、数量不足，储存条件不理想。需开展应急避难场所规范化建设，应急物资仓库建设，配足备齐各类应急物资，创新</w:t>
      </w:r>
      <w:r>
        <w:rPr>
          <w:rFonts w:hint="eastAsia" w:ascii="仿宋_GB2312" w:hAnsi="仿宋_GB2312" w:eastAsia="仿宋_GB2312" w:cs="仿宋_GB2312"/>
          <w:b w:val="0"/>
          <w:bCs w:val="0"/>
          <w:color w:val="auto"/>
          <w:sz w:val="32"/>
          <w:szCs w:val="32"/>
        </w:rPr>
        <w:t>物资储备方式</w:t>
      </w:r>
      <w:r>
        <w:rPr>
          <w:rFonts w:hint="eastAsia" w:ascii="仿宋_GB2312" w:hAnsi="仿宋_GB2312" w:eastAsia="仿宋_GB2312" w:cs="仿宋_GB2312"/>
          <w:color w:val="auto"/>
          <w:sz w:val="32"/>
          <w:szCs w:val="32"/>
          <w:lang w:val="en-US" w:eastAsia="zh-CN"/>
        </w:rPr>
        <w:t>，完善物资管理调配制度</w:t>
      </w:r>
      <w:r>
        <w:rPr>
          <w:rFonts w:hint="eastAsia" w:ascii="仿宋_GB2312" w:hAnsi="仿宋_GB2312" w:eastAsia="仿宋_GB2312" w:cs="仿宋_GB2312"/>
          <w:b w:val="0"/>
          <w:bCs w:val="0"/>
          <w:color w:val="auto"/>
          <w:sz w:val="32"/>
          <w:szCs w:val="32"/>
        </w:rPr>
        <w:t>。</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社会共治共享方面。</w:t>
      </w:r>
      <w:r>
        <w:rPr>
          <w:rFonts w:hint="eastAsia" w:ascii="仿宋_GB2312" w:hAnsi="仿宋_GB2312" w:eastAsia="仿宋_GB2312" w:cs="仿宋_GB2312"/>
          <w:color w:val="auto"/>
          <w:sz w:val="32"/>
          <w:szCs w:val="32"/>
          <w:lang w:val="en-US" w:eastAsia="zh-CN"/>
        </w:rPr>
        <w:t>片区尚未建立社会共治示范区及文化宣传广场，宣传手段基本为发放应知应会手册或传单，缺乏现代信息技术手段应用。片区家庭配备灾害防灾和自救装备比例极低，群众防灾减灾意识、安全意识不强，掌握自救呼救能力程度低。</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0"/>
        <w:rPr>
          <w:rFonts w:hint="eastAsia" w:ascii="Times New Roman" w:hAnsi="Times New Roman" w:eastAsia="仿宋" w:cs="仿宋"/>
          <w:color w:val="auto"/>
          <w:sz w:val="32"/>
          <w:szCs w:val="32"/>
          <w:lang w:val="en-US" w:eastAsia="zh-CN"/>
        </w:rPr>
      </w:pPr>
      <w:bookmarkStart w:id="16" w:name="_Toc20872"/>
      <w:bookmarkStart w:id="17" w:name="_Toc15277"/>
      <w:r>
        <w:rPr>
          <w:rFonts w:hint="eastAsia" w:ascii="Times New Roman" w:hAnsi="Times New Roman" w:eastAsia="黑体" w:cs="黑体"/>
          <w:color w:val="auto"/>
          <w:sz w:val="32"/>
          <w:szCs w:val="32"/>
          <w:lang w:val="en-US" w:eastAsia="zh-CN"/>
        </w:rPr>
        <w:t>三、规划目标</w:t>
      </w:r>
      <w:bookmarkEnd w:id="16"/>
      <w:bookmarkEnd w:id="17"/>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18" w:name="_Toc20131"/>
      <w:bookmarkStart w:id="19" w:name="_Toc22507"/>
      <w:r>
        <w:rPr>
          <w:rFonts w:hint="eastAsia" w:ascii="Times New Roman" w:hAnsi="Times New Roman" w:eastAsia="楷体" w:cs="楷体"/>
          <w:color w:val="auto"/>
          <w:sz w:val="32"/>
          <w:szCs w:val="32"/>
          <w:lang w:val="en-US" w:eastAsia="zh-CN"/>
        </w:rPr>
        <w:t>（一）近期目标</w:t>
      </w:r>
      <w:bookmarkEnd w:id="18"/>
      <w:bookmarkEnd w:id="19"/>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到2025年，应急管理体系和能力现代化建设取得明显成效体制机制更加健全完善，风险防控、基层基础、应急救援、综台保障、社会协同能力显著提升，片区安全整体水平、防灾减灾救灾能力显著增强，重特大生产安全事故得到有效遏制，各类灾害事故得到及时妥善应对处置，人民生命财产安全得到有力保障，为深入实施“1168”发展战略、奋力开启现代化金口河新征程提供坚强保障，作出积极贡献。</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lang w:val="en-US" w:eastAsia="zh-CN"/>
        </w:rPr>
        <w:t>安全生产目标：</w:t>
      </w:r>
      <w:r>
        <w:rPr>
          <w:rFonts w:hint="eastAsia" w:ascii="仿宋_GB2312" w:hAnsi="仿宋_GB2312" w:eastAsia="仿宋_GB2312" w:cs="仿宋_GB2312"/>
          <w:color w:val="auto"/>
          <w:sz w:val="32"/>
          <w:szCs w:val="32"/>
          <w:lang w:val="en-US" w:eastAsia="zh-CN"/>
        </w:rPr>
        <w:t>片区安全生产责任体系进一步完善，片区生产安全事故死亡人数下降，专职安全管理人员得到充实，安全生产宣传教育“七进”活动完成率、隐患全部按期整改率</w:t>
      </w:r>
      <w:r>
        <w:rPr>
          <w:rFonts w:hint="eastAsia" w:ascii="仿宋_GB2312" w:hAnsi="仿宋_GB2312" w:eastAsia="仿宋_GB2312" w:cs="仿宋_GB2312"/>
          <w:b w:val="0"/>
          <w:bCs w:val="0"/>
          <w:color w:val="auto"/>
          <w:sz w:val="32"/>
          <w:szCs w:val="32"/>
          <w:lang w:val="en-US" w:eastAsia="zh-CN"/>
        </w:rPr>
        <w:t>有所提高</w:t>
      </w:r>
      <w:r>
        <w:rPr>
          <w:rFonts w:hint="eastAsia" w:ascii="仿宋_GB2312" w:hAnsi="仿宋_GB2312" w:eastAsia="仿宋_GB2312" w:cs="仿宋_GB2312"/>
          <w:color w:val="auto"/>
          <w:sz w:val="32"/>
          <w:szCs w:val="32"/>
          <w:lang w:val="en-US" w:eastAsia="zh-CN"/>
        </w:rPr>
        <w:t>。</w:t>
      </w:r>
    </w:p>
    <w:tbl>
      <w:tblPr>
        <w:tblStyle w:val="18"/>
        <w:tblpPr w:leftFromText="180" w:rightFromText="180" w:vertAnchor="text" w:horzAnchor="page" w:tblpX="1537" w:tblpY="544"/>
        <w:tblOverlap w:val="never"/>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3677"/>
        <w:gridCol w:w="3113"/>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180" w:type="dxa"/>
            <w:gridSpan w:val="4"/>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lang w:val="en-US" w:eastAsia="zh-CN"/>
              </w:rPr>
              <w:t>专栏1安全生产主要指标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3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序号</w:t>
            </w:r>
          </w:p>
        </w:tc>
        <w:tc>
          <w:tcPr>
            <w:tcW w:w="3677"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指标名称</w:t>
            </w:r>
          </w:p>
        </w:tc>
        <w:tc>
          <w:tcPr>
            <w:tcW w:w="3113"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预期值</w:t>
            </w:r>
          </w:p>
        </w:tc>
        <w:tc>
          <w:tcPr>
            <w:tcW w:w="14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3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w:t>
            </w:r>
          </w:p>
        </w:tc>
        <w:tc>
          <w:tcPr>
            <w:tcW w:w="3677"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生产安全事故死亡人数</w:t>
            </w:r>
          </w:p>
        </w:tc>
        <w:tc>
          <w:tcPr>
            <w:tcW w:w="3113"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相比“十三五”期间总数同口径下降10%</w:t>
            </w:r>
          </w:p>
        </w:tc>
        <w:tc>
          <w:tcPr>
            <w:tcW w:w="14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3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2</w:t>
            </w:r>
          </w:p>
        </w:tc>
        <w:tc>
          <w:tcPr>
            <w:tcW w:w="3677"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单位地区生产总值安全事故死亡率</w:t>
            </w:r>
          </w:p>
        </w:tc>
        <w:tc>
          <w:tcPr>
            <w:tcW w:w="3113"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kern w:val="2"/>
                <w:sz w:val="30"/>
                <w:szCs w:val="30"/>
                <w:highlight w:val="none"/>
                <w:vertAlign w:val="baseline"/>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相比“十三五”期间死亡率同口径下降33%</w:t>
            </w:r>
          </w:p>
        </w:tc>
        <w:tc>
          <w:tcPr>
            <w:tcW w:w="14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3</w:t>
            </w:r>
          </w:p>
        </w:tc>
        <w:tc>
          <w:tcPr>
            <w:tcW w:w="3677"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工矿商贸就业人员万人生产安全事故死亡率</w:t>
            </w:r>
          </w:p>
        </w:tc>
        <w:tc>
          <w:tcPr>
            <w:tcW w:w="3113"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kern w:val="2"/>
                <w:sz w:val="30"/>
                <w:szCs w:val="30"/>
                <w:highlight w:val="none"/>
                <w:vertAlign w:val="baseline"/>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相比“十三五”期间死亡率同口径下降10%</w:t>
            </w:r>
          </w:p>
        </w:tc>
        <w:tc>
          <w:tcPr>
            <w:tcW w:w="14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4</w:t>
            </w:r>
          </w:p>
        </w:tc>
        <w:tc>
          <w:tcPr>
            <w:tcW w:w="3677"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专职安全管理人员数量</w:t>
            </w:r>
          </w:p>
        </w:tc>
        <w:tc>
          <w:tcPr>
            <w:tcW w:w="3113"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上升30%</w:t>
            </w:r>
          </w:p>
        </w:tc>
        <w:tc>
          <w:tcPr>
            <w:tcW w:w="14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5</w:t>
            </w:r>
          </w:p>
        </w:tc>
        <w:tc>
          <w:tcPr>
            <w:tcW w:w="3677"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安全生产宣传教育“七进”活动完成率</w:t>
            </w:r>
          </w:p>
        </w:tc>
        <w:tc>
          <w:tcPr>
            <w:tcW w:w="3113"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≥80%</w:t>
            </w:r>
          </w:p>
        </w:tc>
        <w:tc>
          <w:tcPr>
            <w:tcW w:w="14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6</w:t>
            </w:r>
          </w:p>
        </w:tc>
        <w:tc>
          <w:tcPr>
            <w:tcW w:w="3677"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隐患按期整改率</w:t>
            </w:r>
          </w:p>
        </w:tc>
        <w:tc>
          <w:tcPr>
            <w:tcW w:w="3113"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100%</w:t>
            </w:r>
          </w:p>
        </w:tc>
        <w:tc>
          <w:tcPr>
            <w:tcW w:w="14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bl>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防灾减灾目标：</w:t>
      </w:r>
      <w:r>
        <w:rPr>
          <w:rFonts w:hint="eastAsia" w:ascii="仿宋_GB2312" w:hAnsi="仿宋_GB2312" w:eastAsia="仿宋_GB2312" w:cs="仿宋_GB2312"/>
          <w:color w:val="auto"/>
          <w:sz w:val="32"/>
          <w:szCs w:val="32"/>
          <w:lang w:val="en-US" w:eastAsia="zh-CN"/>
        </w:rPr>
        <w:t>片区防灾减灾救灾能力进一步提升，自然灾害直接经济损失不断下降，因自然灾害死亡人数不断减少；应急避难场所和应急物资储备站（点）建设不断加强，防灾减灾宣传深入人心，居民配备家庭应急救援包比例明显提高。</w:t>
      </w:r>
    </w:p>
    <w:tbl>
      <w:tblPr>
        <w:tblStyle w:val="18"/>
        <w:tblW w:w="8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3810"/>
        <w:gridCol w:w="239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8879" w:type="dxa"/>
            <w:gridSpan w:val="4"/>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lang w:val="en-US" w:eastAsia="zh-CN"/>
              </w:rPr>
              <w:t>专栏2防灾减灾主要指标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序号</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指标名称</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预期值</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年均因自然灾害直接经济损失占本地区生产总之的比例</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≤0.5%</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2</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年均因自然灾害死亡人数</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3</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灾害信息发布覆盖率</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≥95%</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4</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受灾群众基本生活得到有效救助的时间</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≤2h（交通方便）</w:t>
            </w:r>
          </w:p>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highlight w:val="none"/>
                <w:vertAlign w:val="baseline"/>
                <w:lang w:val="en-US" w:eastAsia="zh-CN"/>
              </w:rPr>
              <w:t>≤4h（交通偏远）</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5</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村（社区）应急物资储备点设置率</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≥80%</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6</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镇区应急避难场所人均避难面积</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≥1.5m</w:t>
            </w:r>
            <w:r>
              <w:rPr>
                <w:rFonts w:hint="eastAsia" w:ascii="仿宋_GB2312" w:hAnsi="仿宋_GB2312" w:eastAsia="仿宋_GB2312" w:cs="仿宋_GB2312"/>
                <w:color w:val="auto"/>
                <w:sz w:val="30"/>
                <w:szCs w:val="30"/>
                <w:highlight w:val="none"/>
                <w:vertAlign w:val="superscript"/>
                <w:lang w:val="en-US" w:eastAsia="zh-CN"/>
              </w:rPr>
              <w:t>2</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7</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应急物资储备站（点）规划建设情况</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100%</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39"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8</w:t>
            </w:r>
          </w:p>
        </w:tc>
        <w:tc>
          <w:tcPr>
            <w:tcW w:w="381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家庭应急物资配备率</w:t>
            </w:r>
          </w:p>
        </w:tc>
        <w:tc>
          <w:tcPr>
            <w:tcW w:w="239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永胜乡≥50%</w:t>
            </w:r>
          </w:p>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其余≥30%</w:t>
            </w:r>
          </w:p>
        </w:tc>
        <w:tc>
          <w:tcPr>
            <w:tcW w:w="144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bl>
    <w:p>
      <w:pPr>
        <w:rPr>
          <w:rFonts w:hint="eastAsia" w:ascii="仿宋_GB2312" w:hAnsi="仿宋_GB2312" w:eastAsia="仿宋_GB2312" w:cs="仿宋_GB2312"/>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应急能力目标：</w:t>
      </w:r>
      <w:r>
        <w:rPr>
          <w:rFonts w:hint="eastAsia" w:ascii="仿宋_GB2312" w:hAnsi="仿宋_GB2312" w:eastAsia="仿宋_GB2312" w:cs="仿宋_GB2312"/>
          <w:color w:val="auto"/>
          <w:sz w:val="32"/>
          <w:szCs w:val="32"/>
          <w:lang w:val="en-US" w:eastAsia="zh-CN"/>
        </w:rPr>
        <w:t>片区应急能力进一步提升，形成以镇级总体预案为核心，各类专项预案、处置预案为依托的应急预案体系，扎实开展预案演练；应急救援队伍得到充实，专业水平不断提升，响应救援速度不断加快。</w:t>
      </w:r>
    </w:p>
    <w:tbl>
      <w:tblPr>
        <w:tblStyle w:val="18"/>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4960"/>
        <w:gridCol w:w="162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027" w:type="dxa"/>
            <w:gridSpan w:val="4"/>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lang w:val="en-US" w:eastAsia="zh-CN"/>
              </w:rPr>
              <w:t>专栏3应急能力主要指标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序号</w:t>
            </w:r>
          </w:p>
        </w:tc>
        <w:tc>
          <w:tcPr>
            <w:tcW w:w="496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指标名称</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预期值</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w:t>
            </w:r>
          </w:p>
        </w:tc>
        <w:tc>
          <w:tcPr>
            <w:tcW w:w="4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应急预案编制率、演练率</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100%</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2</w:t>
            </w:r>
          </w:p>
        </w:tc>
        <w:tc>
          <w:tcPr>
            <w:tcW w:w="4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专项预案演练率</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100%</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3</w:t>
            </w:r>
          </w:p>
        </w:tc>
        <w:tc>
          <w:tcPr>
            <w:tcW w:w="4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综合性消防救援队伍和政府专职消防救援人员占人口比</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≥0.3%</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4</w:t>
            </w:r>
          </w:p>
        </w:tc>
        <w:tc>
          <w:tcPr>
            <w:tcW w:w="4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消防站布局符合标准要求下消防力量达到辖区边缘时间</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≤15分钟</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5</w:t>
            </w:r>
          </w:p>
        </w:tc>
        <w:tc>
          <w:tcPr>
            <w:tcW w:w="4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镇（街道）10分钟快速相应救援圈建成率</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100%</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6</w:t>
            </w:r>
          </w:p>
        </w:tc>
        <w:tc>
          <w:tcPr>
            <w:tcW w:w="4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镇应急队、村（社区）应急分队建成率</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100%</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32"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7</w:t>
            </w:r>
          </w:p>
        </w:tc>
        <w:tc>
          <w:tcPr>
            <w:tcW w:w="49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应急队伍装备配置完备率</w:t>
            </w:r>
          </w:p>
        </w:tc>
        <w:tc>
          <w:tcPr>
            <w:tcW w:w="1620"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95%</w:t>
            </w:r>
          </w:p>
        </w:tc>
        <w:tc>
          <w:tcPr>
            <w:tcW w:w="1515" w:type="dxa"/>
            <w:vAlign w:val="center"/>
          </w:tcPr>
          <w:p>
            <w:pPr>
              <w:pageBreakBefore w:val="0"/>
              <w:kinsoku/>
              <w:wordWrap/>
              <w:overflowPunct/>
              <w:topLinePunct w:val="0"/>
              <w:autoSpaceDE/>
              <w:autoSpaceDN/>
              <w:bidi w:val="0"/>
              <w:adjustRightInd/>
              <w:snapToGrid/>
              <w:spacing w:line="550" w:lineRule="atLeast"/>
              <w:jc w:val="center"/>
              <w:textAlignment w:val="auto"/>
              <w:rPr>
                <w:rFonts w:hint="eastAsia" w:ascii="仿宋_GB2312" w:hAnsi="仿宋_GB2312" w:eastAsia="仿宋_GB2312" w:cs="仿宋_GB2312"/>
                <w:color w:val="auto"/>
                <w:sz w:val="30"/>
                <w:szCs w:val="30"/>
                <w:highlight w:val="none"/>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bl>
    <w:p>
      <w:pPr>
        <w:rPr>
          <w:rFonts w:hint="eastAsia" w:ascii="Times New Roman" w:hAnsi="Times New Roman"/>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20" w:name="_Toc20034"/>
      <w:bookmarkStart w:id="21" w:name="_Toc7918"/>
      <w:r>
        <w:rPr>
          <w:rFonts w:hint="eastAsia" w:ascii="Times New Roman" w:hAnsi="Times New Roman" w:eastAsia="楷体" w:cs="楷体"/>
          <w:color w:val="auto"/>
          <w:sz w:val="32"/>
          <w:szCs w:val="32"/>
          <w:lang w:val="en-US" w:eastAsia="zh-CN"/>
        </w:rPr>
        <w:t>（二）远期目标</w:t>
      </w:r>
      <w:bookmarkEnd w:id="20"/>
      <w:bookmarkEnd w:id="21"/>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到2035年，把该片区率先建成全国应急管理体系和能力现代化建设示范区大幅提升安全风险防控水平，安全生产形势根本好转；大幅提升自然灾害防御和巨灾应对能力，应急管理实现法治化、科学化、智慧化，形成共建共治共享的新格局，达到“人人懂安全、家家会应急”的新高度，人民群众的获得感、幸福感、安全感显著增强。</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left"/>
        <w:textAlignment w:val="auto"/>
        <w:outlineLvl w:val="0"/>
        <w:rPr>
          <w:rFonts w:hint="eastAsia" w:ascii="Times New Roman" w:hAnsi="Times New Roman" w:eastAsia="黑体" w:cs="黑体"/>
          <w:color w:val="auto"/>
          <w:sz w:val="32"/>
          <w:szCs w:val="32"/>
          <w:lang w:val="en-US" w:eastAsia="zh-CN"/>
        </w:rPr>
      </w:pPr>
      <w:bookmarkStart w:id="22" w:name="_Toc18155"/>
      <w:bookmarkStart w:id="23" w:name="_Toc31095"/>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0"/>
        <w:rPr>
          <w:rFonts w:hint="eastAsia" w:ascii="Times New Roman" w:hAnsi="Times New Roman" w:eastAsia="黑体" w:cs="黑体"/>
          <w:color w:val="auto"/>
          <w:sz w:val="32"/>
          <w:szCs w:val="32"/>
          <w:lang w:val="en-US" w:eastAsia="zh-CN"/>
        </w:rPr>
      </w:pPr>
      <w:r>
        <w:rPr>
          <w:rFonts w:hint="eastAsia" w:ascii="Times New Roman" w:hAnsi="Times New Roman" w:eastAsia="黑体" w:cs="黑体"/>
          <w:color w:val="auto"/>
          <w:sz w:val="32"/>
          <w:szCs w:val="32"/>
          <w:lang w:val="en-US" w:eastAsia="zh-CN"/>
        </w:rPr>
        <w:t>四、主要任务和重点工程</w:t>
      </w:r>
      <w:bookmarkEnd w:id="22"/>
      <w:bookmarkEnd w:id="23"/>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楷体" w:cs="楷体"/>
          <w:color w:val="auto"/>
          <w:sz w:val="32"/>
          <w:szCs w:val="32"/>
          <w:lang w:val="en-US" w:eastAsia="zh-CN"/>
        </w:rPr>
      </w:pPr>
      <w:bookmarkStart w:id="24" w:name="_Toc8532"/>
      <w:bookmarkStart w:id="25" w:name="_Toc4818"/>
      <w:r>
        <w:rPr>
          <w:rFonts w:hint="eastAsia" w:ascii="Times New Roman" w:hAnsi="Times New Roman" w:eastAsia="楷体" w:cs="楷体"/>
          <w:color w:val="auto"/>
          <w:sz w:val="32"/>
          <w:szCs w:val="32"/>
          <w:lang w:val="en-US" w:eastAsia="zh-CN"/>
        </w:rPr>
        <w:t>（一）</w:t>
      </w:r>
      <w:bookmarkEnd w:id="24"/>
      <w:r>
        <w:rPr>
          <w:rFonts w:hint="eastAsia" w:ascii="Times New Roman" w:hAnsi="Times New Roman" w:eastAsia="楷体" w:cs="楷体"/>
          <w:color w:val="auto"/>
          <w:sz w:val="32"/>
          <w:szCs w:val="48"/>
          <w:lang w:val="en-US" w:eastAsia="zh-CN"/>
        </w:rPr>
        <w:t>应急管理体制机制方面</w:t>
      </w:r>
      <w:bookmarkEnd w:id="25"/>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健全应急组织体系。</w:t>
      </w:r>
      <w:r>
        <w:rPr>
          <w:rFonts w:hint="eastAsia" w:ascii="仿宋_GB2312" w:hAnsi="仿宋_GB2312" w:eastAsia="仿宋_GB2312" w:cs="仿宋_GB2312"/>
          <w:color w:val="auto"/>
          <w:sz w:val="32"/>
          <w:szCs w:val="32"/>
          <w:lang w:val="en-US" w:eastAsia="zh-CN"/>
        </w:rPr>
        <w:t>创新应急管理机构设置模式，设立应急指挥分中心，构建区应急管理局——片区应急指挥分中心——行政村（社区）应急服务站（点）的三级应急管理框架。实行镇级现场应急指挥中心制度，优化突发事件现场指挥处置规程。</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完善应急工作机制。</w:t>
      </w:r>
      <w:r>
        <w:rPr>
          <w:rFonts w:hint="eastAsia" w:ascii="仿宋_GB2312" w:hAnsi="仿宋_GB2312" w:eastAsia="仿宋_GB2312" w:cs="仿宋_GB2312"/>
          <w:color w:val="auto"/>
          <w:sz w:val="32"/>
          <w:szCs w:val="32"/>
          <w:lang w:val="en-US" w:eastAsia="zh-CN"/>
        </w:rPr>
        <w:t>建立信息收集工报机制，组建村（社区）突发事件信息情报员队伍；规范恢复重建机制，加强恢复重建过程中的资金管理；完善风险分担机制。推行安全生产责任保险，加强应急救援人员人身安全保险保障；提升协同联动机制，推进形成多元主体参与突发事件应急处置的良性互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提升应急指挥效能。</w:t>
      </w:r>
      <w:r>
        <w:rPr>
          <w:rFonts w:hint="eastAsia" w:ascii="仿宋_GB2312" w:hAnsi="仿宋_GB2312" w:eastAsia="仿宋_GB2312" w:cs="仿宋_GB2312"/>
          <w:color w:val="auto"/>
          <w:sz w:val="32"/>
          <w:szCs w:val="32"/>
          <w:lang w:val="en-US" w:eastAsia="zh-CN"/>
        </w:rPr>
        <w:t>建设金口河区应急指挥中心和镇级应急指挥分中心，推动应急平台之间系统对接、互联互通、数据交换、信息资源共享，提高基层应急平台终端信息采集能力，提升突发事件视频、图像、灾情等信息的报送效率，强化应急平台智能辅助指挥决策等功能。</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优化应急预案体系。</w:t>
      </w:r>
      <w:r>
        <w:rPr>
          <w:rFonts w:hint="eastAsia" w:ascii="仿宋_GB2312" w:hAnsi="仿宋_GB2312" w:eastAsia="仿宋_GB2312" w:cs="仿宋_GB2312"/>
          <w:color w:val="auto"/>
          <w:sz w:val="32"/>
          <w:szCs w:val="32"/>
          <w:lang w:val="en-US" w:eastAsia="zh-CN"/>
        </w:rPr>
        <w:t>制定片区突发事件联合应急预案，完善应急预案体系；充分利用互联网、大数据、智能辅助决策等新技术，在应急管理相关信息化系统中推进应急预案数字化应用；加强应急预案演练和评估，开展形式多样、集约高效的应急演练，加强演练后评估工作。</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专栏1应急管理重点工程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1.镇级应急指挥分中心建设重点工程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建设内容：片区内2个乡镇配备应急指挥终端、单兵装备、侦察无人机，改建应急指挥场所，购置会议设备。</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建设地点：永胜乡、金河镇</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用地范围：利旧</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牵头单位：区应急管理局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完成时限：2023年-2025年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经费估算：30万元</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2.天通1号通信系统提升工程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建设内容：主要用于轻骑兵点验，天通一号设备维修和通讯费</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牵头单位：区应急管理局</w:t>
            </w:r>
          </w:p>
          <w:p>
            <w:pP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32"/>
                <w:szCs w:val="32"/>
                <w:lang w:val="en-US" w:eastAsia="zh-CN"/>
              </w:rPr>
              <w:t>完成时限：2023年-2025年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lang w:val="en-US" w:eastAsia="zh-CN"/>
              </w:rPr>
              <w:t>经费估算：15万元/年</w:t>
            </w:r>
          </w:p>
        </w:tc>
      </w:tr>
    </w:tbl>
    <w:p>
      <w:pPr>
        <w:rPr>
          <w:rFonts w:hint="eastAsia" w:ascii="仿宋_GB2312" w:hAnsi="仿宋_GB2312" w:eastAsia="仿宋_GB2312" w:cs="仿宋_GB2312"/>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楷体_GB2312" w:hAnsi="楷体_GB2312" w:eastAsia="楷体_GB2312" w:cs="楷体_GB2312"/>
          <w:color w:val="auto"/>
          <w:sz w:val="32"/>
          <w:szCs w:val="32"/>
          <w:lang w:val="en-US" w:eastAsia="zh-CN"/>
        </w:rPr>
      </w:pPr>
      <w:bookmarkStart w:id="26" w:name="_Toc32416"/>
      <w:bookmarkStart w:id="27" w:name="_Toc27218"/>
      <w:r>
        <w:rPr>
          <w:rFonts w:hint="eastAsia" w:ascii="楷体_GB2312" w:hAnsi="楷体_GB2312" w:eastAsia="楷体_GB2312" w:cs="楷体_GB2312"/>
          <w:color w:val="auto"/>
          <w:sz w:val="32"/>
          <w:szCs w:val="32"/>
          <w:lang w:val="en-US" w:eastAsia="zh-CN"/>
        </w:rPr>
        <w:t>（二）</w:t>
      </w:r>
      <w:bookmarkEnd w:id="26"/>
      <w:r>
        <w:rPr>
          <w:rFonts w:hint="eastAsia" w:ascii="楷体_GB2312" w:hAnsi="楷体_GB2312" w:eastAsia="楷体_GB2312" w:cs="楷体_GB2312"/>
          <w:color w:val="auto"/>
          <w:sz w:val="32"/>
          <w:szCs w:val="48"/>
          <w:lang w:val="en-US" w:eastAsia="zh-CN"/>
        </w:rPr>
        <w:t>安全生产风险防控方面</w:t>
      </w:r>
      <w:bookmarkEnd w:id="27"/>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加强安全监管。</w:t>
      </w:r>
      <w:r>
        <w:rPr>
          <w:rFonts w:hint="eastAsia" w:ascii="仿宋_GB2312" w:hAnsi="仿宋_GB2312" w:eastAsia="仿宋_GB2312" w:cs="仿宋_GB2312"/>
          <w:color w:val="auto"/>
          <w:sz w:val="32"/>
          <w:szCs w:val="32"/>
          <w:lang w:val="en-US" w:eastAsia="zh-CN"/>
        </w:rPr>
        <w:t>强化安全生产风险管控和隐患排查治理体系、安全生产监管信息化和监管能力建设。推进危化品经营企业安全风险分级和隐患排查治理双重预防机制建设，提升重大危险源监测监控能力。实现政府监管监察执法、企业在线监测和预警防控信息一体化。</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加强源头管控。</w:t>
      </w:r>
      <w:r>
        <w:rPr>
          <w:rFonts w:hint="eastAsia" w:ascii="仿宋_GB2312" w:hAnsi="仿宋_GB2312" w:eastAsia="仿宋_GB2312" w:cs="仿宋_GB2312"/>
          <w:color w:val="auto"/>
          <w:sz w:val="32"/>
          <w:szCs w:val="32"/>
          <w:lang w:val="en-US" w:eastAsia="zh-CN"/>
        </w:rPr>
        <w:t>严格落实企业生产设施规划、设计、建设安全标准，从严审批审查新建规模以上企业项目，依法整顿关闭安全保障条件差的小非煤矿山等。</w:t>
      </w:r>
      <w:r>
        <w:rPr>
          <w:rFonts w:hint="eastAsia" w:ascii="仿宋_GB2312" w:hAnsi="仿宋_GB2312" w:eastAsia="仿宋_GB2312" w:cs="仿宋_GB2312"/>
          <w:b w:val="0"/>
          <w:bCs w:val="0"/>
          <w:color w:val="auto"/>
          <w:sz w:val="32"/>
          <w:szCs w:val="32"/>
        </w:rPr>
        <w:t>严格三角石工业园区项目准入把关，进一步提升园区安全水平。</w:t>
      </w:r>
      <w:r>
        <w:rPr>
          <w:rFonts w:hint="eastAsia" w:ascii="仿宋_GB2312" w:hAnsi="仿宋_GB2312" w:eastAsia="仿宋_GB2312" w:cs="仿宋_GB2312"/>
          <w:b w:val="0"/>
          <w:bCs w:val="0"/>
          <w:color w:val="auto"/>
          <w:sz w:val="32"/>
          <w:szCs w:val="32"/>
          <w:lang w:val="en-US" w:eastAsia="zh-CN"/>
        </w:rPr>
        <w:t>认真</w:t>
      </w:r>
      <w:r>
        <w:rPr>
          <w:rFonts w:hint="eastAsia" w:ascii="仿宋_GB2312" w:hAnsi="仿宋_GB2312" w:eastAsia="仿宋_GB2312" w:cs="仿宋_GB2312"/>
          <w:b w:val="0"/>
          <w:bCs w:val="0"/>
          <w:color w:val="auto"/>
          <w:sz w:val="32"/>
          <w:szCs w:val="32"/>
        </w:rPr>
        <w:t>落实建设项目安全设施</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三同时”制度</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积极促进企业开展</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三项岗位人员”培训，全面提升高危行业企业主要负责人、安全管理人员及特种作业人员的安全素养和安全操作技能。</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加强“打非治违”。</w:t>
      </w:r>
      <w:r>
        <w:rPr>
          <w:rFonts w:hint="eastAsia" w:ascii="仿宋_GB2312" w:hAnsi="仿宋_GB2312" w:eastAsia="仿宋_GB2312" w:cs="仿宋_GB2312"/>
          <w:color w:val="auto"/>
          <w:sz w:val="32"/>
          <w:szCs w:val="32"/>
          <w:lang w:val="en-US" w:eastAsia="zh-CN"/>
        </w:rPr>
        <w:t>深化安全生产专项整治，实施重大安全隐患跟踪督办，强化隐患治理全过程闭环管理，强化重点行业领域安全监管及风险管控。积极推进突发事件风险管控工作，做到有人员、有制度、有预案、有演练、有保障，实现全区生产安全事件风险网格化管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专栏2安全生产风险防控重点工程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1.综合执法服务能力提升重点工程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建设内容：乡镇综合执法中队建设，配套培训室（大会议室）各1间，办公室各1间，询问室各1间，资料室各1间，装备室各1间。购买执法车辆各1辆，执法装备各1套。</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建设地点：永胜乡、金河镇</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用地范围：利旧</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牵头单位：区应急管理局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完成年限：</w:t>
            </w:r>
            <w:r>
              <w:rPr>
                <w:rFonts w:hint="eastAsia" w:ascii="仿宋_GB2312" w:hAnsi="仿宋_GB2312" w:eastAsia="仿宋_GB2312" w:cs="仿宋_GB2312"/>
                <w:color w:val="auto"/>
                <w:sz w:val="32"/>
                <w:szCs w:val="32"/>
                <w:lang w:val="en-US" w:eastAsia="zh-CN"/>
              </w:rPr>
              <w:t>2023年-2025年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费用估算：100万元</w:t>
            </w:r>
          </w:p>
          <w:p>
            <w:pPr>
              <w:rPr>
                <w:rFonts w:hint="eastAsia" w:ascii="仿宋_GB2312" w:hAnsi="仿宋_GB2312" w:eastAsia="仿宋_GB2312" w:cs="仿宋_GB2312"/>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2.企业监控设备提升工程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建设内容：对相关安全生产企业加强监控设备，以企业为责任主体，政府给予相关政策、资金、物资支持。</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建设地点：永胜乡、金河镇</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牵头单位：区应急管理局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完成时限：</w:t>
            </w:r>
            <w:r>
              <w:rPr>
                <w:rFonts w:hint="eastAsia" w:ascii="仿宋_GB2312" w:hAnsi="仿宋_GB2312" w:eastAsia="仿宋_GB2312" w:cs="仿宋_GB2312"/>
                <w:color w:val="auto"/>
                <w:sz w:val="32"/>
                <w:szCs w:val="32"/>
                <w:lang w:val="en-US" w:eastAsia="zh-CN"/>
              </w:rPr>
              <w:t>2023年-2025年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经费估算：300万元</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3.道路质量及安防设施基础补短重点工程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建设内容：</w:t>
            </w:r>
            <w:r>
              <w:rPr>
                <w:rFonts w:hint="eastAsia" w:ascii="仿宋_GB2312" w:hAnsi="仿宋_GB2312" w:eastAsia="仿宋_GB2312" w:cs="仿宋_GB2312"/>
                <w:b w:val="0"/>
                <w:bCs w:val="0"/>
                <w:color w:val="auto"/>
                <w:kern w:val="2"/>
                <w:sz w:val="32"/>
                <w:szCs w:val="32"/>
                <w:lang w:val="en-US" w:eastAsia="zh-CN" w:bidi="ar-SA"/>
              </w:rPr>
              <w:t>对片区内49公里农村公路道路质量提升及安防护栏。</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建设地点：永胜乡、金河镇</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用地范围：利旧</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牵头单位：区交通运输局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完成时限：</w:t>
            </w:r>
            <w:r>
              <w:rPr>
                <w:rFonts w:hint="eastAsia" w:ascii="仿宋_GB2312" w:hAnsi="仿宋_GB2312" w:eastAsia="仿宋_GB2312" w:cs="仿宋_GB2312"/>
                <w:color w:val="auto"/>
                <w:sz w:val="32"/>
                <w:szCs w:val="32"/>
                <w:lang w:val="en-US" w:eastAsia="zh-CN"/>
              </w:rPr>
              <w:t>2023年-2025年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经费估算：980万元</w:t>
            </w:r>
          </w:p>
        </w:tc>
      </w:tr>
    </w:tbl>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28" w:name="_Toc13331"/>
      <w:bookmarkStart w:id="29" w:name="_Toc24012"/>
      <w:r>
        <w:rPr>
          <w:rFonts w:hint="eastAsia" w:ascii="Times New Roman" w:hAnsi="Times New Roman" w:eastAsia="楷体" w:cs="楷体"/>
          <w:color w:val="auto"/>
          <w:sz w:val="32"/>
          <w:szCs w:val="32"/>
          <w:lang w:val="en-US" w:eastAsia="zh-CN"/>
        </w:rPr>
        <w:t>（三）</w:t>
      </w:r>
      <w:bookmarkEnd w:id="28"/>
      <w:r>
        <w:rPr>
          <w:rFonts w:hint="eastAsia" w:ascii="Times New Roman" w:hAnsi="Times New Roman" w:eastAsia="楷体" w:cs="楷体"/>
          <w:color w:val="auto"/>
          <w:sz w:val="32"/>
          <w:szCs w:val="32"/>
          <w:lang w:val="en-US" w:eastAsia="zh-CN"/>
        </w:rPr>
        <w:t>自然灾害防治方面</w:t>
      </w:r>
      <w:bookmarkEnd w:id="29"/>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用好自然灾害普查成果。</w:t>
      </w:r>
      <w:r>
        <w:rPr>
          <w:rFonts w:hint="eastAsia" w:ascii="楷体_GB2312" w:hAnsi="楷体_GB2312" w:eastAsia="楷体_GB2312" w:cs="楷体_GB2312"/>
          <w:color w:val="auto"/>
          <w:sz w:val="32"/>
          <w:szCs w:val="32"/>
          <w:lang w:val="en-US" w:eastAsia="zh-CN"/>
        </w:rPr>
        <w:t>充分利用自然灾害综合风险普查成果，科学规划片区应急避难场所、救灾物资储备点、森林检查站等，建立村（社区）微型消防救援站，完善村（社区）防灾减灾基础设施建设，增强乡镇社区综合服务设施应急功能。</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强化自然灾害监测预警。</w:t>
      </w:r>
      <w:r>
        <w:rPr>
          <w:rFonts w:hint="eastAsia" w:ascii="楷体_GB2312" w:hAnsi="楷体_GB2312" w:eastAsia="楷体_GB2312" w:cs="楷体_GB2312"/>
          <w:color w:val="auto"/>
          <w:sz w:val="32"/>
          <w:szCs w:val="32"/>
          <w:lang w:val="en-US" w:eastAsia="zh-CN"/>
        </w:rPr>
        <w:t>加强片区气象监测预报基础设施建设。提高对中小尺度强对流天气、暴雨等及其可能引发的地质灾害、山洪灾害和其他次生灾害的预测预警能力。</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加强防汛抗旱能力建设。</w:t>
      </w:r>
      <w:r>
        <w:rPr>
          <w:rFonts w:hint="eastAsia" w:ascii="楷体_GB2312" w:hAnsi="楷体_GB2312" w:eastAsia="楷体_GB2312" w:cs="楷体_GB2312"/>
          <w:color w:val="auto"/>
          <w:sz w:val="32"/>
          <w:szCs w:val="32"/>
          <w:lang w:val="en-US" w:eastAsia="zh-CN"/>
        </w:rPr>
        <w:t>推进防汛抗旱水利提升工程，进一步推进中小河流治理、中小型水库和其他小型水利设施建设，提高防洪抗旱和水安全保障。</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提升城乡抗震减灾水平。</w:t>
      </w:r>
      <w:r>
        <w:rPr>
          <w:rFonts w:hint="eastAsia" w:ascii="楷体_GB2312" w:hAnsi="楷体_GB2312" w:eastAsia="楷体_GB2312" w:cs="楷体_GB2312"/>
          <w:color w:val="auto"/>
          <w:sz w:val="32"/>
          <w:szCs w:val="32"/>
          <w:lang w:val="en-US" w:eastAsia="zh-CN"/>
        </w:rPr>
        <w:t>加强隐患治理和抗震工作，提升安全性能。加强应急避难场所规范化建设，片区内12个行政村（社区）每村（社区）至少有1个规范化应急避难场所，满足城乡居民应急避险需要。</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推进地质灾害综合治理。</w:t>
      </w:r>
      <w:r>
        <w:rPr>
          <w:rFonts w:hint="eastAsia" w:ascii="楷体_GB2312" w:hAnsi="楷体_GB2312" w:eastAsia="楷体_GB2312" w:cs="楷体_GB2312"/>
          <w:color w:val="auto"/>
          <w:sz w:val="32"/>
          <w:szCs w:val="32"/>
          <w:lang w:val="en-US" w:eastAsia="zh-CN"/>
        </w:rPr>
        <w:t>加强地质灾害易发区及危险区土地利用管理，降低地质灾害风险。对风险等级高、搬迁难度大的重大地质灾害隐患进行工程治理，推进小型地质灾害隐患简易治理及除危排险。</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夯实森林防灭火基础设施。</w:t>
      </w:r>
      <w:r>
        <w:rPr>
          <w:rFonts w:hint="eastAsia" w:ascii="楷体_GB2312" w:hAnsi="楷体_GB2312" w:eastAsia="楷体_GB2312" w:cs="楷体_GB2312"/>
          <w:color w:val="auto"/>
          <w:sz w:val="32"/>
          <w:szCs w:val="32"/>
          <w:lang w:val="en-US" w:eastAsia="zh-CN"/>
        </w:rPr>
        <w:t>推进森林防火基础综合设施建设项目，加快森林防火应急道路、应急水池和阻隔系统建设，推进林业有害生物防治等基础能力建设。</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专栏3自然灾害防治重点工程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1.金口河区气象监测能力提升工程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建设内容：购置多套可视化气象监测设备和智能预警发布系统。</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建设地点：永胜乡、金河镇</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用地范围：利旧</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牵头单位：区应急管理局、区交通局、区农业农村局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完成时限：</w:t>
            </w:r>
            <w:r>
              <w:rPr>
                <w:rFonts w:hint="eastAsia" w:ascii="仿宋_GB2312" w:hAnsi="仿宋_GB2312" w:eastAsia="仿宋_GB2312" w:cs="仿宋_GB2312"/>
                <w:color w:val="auto"/>
                <w:sz w:val="32"/>
                <w:szCs w:val="32"/>
                <w:highlight w:val="none"/>
                <w:lang w:val="en-US" w:eastAsia="zh-CN"/>
              </w:rPr>
              <w:t>2023年-</w:t>
            </w:r>
            <w:r>
              <w:rPr>
                <w:rFonts w:hint="eastAsia" w:ascii="仿宋_GB2312" w:hAnsi="仿宋_GB2312" w:eastAsia="仿宋_GB2312" w:cs="仿宋_GB2312"/>
                <w:color w:val="auto"/>
                <w:sz w:val="32"/>
                <w:szCs w:val="32"/>
                <w:highlight w:val="none"/>
                <w:vertAlign w:val="baseline"/>
                <w:lang w:val="en-US" w:eastAsia="zh-CN"/>
              </w:rPr>
              <w:t>2035年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经费估算：50万元</w:t>
            </w:r>
          </w:p>
          <w:p>
            <w:pPr>
              <w:pStyle w:val="9"/>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sz w:val="32"/>
                <w:szCs w:val="32"/>
                <w:highlight w:val="none"/>
                <w:vertAlign w:val="baseline"/>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2.森林防火基础综合设施建设项目</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建设内容：新改建防火道路48.2公里完成大瓦山总体消防设施建设，新建消防水池6口新建林火视频监控系统野外监控点3个。</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建设地点：永胜乡、鹿儿坪工区、二道坪工区、板厂坪工区</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用地范围：林区道路沿线</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牵头单位：区自然资源局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完成时限：2035年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Times New Roman" w:hAnsi="Times New Roman" w:eastAsia="仿宋" w:cs="仿宋"/>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经费估算：700万元</w:t>
            </w:r>
          </w:p>
        </w:tc>
      </w:tr>
    </w:tbl>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Times New Roman" w:hAnsi="Times New Roman" w:eastAsia="仿宋" w:cs="仿宋"/>
          <w:color w:val="auto"/>
          <w:sz w:val="32"/>
          <w:szCs w:val="32"/>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outlineLvl w:val="1"/>
        <w:rPr>
          <w:rFonts w:hint="eastAsia" w:ascii="Times New Roman" w:hAnsi="Times New Roman" w:eastAsia="楷体" w:cs="楷体"/>
          <w:color w:val="auto"/>
          <w:sz w:val="32"/>
          <w:szCs w:val="32"/>
          <w:lang w:val="en-US" w:eastAsia="zh-CN"/>
        </w:rPr>
      </w:pPr>
      <w:bookmarkStart w:id="30" w:name="_Toc13027"/>
      <w:bookmarkStart w:id="31" w:name="_Toc10074"/>
      <w:r>
        <w:rPr>
          <w:rFonts w:hint="eastAsia" w:ascii="Times New Roman" w:hAnsi="Times New Roman" w:eastAsia="楷体" w:cs="楷体"/>
          <w:color w:val="auto"/>
          <w:sz w:val="32"/>
          <w:szCs w:val="32"/>
          <w:lang w:val="en-US" w:eastAsia="zh-CN"/>
        </w:rPr>
        <w:t>（四）</w:t>
      </w:r>
      <w:bookmarkEnd w:id="30"/>
      <w:r>
        <w:rPr>
          <w:rFonts w:hint="eastAsia" w:ascii="Times New Roman" w:hAnsi="Times New Roman" w:eastAsia="楷体" w:cs="楷体"/>
          <w:color w:val="auto"/>
          <w:sz w:val="32"/>
          <w:szCs w:val="48"/>
          <w:lang w:val="en-US" w:eastAsia="zh-CN"/>
        </w:rPr>
        <w:t>应急能力建设方面</w:t>
      </w:r>
      <w:bookmarkEnd w:id="31"/>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应急队伍建设。</w:t>
      </w:r>
      <w:r>
        <w:rPr>
          <w:rFonts w:hint="eastAsia" w:ascii="仿宋_GB2312" w:hAnsi="仿宋_GB2312" w:eastAsia="仿宋_GB2312" w:cs="仿宋_GB2312"/>
          <w:color w:val="auto"/>
          <w:sz w:val="32"/>
          <w:szCs w:val="32"/>
          <w:lang w:val="en-US" w:eastAsia="zh-CN"/>
        </w:rPr>
        <w:t>一是加强“一主两辅”队伍建设，开展标准化建设，强化救援人员配置、装备配备、日常训练和后勤保障，健全快速调动机制，提升应急救援处突能力。</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是加强专业救援力量建设。依托企业自身、消防应急救援力量，提升危化品经营企业工艺处置队和消防处置队联合协同应急救援能力，打造一支经验丰富、技术过硬、专业实力强的应急救援队伍。依托消防救援大队并整合大瓦山国家湿地公园及鹿儿坪工区、二道坪工区、板厂坪工区在内相关资源，组建一支拥有山地救援能力的综合救援队伍。</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是引导社会救援力量。鼓励支持社会团体和民间救援组织等社会力量参与应急救援工作。开展社会应急力量调查摸底，建立健全社会应急力量分级分类管理制度。健全属地为主的社会应急力量调用机制，完善救援保障和补偿政策及标准，全面提升社会应急能力。</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四是强化应急管理干部队伍建设。加强灾害信息员、气象信息员、群测群防员、网格员等应急信息员队伍，加强综合性业务培训，鼓励“一员多职”，给予必要经费补助。</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保障体系建设。</w:t>
      </w:r>
      <w:r>
        <w:rPr>
          <w:rFonts w:hint="eastAsia" w:ascii="仿宋_GB2312" w:hAnsi="仿宋_GB2312" w:eastAsia="仿宋_GB2312" w:cs="仿宋_GB2312"/>
          <w:color w:val="auto"/>
          <w:sz w:val="32"/>
          <w:szCs w:val="32"/>
          <w:lang w:val="en-US" w:eastAsia="zh-CN"/>
        </w:rPr>
        <w:t>按照救援时效、物资前置的要求，依托现有乡村设施，对现有物资储备点进行改造，配足备齐物资，逐步实现仓储资源、应急物资的高效整合、共建共享和快捷调运。健全应急物资实物储备、社会储备和生产能力储备管理制度；推进应急物资综合信息管理系统建设提高应急物资综合协调、分类分级保障能力。鼓励企业、社会组织和家庭储备一定数量的应急物资。进一步推进安全生产应急救援装备物资、地震应急救援专业装备物资等应急物资保障能力建设。加强城市防洪、排水防涝、生命线系统抢修、应急供水、生活保障等应急物资和装备储备，补充储备品种、增加储备数量。</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应急预案建设。</w:t>
      </w:r>
      <w:r>
        <w:rPr>
          <w:rFonts w:hint="eastAsia" w:ascii="仿宋_GB2312" w:hAnsi="仿宋_GB2312" w:eastAsia="仿宋_GB2312" w:cs="仿宋_GB2312"/>
          <w:b w:val="0"/>
          <w:bCs w:val="0"/>
          <w:color w:val="auto"/>
          <w:sz w:val="32"/>
          <w:szCs w:val="32"/>
        </w:rPr>
        <w:t>结合本片区安全风险、灾害种类实际，科学构建灾害模拟情景，编制修订镇级综合应急预案、专项处置方案。尤其开展地质灾害、水上安全、森林火灾等风险分析和应急能力评估，制定相关专项应急救援行动方案。开展应急预案数字化管理，实现</w:t>
      </w:r>
      <w:r>
        <w:rPr>
          <w:rFonts w:hint="eastAsia" w:ascii="仿宋_GB2312" w:hAnsi="仿宋_GB2312" w:eastAsia="仿宋_GB2312" w:cs="仿宋_GB2312"/>
          <w:b w:val="0"/>
          <w:bCs w:val="0"/>
          <w:color w:val="auto"/>
          <w:sz w:val="32"/>
          <w:szCs w:val="32"/>
          <w:lang w:val="en-US" w:eastAsia="zh-CN"/>
        </w:rPr>
        <w:t>应急预案、工作手册平台化应用</w:t>
      </w:r>
      <w:r>
        <w:rPr>
          <w:rFonts w:hint="eastAsia" w:ascii="仿宋_GB2312" w:hAnsi="仿宋_GB2312" w:eastAsia="仿宋_GB2312" w:cs="仿宋_GB2312"/>
          <w:b w:val="0"/>
          <w:bCs w:val="0"/>
          <w:color w:val="auto"/>
          <w:sz w:val="32"/>
          <w:szCs w:val="32"/>
        </w:rPr>
        <w:t>，提高应急预案的</w:t>
      </w:r>
      <w:r>
        <w:rPr>
          <w:rFonts w:hint="eastAsia" w:ascii="仿宋_GB2312" w:hAnsi="仿宋_GB2312" w:eastAsia="仿宋_GB2312" w:cs="仿宋_GB2312"/>
          <w:b w:val="0"/>
          <w:bCs w:val="0"/>
          <w:color w:val="auto"/>
          <w:sz w:val="32"/>
          <w:szCs w:val="32"/>
          <w:lang w:val="en-US" w:eastAsia="zh-CN"/>
        </w:rPr>
        <w:t>时效性和</w:t>
      </w:r>
      <w:r>
        <w:rPr>
          <w:rFonts w:hint="eastAsia" w:ascii="仿宋_GB2312" w:hAnsi="仿宋_GB2312" w:eastAsia="仿宋_GB2312" w:cs="仿宋_GB2312"/>
          <w:b w:val="0"/>
          <w:bCs w:val="0"/>
          <w:color w:val="auto"/>
          <w:sz w:val="32"/>
          <w:szCs w:val="32"/>
        </w:rPr>
        <w:t>针对性。加强应急预案演练</w:t>
      </w:r>
      <w:r>
        <w:rPr>
          <w:rFonts w:hint="eastAsia" w:ascii="仿宋_GB2312" w:hAnsi="仿宋_GB2312" w:eastAsia="仿宋_GB2312" w:cs="仿宋_GB2312"/>
          <w:b w:val="0"/>
          <w:bCs w:val="0"/>
          <w:color w:val="auto"/>
          <w:sz w:val="32"/>
          <w:szCs w:val="32"/>
          <w:lang w:val="en-US" w:eastAsia="zh-CN"/>
        </w:rPr>
        <w:t>力度</w:t>
      </w:r>
      <w:r>
        <w:rPr>
          <w:rFonts w:hint="eastAsia" w:ascii="仿宋_GB2312" w:hAnsi="仿宋_GB2312" w:eastAsia="仿宋_GB2312" w:cs="仿宋_GB2312"/>
          <w:b w:val="0"/>
          <w:bCs w:val="0"/>
          <w:color w:val="auto"/>
          <w:sz w:val="32"/>
          <w:szCs w:val="32"/>
        </w:rPr>
        <w:t>，鼓励采用</w:t>
      </w:r>
      <w:r>
        <w:rPr>
          <w:rFonts w:hint="eastAsia" w:ascii="仿宋_GB2312" w:hAnsi="仿宋_GB2312" w:eastAsia="仿宋_GB2312" w:cs="仿宋_GB2312"/>
          <w:b w:val="0"/>
          <w:bCs w:val="0"/>
          <w:color w:val="auto"/>
          <w:sz w:val="32"/>
          <w:szCs w:val="32"/>
          <w:lang w:val="en-US" w:eastAsia="zh-CN"/>
        </w:rPr>
        <w:t>多种</w:t>
      </w:r>
      <w:r>
        <w:rPr>
          <w:rFonts w:hint="eastAsia" w:ascii="仿宋_GB2312" w:hAnsi="仿宋_GB2312" w:eastAsia="仿宋_GB2312" w:cs="仿宋_GB2312"/>
          <w:b w:val="0"/>
          <w:bCs w:val="0"/>
          <w:color w:val="auto"/>
          <w:sz w:val="32"/>
          <w:szCs w:val="32"/>
        </w:rPr>
        <w:t>多样、</w:t>
      </w:r>
      <w:r>
        <w:rPr>
          <w:rFonts w:hint="eastAsia" w:ascii="仿宋_GB2312" w:hAnsi="仿宋_GB2312" w:eastAsia="仿宋_GB2312" w:cs="仿宋_GB2312"/>
          <w:b w:val="0"/>
          <w:bCs w:val="0"/>
          <w:color w:val="auto"/>
          <w:sz w:val="32"/>
          <w:szCs w:val="32"/>
          <w:lang w:val="en-US" w:eastAsia="zh-CN"/>
        </w:rPr>
        <w:t>集约</w:t>
      </w:r>
      <w:r>
        <w:rPr>
          <w:rFonts w:hint="eastAsia" w:ascii="仿宋_GB2312" w:hAnsi="仿宋_GB2312" w:eastAsia="仿宋_GB2312" w:cs="仿宋_GB2312"/>
          <w:b w:val="0"/>
          <w:bCs w:val="0"/>
          <w:color w:val="auto"/>
          <w:sz w:val="32"/>
          <w:szCs w:val="32"/>
        </w:rPr>
        <w:t>高效的演练形式，推动常态化开展灾害事故应急预案演练。</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设施</w:t>
      </w:r>
      <w:r>
        <w:rPr>
          <w:rFonts w:hint="eastAsia" w:ascii="仿宋_GB2312" w:hAnsi="仿宋_GB2312" w:eastAsia="仿宋_GB2312" w:cs="仿宋_GB2312"/>
          <w:b/>
          <w:bCs/>
          <w:color w:val="auto"/>
          <w:sz w:val="32"/>
          <w:szCs w:val="32"/>
          <w:lang w:val="en-US" w:eastAsia="zh-CN"/>
        </w:rPr>
        <w:t>场所</w:t>
      </w:r>
      <w:r>
        <w:rPr>
          <w:rFonts w:hint="eastAsia" w:ascii="仿宋_GB2312" w:hAnsi="仿宋_GB2312" w:eastAsia="仿宋_GB2312" w:cs="仿宋_GB2312"/>
          <w:b/>
          <w:bCs/>
          <w:color w:val="auto"/>
          <w:sz w:val="32"/>
          <w:szCs w:val="32"/>
        </w:rPr>
        <w:t>建设。</w:t>
      </w:r>
      <w:r>
        <w:rPr>
          <w:rFonts w:hint="eastAsia" w:ascii="仿宋_GB2312" w:hAnsi="仿宋_GB2312" w:eastAsia="仿宋_GB2312" w:cs="仿宋_GB2312"/>
          <w:b w:val="0"/>
          <w:bCs w:val="0"/>
          <w:color w:val="auto"/>
          <w:sz w:val="32"/>
          <w:szCs w:val="32"/>
        </w:rPr>
        <w:t>改造应急物资储备库仓储设施、配备储物架，增加防潮、防虫、防火等设施设备。采取以租代储、实物储备及购买服务等形式，加强防汛、基本生活保障、应急救援、森林防灭火等应急物资实物储备。完善储备物资台账建设，保证应急物资的时效性。依托片区内企事业单位、社会团体、组织机构等建立应急物资储备点，适时前置应急物资。引导群众做好家庭应急物资储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推进紧急、临时、固定等类型应急避难场所建设，建立应急避难场所信息数据库和电子地图。加强应急避难场所日常管理与维护，完善运行管理规范，实现对应急避难场所功能区、应急物资、人员安置和运行状态等动态管理。逐步完善移动式救灾指挥、应急医疗救护、应急厕所、应急供电供水消防和应急垃圾与污水处理等配套设施功能，完善线路指示牌和安全警示等标识标牌。各村（社区）可将党群服务中心设置为村（社区）级应急避难场所。</w:t>
      </w:r>
    </w:p>
    <w:p>
      <w:pPr>
        <w:rPr>
          <w:rFonts w:hint="eastAsia"/>
          <w:color w:val="auto"/>
          <w:lang w:val="en-US" w:eastAsia="zh-CN"/>
        </w:rPr>
      </w:pPr>
    </w:p>
    <w:tbl>
      <w:tblPr>
        <w:tblStyle w:val="18"/>
        <w:tblpPr w:leftFromText="180" w:rightFromText="180" w:vertAnchor="text" w:horzAnchor="page" w:tblpX="1572" w:tblpY="-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jc w:val="center"/>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专栏4应急能力建设重点工程</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1.金口河区应急物资储备库建设项目</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内容：改建2个镇级应急物资仓库，3个村级应急物资储备点，配足必需的应急物资。在永胜乡新建应急物资储备仓库，配套建设办公管理系统，购置多功能抢险救援车辆、应急机动指挥通信车辆、应急发电车辆等救援装备和配套应急物资。</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建设地点：永胜乡、金河镇</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用地范围：利旧</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牵头单位：区应急管理局</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kern w:val="2"/>
                <w:sz w:val="32"/>
                <w:szCs w:val="32"/>
                <w:vertAlign w:val="baseline"/>
                <w:lang w:val="en-US" w:eastAsia="zh-CN" w:bidi="ar-SA"/>
              </w:rPr>
              <w:t>2035年</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经费估算：250万元</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2.综合性应急避难场所建设项目</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内容：依托学校操场、村委会空地、旅游服务场所，建成可供3000人紧急避险10天的综合性应急避难场所。配套建设水电气网络设施，卫生排污处理系统，配置救援救灾设施，配套建智能停车场，以利于发生疫情时可改为医疗方舱医院。</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建设地点：金河镇、永胜乡</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用地范围：利旧</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牵头单位：</w:t>
            </w:r>
            <w:r>
              <w:rPr>
                <w:rFonts w:hint="eastAsia" w:ascii="仿宋_GB2312" w:hAnsi="仿宋_GB2312" w:eastAsia="仿宋_GB2312" w:cs="仿宋_GB2312"/>
                <w:b w:val="0"/>
                <w:bCs w:val="0"/>
                <w:color w:val="auto"/>
                <w:sz w:val="32"/>
                <w:szCs w:val="32"/>
                <w:vertAlign w:val="baseline"/>
              </w:rPr>
              <w:t>区应急管理局、区住建局、区人民医院</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kern w:val="2"/>
                <w:sz w:val="32"/>
                <w:szCs w:val="32"/>
                <w:vertAlign w:val="baseline"/>
                <w:lang w:val="en-US" w:eastAsia="zh-CN" w:bidi="ar-SA"/>
              </w:rPr>
              <w:t>2035年</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经费估算：800万元</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3.应急避难场所规范化建设项目</w:t>
            </w:r>
          </w:p>
          <w:p>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建设内容：对现有12个村级临时应急避难场所进行标准化建设。</w:t>
            </w:r>
          </w:p>
          <w:p>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建设地点：永胜乡、金河镇所辖行政村</w:t>
            </w:r>
          </w:p>
          <w:p>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用地范围：利旧</w:t>
            </w:r>
          </w:p>
          <w:p>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牵头单位：区应急管理局</w:t>
            </w:r>
          </w:p>
          <w:p>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kern w:val="2"/>
                <w:sz w:val="32"/>
                <w:szCs w:val="32"/>
                <w:vertAlign w:val="baseline"/>
                <w:lang w:val="en-US" w:eastAsia="zh-CN" w:bidi="ar-SA"/>
              </w:rPr>
              <w:t>2035年</w:t>
            </w:r>
          </w:p>
          <w:p>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经费估算：200万元</w:t>
            </w:r>
          </w:p>
          <w:p>
            <w:pPr>
              <w:pStyle w:val="9"/>
              <w:ind w:left="0" w:leftChars="0" w:firstLine="0" w:firstLineChars="0"/>
              <w:rPr>
                <w:rFonts w:hint="eastAsia" w:ascii="仿宋_GB2312" w:hAnsi="仿宋_GB2312" w:eastAsia="仿宋_GB2312" w:cs="仿宋_GB2312"/>
                <w:color w:val="auto"/>
                <w:kern w:val="2"/>
                <w:sz w:val="32"/>
                <w:szCs w:val="32"/>
                <w:vertAlign w:val="baseline"/>
                <w:lang w:val="en-US" w:eastAsia="zh-CN" w:bidi="ar-SA"/>
              </w:rPr>
            </w:pPr>
          </w:p>
          <w:p>
            <w:pPr>
              <w:pStyle w:val="15"/>
              <w:keepNext w:val="0"/>
              <w:keepLines w:val="0"/>
              <w:widowControl/>
              <w:suppressLineNumbers w:val="0"/>
              <w:spacing w:before="0" w:beforeAutospacing="0" w:after="0" w:afterAutospacing="0"/>
              <w:ind w:left="0" w:right="0" w:firstLine="0"/>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4.大瓦山景区消防站建设项目</w:t>
            </w:r>
          </w:p>
          <w:p>
            <w:pPr>
              <w:pStyle w:val="15"/>
              <w:keepNext w:val="0"/>
              <w:keepLines w:val="0"/>
              <w:widowControl/>
              <w:suppressLineNumbers w:val="0"/>
              <w:spacing w:before="0" w:beforeAutospacing="0" w:after="0" w:afterAutospacing="0"/>
              <w:ind w:left="0" w:right="0" w:firstLine="0"/>
              <w:jc w:val="left"/>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建设内容：新建消防站满足城市二级站要求，具备山岳救援能力，有独立营区、办公场所、训练设施、执勤车辆3辆以及器材装备若干。</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建设地点：永胜乡、金河镇</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用地范围：10亩</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牵头单位：区应急管理局、区消防救援大队</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kern w:val="2"/>
                <w:sz w:val="32"/>
                <w:szCs w:val="32"/>
                <w:vertAlign w:val="baseline"/>
                <w:lang w:val="en-US" w:eastAsia="zh-CN" w:bidi="ar-SA"/>
              </w:rPr>
              <w:t>2030年</w:t>
            </w:r>
          </w:p>
          <w:p>
            <w:pPr>
              <w:rPr>
                <w:rFonts w:hint="eastAsia" w:ascii="Times New Roman" w:hAnsi="Times New Roman" w:eastAsia="仿宋" w:cs="仿宋"/>
                <w:color w:val="auto"/>
                <w:kern w:val="2"/>
                <w:sz w:val="32"/>
                <w:szCs w:val="32"/>
                <w:vertAlign w:val="baseline"/>
                <w:lang w:val="en-US" w:eastAsia="zh-CN" w:bidi="ar-SA"/>
              </w:rPr>
            </w:pPr>
            <w:r>
              <w:rPr>
                <w:rFonts w:hint="eastAsia" w:ascii="仿宋_GB2312" w:hAnsi="仿宋_GB2312" w:eastAsia="仿宋_GB2312" w:cs="仿宋_GB2312"/>
                <w:color w:val="auto"/>
                <w:kern w:val="2"/>
                <w:sz w:val="32"/>
                <w:szCs w:val="32"/>
                <w:vertAlign w:val="baseline"/>
                <w:lang w:val="en-US" w:eastAsia="zh-CN" w:bidi="ar-SA"/>
              </w:rPr>
              <w:t>经费估算：1000万元</w:t>
            </w:r>
          </w:p>
        </w:tc>
      </w:tr>
    </w:tbl>
    <w:p>
      <w:pPr>
        <w:rPr>
          <w:rFonts w:hint="eastAsia" w:ascii="Times New Roman" w:hAnsi="Times New Roman" w:eastAsia="仿宋" w:cs="仿宋"/>
          <w:color w:val="auto"/>
          <w:kern w:val="2"/>
          <w:sz w:val="32"/>
          <w:szCs w:val="32"/>
          <w:lang w:val="en-US" w:eastAsia="zh-CN" w:bidi="ar-SA"/>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32" w:name="_Toc875"/>
      <w:bookmarkStart w:id="33" w:name="_Toc26859"/>
      <w:r>
        <w:rPr>
          <w:rFonts w:hint="eastAsia" w:ascii="Times New Roman" w:hAnsi="Times New Roman" w:eastAsia="楷体" w:cs="楷体"/>
          <w:color w:val="auto"/>
          <w:sz w:val="32"/>
          <w:szCs w:val="32"/>
          <w:lang w:val="en-US" w:eastAsia="zh-CN"/>
        </w:rPr>
        <w:t>（五）</w:t>
      </w:r>
      <w:bookmarkEnd w:id="32"/>
      <w:r>
        <w:rPr>
          <w:rFonts w:hint="eastAsia" w:ascii="Times New Roman" w:hAnsi="Times New Roman" w:eastAsia="楷体" w:cs="楷体"/>
          <w:color w:val="auto"/>
          <w:sz w:val="32"/>
          <w:szCs w:val="48"/>
          <w:lang w:val="en-US" w:eastAsia="zh-CN"/>
        </w:rPr>
        <w:t>先进技术应用方面</w:t>
      </w:r>
      <w:bookmarkEnd w:id="33"/>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应急指挥中心建设。</w:t>
      </w:r>
      <w:r>
        <w:rPr>
          <w:rFonts w:hint="eastAsia" w:ascii="仿宋_GB2312" w:hAnsi="仿宋_GB2312" w:eastAsia="仿宋_GB2312" w:cs="仿宋_GB2312"/>
          <w:color w:val="auto"/>
          <w:sz w:val="32"/>
          <w:szCs w:val="32"/>
          <w:lang w:val="en-US" w:eastAsia="zh-CN"/>
        </w:rPr>
        <w:t>建设镇级应急指挥中心及配套设施，实现指挥救援、监测预警、监督管理、决策支持和社会动员等功能，推动片区应急管理信息化工作向“智慧应急”迈进。</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应急指挥网络建设。</w:t>
      </w:r>
      <w:r>
        <w:rPr>
          <w:rFonts w:hint="eastAsia" w:ascii="仿宋_GB2312" w:hAnsi="仿宋_GB2312" w:eastAsia="仿宋_GB2312" w:cs="仿宋_GB2312"/>
          <w:color w:val="auto"/>
          <w:sz w:val="32"/>
          <w:szCs w:val="32"/>
          <w:lang w:val="en-US" w:eastAsia="zh-CN"/>
        </w:rPr>
        <w:t>结合社会治理智能化建设，各镇、村（社区）运用手机、微信群、网络视频会议、卫星电话、广播村村响系统、手持对讲机等信息化手段，搭建指挥网络，实现灾情反馈、指令下达、信息传递顺畅高效、务实管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专栏5先进技术应用重点工程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1.应急通讯补短板工程</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建设内容：建设通讯基站1个，实现区域通讯网络全覆盖、无死角。</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建设地点：板厂坪工区</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用地范围：利旧</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牵头单位：区自然资源局、板厂坪工区</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sz w:val="32"/>
                <w:szCs w:val="32"/>
                <w:vertAlign w:val="baseline"/>
                <w:lang w:val="en-US" w:eastAsia="zh-CN"/>
              </w:rPr>
              <w:t>2025年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经费估算：150万元</w:t>
            </w:r>
          </w:p>
          <w:p>
            <w:pPr>
              <w:pStyle w:val="9"/>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sz w:val="32"/>
                <w:szCs w:val="32"/>
                <w:vertAlign w:val="baseline"/>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2.应急预案数字化平台建设</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建设内容：将应急预案进行结构化、流程化分解，实现各种信息和资源与应急预案流程关联，为应急处置人员提供智能化、精准化的辅助决策。</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牵头单位：区应急管理局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sz w:val="32"/>
                <w:szCs w:val="32"/>
                <w:vertAlign w:val="baseline"/>
                <w:lang w:val="en-US" w:eastAsia="zh-CN"/>
              </w:rPr>
              <w:t>2025年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经费估算：20万元</w:t>
            </w:r>
          </w:p>
        </w:tc>
      </w:tr>
    </w:tbl>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outlineLvl w:val="1"/>
        <w:rPr>
          <w:rFonts w:hint="eastAsia" w:ascii="楷体_GB2312" w:hAnsi="楷体_GB2312" w:eastAsia="楷体_GB2312" w:cs="楷体_GB2312"/>
          <w:color w:val="auto"/>
          <w:sz w:val="32"/>
          <w:szCs w:val="32"/>
          <w:lang w:val="en-US" w:eastAsia="zh-CN"/>
        </w:rPr>
      </w:pPr>
      <w:bookmarkStart w:id="34" w:name="_Toc27546"/>
      <w:bookmarkStart w:id="35" w:name="_Toc27388"/>
      <w:r>
        <w:rPr>
          <w:rFonts w:hint="eastAsia" w:ascii="楷体_GB2312" w:hAnsi="楷体_GB2312" w:eastAsia="楷体_GB2312" w:cs="楷体_GB2312"/>
          <w:color w:val="auto"/>
          <w:sz w:val="32"/>
          <w:szCs w:val="32"/>
          <w:lang w:val="en-US" w:eastAsia="zh-CN"/>
        </w:rPr>
        <w:t>（六）</w:t>
      </w:r>
      <w:bookmarkEnd w:id="34"/>
      <w:r>
        <w:rPr>
          <w:rFonts w:hint="eastAsia" w:ascii="楷体_GB2312" w:hAnsi="楷体_GB2312" w:eastAsia="楷体_GB2312" w:cs="楷体_GB2312"/>
          <w:bCs w:val="0"/>
          <w:color w:val="auto"/>
          <w:sz w:val="32"/>
          <w:szCs w:val="32"/>
        </w:rPr>
        <w:t>应急管理共建共治共享方面</w:t>
      </w:r>
      <w:bookmarkEnd w:id="35"/>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rPr>
        <w:t>加强文化宣传教育。</w:t>
      </w:r>
      <w:r>
        <w:rPr>
          <w:rFonts w:hint="eastAsia" w:ascii="仿宋_GB2312" w:hAnsi="仿宋_GB2312" w:eastAsia="仿宋_GB2312" w:cs="仿宋_GB2312"/>
          <w:color w:val="auto"/>
          <w:sz w:val="32"/>
          <w:szCs w:val="32"/>
          <w:lang w:val="en-US" w:eastAsia="zh-CN"/>
        </w:rPr>
        <w:t>大力弘扬安全应急文化，加强对社会公众开展应急处置和应急救援相关知识教育。充分利用全国防灾减灾日、安全生产月、全国消防日、国际减灾日、世界气象日等节点，组织开展多种形式应急文化宣传教育活动。推动安全应急文化宣传教育进企业、进校园、进机关、进社区、进农村、进家庭、进公共场所。</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rPr>
        <w:t>强化社会协同防范。</w:t>
      </w:r>
      <w:r>
        <w:rPr>
          <w:rFonts w:hint="eastAsia" w:ascii="仿宋_GB2312" w:hAnsi="仿宋_GB2312" w:eastAsia="仿宋_GB2312" w:cs="仿宋_GB2312"/>
          <w:b w:val="0"/>
          <w:bCs w:val="0"/>
          <w:color w:val="auto"/>
          <w:sz w:val="32"/>
          <w:szCs w:val="32"/>
        </w:rPr>
        <w:t>健全防治结合、联防联控、群防群控的工作机制，完善社区动员、社会救助、社会福利、社会事务、社会力量的</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五社”联动机制，引导社会公众积极参与突发事件应对工作，开展常态化应急疏散演练。</w:t>
      </w:r>
      <w:r>
        <w:rPr>
          <w:rFonts w:hint="eastAsia" w:ascii="仿宋_GB2312" w:hAnsi="仿宋_GB2312" w:eastAsia="仿宋_GB2312" w:cs="仿宋_GB2312"/>
          <w:color w:val="auto"/>
          <w:sz w:val="32"/>
          <w:szCs w:val="32"/>
          <w:lang w:val="en-US" w:eastAsia="zh-CN"/>
        </w:rPr>
        <w:t>严格按照“一人受理，全员工作”的原则，认真调查处理上报事项，及时向报告人和社会反馈相应结果。</w:t>
      </w:r>
      <w:r>
        <w:rPr>
          <w:rFonts w:hint="eastAsia" w:ascii="仿宋_GB2312" w:hAnsi="仿宋_GB2312" w:eastAsia="仿宋_GB2312" w:cs="仿宋_GB2312"/>
          <w:b w:val="0"/>
          <w:bCs w:val="0"/>
          <w:color w:val="auto"/>
          <w:sz w:val="32"/>
          <w:szCs w:val="32"/>
        </w:rPr>
        <w:t>探索保险机构灾害事故预防和灾后补偿服务，推行安全生产责任保险</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探索建立隐患上报奖励制度，提高民众参与积极性。</w:t>
      </w:r>
    </w:p>
    <w:p>
      <w:pPr>
        <w:rPr>
          <w:rFonts w:hint="eastAsia" w:ascii="仿宋_GB2312" w:hAnsi="仿宋_GB2312" w:eastAsia="仿宋_GB2312" w:cs="仿宋_GB2312"/>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jc w:val="center"/>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专栏6共建共治共享重点工程</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1</w:t>
            </w:r>
            <w:r>
              <w:rPr>
                <w:rFonts w:hint="eastAsia" w:ascii="仿宋_GB2312" w:hAnsi="仿宋_GB2312" w:eastAsia="仿宋_GB2312" w:cs="仿宋_GB2312"/>
                <w:b w:val="0"/>
                <w:bCs w:val="0"/>
                <w:color w:val="auto"/>
                <w:sz w:val="32"/>
                <w:szCs w:val="32"/>
                <w:vertAlign w:val="baseline"/>
              </w:rPr>
              <w:t>.省级安全社区建设项目</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建设内容：制定安全社区创建工作方案，围绕生产安全、社会安全、交通安全、消防安全等安全健康促进项目，开展创建工作。</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w:t>
            </w:r>
            <w:r>
              <w:rPr>
                <w:rFonts w:hint="eastAsia" w:ascii="仿宋_GB2312" w:hAnsi="仿宋_GB2312" w:eastAsia="仿宋_GB2312" w:cs="仿宋_GB2312"/>
                <w:b w:val="0"/>
                <w:bCs w:val="0"/>
                <w:color w:val="auto"/>
                <w:sz w:val="32"/>
                <w:szCs w:val="32"/>
                <w:vertAlign w:val="baseline"/>
                <w:lang w:val="en-US" w:eastAsia="zh-CN"/>
              </w:rPr>
              <w:t>金河</w:t>
            </w:r>
            <w:r>
              <w:rPr>
                <w:rFonts w:hint="eastAsia" w:ascii="仿宋_GB2312" w:hAnsi="仿宋_GB2312" w:eastAsia="仿宋_GB2312" w:cs="仿宋_GB2312"/>
                <w:b w:val="0"/>
                <w:bCs w:val="0"/>
                <w:color w:val="auto"/>
                <w:sz w:val="32"/>
                <w:szCs w:val="32"/>
                <w:vertAlign w:val="baseline"/>
              </w:rPr>
              <w:t>镇</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eastAsia="zh-CN"/>
              </w:rPr>
              <w:t>牵头单位</w:t>
            </w:r>
            <w:r>
              <w:rPr>
                <w:rFonts w:hint="eastAsia" w:ascii="仿宋_GB2312" w:hAnsi="仿宋_GB2312" w:eastAsia="仿宋_GB2312" w:cs="仿宋_GB2312"/>
                <w:b w:val="0"/>
                <w:bCs w:val="0"/>
                <w:color w:val="auto"/>
                <w:sz w:val="32"/>
                <w:szCs w:val="32"/>
                <w:vertAlign w:val="baseline"/>
              </w:rPr>
              <w:t>：区应急管理局</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经费估算：100万元</w:t>
            </w:r>
          </w:p>
          <w:p>
            <w:pPr>
              <w:rPr>
                <w:rFonts w:hint="eastAsia" w:ascii="仿宋_GB2312" w:hAnsi="仿宋_GB2312" w:eastAsia="仿宋_GB2312" w:cs="仿宋_GB2312"/>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2.宣教培训专栏建设项目</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建设内容：在片区每个行政村设宣传专栏，每半年更新宣传内容，提高片区内群众的安全意识、应急意识、自救互救意识。</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建设地点：金河镇、永胜乡</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牵头单位：区应急管理局</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sz w:val="32"/>
                <w:szCs w:val="32"/>
                <w:vertAlign w:val="baseline"/>
                <w:lang w:val="en-US" w:eastAsia="zh-CN"/>
              </w:rPr>
              <w:t>2035年</w:t>
            </w:r>
          </w:p>
          <w:p>
            <w:pPr>
              <w:pStyle w:val="9"/>
              <w:keepNext w:val="0"/>
              <w:keepLines w:val="0"/>
              <w:pageBreakBefore w:val="0"/>
              <w:widowControl w:val="0"/>
              <w:kinsoku/>
              <w:wordWrap/>
              <w:overflowPunct/>
              <w:topLinePunct w:val="0"/>
              <w:autoSpaceDE/>
              <w:autoSpaceDN/>
              <w:bidi w:val="0"/>
              <w:adjustRightInd/>
              <w:snapToGrid/>
              <w:spacing w:line="550" w:lineRule="exact"/>
              <w:ind w:left="0" w:leftChars="0" w:firstLine="0" w:firstLineChars="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经费估算：20万元</w:t>
            </w:r>
          </w:p>
        </w:tc>
      </w:tr>
    </w:tbl>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0"/>
        <w:rPr>
          <w:rFonts w:hint="eastAsia" w:ascii="Times New Roman" w:hAnsi="Times New Roman" w:eastAsia="仿宋" w:cs="仿宋"/>
          <w:color w:val="auto"/>
          <w:sz w:val="32"/>
          <w:szCs w:val="32"/>
          <w:lang w:val="en-US" w:eastAsia="zh-CN"/>
        </w:rPr>
      </w:pPr>
      <w:bookmarkStart w:id="36" w:name="_Toc9129"/>
      <w:bookmarkStart w:id="37" w:name="_Toc27695"/>
      <w:r>
        <w:rPr>
          <w:rFonts w:hint="eastAsia" w:ascii="Times New Roman" w:hAnsi="Times New Roman" w:eastAsia="黑体" w:cs="黑体"/>
          <w:color w:val="auto"/>
          <w:sz w:val="32"/>
          <w:szCs w:val="32"/>
          <w:lang w:val="en-US" w:eastAsia="zh-CN"/>
        </w:rPr>
        <w:t>五、保障措施</w:t>
      </w:r>
      <w:bookmarkEnd w:id="36"/>
      <w:bookmarkEnd w:id="37"/>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楷体" w:cs="楷体"/>
          <w:color w:val="auto"/>
          <w:sz w:val="32"/>
          <w:szCs w:val="32"/>
          <w:lang w:val="en-US" w:eastAsia="zh-CN"/>
        </w:rPr>
      </w:pPr>
      <w:bookmarkStart w:id="38" w:name="_Toc28633"/>
      <w:bookmarkStart w:id="39" w:name="_Toc32595"/>
      <w:r>
        <w:rPr>
          <w:rFonts w:hint="eastAsia" w:ascii="Times New Roman" w:hAnsi="Times New Roman" w:eastAsia="楷体" w:cs="楷体"/>
          <w:color w:val="auto"/>
          <w:sz w:val="32"/>
          <w:szCs w:val="32"/>
          <w:lang w:val="en-US" w:eastAsia="zh-CN"/>
        </w:rPr>
        <w:t>（一）加强组织领导</w:t>
      </w:r>
      <w:bookmarkEnd w:id="38"/>
      <w:bookmarkEnd w:id="39"/>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坚持党委、政府在应急体系工作中的领导和主导地位，出台相关配套政策，加大规划实施力度，有力推动重点工程项目实施。成立规划实施的组织领导机构，建立分工协作机制，制定规划实施方案，分解落实规划的主要任务和重点工程项目，进一步明确分工体系，细化目标任务，落实各级责任。建立各项任务台账清单，明确牵头单位：和责任人，督促各责任主体保质保量按时完成目标任务。落实保障措施，强化保障力度，确保重点工程项目建设稳步推进。</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40" w:name="_Toc15071"/>
      <w:bookmarkStart w:id="41" w:name="_Toc7075"/>
      <w:r>
        <w:rPr>
          <w:rFonts w:hint="eastAsia" w:ascii="Times New Roman" w:hAnsi="Times New Roman" w:eastAsia="楷体" w:cs="楷体"/>
          <w:color w:val="auto"/>
          <w:sz w:val="32"/>
          <w:szCs w:val="32"/>
          <w:lang w:val="en-US" w:eastAsia="zh-CN"/>
        </w:rPr>
        <w:t>（二）加强资金保障</w:t>
      </w:r>
      <w:bookmarkEnd w:id="40"/>
      <w:bookmarkEnd w:id="41"/>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优化资金投入机制，健全资源统筹，拓宽资金渠道。通过积极争取上级资金、统筹整合专项资金、调整优化支出结构、清理盘活存量资金、鼓励企业、社会组织及个人投入或自主研发创新等方式，切实保障项目实施。加大应急体系基础设施建设、重大工程建设、巨灾保险、基层减灾能力建设、物资装备、人才培养、科普宣传等方面的经费投入。加强资金的使用管理，根据投资进度合理确定年度筹资方案，建立资金日常运行及维护机制，按需发放，全程监管。</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42" w:name="_Toc15805"/>
      <w:bookmarkStart w:id="43" w:name="_Toc24295"/>
      <w:r>
        <w:rPr>
          <w:rFonts w:hint="eastAsia" w:ascii="Times New Roman" w:hAnsi="Times New Roman" w:eastAsia="楷体" w:cs="楷体"/>
          <w:color w:val="auto"/>
          <w:sz w:val="32"/>
          <w:szCs w:val="32"/>
          <w:lang w:val="en-US" w:eastAsia="zh-CN"/>
        </w:rPr>
        <w:t>（三）加强人才培养</w:t>
      </w:r>
      <w:bookmarkEnd w:id="42"/>
      <w:bookmarkEnd w:id="43"/>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立足应急管理实际工作需要，加强应急管理、安全生产和防灾减灾、安全监管、应急救援、技术保障等专业人才的培养和集聚，大力引进经验丰富的专家学者。激发队伍活力，扩充队伍数量，优化队伍结构，提高队伍素质，形成结构合理、专业过硬、素质优良的多梯次人才队伍，有效提升应对灾害事故的能力和水平。</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outlineLvl w:val="1"/>
        <w:rPr>
          <w:rFonts w:hint="eastAsia" w:ascii="Times New Roman" w:hAnsi="Times New Roman" w:eastAsia="仿宋" w:cs="仿宋"/>
          <w:color w:val="auto"/>
          <w:sz w:val="32"/>
          <w:szCs w:val="32"/>
          <w:lang w:val="en-US" w:eastAsia="zh-CN"/>
        </w:rPr>
      </w:pPr>
      <w:bookmarkStart w:id="44" w:name="_Toc6695"/>
      <w:bookmarkStart w:id="45" w:name="_Toc5969"/>
      <w:r>
        <w:rPr>
          <w:rFonts w:hint="eastAsia" w:ascii="Times New Roman" w:hAnsi="Times New Roman" w:eastAsia="楷体" w:cs="楷体"/>
          <w:color w:val="auto"/>
          <w:sz w:val="32"/>
          <w:szCs w:val="32"/>
          <w:lang w:val="en-US" w:eastAsia="zh-CN"/>
        </w:rPr>
        <w:t>（四）加强监督管理</w:t>
      </w:r>
      <w:bookmarkEnd w:id="44"/>
      <w:bookmarkEnd w:id="45"/>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Times New Roman" w:hAnsi="Times New Roman" w:eastAsia="仿宋" w:cs="仿宋"/>
          <w:color w:val="auto"/>
          <w:sz w:val="32"/>
          <w:szCs w:val="32"/>
          <w:lang w:val="en-US" w:eastAsia="zh-CN"/>
        </w:rPr>
      </w:pPr>
      <w:r>
        <w:rPr>
          <w:rFonts w:hint="eastAsia" w:ascii="仿宋_GB2312" w:hAnsi="仿宋_GB2312" w:eastAsia="仿宋_GB2312" w:cs="仿宋_GB2312"/>
          <w:color w:val="auto"/>
          <w:sz w:val="32"/>
          <w:szCs w:val="32"/>
          <w:lang w:val="en-US" w:eastAsia="zh-CN"/>
        </w:rPr>
        <w:t>建立健全规划实施的跟踪监管与考核评估制度，强化目标任务管理，将规划任务具体落实情况作为对部门工作督导检查及考核评价的重要内容，考评结果作为年度绩效考核的重要依据。区应急管理局对规划建设内容：实行全过程动态监管，跟踪分析，适时组织开展规划执行情况中期评估，及时发现问题并作适当调整。加大社会监督力度，开展规划宣传，规划实施进展及考核结果及时公布。各相关单位要执行常态化检查，发挥规划的底线约束和战略引领作用，促进规划目标的顺利实现。</w:t>
      </w:r>
    </w:p>
    <w:p>
      <w:pPr>
        <w:keepNext w:val="0"/>
        <w:keepLines w:val="0"/>
        <w:pageBreakBefore w:val="0"/>
        <w:widowControl w:val="0"/>
        <w:kinsoku/>
        <w:wordWrap/>
        <w:overflowPunct/>
        <w:topLinePunct w:val="0"/>
        <w:autoSpaceDE/>
        <w:autoSpaceDN/>
        <w:bidi w:val="0"/>
        <w:adjustRightInd/>
        <w:snapToGrid/>
        <w:spacing w:line="550" w:lineRule="exact"/>
        <w:jc w:val="both"/>
        <w:textAlignment w:val="auto"/>
        <w:rPr>
          <w:rFonts w:hint="eastAsia" w:ascii="Times New Roman" w:hAnsi="Times New Roman" w:eastAsia="仿宋" w:cs="仿宋"/>
          <w:b w:val="0"/>
          <w:bCs w:val="0"/>
          <w:color w:val="auto"/>
          <w:sz w:val="32"/>
          <w:szCs w:val="32"/>
          <w:lang w:eastAsia="zh-CN"/>
        </w:rPr>
      </w:pPr>
      <w:r>
        <w:rPr>
          <w:rFonts w:hint="eastAsia" w:ascii="Times New Roman" w:hAnsi="Times New Roman" w:eastAsia="仿宋" w:cs="仿宋"/>
          <w:b/>
          <w:bCs/>
          <w:color w:val="auto"/>
          <w:sz w:val="32"/>
          <w:szCs w:val="32"/>
        </w:rPr>
        <w:t>规划附表</w:t>
      </w:r>
      <w:r>
        <w:rPr>
          <w:rFonts w:hint="eastAsia" w:ascii="Times New Roman" w:hAnsi="Times New Roman" w:eastAsia="仿宋" w:cs="仿宋"/>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1.片区企业风险等级及分布表</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2.</w:t>
      </w:r>
      <w:r>
        <w:rPr>
          <w:rFonts w:hint="eastAsia" w:ascii="仿宋" w:hAnsi="仿宋" w:eastAsia="仿宋" w:cs="仿宋"/>
          <w:sz w:val="32"/>
          <w:szCs w:val="32"/>
          <w:lang w:val="en-US" w:eastAsia="zh-CN"/>
        </w:rPr>
        <w:t>片区应急管理用地现状和规划用地指标</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3.片区重点工程项目统计表</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4.片区历年来典型自然灾害事故统计表</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5.片区应急队伍统计及分布表</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6.片区基层扑火装备统计表</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7.片区应急救援装备、物资统计及分布表</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rPr>
      </w:pPr>
      <w:r>
        <w:rPr>
          <w:rFonts w:hint="eastAsia" w:ascii="Times New Roman" w:hAnsi="Times New Roman" w:eastAsia="仿宋" w:cs="仿宋"/>
          <w:b/>
          <w:bCs/>
          <w:color w:val="auto"/>
          <w:sz w:val="32"/>
          <w:szCs w:val="32"/>
        </w:rPr>
        <w:t>规划附图</w:t>
      </w:r>
      <w:r>
        <w:rPr>
          <w:rFonts w:hint="eastAsia" w:ascii="Times New Roman" w:hAnsi="Times New Roman" w:eastAsia="仿宋" w:cs="仿宋"/>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rPr>
      </w:pPr>
      <w:r>
        <w:rPr>
          <w:rFonts w:hint="eastAsia" w:ascii="Times New Roman" w:hAnsi="Times New Roman" w:eastAsia="仿宋" w:cs="仿宋"/>
          <w:b w:val="0"/>
          <w:bCs w:val="0"/>
          <w:color w:val="auto"/>
          <w:sz w:val="32"/>
          <w:szCs w:val="32"/>
          <w:lang w:val="en-US" w:eastAsia="zh-CN"/>
        </w:rPr>
        <w:t>1</w:t>
      </w:r>
      <w:r>
        <w:rPr>
          <w:rFonts w:hint="eastAsia" w:ascii="Times New Roman" w:hAnsi="Times New Roman" w:eastAsia="仿宋" w:cs="仿宋"/>
          <w:b w:val="0"/>
          <w:bCs w:val="0"/>
          <w:color w:val="auto"/>
          <w:sz w:val="32"/>
          <w:szCs w:val="32"/>
        </w:rPr>
        <w:t>.</w:t>
      </w:r>
      <w:r>
        <w:rPr>
          <w:rFonts w:hint="eastAsia" w:ascii="Times New Roman" w:hAnsi="Times New Roman" w:eastAsia="仿宋" w:cs="仿宋"/>
          <w:b w:val="0"/>
          <w:bCs w:val="0"/>
          <w:color w:val="auto"/>
          <w:sz w:val="32"/>
          <w:szCs w:val="32"/>
          <w:lang w:val="en-US" w:eastAsia="zh-CN"/>
        </w:rPr>
        <w:t>金口河区地质灾害治理工程数量分布</w:t>
      </w:r>
      <w:r>
        <w:rPr>
          <w:rFonts w:hint="eastAsia" w:ascii="Times New Roman" w:hAnsi="Times New Roman" w:eastAsia="仿宋" w:cs="仿宋"/>
          <w:b w:val="0"/>
          <w:bCs w:val="0"/>
          <w:color w:val="auto"/>
          <w:sz w:val="32"/>
          <w:szCs w:val="32"/>
        </w:rPr>
        <w:t>图</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2</w:t>
      </w:r>
      <w:r>
        <w:rPr>
          <w:rFonts w:hint="eastAsia" w:ascii="Times New Roman" w:hAnsi="Times New Roman" w:eastAsia="仿宋" w:cs="仿宋"/>
          <w:b w:val="0"/>
          <w:bCs w:val="0"/>
          <w:color w:val="auto"/>
          <w:sz w:val="32"/>
          <w:szCs w:val="32"/>
        </w:rPr>
        <w:t>.</w:t>
      </w:r>
      <w:r>
        <w:rPr>
          <w:rFonts w:hint="eastAsia" w:ascii="Times New Roman" w:hAnsi="Times New Roman" w:eastAsia="仿宋" w:cs="仿宋"/>
          <w:b w:val="0"/>
          <w:bCs w:val="0"/>
          <w:color w:val="auto"/>
          <w:sz w:val="32"/>
          <w:szCs w:val="32"/>
          <w:lang w:val="en-US" w:eastAsia="zh-CN"/>
        </w:rPr>
        <w:t>片区地质灾害自动化实时检测体系建设项目分布</w:t>
      </w:r>
      <w:r>
        <w:rPr>
          <w:rFonts w:hint="eastAsia" w:ascii="Times New Roman" w:hAnsi="Times New Roman" w:eastAsia="仿宋" w:cs="仿宋"/>
          <w:b w:val="0"/>
          <w:bCs w:val="0"/>
          <w:color w:val="auto"/>
          <w:sz w:val="32"/>
          <w:szCs w:val="32"/>
        </w:rPr>
        <w:t>图</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3</w:t>
      </w:r>
      <w:r>
        <w:rPr>
          <w:rFonts w:hint="eastAsia" w:ascii="Times New Roman" w:hAnsi="Times New Roman" w:eastAsia="仿宋" w:cs="仿宋"/>
          <w:b w:val="0"/>
          <w:bCs w:val="0"/>
          <w:color w:val="auto"/>
          <w:sz w:val="32"/>
          <w:szCs w:val="32"/>
        </w:rPr>
        <w:t>.</w:t>
      </w:r>
      <w:r>
        <w:rPr>
          <w:rFonts w:hint="eastAsia" w:ascii="Times New Roman" w:hAnsi="Times New Roman" w:eastAsia="仿宋" w:cs="仿宋"/>
          <w:b w:val="0"/>
          <w:bCs w:val="0"/>
          <w:color w:val="auto"/>
          <w:sz w:val="32"/>
          <w:szCs w:val="32"/>
          <w:lang w:val="en-US" w:eastAsia="zh-CN"/>
        </w:rPr>
        <w:t>金口河区现有应急避难场所分布图</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4.片区应急救援队伍分布图</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5.片区应急救援能力规划图</w:t>
      </w:r>
    </w:p>
    <w:p>
      <w:pPr>
        <w:rPr>
          <w:rFonts w:hint="eastAsia" w:ascii="Times New Roman" w:hAnsi="Times New Roman" w:eastAsia="仿宋" w:cs="仿宋"/>
          <w:color w:val="auto"/>
          <w:sz w:val="32"/>
          <w:szCs w:val="32"/>
          <w:lang w:val="en-US" w:eastAsia="zh-CN"/>
        </w:rPr>
      </w:pPr>
    </w:p>
    <w:p>
      <w:pPr>
        <w:pStyle w:val="9"/>
        <w:ind w:left="0" w:leftChars="0" w:firstLine="0" w:firstLineChars="0"/>
        <w:rPr>
          <w:rFonts w:hint="eastAsia" w:ascii="Times New Roman" w:hAnsi="Times New Roman" w:eastAsia="仿宋" w:cs="仿宋"/>
          <w:color w:val="auto"/>
          <w:sz w:val="32"/>
          <w:szCs w:val="32"/>
          <w:lang w:val="en-US" w:eastAsia="zh-CN"/>
        </w:rPr>
      </w:pPr>
    </w:p>
    <w:p>
      <w:pPr>
        <w:rPr>
          <w:rFonts w:hint="eastAsia" w:ascii="Times New Roman" w:hAnsi="Times New Roman" w:eastAsia="仿宋" w:cs="仿宋"/>
          <w:color w:val="auto"/>
          <w:sz w:val="32"/>
          <w:szCs w:val="32"/>
          <w:lang w:val="en-US" w:eastAsia="zh-CN"/>
        </w:rPr>
      </w:pPr>
    </w:p>
    <w:p>
      <w:pPr>
        <w:pStyle w:val="9"/>
        <w:ind w:left="0" w:leftChars="0" w:firstLine="0" w:firstLineChars="0"/>
        <w:rPr>
          <w:rFonts w:hint="eastAsia" w:ascii="Times New Roman" w:hAnsi="Times New Roman" w:eastAsia="仿宋" w:cs="仿宋"/>
          <w:color w:val="auto"/>
          <w:sz w:val="32"/>
          <w:szCs w:val="32"/>
          <w:lang w:val="en-US" w:eastAsia="zh-CN"/>
        </w:rPr>
      </w:pPr>
    </w:p>
    <w:p>
      <w:pPr>
        <w:rPr>
          <w:rFonts w:hint="eastAsia"/>
          <w:color w:val="auto"/>
          <w:lang w:val="en-US" w:eastAsia="zh-CN"/>
        </w:rPr>
      </w:pPr>
    </w:p>
    <w:p>
      <w:pPr>
        <w:rPr>
          <w:rFonts w:hint="eastAsia" w:ascii="Times New Roman" w:hAnsi="Times New Roman" w:eastAsia="仿宋" w:cs="仿宋"/>
          <w:color w:val="auto"/>
          <w:sz w:val="32"/>
          <w:szCs w:val="32"/>
          <w:lang w:val="en-US" w:eastAsia="zh-CN"/>
        </w:rPr>
      </w:pPr>
    </w:p>
    <w:p>
      <w:pPr>
        <w:rPr>
          <w:rFonts w:hint="default"/>
          <w:color w:val="auto"/>
          <w:lang w:val="en-US" w:eastAsia="zh-CN"/>
        </w:rPr>
      </w:pPr>
    </w:p>
    <w:p>
      <w:pPr>
        <w:pStyle w:val="9"/>
        <w:ind w:left="0" w:leftChars="0" w:firstLine="0" w:firstLineChars="0"/>
        <w:rPr>
          <w:rFonts w:hint="default"/>
          <w:color w:val="auto"/>
          <w:lang w:val="en-US" w:eastAsia="zh-CN"/>
        </w:rPr>
      </w:pPr>
    </w:p>
    <w:p>
      <w:pPr>
        <w:rPr>
          <w:rFonts w:hint="default"/>
          <w:color w:val="auto"/>
          <w:lang w:val="en-US" w:eastAsia="zh-CN"/>
        </w:rPr>
        <w:sectPr>
          <w:footerReference r:id="rId4" w:type="default"/>
          <w:pgSz w:w="11906" w:h="16838"/>
          <w:pgMar w:top="2098" w:right="1474" w:bottom="1984" w:left="1587" w:header="850" w:footer="1134" w:gutter="0"/>
          <w:pgNumType w:fmt="decimal"/>
          <w:cols w:space="0" w:num="1"/>
          <w:rtlGutter w:val="0"/>
          <w:docGrid w:type="lines" w:linePitch="312" w:charSpace="0"/>
        </w:sectPr>
      </w:pPr>
    </w:p>
    <w:p>
      <w:pPr>
        <w:jc w:val="left"/>
        <w:rPr>
          <w:rFonts w:hint="eastAsia" w:ascii="仿宋" w:hAnsi="仿宋" w:eastAsia="仿宋" w:cs="仿宋"/>
          <w:sz w:val="24"/>
          <w:szCs w:val="24"/>
          <w:lang w:val="en-US" w:eastAsia="zh-CN"/>
        </w:rPr>
      </w:pP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.片区企业风险等级及分布表</w:t>
      </w:r>
    </w:p>
    <w:tbl>
      <w:tblPr>
        <w:tblStyle w:val="18"/>
        <w:tblW w:w="13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340"/>
        <w:gridCol w:w="3275"/>
        <w:gridCol w:w="1775"/>
        <w:gridCol w:w="2070"/>
        <w:gridCol w:w="1440"/>
        <w:gridCol w:w="164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34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32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企业名称</w:t>
            </w:r>
          </w:p>
        </w:tc>
        <w:tc>
          <w:tcPr>
            <w:tcW w:w="17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地址</w:t>
            </w:r>
          </w:p>
        </w:tc>
        <w:tc>
          <w:tcPr>
            <w:tcW w:w="207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行业类型</w:t>
            </w:r>
          </w:p>
        </w:tc>
        <w:tc>
          <w:tcPr>
            <w:tcW w:w="144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风险等级</w:t>
            </w:r>
          </w:p>
        </w:tc>
        <w:tc>
          <w:tcPr>
            <w:tcW w:w="164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生产情况</w:t>
            </w:r>
          </w:p>
        </w:tc>
        <w:tc>
          <w:tcPr>
            <w:tcW w:w="153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w:t>
            </w:r>
          </w:p>
        </w:tc>
        <w:tc>
          <w:tcPr>
            <w:tcW w:w="1340" w:type="dxa"/>
            <w:vMerge w:val="restart"/>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非煤矿山</w:t>
            </w: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四川商舟实业有限公司老汞山磷矿</w:t>
            </w:r>
          </w:p>
        </w:tc>
        <w:tc>
          <w:tcPr>
            <w:tcW w:w="17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永胜乡瓦山村</w:t>
            </w:r>
          </w:p>
        </w:tc>
        <w:tc>
          <w:tcPr>
            <w:tcW w:w="207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非煤矿山-地下</w:t>
            </w:r>
          </w:p>
        </w:tc>
        <w:tc>
          <w:tcPr>
            <w:tcW w:w="144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一般风险</w:t>
            </w:r>
          </w:p>
        </w:tc>
        <w:tc>
          <w:tcPr>
            <w:tcW w:w="164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50"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w:t>
            </w:r>
          </w:p>
        </w:tc>
        <w:tc>
          <w:tcPr>
            <w:tcW w:w="1340" w:type="dxa"/>
            <w:vMerge w:val="continue"/>
          </w:tcPr>
          <w:p>
            <w:pPr>
              <w:jc w:val="center"/>
              <w:rPr>
                <w:rFonts w:hint="eastAsia" w:ascii="仿宋" w:hAnsi="仿宋" w:eastAsia="仿宋" w:cs="仿宋"/>
                <w:sz w:val="24"/>
                <w:szCs w:val="24"/>
                <w:vertAlign w:val="baseline"/>
                <w:lang w:val="en-US" w:eastAsia="zh-CN"/>
              </w:rPr>
            </w:pP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乐山拓达矿业有限公司</w:t>
            </w:r>
          </w:p>
        </w:tc>
        <w:tc>
          <w:tcPr>
            <w:tcW w:w="17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永胜乡大坪村</w:t>
            </w:r>
          </w:p>
        </w:tc>
        <w:tc>
          <w:tcPr>
            <w:tcW w:w="207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非煤矿山-尾矿库</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3</w:t>
            </w:r>
          </w:p>
        </w:tc>
        <w:tc>
          <w:tcPr>
            <w:tcW w:w="1340" w:type="dxa"/>
            <w:vMerge w:val="continue"/>
          </w:tcPr>
          <w:p>
            <w:pPr>
              <w:jc w:val="center"/>
              <w:rPr>
                <w:rFonts w:hint="eastAsia" w:ascii="仿宋" w:hAnsi="仿宋" w:eastAsia="仿宋" w:cs="仿宋"/>
                <w:sz w:val="24"/>
                <w:szCs w:val="24"/>
                <w:vertAlign w:val="baseline"/>
                <w:lang w:val="en-US" w:eastAsia="zh-CN"/>
              </w:rPr>
            </w:pP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乐山市金口河区晋丰矿业有限公司</w:t>
            </w:r>
          </w:p>
        </w:tc>
        <w:tc>
          <w:tcPr>
            <w:tcW w:w="17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金河镇原吉丰村</w:t>
            </w:r>
          </w:p>
        </w:tc>
        <w:tc>
          <w:tcPr>
            <w:tcW w:w="207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非煤矿山-露天</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4</w:t>
            </w:r>
          </w:p>
        </w:tc>
        <w:tc>
          <w:tcPr>
            <w:tcW w:w="1340" w:type="dxa"/>
            <w:vMerge w:val="continue"/>
          </w:tcPr>
          <w:p>
            <w:pPr>
              <w:jc w:val="center"/>
              <w:rPr>
                <w:rFonts w:hint="eastAsia" w:ascii="仿宋" w:hAnsi="仿宋" w:eastAsia="仿宋" w:cs="仿宋"/>
                <w:sz w:val="24"/>
                <w:szCs w:val="24"/>
                <w:vertAlign w:val="baseline"/>
                <w:lang w:val="en-US" w:eastAsia="zh-CN"/>
              </w:rPr>
            </w:pP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乐山市金口河区合升矿业有限公司</w:t>
            </w:r>
          </w:p>
        </w:tc>
        <w:tc>
          <w:tcPr>
            <w:tcW w:w="17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金河镇原联合村</w:t>
            </w:r>
          </w:p>
        </w:tc>
        <w:tc>
          <w:tcPr>
            <w:tcW w:w="207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非煤矿山-地下</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5</w:t>
            </w:r>
          </w:p>
        </w:tc>
        <w:tc>
          <w:tcPr>
            <w:tcW w:w="1340" w:type="dxa"/>
            <w:vMerge w:val="continue"/>
          </w:tcPr>
          <w:p>
            <w:pPr>
              <w:jc w:val="center"/>
              <w:rPr>
                <w:rFonts w:hint="eastAsia" w:ascii="仿宋" w:hAnsi="仿宋" w:eastAsia="仿宋" w:cs="仿宋"/>
                <w:sz w:val="24"/>
                <w:szCs w:val="24"/>
                <w:vertAlign w:val="baseline"/>
                <w:lang w:val="en-US" w:eastAsia="zh-CN"/>
              </w:rPr>
            </w:pP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乐山市金口河区倍铭加油站</w:t>
            </w:r>
          </w:p>
        </w:tc>
        <w:tc>
          <w:tcPr>
            <w:tcW w:w="17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金河镇铜河村</w:t>
            </w:r>
          </w:p>
        </w:tc>
        <w:tc>
          <w:tcPr>
            <w:tcW w:w="207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加油站</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6</w:t>
            </w:r>
          </w:p>
        </w:tc>
        <w:tc>
          <w:tcPr>
            <w:tcW w:w="1340" w:type="dxa"/>
            <w:vMerge w:val="continue"/>
          </w:tcPr>
          <w:p>
            <w:pPr>
              <w:jc w:val="center"/>
              <w:rPr>
                <w:rFonts w:hint="eastAsia" w:ascii="仿宋" w:hAnsi="仿宋" w:eastAsia="仿宋" w:cs="仿宋"/>
                <w:sz w:val="24"/>
                <w:szCs w:val="24"/>
                <w:vertAlign w:val="baseline"/>
                <w:lang w:val="en-US" w:eastAsia="zh-CN"/>
              </w:rPr>
            </w:pP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乐山市金口河区金河加油站</w:t>
            </w:r>
          </w:p>
        </w:tc>
        <w:tc>
          <w:tcPr>
            <w:tcW w:w="17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金河镇铜河村</w:t>
            </w:r>
          </w:p>
        </w:tc>
        <w:tc>
          <w:tcPr>
            <w:tcW w:w="207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加油站</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7</w:t>
            </w:r>
          </w:p>
        </w:tc>
        <w:tc>
          <w:tcPr>
            <w:tcW w:w="1340" w:type="dxa"/>
            <w:vMerge w:val="restart"/>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工贸企业</w:t>
            </w: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四川乐山鑫河电力综合开发有限公司聚龙厂</w:t>
            </w:r>
          </w:p>
        </w:tc>
        <w:tc>
          <w:tcPr>
            <w:tcW w:w="17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金河镇三角石工业区</w:t>
            </w:r>
          </w:p>
        </w:tc>
        <w:tc>
          <w:tcPr>
            <w:tcW w:w="207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冶金</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8</w:t>
            </w:r>
          </w:p>
        </w:tc>
        <w:tc>
          <w:tcPr>
            <w:tcW w:w="1340" w:type="dxa"/>
            <w:vMerge w:val="continue"/>
          </w:tcPr>
          <w:p>
            <w:pPr>
              <w:jc w:val="center"/>
              <w:rPr>
                <w:rFonts w:hint="eastAsia" w:ascii="仿宋" w:hAnsi="仿宋" w:eastAsia="仿宋" w:cs="仿宋"/>
                <w:sz w:val="24"/>
                <w:szCs w:val="24"/>
                <w:vertAlign w:val="baseline"/>
                <w:lang w:val="en-US" w:eastAsia="zh-CN"/>
              </w:rPr>
            </w:pP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四川乐山鑫河电力综合开发有限公司新建厂</w:t>
            </w:r>
          </w:p>
        </w:tc>
        <w:tc>
          <w:tcPr>
            <w:tcW w:w="17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金河镇三角石工业区</w:t>
            </w:r>
          </w:p>
        </w:tc>
        <w:tc>
          <w:tcPr>
            <w:tcW w:w="207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冶金</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9</w:t>
            </w:r>
          </w:p>
        </w:tc>
        <w:tc>
          <w:tcPr>
            <w:tcW w:w="1340" w:type="dxa"/>
            <w:vMerge w:val="continue"/>
          </w:tcPr>
          <w:p>
            <w:pPr>
              <w:jc w:val="center"/>
              <w:rPr>
                <w:rFonts w:hint="eastAsia" w:ascii="仿宋" w:hAnsi="仿宋" w:eastAsia="仿宋" w:cs="仿宋"/>
                <w:sz w:val="24"/>
                <w:szCs w:val="24"/>
                <w:vertAlign w:val="baseline"/>
                <w:lang w:val="en-US" w:eastAsia="zh-CN"/>
              </w:rPr>
            </w:pPr>
          </w:p>
        </w:tc>
        <w:tc>
          <w:tcPr>
            <w:tcW w:w="3275"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四川乐山川辉炉料有限责任公司</w:t>
            </w:r>
          </w:p>
        </w:tc>
        <w:tc>
          <w:tcPr>
            <w:tcW w:w="1775"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金河镇三角石工业区</w:t>
            </w:r>
          </w:p>
        </w:tc>
        <w:tc>
          <w:tcPr>
            <w:tcW w:w="207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冶金</w:t>
            </w:r>
          </w:p>
        </w:tc>
        <w:tc>
          <w:tcPr>
            <w:tcW w:w="14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64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530" w:type="dxa"/>
          </w:tcPr>
          <w:p>
            <w:pPr>
              <w:jc w:val="center"/>
              <w:rPr>
                <w:rFonts w:hint="eastAsia" w:ascii="仿宋" w:hAnsi="仿宋" w:eastAsia="仿宋" w:cs="仿宋"/>
                <w:sz w:val="24"/>
                <w:szCs w:val="24"/>
                <w:vertAlign w:val="baseline"/>
                <w:lang w:val="en-US" w:eastAsia="zh-CN"/>
              </w:rPr>
            </w:pPr>
          </w:p>
        </w:tc>
      </w:tr>
    </w:tbl>
    <w:p>
      <w:pPr>
        <w:pStyle w:val="2"/>
        <w:spacing w:before="16" w:line="314" w:lineRule="auto"/>
        <w:ind w:right="-64" w:rightChars="0"/>
        <w:jc w:val="center"/>
        <w:rPr>
          <w:rFonts w:hint="eastAsia" w:ascii="Times New Roman" w:hAnsi="Times New Roman" w:eastAsia="仿宋" w:cs="仿宋"/>
          <w:color w:val="auto"/>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default" w:ascii="仿宋" w:hAnsi="仿宋" w:eastAsia="仿宋" w:cs="仿宋"/>
          <w:sz w:val="24"/>
          <w:szCs w:val="24"/>
          <w:lang w:val="en-US" w:eastAsia="zh-CN"/>
        </w:rPr>
      </w:pPr>
      <w:r>
        <w:rPr>
          <w:rFonts w:hint="eastAsia" w:ascii="Times New Roman" w:hAnsi="Times New Roman" w:eastAsia="仿宋" w:cs="仿宋"/>
          <w:sz w:val="32"/>
          <w:szCs w:val="32"/>
          <w:lang w:val="en-US" w:eastAsia="zh-CN"/>
        </w:rPr>
        <w:t>2</w:t>
      </w:r>
      <w:r>
        <w:rPr>
          <w:rFonts w:hint="eastAsia" w:ascii="仿宋" w:hAnsi="仿宋" w:eastAsia="仿宋" w:cs="仿宋"/>
          <w:sz w:val="32"/>
          <w:szCs w:val="32"/>
          <w:lang w:val="en-US" w:eastAsia="zh-CN"/>
        </w:rPr>
        <w:t>.片区应急管理用地现状和规划用地指标</w:t>
      </w:r>
    </w:p>
    <w:tbl>
      <w:tblPr>
        <w:tblStyle w:val="18"/>
        <w:tblW w:w="12990" w:type="dxa"/>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710"/>
        <w:gridCol w:w="1840"/>
        <w:gridCol w:w="1830"/>
        <w:gridCol w:w="2240"/>
        <w:gridCol w:w="150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6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371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项目名称</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具体位置</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用途</w:t>
            </w:r>
          </w:p>
        </w:tc>
        <w:tc>
          <w:tcPr>
            <w:tcW w:w="22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用地类型（利旧/共建/新建）</w:t>
            </w:r>
          </w:p>
        </w:tc>
        <w:tc>
          <w:tcPr>
            <w:tcW w:w="150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用地规模</w:t>
            </w:r>
          </w:p>
        </w:tc>
        <w:tc>
          <w:tcPr>
            <w:tcW w:w="111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民主村委会应急避难场所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永胜乡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桅杆村委会应急避难场所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永胜乡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3</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顺河村委会应急避难场所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永胜乡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4</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瓦山村委会应急避难场所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永胜乡</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5</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金河社区居委会应急避难场所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6</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铜河村委会应急避难场所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7</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五一村委会应急避难场所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8</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曙光村委会应急避难场所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9</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同心村委会应急避难场所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新坪村委会应急避难场所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11</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民心村委会应急避难场所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12</w:t>
            </w:r>
          </w:p>
        </w:tc>
        <w:tc>
          <w:tcPr>
            <w:tcW w:w="3710" w:type="dxa"/>
            <w:vAlign w:val="center"/>
          </w:tcPr>
          <w:p>
            <w:pPr>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吉星村委会应急避难场所</w:t>
            </w:r>
          </w:p>
        </w:tc>
        <w:tc>
          <w:tcPr>
            <w:tcW w:w="1840" w:type="dxa"/>
            <w:vAlign w:val="center"/>
          </w:tcPr>
          <w:p>
            <w:pPr>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bl>
    <w:p>
      <w:pPr>
        <w:pStyle w:val="2"/>
        <w:spacing w:before="16" w:line="314" w:lineRule="auto"/>
        <w:ind w:right="-64" w:rightChars="0"/>
        <w:jc w:val="left"/>
        <w:rPr>
          <w:rFonts w:hint="eastAsia"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仿宋" w:hAnsi="仿宋" w:eastAsia="仿宋" w:cs="仿宋"/>
          <w:kern w:val="2"/>
          <w:sz w:val="32"/>
          <w:szCs w:val="32"/>
          <w:lang w:val="en-US" w:eastAsia="zh-CN" w:bidi="ar-SA"/>
        </w:rPr>
      </w:pPr>
      <w:r>
        <w:rPr>
          <w:rFonts w:hint="eastAsia" w:ascii="Times New Roman" w:hAnsi="Times New Roman" w:cs="仿宋"/>
          <w:kern w:val="2"/>
          <w:sz w:val="32"/>
          <w:szCs w:val="32"/>
          <w:lang w:val="en-US" w:eastAsia="zh-CN" w:bidi="ar-SA"/>
        </w:rPr>
        <w:t>3</w:t>
      </w:r>
      <w:r>
        <w:rPr>
          <w:rFonts w:hint="eastAsia" w:cs="仿宋"/>
          <w:kern w:val="2"/>
          <w:sz w:val="32"/>
          <w:szCs w:val="32"/>
          <w:lang w:val="en-US" w:eastAsia="zh-CN" w:bidi="ar-SA"/>
        </w:rPr>
        <w:t>.</w:t>
      </w:r>
      <w:r>
        <w:rPr>
          <w:rFonts w:hint="eastAsia" w:ascii="仿宋" w:hAnsi="仿宋" w:eastAsia="仿宋" w:cs="仿宋"/>
          <w:kern w:val="2"/>
          <w:sz w:val="32"/>
          <w:szCs w:val="32"/>
          <w:lang w:val="en-US" w:eastAsia="zh-CN" w:bidi="ar-SA"/>
        </w:rPr>
        <w:t>片区重点工程项目统计表</w:t>
      </w:r>
    </w:p>
    <w:tbl>
      <w:tblPr>
        <w:tblStyle w:val="18"/>
        <w:tblW w:w="15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730"/>
        <w:gridCol w:w="2968"/>
        <w:gridCol w:w="1080"/>
        <w:gridCol w:w="1190"/>
        <w:gridCol w:w="1226"/>
        <w:gridCol w:w="1316"/>
        <w:gridCol w:w="1670"/>
        <w:gridCol w:w="1379"/>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86" w:type="dxa"/>
            <w:vAlign w:val="center"/>
          </w:tcPr>
          <w:p>
            <w:pPr>
              <w:pStyle w:val="2"/>
              <w:spacing w:before="16" w:line="314" w:lineRule="auto"/>
              <w:ind w:right="-145" w:rightChars="-69"/>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项目大类</w:t>
            </w:r>
          </w:p>
        </w:tc>
        <w:tc>
          <w:tcPr>
            <w:tcW w:w="1730" w:type="dxa"/>
            <w:vAlign w:val="center"/>
          </w:tcPr>
          <w:p>
            <w:pPr>
              <w:pStyle w:val="2"/>
              <w:spacing w:before="16" w:line="314" w:lineRule="auto"/>
              <w:ind w:left="1" w:leftChars="-6" w:right="64" w:rightChars="0" w:hanging="13" w:firstLineChars="0"/>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项目小类</w:t>
            </w:r>
          </w:p>
        </w:tc>
        <w:tc>
          <w:tcPr>
            <w:tcW w:w="2968" w:type="dxa"/>
            <w:vAlign w:val="center"/>
          </w:tcPr>
          <w:p>
            <w:pPr>
              <w:pStyle w:val="2"/>
              <w:spacing w:before="16" w:line="314" w:lineRule="auto"/>
              <w:ind w:right="-61" w:rightChars="0"/>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建设内容</w:t>
            </w:r>
          </w:p>
        </w:tc>
        <w:tc>
          <w:tcPr>
            <w:tcW w:w="1080" w:type="dxa"/>
            <w:vAlign w:val="center"/>
          </w:tcPr>
          <w:p>
            <w:pPr>
              <w:pStyle w:val="2"/>
              <w:spacing w:before="16" w:line="314" w:lineRule="auto"/>
              <w:ind w:right="-61" w:rightChars="0"/>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建设地点</w:t>
            </w:r>
          </w:p>
        </w:tc>
        <w:tc>
          <w:tcPr>
            <w:tcW w:w="1190" w:type="dxa"/>
            <w:vAlign w:val="center"/>
          </w:tcPr>
          <w:p>
            <w:pPr>
              <w:pStyle w:val="2"/>
              <w:spacing w:before="16" w:line="314" w:lineRule="auto"/>
              <w:ind w:right="-61" w:rightChars="0"/>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用地量</w:t>
            </w:r>
          </w:p>
        </w:tc>
        <w:tc>
          <w:tcPr>
            <w:tcW w:w="1226" w:type="dxa"/>
            <w:vAlign w:val="center"/>
          </w:tcPr>
          <w:p>
            <w:pPr>
              <w:pStyle w:val="2"/>
              <w:spacing w:before="16" w:line="314" w:lineRule="auto"/>
              <w:ind w:right="-61" w:rightChars="0"/>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用地性质</w:t>
            </w:r>
          </w:p>
        </w:tc>
        <w:tc>
          <w:tcPr>
            <w:tcW w:w="1316" w:type="dxa"/>
            <w:vAlign w:val="center"/>
          </w:tcPr>
          <w:p>
            <w:pPr>
              <w:pStyle w:val="2"/>
              <w:spacing w:before="16" w:line="314" w:lineRule="auto"/>
              <w:ind w:right="-76" w:rightChars="0"/>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建设期限</w:t>
            </w:r>
          </w:p>
        </w:tc>
        <w:tc>
          <w:tcPr>
            <w:tcW w:w="1670" w:type="dxa"/>
            <w:vAlign w:val="center"/>
          </w:tcPr>
          <w:p>
            <w:pPr>
              <w:pStyle w:val="2"/>
              <w:spacing w:before="16" w:line="314" w:lineRule="auto"/>
              <w:ind w:right="-26" w:rightChars="0"/>
              <w:jc w:val="center"/>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牵头单位</w:t>
            </w:r>
          </w:p>
        </w:tc>
        <w:tc>
          <w:tcPr>
            <w:tcW w:w="1379" w:type="dxa"/>
            <w:vAlign w:val="center"/>
          </w:tcPr>
          <w:p>
            <w:pPr>
              <w:pStyle w:val="2"/>
              <w:spacing w:before="16" w:line="314" w:lineRule="auto"/>
              <w:ind w:right="-61" w:rightChars="0"/>
              <w:jc w:val="center"/>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责任单位</w:t>
            </w:r>
          </w:p>
        </w:tc>
        <w:tc>
          <w:tcPr>
            <w:tcW w:w="1398" w:type="dxa"/>
            <w:vAlign w:val="center"/>
          </w:tcPr>
          <w:p>
            <w:pPr>
              <w:pStyle w:val="2"/>
              <w:spacing w:before="16" w:line="314" w:lineRule="auto"/>
              <w:ind w:left="0" w:leftChars="0" w:right="-19" w:rightChars="0" w:firstLine="0" w:firstLineChars="0"/>
              <w:jc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应急管理重点工程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镇级应急指挥分中心建设重点工程</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片区内2个乡镇配备应急指挥终端、单兵装备、侦察无人机，改建应急指挥场所，购置会议设备</w:t>
            </w:r>
          </w:p>
        </w:tc>
        <w:tc>
          <w:tcPr>
            <w:tcW w:w="108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316" w:type="dxa"/>
            <w:vAlign w:val="center"/>
          </w:tcPr>
          <w:p>
            <w:pPr>
              <w:pStyle w:val="2"/>
              <w:spacing w:before="16" w:line="314" w:lineRule="auto"/>
              <w:ind w:right="-57" w:rightChars="-27"/>
              <w:jc w:val="left"/>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6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37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应急管理重点工程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天通1号通信系统提升工程</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用于轻骑兵点验，天通一号设备维修和通讯费</w:t>
            </w:r>
          </w:p>
        </w:tc>
        <w:tc>
          <w:tcPr>
            <w:tcW w:w="108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316" w:type="dxa"/>
            <w:vAlign w:val="center"/>
          </w:tcPr>
          <w:p>
            <w:pPr>
              <w:pStyle w:val="2"/>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6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37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15万元/年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安全生产风险防控重点工程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综合执法服务能力提升重点工程</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乡镇综合执法中队建设，配套培训室（大会议室）各1间，办公室各1间，询问室各1间，资料室各1间，装备室各1间。购买执法车辆各1辆，执法装备各1套。</w:t>
            </w:r>
          </w:p>
        </w:tc>
        <w:tc>
          <w:tcPr>
            <w:tcW w:w="108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316" w:type="dxa"/>
            <w:vAlign w:val="center"/>
          </w:tcPr>
          <w:p>
            <w:pPr>
              <w:pStyle w:val="2"/>
              <w:spacing w:before="16" w:line="314" w:lineRule="auto"/>
              <w:ind w:right="-57" w:rightChars="-27"/>
              <w:jc w:val="left"/>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6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37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安全生产风险防控重点工程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企业监控设备提升工程</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对相关安全生产企业加强监控设备，以企业为责任主体，政府给予相关政策、资金、物资支持。</w:t>
            </w:r>
          </w:p>
        </w:tc>
        <w:tc>
          <w:tcPr>
            <w:tcW w:w="108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企业</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316" w:type="dxa"/>
            <w:vAlign w:val="center"/>
          </w:tcPr>
          <w:p>
            <w:pPr>
              <w:pStyle w:val="2"/>
              <w:spacing w:before="16" w:line="314" w:lineRule="auto"/>
              <w:ind w:right="-57" w:rightChars="-27"/>
              <w:jc w:val="left"/>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6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37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企业</w:t>
            </w:r>
          </w:p>
        </w:tc>
        <w:tc>
          <w:tcPr>
            <w:tcW w:w="139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安全生产风险防控重点工程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道路质量及安防设施基础补短重点工程</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对片区内49公里农村公路道路质量提升及安防护栏</w:t>
            </w:r>
          </w:p>
        </w:tc>
        <w:tc>
          <w:tcPr>
            <w:tcW w:w="108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片区道路沿线</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集体</w:t>
            </w: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kern w:val="2"/>
                <w:sz w:val="24"/>
                <w:szCs w:val="24"/>
                <w:vertAlign w:val="baseline"/>
                <w:lang w:val="en-US" w:eastAsia="zh-CN" w:bidi="ar-SA"/>
              </w:rPr>
              <w:t>区交通运输局</w:t>
            </w:r>
          </w:p>
        </w:tc>
        <w:tc>
          <w:tcPr>
            <w:tcW w:w="137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980万元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自然灾害防治重点工程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金口河区气象监测能力提升工程</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购置多套可视化气象监测设备和智能预警发布系统。</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区应急管理局、区交通局、区农业农村局</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自然灾害防治重点工程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森林防火基础综合设施建设项目</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新改建防火道路48.2公里完成大瓦山总体消防设施建设，新建消防水池6口新建林火视频监控系统野外监控点3个</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永胜乡、鹿儿坪工区、二道坪工区、板厂坪工区</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林区道路沿线</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国有</w:t>
            </w: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区自然资源局</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永胜乡、鹿儿坪工区、二道坪工区、板厂坪工区</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700万元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金口河区应急物资储备库建设项目</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改建2个镇级应急物资仓库，3个村级应急物资储备点，配足必需的应急物资。在永胜乡新建应急物资储备仓库，配套建设办公管理系统，购置多功能抢险救援车辆、应急机动指挥通信车辆、应急发电车辆等救援装备和配套应急物资。</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利旧</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国有</w:t>
            </w: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永胜乡、金河镇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综合性应急避难场所建设项</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依托学校操场、村委会空地、旅游服务场所，建成可供3000人紧急避险10天的综合性应急避难场所。配套建设水电气网络设施，卫生排污处理系统，配置救援救灾设施，配套建智能停车场，以利于发生疫情时可改为医疗方舱医院。</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利旧</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国有</w:t>
            </w: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区应急管理局、区住建局、区人民医院</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应急避难场所规范化建设项目</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对现有12个村级临时应急避难场所进行标准化建设。</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大瓦山景区消防站建设项目</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新建消防站满足城市二级站要求，具备山岳救援能力，有独立营区、办公场所、训练设施、执勤车辆3辆以及器材装备若干。</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top"/>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10亩</w:t>
            </w:r>
          </w:p>
        </w:tc>
        <w:tc>
          <w:tcPr>
            <w:tcW w:w="1226" w:type="dxa"/>
            <w:vAlign w:val="top"/>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国有</w:t>
            </w:r>
          </w:p>
        </w:tc>
        <w:tc>
          <w:tcPr>
            <w:tcW w:w="1316" w:type="dxa"/>
            <w:vAlign w:val="top"/>
          </w:tcPr>
          <w:p>
            <w:pPr>
              <w:spacing w:before="16" w:line="314" w:lineRule="auto"/>
              <w:ind w:right="-57" w:rightChars="-27"/>
              <w:jc w:val="left"/>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2023年-2030年</w:t>
            </w:r>
          </w:p>
        </w:tc>
        <w:tc>
          <w:tcPr>
            <w:tcW w:w="1670" w:type="dxa"/>
            <w:vAlign w:val="top"/>
          </w:tcPr>
          <w:p>
            <w:pPr>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区应急管理局、区消防救援大队</w:t>
            </w:r>
          </w:p>
        </w:tc>
        <w:tc>
          <w:tcPr>
            <w:tcW w:w="1379" w:type="dxa"/>
            <w:vAlign w:val="top"/>
          </w:tcPr>
          <w:p>
            <w:pPr>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区应急管理局、区消防救援大队</w:t>
            </w:r>
          </w:p>
        </w:tc>
        <w:tc>
          <w:tcPr>
            <w:tcW w:w="1398" w:type="dxa"/>
            <w:vAlign w:val="top"/>
          </w:tcPr>
          <w:p>
            <w:pPr>
              <w:spacing w:before="16" w:line="314" w:lineRule="auto"/>
              <w:ind w:right="-57" w:rightChars="-27"/>
              <w:jc w:val="both"/>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sz w:val="24"/>
                <w:szCs w:val="24"/>
                <w:highlight w:val="none"/>
                <w:vertAlign w:val="baseline"/>
                <w:lang w:val="en-US" w:eastAsia="zh-CN"/>
              </w:rPr>
              <w:t>先进技术应用重点工程</w:t>
            </w:r>
          </w:p>
        </w:tc>
        <w:tc>
          <w:tcPr>
            <w:tcW w:w="1730" w:type="dxa"/>
            <w:vAlign w:val="top"/>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应急通讯补短板工程</w:t>
            </w:r>
          </w:p>
        </w:tc>
        <w:tc>
          <w:tcPr>
            <w:tcW w:w="2968" w:type="dxa"/>
            <w:vAlign w:val="top"/>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建设通讯基站1个，实现区域通讯网络全覆盖、无死角</w:t>
            </w:r>
          </w:p>
        </w:tc>
        <w:tc>
          <w:tcPr>
            <w:tcW w:w="1080" w:type="dxa"/>
            <w:vAlign w:val="top"/>
          </w:tcPr>
          <w:p>
            <w:pPr>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板厂坪工区</w:t>
            </w:r>
          </w:p>
        </w:tc>
        <w:tc>
          <w:tcPr>
            <w:tcW w:w="1190" w:type="dxa"/>
            <w:vAlign w:val="top"/>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利旧</w:t>
            </w:r>
          </w:p>
        </w:tc>
        <w:tc>
          <w:tcPr>
            <w:tcW w:w="1226" w:type="dxa"/>
            <w:vAlign w:val="top"/>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p>
        </w:tc>
        <w:tc>
          <w:tcPr>
            <w:tcW w:w="1316" w:type="dxa"/>
            <w:vAlign w:val="top"/>
          </w:tcPr>
          <w:p>
            <w:pPr>
              <w:spacing w:before="16" w:line="314" w:lineRule="auto"/>
              <w:ind w:right="-57" w:rightChars="-27"/>
              <w:jc w:val="left"/>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sz w:val="24"/>
                <w:szCs w:val="24"/>
                <w:highlight w:val="none"/>
                <w:vertAlign w:val="baseline"/>
                <w:lang w:val="en-US" w:eastAsia="zh-CN"/>
              </w:rPr>
              <w:t>2023年-2025年</w:t>
            </w:r>
          </w:p>
        </w:tc>
        <w:tc>
          <w:tcPr>
            <w:tcW w:w="1670" w:type="dxa"/>
            <w:vAlign w:val="top"/>
          </w:tcPr>
          <w:p>
            <w:pPr>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区应急管理局、区自然资源局</w:t>
            </w:r>
          </w:p>
        </w:tc>
        <w:tc>
          <w:tcPr>
            <w:tcW w:w="1379" w:type="dxa"/>
            <w:vAlign w:val="top"/>
          </w:tcPr>
          <w:p>
            <w:pPr>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kern w:val="2"/>
                <w:sz w:val="24"/>
                <w:szCs w:val="24"/>
                <w:highlight w:val="none"/>
                <w:vertAlign w:val="baseline"/>
                <w:lang w:val="en-US" w:eastAsia="zh-CN" w:bidi="zh-CN"/>
              </w:rPr>
              <w:t>板厂坪工区</w:t>
            </w:r>
          </w:p>
        </w:tc>
        <w:tc>
          <w:tcPr>
            <w:tcW w:w="1398" w:type="dxa"/>
            <w:vAlign w:val="top"/>
          </w:tcPr>
          <w:p>
            <w:pPr>
              <w:spacing w:before="16" w:line="314" w:lineRule="auto"/>
              <w:ind w:right="-57" w:rightChars="-27"/>
              <w:jc w:val="both"/>
              <w:rPr>
                <w:rFonts w:hint="eastAsia" w:ascii="仿宋_GB2312" w:hAnsi="仿宋_GB2312" w:eastAsia="仿宋_GB2312" w:cs="仿宋_GB2312"/>
                <w:b w:val="0"/>
                <w:bCs w:val="0"/>
                <w:color w:val="auto"/>
                <w:kern w:val="2"/>
                <w:sz w:val="24"/>
                <w:szCs w:val="24"/>
                <w:highlight w:val="none"/>
                <w:vertAlign w:val="baseline"/>
                <w:lang w:val="en-US" w:eastAsia="zh-CN" w:bidi="zh-CN"/>
              </w:rPr>
            </w:pPr>
            <w:r>
              <w:rPr>
                <w:rFonts w:hint="eastAsia" w:ascii="仿宋_GB2312" w:hAnsi="仿宋_GB2312" w:eastAsia="仿宋_GB2312" w:cs="仿宋_GB2312"/>
                <w:b w:val="0"/>
                <w:bCs w:val="0"/>
                <w:color w:val="auto"/>
                <w:sz w:val="24"/>
                <w:szCs w:val="24"/>
                <w:highlight w:val="none"/>
                <w:vertAlign w:val="baseline"/>
                <w:lang w:val="en-US" w:eastAsia="zh-CN"/>
              </w:rPr>
              <w:t>150万元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先进技术应用重点工程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应急预案数字化平台建设</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将应急预案进行结构化、流程化分解，实现各种信息和资源与应急预案流程关联，为应急处置人员提供智能化、精准化的辅助决策</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共治共建共享重点工程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省级安全社区建设项目</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制定安全社区创建工作方案，围绕生产安全、社会安全、交通安全、消防安全等安全健康促进项目，开展创建工作</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1"/>
                <w:szCs w:val="24"/>
                <w:lang w:val="en-US" w:eastAsia="zh-CN" w:bidi="ar-SA"/>
              </w:rPr>
            </w:pPr>
            <w:r>
              <w:rPr>
                <w:rFonts w:hint="eastAsia" w:ascii="仿宋_GB2312" w:hAnsi="仿宋_GB2312" w:eastAsia="仿宋_GB2312" w:cs="仿宋_GB2312"/>
                <w:b w:val="0"/>
                <w:bCs w:val="0"/>
                <w:color w:val="auto"/>
                <w:lang w:val="en-US" w:eastAsia="zh-CN"/>
              </w:rPr>
              <w:t>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zh-CN" w:eastAsia="zh-CN" w:bidi="zh-CN"/>
              </w:rPr>
            </w:pPr>
            <w:r>
              <w:rPr>
                <w:rFonts w:hint="eastAsia" w:ascii="仿宋_GB2312" w:hAnsi="仿宋_GB2312" w:eastAsia="仿宋_GB2312" w:cs="仿宋_GB2312"/>
                <w:b w:val="0"/>
                <w:bCs w:val="0"/>
                <w:color w:val="auto"/>
                <w:kern w:val="2"/>
                <w:sz w:val="24"/>
                <w:szCs w:val="24"/>
                <w:vertAlign w:val="baseline"/>
                <w:lang w:eastAsia="zh-CN" w:bidi="zh-CN"/>
              </w:rPr>
              <w:t>利旧</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zh-CN" w:eastAsia="zh-CN" w:bidi="zh-CN"/>
              </w:rPr>
            </w:pPr>
            <w:r>
              <w:rPr>
                <w:rFonts w:hint="eastAsia" w:ascii="仿宋_GB2312" w:hAnsi="仿宋_GB2312" w:eastAsia="仿宋_GB2312" w:cs="仿宋_GB2312"/>
                <w:b w:val="0"/>
                <w:bCs w:val="0"/>
                <w:color w:val="auto"/>
                <w:kern w:val="2"/>
                <w:sz w:val="24"/>
                <w:szCs w:val="24"/>
                <w:vertAlign w:val="baseline"/>
                <w:lang w:eastAsia="zh-CN" w:bidi="zh-CN"/>
              </w:rPr>
              <w:t>国有</w:t>
            </w: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lang w:val="en-US" w:eastAsia="zh-CN"/>
              </w:rPr>
              <w:t>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共治共建共享重点工程</w:t>
            </w:r>
          </w:p>
        </w:tc>
        <w:tc>
          <w:tcPr>
            <w:tcW w:w="173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宣教培训专栏建设项目</w:t>
            </w:r>
          </w:p>
        </w:tc>
        <w:tc>
          <w:tcPr>
            <w:tcW w:w="29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在片区每个行政村设宣传专栏，每半年更新宣传内容，提高片区内群众的安全意识、应急意识、自救互救意识</w:t>
            </w:r>
          </w:p>
        </w:tc>
        <w:tc>
          <w:tcPr>
            <w:tcW w:w="1080"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19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eastAsia="zh-CN" w:bidi="zh-CN"/>
              </w:rPr>
            </w:pPr>
            <w:r>
              <w:rPr>
                <w:rFonts w:hint="eastAsia" w:ascii="仿宋_GB2312" w:hAnsi="仿宋_GB2312" w:eastAsia="仿宋_GB2312" w:cs="仿宋_GB2312"/>
                <w:b w:val="0"/>
                <w:bCs w:val="0"/>
                <w:color w:val="auto"/>
                <w:kern w:val="2"/>
                <w:sz w:val="24"/>
                <w:szCs w:val="24"/>
                <w:vertAlign w:val="baseline"/>
                <w:lang w:eastAsia="zh-CN" w:bidi="zh-CN"/>
              </w:rPr>
              <w:t>利旧</w:t>
            </w:r>
          </w:p>
        </w:tc>
        <w:tc>
          <w:tcPr>
            <w:tcW w:w="122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eastAsia="zh-CN" w:bidi="zh-CN"/>
              </w:rPr>
            </w:pPr>
            <w:r>
              <w:rPr>
                <w:rFonts w:hint="eastAsia" w:ascii="仿宋_GB2312" w:hAnsi="仿宋_GB2312" w:eastAsia="仿宋_GB2312" w:cs="仿宋_GB2312"/>
                <w:b w:val="0"/>
                <w:bCs w:val="0"/>
                <w:color w:val="auto"/>
                <w:kern w:val="2"/>
                <w:sz w:val="24"/>
                <w:szCs w:val="24"/>
                <w:vertAlign w:val="baseline"/>
                <w:lang w:eastAsia="zh-CN" w:bidi="zh-CN"/>
              </w:rPr>
              <w:t>国有</w:t>
            </w:r>
          </w:p>
        </w:tc>
        <w:tc>
          <w:tcPr>
            <w:tcW w:w="1316" w:type="dxa"/>
            <w:vAlign w:val="center"/>
          </w:tcPr>
          <w:p>
            <w:pPr>
              <w:spacing w:before="16" w:line="314" w:lineRule="auto"/>
              <w:ind w:right="-57" w:rightChars="-27"/>
              <w:jc w:val="left"/>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w:t>
            </w:r>
            <w:r>
              <w:rPr>
                <w:rFonts w:hint="eastAsia" w:ascii="仿宋_GB2312" w:hAnsi="仿宋_GB2312" w:eastAsia="仿宋_GB2312" w:cs="仿宋_GB2312"/>
                <w:b w:val="0"/>
                <w:bCs w:val="0"/>
                <w:color w:val="auto"/>
                <w:sz w:val="24"/>
                <w:szCs w:val="24"/>
                <w:vertAlign w:val="baseline"/>
                <w:lang w:eastAsia="zh-CN"/>
              </w:rPr>
              <w:t>2</w:t>
            </w:r>
            <w:r>
              <w:rPr>
                <w:rFonts w:hint="eastAsia" w:ascii="仿宋_GB2312" w:hAnsi="仿宋_GB2312" w:eastAsia="仿宋_GB2312" w:cs="仿宋_GB2312"/>
                <w:b w:val="0"/>
                <w:bCs w:val="0"/>
                <w:color w:val="auto"/>
                <w:sz w:val="24"/>
                <w:szCs w:val="24"/>
                <w:vertAlign w:val="baseline"/>
                <w:lang w:val="en-US" w:eastAsia="zh-CN"/>
              </w:rPr>
              <w:t>5年</w:t>
            </w:r>
          </w:p>
        </w:tc>
        <w:tc>
          <w:tcPr>
            <w:tcW w:w="1670"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永胜乡、金河镇</w:t>
            </w:r>
          </w:p>
        </w:tc>
        <w:tc>
          <w:tcPr>
            <w:tcW w:w="1398"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20万元</w:t>
            </w:r>
          </w:p>
        </w:tc>
      </w:tr>
    </w:tbl>
    <w:p>
      <w:pPr>
        <w:pStyle w:val="2"/>
        <w:spacing w:before="16" w:line="314" w:lineRule="auto"/>
        <w:ind w:right="-57" w:rightChars="-27"/>
        <w:jc w:val="both"/>
        <w:rPr>
          <w:rFonts w:hint="default" w:ascii="Times New Roman" w:hAnsi="Times New Roman" w:eastAsia="仿宋_GB2312"/>
          <w:color w:val="auto"/>
          <w:sz w:val="24"/>
          <w:szCs w:val="24"/>
          <w:vertAlign w:val="baseline"/>
          <w:lang w:val="en-US" w:eastAsia="zh-CN"/>
        </w:rPr>
      </w:pPr>
    </w:p>
    <w:p>
      <w:pPr>
        <w:pStyle w:val="2"/>
        <w:spacing w:before="16" w:line="314" w:lineRule="auto"/>
        <w:ind w:right="-57" w:rightChars="-27"/>
        <w:jc w:val="both"/>
        <w:rPr>
          <w:rFonts w:hint="default" w:ascii="Times New Roman" w:hAnsi="Times New Roman" w:eastAsia="仿宋_GB2312"/>
          <w:color w:val="auto"/>
          <w:sz w:val="24"/>
          <w:szCs w:val="24"/>
          <w:vertAlign w:val="baseline"/>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Times New Roman" w:hAnsi="Times New Roman" w:eastAsia="仿宋" w:cs="仿宋"/>
          <w:sz w:val="32"/>
          <w:szCs w:val="32"/>
          <w:lang w:val="en-US" w:eastAsia="zh-CN"/>
        </w:rPr>
        <w:t>4</w:t>
      </w:r>
      <w:r>
        <w:rPr>
          <w:rFonts w:hint="eastAsia" w:ascii="仿宋" w:hAnsi="仿宋" w:eastAsia="仿宋" w:cs="仿宋"/>
          <w:sz w:val="32"/>
          <w:szCs w:val="32"/>
          <w:lang w:val="en-US" w:eastAsia="zh-CN"/>
        </w:rPr>
        <w:t>.片区历年来典型自然灾害事故统计表</w:t>
      </w:r>
    </w:p>
    <w:tbl>
      <w:tblPr>
        <w:tblStyle w:val="18"/>
        <w:tblW w:w="13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780"/>
        <w:gridCol w:w="1370"/>
        <w:gridCol w:w="2230"/>
        <w:gridCol w:w="1730"/>
        <w:gridCol w:w="2300"/>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78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类别</w:t>
            </w:r>
          </w:p>
        </w:tc>
        <w:tc>
          <w:tcPr>
            <w:tcW w:w="137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伤亡情况</w:t>
            </w:r>
          </w:p>
        </w:tc>
        <w:tc>
          <w:tcPr>
            <w:tcW w:w="223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经济损失（万元）</w:t>
            </w:r>
          </w:p>
        </w:tc>
        <w:tc>
          <w:tcPr>
            <w:tcW w:w="173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发生时间</w:t>
            </w:r>
          </w:p>
        </w:tc>
        <w:tc>
          <w:tcPr>
            <w:tcW w:w="2300"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发生地点</w:t>
            </w:r>
          </w:p>
        </w:tc>
        <w:tc>
          <w:tcPr>
            <w:tcW w:w="3058"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w:t>
            </w:r>
          </w:p>
        </w:tc>
        <w:tc>
          <w:tcPr>
            <w:tcW w:w="178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地质灾害</w:t>
            </w:r>
          </w:p>
        </w:tc>
        <w:tc>
          <w:tcPr>
            <w:tcW w:w="137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0</w:t>
            </w:r>
          </w:p>
        </w:tc>
        <w:tc>
          <w:tcPr>
            <w:tcW w:w="223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1037</w:t>
            </w:r>
          </w:p>
        </w:tc>
        <w:tc>
          <w:tcPr>
            <w:tcW w:w="173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2008</w:t>
            </w:r>
            <w:r>
              <w:rPr>
                <w:rFonts w:hint="eastAsia" w:ascii="仿宋" w:hAnsi="仿宋" w:eastAsia="仿宋" w:cs="仿宋"/>
                <w:sz w:val="24"/>
                <w:szCs w:val="24"/>
                <w:vertAlign w:val="baseline"/>
                <w:lang w:val="en-US" w:eastAsia="zh-CN"/>
              </w:rPr>
              <w:t>.</w:t>
            </w:r>
            <w:r>
              <w:rPr>
                <w:rFonts w:hint="eastAsia" w:ascii="Times New Roman" w:hAnsi="Times New Roman" w:eastAsia="仿宋" w:cs="仿宋"/>
                <w:sz w:val="24"/>
                <w:szCs w:val="24"/>
                <w:vertAlign w:val="baseline"/>
                <w:lang w:val="en-US" w:eastAsia="zh-CN"/>
              </w:rPr>
              <w:t>5</w:t>
            </w:r>
            <w:r>
              <w:rPr>
                <w:rFonts w:hint="eastAsia" w:ascii="仿宋" w:hAnsi="仿宋" w:eastAsia="仿宋" w:cs="仿宋"/>
                <w:sz w:val="24"/>
                <w:szCs w:val="24"/>
                <w:vertAlign w:val="baseline"/>
                <w:lang w:val="en-US" w:eastAsia="zh-CN"/>
              </w:rPr>
              <w:t>.</w:t>
            </w:r>
            <w:r>
              <w:rPr>
                <w:rFonts w:hint="eastAsia" w:ascii="Times New Roman" w:hAnsi="Times New Roman" w:eastAsia="仿宋" w:cs="仿宋"/>
                <w:sz w:val="24"/>
                <w:szCs w:val="24"/>
                <w:vertAlign w:val="baseline"/>
                <w:lang w:val="en-US" w:eastAsia="zh-CN"/>
              </w:rPr>
              <w:t>12</w:t>
            </w:r>
          </w:p>
        </w:tc>
        <w:tc>
          <w:tcPr>
            <w:tcW w:w="230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金口河区金河镇铜河村</w:t>
            </w:r>
            <w:r>
              <w:rPr>
                <w:rFonts w:hint="eastAsia" w:ascii="Times New Roman" w:hAnsi="Times New Roman" w:eastAsia="仿宋" w:cs="仿宋"/>
                <w:sz w:val="24"/>
                <w:szCs w:val="24"/>
                <w:vertAlign w:val="baseline"/>
                <w:lang w:val="en-US" w:eastAsia="zh-CN"/>
              </w:rPr>
              <w:t>1</w:t>
            </w:r>
            <w:r>
              <w:rPr>
                <w:rFonts w:hint="eastAsia" w:ascii="仿宋" w:hAnsi="仿宋" w:eastAsia="仿宋" w:cs="仿宋"/>
                <w:sz w:val="24"/>
                <w:szCs w:val="24"/>
                <w:vertAlign w:val="baseline"/>
                <w:lang w:val="en-US" w:eastAsia="zh-CN"/>
              </w:rPr>
              <w:t>组崩塌</w:t>
            </w:r>
          </w:p>
        </w:tc>
        <w:tc>
          <w:tcPr>
            <w:tcW w:w="3058"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乐山市金口河区地质灾害风险评价（</w:t>
            </w:r>
            <w:r>
              <w:rPr>
                <w:rFonts w:hint="eastAsia" w:ascii="Times New Roman" w:hAnsi="Times New Roman" w:eastAsia="仿宋" w:cs="仿宋"/>
                <w:sz w:val="24"/>
                <w:szCs w:val="24"/>
                <w:vertAlign w:val="baseline"/>
                <w:lang w:val="en-US" w:eastAsia="zh-CN"/>
              </w:rPr>
              <w:t>1</w:t>
            </w:r>
            <w:r>
              <w:rPr>
                <w:rFonts w:hint="eastAsia" w:ascii="仿宋" w:hAnsi="仿宋" w:eastAsia="仿宋" w:cs="仿宋"/>
                <w:sz w:val="24"/>
                <w:szCs w:val="24"/>
                <w:vertAlign w:val="baseline"/>
                <w:lang w:val="en-US" w:eastAsia="zh-CN"/>
              </w:rPr>
              <w:t>:</w:t>
            </w:r>
            <w:r>
              <w:rPr>
                <w:rFonts w:hint="eastAsia" w:ascii="Times New Roman" w:hAnsi="Times New Roman" w:eastAsia="仿宋" w:cs="仿宋"/>
                <w:sz w:val="24"/>
                <w:szCs w:val="24"/>
                <w:vertAlign w:val="baseline"/>
                <w:lang w:val="en-US" w:eastAsia="zh-CN"/>
              </w:rPr>
              <w:t>50000</w:t>
            </w:r>
            <w:r>
              <w:rPr>
                <w:rFonts w:hint="eastAsia" w:ascii="仿宋" w:hAnsi="仿宋" w:eastAsia="仿宋" w:cs="仿宋"/>
                <w:sz w:val="24"/>
                <w:szCs w:val="24"/>
                <w:vertAlign w:val="baseline"/>
                <w:lang w:val="en-US" w:eastAsia="zh-CN"/>
              </w:rPr>
              <w:t>）成果报告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w:t>
            </w:r>
          </w:p>
        </w:tc>
        <w:tc>
          <w:tcPr>
            <w:tcW w:w="1780"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洪涝灾害</w:t>
            </w:r>
          </w:p>
        </w:tc>
        <w:tc>
          <w:tcPr>
            <w:tcW w:w="137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Times New Roman" w:hAnsi="Times New Roman" w:eastAsia="仿宋" w:cs="仿宋"/>
                <w:sz w:val="24"/>
                <w:szCs w:val="24"/>
                <w:vertAlign w:val="baseline"/>
                <w:lang w:val="en-US" w:eastAsia="zh-CN"/>
              </w:rPr>
              <w:t>0</w:t>
            </w:r>
          </w:p>
        </w:tc>
        <w:tc>
          <w:tcPr>
            <w:tcW w:w="223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Times New Roman" w:hAnsi="Times New Roman" w:eastAsia="仿宋" w:cs="仿宋"/>
                <w:sz w:val="24"/>
                <w:szCs w:val="24"/>
                <w:vertAlign w:val="baseline"/>
                <w:lang w:val="en-US" w:eastAsia="zh-CN"/>
              </w:rPr>
              <w:t>27000</w:t>
            </w:r>
          </w:p>
        </w:tc>
        <w:tc>
          <w:tcPr>
            <w:tcW w:w="173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Times New Roman" w:hAnsi="Times New Roman" w:eastAsia="仿宋" w:cs="仿宋"/>
                <w:sz w:val="24"/>
                <w:szCs w:val="24"/>
                <w:vertAlign w:val="baseline"/>
                <w:lang w:val="en-US" w:eastAsia="zh-CN"/>
              </w:rPr>
              <w:t>2020</w:t>
            </w:r>
            <w:r>
              <w:rPr>
                <w:rFonts w:hint="eastAsia" w:ascii="仿宋" w:hAnsi="仿宋" w:eastAsia="仿宋" w:cs="仿宋"/>
                <w:sz w:val="24"/>
                <w:szCs w:val="24"/>
                <w:vertAlign w:val="baseline"/>
                <w:lang w:val="en-US" w:eastAsia="zh-CN"/>
              </w:rPr>
              <w:t>.</w:t>
            </w:r>
            <w:r>
              <w:rPr>
                <w:rFonts w:hint="eastAsia" w:ascii="Times New Roman" w:hAnsi="Times New Roman" w:eastAsia="仿宋" w:cs="仿宋"/>
                <w:sz w:val="24"/>
                <w:szCs w:val="24"/>
                <w:vertAlign w:val="baseline"/>
                <w:lang w:val="en-US" w:eastAsia="zh-CN"/>
              </w:rPr>
              <w:t>8</w:t>
            </w:r>
            <w:r>
              <w:rPr>
                <w:rFonts w:hint="eastAsia" w:ascii="仿宋" w:hAnsi="仿宋" w:eastAsia="仿宋" w:cs="仿宋"/>
                <w:sz w:val="24"/>
                <w:szCs w:val="24"/>
                <w:vertAlign w:val="baseline"/>
                <w:lang w:val="en-US" w:eastAsia="zh-CN"/>
              </w:rPr>
              <w:t>.</w:t>
            </w:r>
            <w:r>
              <w:rPr>
                <w:rFonts w:hint="eastAsia" w:ascii="Times New Roman" w:hAnsi="Times New Roman" w:eastAsia="仿宋" w:cs="仿宋"/>
                <w:sz w:val="24"/>
                <w:szCs w:val="24"/>
                <w:vertAlign w:val="baseline"/>
                <w:lang w:val="en-US" w:eastAsia="zh-CN"/>
              </w:rPr>
              <w:t>18</w:t>
            </w:r>
          </w:p>
        </w:tc>
        <w:tc>
          <w:tcPr>
            <w:tcW w:w="2300" w:type="dxa"/>
            <w:vAlign w:val="top"/>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野牛河沿岸</w:t>
            </w:r>
          </w:p>
        </w:tc>
        <w:tc>
          <w:tcPr>
            <w:tcW w:w="3058" w:type="dxa"/>
          </w:tcPr>
          <w:p>
            <w:pPr>
              <w:jc w:val="center"/>
              <w:rPr>
                <w:rFonts w:hint="eastAsia" w:ascii="仿宋" w:hAnsi="仿宋" w:eastAsia="仿宋" w:cs="仿宋"/>
                <w:sz w:val="24"/>
                <w:szCs w:val="24"/>
                <w:vertAlign w:val="baseline"/>
                <w:lang w:val="en-US" w:eastAsia="zh-CN"/>
              </w:rPr>
            </w:pPr>
          </w:p>
        </w:tc>
      </w:tr>
    </w:tbl>
    <w:p>
      <w:pPr>
        <w:pStyle w:val="2"/>
        <w:spacing w:before="16" w:line="314" w:lineRule="auto"/>
        <w:ind w:right="-57" w:rightChars="-27"/>
        <w:jc w:val="center"/>
        <w:rPr>
          <w:rFonts w:hint="eastAsia" w:ascii="Times New Roman" w:hAnsi="Times New Roman" w:eastAsia="仿宋" w:cs="仿宋"/>
          <w:color w:val="auto"/>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仿宋" w:hAnsi="仿宋" w:eastAsia="仿宋" w:cs="仿宋"/>
          <w:sz w:val="24"/>
          <w:szCs w:val="24"/>
          <w:lang w:val="en-US" w:eastAsia="zh-CN"/>
        </w:rPr>
      </w:pPr>
      <w:r>
        <w:rPr>
          <w:rFonts w:hint="eastAsia" w:ascii="Times New Roman" w:hAnsi="Times New Roman" w:eastAsia="仿宋" w:cs="仿宋"/>
          <w:sz w:val="32"/>
          <w:szCs w:val="32"/>
          <w:lang w:val="en-US" w:eastAsia="zh-CN"/>
        </w:rPr>
        <w:t>5</w:t>
      </w:r>
      <w:r>
        <w:rPr>
          <w:rFonts w:hint="eastAsia" w:ascii="仿宋" w:hAnsi="仿宋" w:eastAsia="仿宋" w:cs="仿宋"/>
          <w:sz w:val="32"/>
          <w:szCs w:val="32"/>
          <w:lang w:val="en-US" w:eastAsia="zh-CN"/>
        </w:rPr>
        <w:t>.片区应急队伍统计及分布表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576"/>
        <w:gridCol w:w="3503"/>
        <w:gridCol w:w="2239"/>
        <w:gridCol w:w="2663"/>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350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队伍名称</w:t>
            </w:r>
          </w:p>
        </w:tc>
        <w:tc>
          <w:tcPr>
            <w:tcW w:w="2239"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队伍人数（人）</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救援类型</w:t>
            </w:r>
          </w:p>
        </w:tc>
        <w:tc>
          <w:tcPr>
            <w:tcW w:w="1742"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乡镇应急队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永胜乡政府机关应急救援队</w:t>
            </w:r>
          </w:p>
        </w:tc>
        <w:tc>
          <w:tcPr>
            <w:tcW w:w="2239"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2</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民主村应急救援队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3</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桅杆村应急救援队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4</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顺河村应急救援队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5</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瓦山村应急救援队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6</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乡镇应急队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金河镇政府机关应急救援队</w:t>
            </w:r>
          </w:p>
        </w:tc>
        <w:tc>
          <w:tcPr>
            <w:tcW w:w="2239"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kern w:val="2"/>
                <w:sz w:val="24"/>
                <w:szCs w:val="24"/>
                <w:vertAlign w:val="baseline"/>
                <w:lang w:val="en-US" w:eastAsia="zh-CN" w:bidi="ar-SA"/>
              </w:rPr>
            </w:pPr>
            <w:r>
              <w:rPr>
                <w:rFonts w:hint="eastAsia" w:ascii="Times New Roman" w:hAnsi="Times New Roman" w:eastAsia="仿宋" w:cs="仿宋"/>
                <w:i w:val="0"/>
                <w:iCs w:val="0"/>
                <w:color w:val="000000"/>
                <w:kern w:val="0"/>
                <w:sz w:val="24"/>
                <w:szCs w:val="24"/>
                <w:u w:val="none"/>
                <w:lang w:val="en-US" w:eastAsia="zh-CN" w:bidi="ar"/>
              </w:rPr>
              <w:t>7</w:t>
            </w:r>
          </w:p>
        </w:tc>
        <w:tc>
          <w:tcPr>
            <w:tcW w:w="1576"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社区应急队</w:t>
            </w:r>
          </w:p>
        </w:tc>
        <w:tc>
          <w:tcPr>
            <w:tcW w:w="3503" w:type="dxa"/>
            <w:vAlign w:val="top"/>
          </w:tcPr>
          <w:p>
            <w:pPr>
              <w:keepNext w:val="0"/>
              <w:keepLines w:val="0"/>
              <w:widowControl/>
              <w:suppressLineNumbers w:val="0"/>
              <w:jc w:val="center"/>
              <w:textAlignment w:val="top"/>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金河社区应急救援队</w:t>
            </w:r>
          </w:p>
        </w:tc>
        <w:tc>
          <w:tcPr>
            <w:tcW w:w="2239" w:type="dxa"/>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kern w:val="2"/>
                <w:sz w:val="24"/>
                <w:szCs w:val="24"/>
                <w:vertAlign w:val="baseline"/>
                <w:lang w:val="en-US" w:eastAsia="zh-CN" w:bidi="ar-SA"/>
              </w:rPr>
            </w:pPr>
            <w:r>
              <w:rPr>
                <w:rFonts w:hint="eastAsia" w:ascii="Times New Roman" w:hAnsi="Times New Roman" w:eastAsia="仿宋" w:cs="仿宋"/>
                <w:i w:val="0"/>
                <w:iCs w:val="0"/>
                <w:color w:val="000000"/>
                <w:kern w:val="0"/>
                <w:sz w:val="24"/>
                <w:szCs w:val="24"/>
                <w:u w:val="none"/>
                <w:lang w:val="en-US" w:eastAsia="zh-CN" w:bidi="ar"/>
              </w:rPr>
              <w:t>8</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吉星村应急救援队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kern w:val="2"/>
                <w:sz w:val="24"/>
                <w:szCs w:val="24"/>
                <w:vertAlign w:val="baseline"/>
                <w:lang w:val="en-US" w:eastAsia="zh-CN" w:bidi="ar-SA"/>
              </w:rPr>
            </w:pPr>
            <w:r>
              <w:rPr>
                <w:rFonts w:hint="eastAsia" w:ascii="Times New Roman" w:hAnsi="Times New Roman" w:eastAsia="仿宋" w:cs="仿宋"/>
                <w:i w:val="0"/>
                <w:iCs w:val="0"/>
                <w:color w:val="000000"/>
                <w:kern w:val="0"/>
                <w:sz w:val="24"/>
                <w:szCs w:val="24"/>
                <w:u w:val="none"/>
                <w:lang w:val="en-US" w:eastAsia="zh-CN" w:bidi="ar"/>
              </w:rPr>
              <w:t>9</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民心村应急救援队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kern w:val="2"/>
                <w:sz w:val="24"/>
                <w:szCs w:val="24"/>
                <w:vertAlign w:val="baseline"/>
                <w:lang w:val="en-US" w:eastAsia="zh-CN" w:bidi="ar-SA"/>
              </w:rPr>
            </w:pPr>
            <w:r>
              <w:rPr>
                <w:rFonts w:hint="eastAsia" w:ascii="Times New Roman" w:hAnsi="Times New Roman" w:eastAsia="仿宋" w:cs="仿宋"/>
                <w:i w:val="0"/>
                <w:iCs w:val="0"/>
                <w:color w:val="000000"/>
                <w:kern w:val="0"/>
                <w:sz w:val="24"/>
                <w:szCs w:val="24"/>
                <w:u w:val="none"/>
                <w:lang w:val="en-US" w:eastAsia="zh-CN" w:bidi="ar"/>
              </w:rPr>
              <w:t>10</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曙光村应急救援队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9" w:type="dxa"/>
            <w:vAlign w:val="top"/>
          </w:tcPr>
          <w:p>
            <w:pPr>
              <w:keepNext w:val="0"/>
              <w:keepLines w:val="0"/>
              <w:widowControl/>
              <w:suppressLineNumbers w:val="0"/>
              <w:jc w:val="center"/>
              <w:textAlignment w:val="top"/>
              <w:rPr>
                <w:rFonts w:hint="default" w:ascii="仿宋" w:hAnsi="仿宋" w:eastAsia="仿宋" w:cs="仿宋"/>
                <w:kern w:val="2"/>
                <w:sz w:val="24"/>
                <w:szCs w:val="24"/>
                <w:vertAlign w:val="baseline"/>
                <w:lang w:val="en-US" w:eastAsia="zh-CN" w:bidi="ar-SA"/>
              </w:rPr>
            </w:pPr>
            <w:r>
              <w:rPr>
                <w:rFonts w:hint="eastAsia" w:ascii="Times New Roman" w:hAnsi="Times New Roman" w:eastAsia="仿宋" w:cs="仿宋"/>
                <w:i w:val="0"/>
                <w:iCs w:val="0"/>
                <w:color w:val="000000"/>
                <w:kern w:val="0"/>
                <w:sz w:val="24"/>
                <w:szCs w:val="24"/>
                <w:u w:val="none"/>
                <w:lang w:val="en-US" w:eastAsia="zh-CN" w:bidi="ar"/>
              </w:rPr>
              <w:t>11</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同心村应急救援队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kern w:val="2"/>
                <w:sz w:val="24"/>
                <w:szCs w:val="24"/>
                <w:vertAlign w:val="baseline"/>
                <w:lang w:val="en-US" w:eastAsia="zh-CN" w:bidi="ar-SA"/>
              </w:rPr>
            </w:pPr>
            <w:r>
              <w:rPr>
                <w:rFonts w:hint="eastAsia" w:ascii="Times New Roman" w:hAnsi="Times New Roman" w:eastAsia="仿宋" w:cs="仿宋"/>
                <w:i w:val="0"/>
                <w:iCs w:val="0"/>
                <w:color w:val="000000"/>
                <w:kern w:val="0"/>
                <w:sz w:val="24"/>
                <w:szCs w:val="24"/>
                <w:u w:val="none"/>
                <w:lang w:val="en-US" w:eastAsia="zh-CN" w:bidi="ar"/>
              </w:rPr>
              <w:t>12</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铜河村应急救援队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kern w:val="2"/>
                <w:sz w:val="24"/>
                <w:szCs w:val="24"/>
                <w:vertAlign w:val="baseline"/>
                <w:lang w:val="en-US" w:eastAsia="zh-CN" w:bidi="ar-SA"/>
              </w:rPr>
            </w:pPr>
            <w:r>
              <w:rPr>
                <w:rFonts w:hint="eastAsia" w:ascii="Times New Roman" w:hAnsi="Times New Roman" w:eastAsia="仿宋" w:cs="仿宋"/>
                <w:i w:val="0"/>
                <w:iCs w:val="0"/>
                <w:color w:val="000000"/>
                <w:kern w:val="0"/>
                <w:sz w:val="24"/>
                <w:szCs w:val="24"/>
                <w:u w:val="none"/>
                <w:lang w:val="en-US" w:eastAsia="zh-CN" w:bidi="ar"/>
              </w:rPr>
              <w:t>13</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bottom"/>
          </w:tcPr>
          <w:p>
            <w:pPr>
              <w:keepNext w:val="0"/>
              <w:keepLines w:val="0"/>
              <w:widowControl/>
              <w:suppressLineNumbers w:val="0"/>
              <w:jc w:val="center"/>
              <w:textAlignment w:val="bottom"/>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五一村应急救援队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14</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新坪村应急救援队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bl>
    <w:p>
      <w:pPr>
        <w:pStyle w:val="2"/>
        <w:spacing w:before="16" w:line="314" w:lineRule="auto"/>
        <w:ind w:right="-64" w:rightChars="0"/>
        <w:jc w:val="left"/>
        <w:rPr>
          <w:rFonts w:hint="eastAsia"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Times New Roman" w:hAnsi="Times New Roman" w:cs="仿宋"/>
          <w:kern w:val="2"/>
          <w:sz w:val="32"/>
          <w:szCs w:val="32"/>
          <w:lang w:val="en-US" w:eastAsia="zh-CN" w:bidi="ar-SA"/>
        </w:rPr>
      </w:pPr>
    </w:p>
    <w:p>
      <w:pPr>
        <w:pStyle w:val="2"/>
        <w:spacing w:before="16" w:line="314" w:lineRule="auto"/>
        <w:ind w:right="-64" w:rightChars="0"/>
        <w:jc w:val="left"/>
        <w:rPr>
          <w:rFonts w:hint="eastAsia" w:ascii="仿宋" w:hAnsi="仿宋" w:eastAsia="仿宋" w:cs="仿宋"/>
          <w:kern w:val="2"/>
          <w:sz w:val="32"/>
          <w:szCs w:val="32"/>
          <w:lang w:val="en-US" w:eastAsia="zh-CN" w:bidi="ar-SA"/>
        </w:rPr>
      </w:pPr>
      <w:r>
        <w:rPr>
          <w:rFonts w:hint="eastAsia" w:ascii="Times New Roman" w:hAnsi="Times New Roman" w:cs="仿宋"/>
          <w:kern w:val="2"/>
          <w:sz w:val="32"/>
          <w:szCs w:val="32"/>
          <w:lang w:val="en-US" w:eastAsia="zh-CN" w:bidi="ar-SA"/>
        </w:rPr>
        <w:t>6</w:t>
      </w:r>
      <w:r>
        <w:rPr>
          <w:rFonts w:hint="eastAsia" w:cs="仿宋"/>
          <w:kern w:val="2"/>
          <w:sz w:val="32"/>
          <w:szCs w:val="32"/>
          <w:lang w:val="en-US" w:eastAsia="zh-CN" w:bidi="ar-SA"/>
        </w:rPr>
        <w:t>.</w:t>
      </w:r>
      <w:r>
        <w:rPr>
          <w:rFonts w:hint="eastAsia" w:ascii="仿宋" w:hAnsi="仿宋" w:eastAsia="仿宋" w:cs="仿宋"/>
          <w:kern w:val="2"/>
          <w:sz w:val="32"/>
          <w:szCs w:val="32"/>
          <w:lang w:val="en-US" w:eastAsia="zh-CN" w:bidi="ar-SA"/>
        </w:rPr>
        <w:t>片区基层扑火装备统计表</w:t>
      </w:r>
    </w:p>
    <w:tbl>
      <w:tblPr>
        <w:tblStyle w:val="17"/>
        <w:tblW w:w="14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87"/>
        <w:gridCol w:w="1350"/>
        <w:gridCol w:w="1420"/>
        <w:gridCol w:w="1260"/>
        <w:gridCol w:w="1490"/>
        <w:gridCol w:w="1740"/>
        <w:gridCol w:w="1059"/>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587" w:type="dxa"/>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Style w:val="38"/>
                <w:rFonts w:hint="eastAsia" w:ascii="仿宋" w:hAnsi="仿宋" w:eastAsia="仿宋" w:cs="仿宋"/>
                <w:color w:val="auto"/>
                <w:sz w:val="24"/>
                <w:szCs w:val="24"/>
                <w:lang w:val="en-US" w:eastAsia="zh-CN" w:bidi="ar"/>
              </w:rPr>
              <w:t>队伍名称</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三号工具</w:t>
            </w:r>
          </w:p>
        </w:tc>
        <w:tc>
          <w:tcPr>
            <w:tcW w:w="142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清林切</w:t>
            </w:r>
          </w:p>
        </w:tc>
        <w:tc>
          <w:tcPr>
            <w:tcW w:w="126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消防铲</w:t>
            </w:r>
          </w:p>
        </w:tc>
        <w:tc>
          <w:tcPr>
            <w:tcW w:w="149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26"/>
                <w:rFonts w:hint="eastAsia" w:ascii="仿宋" w:hAnsi="仿宋" w:eastAsia="仿宋" w:cs="仿宋"/>
                <w:color w:val="auto"/>
                <w:sz w:val="24"/>
                <w:szCs w:val="24"/>
                <w:lang w:val="en-US" w:eastAsia="zh-CN" w:bidi="ar"/>
              </w:rPr>
              <w:t>风水灭火机</w:t>
            </w:r>
          </w:p>
        </w:tc>
        <w:tc>
          <w:tcPr>
            <w:tcW w:w="17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单兵组合工具</w:t>
            </w:r>
          </w:p>
        </w:tc>
        <w:tc>
          <w:tcPr>
            <w:tcW w:w="1059"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防火服</w:t>
            </w:r>
          </w:p>
        </w:tc>
        <w:tc>
          <w:tcPr>
            <w:tcW w:w="1364"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永胜乡政府机关森林义务扑火队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9</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30</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7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059"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17</w:t>
            </w: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民主村森林义务扑火队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桅杆村森林义务扑火队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顺河村森林义务扑火队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9</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瓦山村森林义务扑火队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金河镇政府机关森林义务扑火队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7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059"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top"/>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吉星村森林义务扑火队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民心村森林义务扑火队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13</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曙光村森林义务扑火队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14</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同心村森林义务扑火队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铜河村森林义务扑火队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22</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bottom"/>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五一村森林义务扑火队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29</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14</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19</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58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新坪村森林义务扑火队</w:t>
            </w:r>
          </w:p>
        </w:tc>
        <w:tc>
          <w:tcPr>
            <w:tcW w:w="135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30</w:t>
            </w:r>
          </w:p>
        </w:tc>
        <w:tc>
          <w:tcPr>
            <w:tcW w:w="142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2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49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74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059"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364"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58</w:t>
            </w:r>
          </w:p>
        </w:tc>
      </w:tr>
    </w:tbl>
    <w:p>
      <w:pPr>
        <w:pStyle w:val="2"/>
        <w:spacing w:before="16" w:line="314" w:lineRule="auto"/>
        <w:ind w:right="-57" w:rightChars="-27"/>
        <w:jc w:val="both"/>
        <w:rPr>
          <w:rFonts w:hint="default" w:ascii="Times New Roman" w:hAnsi="Times New Roman" w:eastAsia="仿宋_GB2312"/>
          <w:color w:val="auto"/>
          <w:sz w:val="24"/>
          <w:szCs w:val="24"/>
          <w:vertAlign w:val="baseline"/>
          <w:lang w:val="en-US" w:eastAsia="zh-CN"/>
        </w:rPr>
      </w:pPr>
    </w:p>
    <w:p>
      <w:pPr>
        <w:pStyle w:val="9"/>
        <w:ind w:left="0" w:leftChars="0" w:firstLine="0" w:firstLineChars="0"/>
        <w:rPr>
          <w:rFonts w:hint="eastAsia"/>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仿宋" w:hAnsi="仿宋" w:eastAsia="仿宋" w:cs="仿宋"/>
          <w:sz w:val="24"/>
          <w:szCs w:val="24"/>
          <w:lang w:val="en-US" w:eastAsia="zh-CN"/>
        </w:rPr>
      </w:pPr>
      <w:r>
        <w:rPr>
          <w:rFonts w:hint="eastAsia" w:ascii="Times New Roman" w:hAnsi="Times New Roman" w:eastAsia="仿宋" w:cs="仿宋"/>
          <w:sz w:val="32"/>
          <w:szCs w:val="32"/>
          <w:lang w:val="en-US" w:eastAsia="zh-CN"/>
        </w:rPr>
        <w:t>7</w:t>
      </w:r>
      <w:r>
        <w:rPr>
          <w:rFonts w:hint="eastAsia" w:ascii="仿宋" w:hAnsi="仿宋" w:eastAsia="仿宋" w:cs="仿宋"/>
          <w:sz w:val="32"/>
          <w:szCs w:val="32"/>
          <w:lang w:val="en-US" w:eastAsia="zh-CN"/>
        </w:rPr>
        <w:t>.片区应急救援装备、物资统计及分布表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3120"/>
        <w:gridCol w:w="3790"/>
        <w:gridCol w:w="1229"/>
        <w:gridCol w:w="1857"/>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序号</w:t>
            </w:r>
          </w:p>
        </w:tc>
        <w:tc>
          <w:tcPr>
            <w:tcW w:w="3120" w:type="dxa"/>
            <w:vMerge w:val="restart"/>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类别</w:t>
            </w:r>
          </w:p>
        </w:tc>
        <w:tc>
          <w:tcPr>
            <w:tcW w:w="3790" w:type="dxa"/>
            <w:vMerge w:val="restart"/>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名称</w:t>
            </w:r>
          </w:p>
        </w:tc>
        <w:tc>
          <w:tcPr>
            <w:tcW w:w="1229" w:type="dxa"/>
            <w:vMerge w:val="restart"/>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单位</w:t>
            </w:r>
          </w:p>
        </w:tc>
        <w:tc>
          <w:tcPr>
            <w:tcW w:w="3715" w:type="dxa"/>
            <w:gridSpan w:val="2"/>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所在位置及数量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vAlign w:val="center"/>
          </w:tcPr>
          <w:p>
            <w:pPr>
              <w:jc w:val="center"/>
              <w:rPr>
                <w:rFonts w:hint="eastAsia" w:ascii="仿宋" w:hAnsi="仿宋" w:eastAsia="仿宋" w:cs="仿宋"/>
                <w:sz w:val="24"/>
                <w:szCs w:val="24"/>
                <w:vertAlign w:val="baseline"/>
                <w:lang w:val="en-US" w:eastAsia="zh-CN"/>
              </w:rPr>
            </w:pPr>
          </w:p>
        </w:tc>
        <w:tc>
          <w:tcPr>
            <w:tcW w:w="3120" w:type="dxa"/>
            <w:vMerge w:val="continue"/>
            <w:vAlign w:val="center"/>
          </w:tcPr>
          <w:p>
            <w:pPr>
              <w:jc w:val="center"/>
              <w:rPr>
                <w:rFonts w:hint="eastAsia" w:ascii="仿宋" w:hAnsi="仿宋" w:eastAsia="仿宋" w:cs="仿宋"/>
                <w:sz w:val="24"/>
                <w:szCs w:val="24"/>
                <w:vertAlign w:val="baseline"/>
                <w:lang w:val="en-US" w:eastAsia="zh-CN"/>
              </w:rPr>
            </w:pPr>
          </w:p>
        </w:tc>
        <w:tc>
          <w:tcPr>
            <w:tcW w:w="3790" w:type="dxa"/>
            <w:vMerge w:val="continue"/>
            <w:vAlign w:val="center"/>
          </w:tcPr>
          <w:p>
            <w:pPr>
              <w:jc w:val="center"/>
              <w:rPr>
                <w:rFonts w:hint="eastAsia" w:ascii="仿宋" w:hAnsi="仿宋" w:eastAsia="仿宋" w:cs="仿宋"/>
                <w:sz w:val="24"/>
                <w:szCs w:val="24"/>
                <w:vertAlign w:val="baseline"/>
                <w:lang w:val="en-US" w:eastAsia="zh-CN"/>
              </w:rPr>
            </w:pPr>
          </w:p>
        </w:tc>
        <w:tc>
          <w:tcPr>
            <w:tcW w:w="1229" w:type="dxa"/>
            <w:vMerge w:val="continue"/>
            <w:vAlign w:val="center"/>
          </w:tcPr>
          <w:p>
            <w:pPr>
              <w:jc w:val="center"/>
              <w:rPr>
                <w:rFonts w:hint="eastAsia" w:ascii="仿宋" w:hAnsi="仿宋" w:eastAsia="仿宋" w:cs="仿宋"/>
                <w:sz w:val="24"/>
                <w:szCs w:val="24"/>
                <w:vertAlign w:val="baseline"/>
                <w:lang w:val="en-US" w:eastAsia="zh-CN"/>
              </w:rPr>
            </w:pPr>
          </w:p>
        </w:tc>
        <w:tc>
          <w:tcPr>
            <w:tcW w:w="1857"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金河镇</w:t>
            </w:r>
          </w:p>
        </w:tc>
        <w:tc>
          <w:tcPr>
            <w:tcW w:w="1858"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永胜乡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LED强光探照灯（手提探照灯）</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安全帽</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顶</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185</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反光背心</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防尘口罩</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防刺穿救援鞋</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双</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防寒服</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防护手套</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打</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分体式头灯</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9</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分体式雨衣（雨衣）</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222</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强光手电筒（防爆手电筒）</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手提强力照明灯</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12</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头灯</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13</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线手套</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双</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14</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夜光雨衣</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15</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应急双肩包</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16</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雨鞋（雨靴）</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双</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234</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17</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救生缆索</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18</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救生圈</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19</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救生衣</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210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20</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救援担架</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21</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代储情况</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家</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22</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棉被</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棉大衣</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332</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24</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帐篷（救灾单帐篷）</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顶</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42</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25</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折叠床</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张</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252</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26</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编织袋</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27</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防汛沙袋</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600</w:t>
            </w:r>
          </w:p>
        </w:tc>
        <w:tc>
          <w:tcPr>
            <w:tcW w:w="1858"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麻绳</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根</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29</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土工布（篷布）</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3</w:t>
            </w:r>
            <w:r>
              <w:rPr>
                <w:rFonts w:hint="eastAsia" w:ascii="仿宋" w:hAnsi="仿宋" w:eastAsia="仿宋" w:cs="仿宋"/>
                <w:i w:val="0"/>
                <w:iCs w:val="0"/>
                <w:color w:val="000000"/>
                <w:kern w:val="0"/>
                <w:sz w:val="24"/>
                <w:szCs w:val="24"/>
                <w:u w:val="none"/>
                <w:lang w:val="en-US" w:eastAsia="zh-CN" w:bidi="ar"/>
              </w:rPr>
              <w:t>号打火工具</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31</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柴刀（斧头）</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32</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锄头</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33</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电缆绞盘</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34</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口哨</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264</w:t>
            </w:r>
          </w:p>
        </w:tc>
        <w:tc>
          <w:tcPr>
            <w:tcW w:w="1858"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35</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铁锤</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36</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消防铲（铁锹）</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37</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液压手推车</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辆</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38</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应急抢险物资储备（设备）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除湿器</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39</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应急抢险物资储备（设备）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汽（柴）油应急发电机</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40</w:t>
            </w:r>
          </w:p>
        </w:tc>
        <w:tc>
          <w:tcPr>
            <w:tcW w:w="3120"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应急抢险物资储备（设备）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声光报警温湿度表</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41</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对讲机</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部</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51</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42</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警示带</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43</w:t>
            </w:r>
          </w:p>
        </w:tc>
        <w:tc>
          <w:tcPr>
            <w:tcW w:w="31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警示杆</w:t>
            </w:r>
          </w:p>
        </w:tc>
        <w:tc>
          <w:tcPr>
            <w:tcW w:w="122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根</w:t>
            </w:r>
          </w:p>
        </w:tc>
        <w:tc>
          <w:tcPr>
            <w:tcW w:w="1857"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44</w:t>
            </w:r>
          </w:p>
        </w:tc>
        <w:tc>
          <w:tcPr>
            <w:tcW w:w="312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扩音器（手提喇叭）</w:t>
            </w:r>
          </w:p>
        </w:tc>
        <w:tc>
          <w:tcPr>
            <w:tcW w:w="1229"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48</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45</w:t>
            </w:r>
          </w:p>
        </w:tc>
        <w:tc>
          <w:tcPr>
            <w:tcW w:w="312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手持式卫星定位</w:t>
            </w:r>
          </w:p>
        </w:tc>
        <w:tc>
          <w:tcPr>
            <w:tcW w:w="1229"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46</w:t>
            </w:r>
          </w:p>
        </w:tc>
        <w:tc>
          <w:tcPr>
            <w:tcW w:w="312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手摇（或电动）报警器</w:t>
            </w:r>
          </w:p>
        </w:tc>
        <w:tc>
          <w:tcPr>
            <w:tcW w:w="1229"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47</w:t>
            </w:r>
          </w:p>
        </w:tc>
        <w:tc>
          <w:tcPr>
            <w:tcW w:w="312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卫星电话</w:t>
            </w:r>
          </w:p>
        </w:tc>
        <w:tc>
          <w:tcPr>
            <w:tcW w:w="1229"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部</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48</w:t>
            </w:r>
          </w:p>
        </w:tc>
        <w:tc>
          <w:tcPr>
            <w:tcW w:w="312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无人机</w:t>
            </w:r>
          </w:p>
        </w:tc>
        <w:tc>
          <w:tcPr>
            <w:tcW w:w="1229"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台</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49</w:t>
            </w:r>
          </w:p>
        </w:tc>
        <w:tc>
          <w:tcPr>
            <w:tcW w:w="312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预警通讯设备</w:t>
            </w:r>
          </w:p>
        </w:tc>
        <w:tc>
          <w:tcPr>
            <w:tcW w:w="379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预警铜锣</w:t>
            </w:r>
          </w:p>
        </w:tc>
        <w:tc>
          <w:tcPr>
            <w:tcW w:w="1229"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面</w:t>
            </w:r>
          </w:p>
        </w:tc>
        <w:tc>
          <w:tcPr>
            <w:tcW w:w="185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50</w:t>
            </w:r>
          </w:p>
        </w:tc>
        <w:tc>
          <w:tcPr>
            <w:tcW w:w="1858"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48</w:t>
            </w:r>
          </w:p>
        </w:tc>
      </w:tr>
    </w:tbl>
    <w:p>
      <w:pPr>
        <w:pStyle w:val="2"/>
        <w:spacing w:before="16" w:line="314" w:lineRule="auto"/>
        <w:ind w:right="-57" w:rightChars="-27"/>
        <w:jc w:val="both"/>
        <w:rPr>
          <w:rFonts w:hint="default" w:ascii="Times New Roman" w:hAnsi="Times New Roman" w:eastAsia="仿宋_GB2312"/>
          <w:color w:val="auto"/>
          <w:sz w:val="24"/>
          <w:szCs w:val="24"/>
          <w:vertAlign w:val="baseline"/>
          <w:lang w:val="en-US" w:eastAsia="zh-CN"/>
        </w:rPr>
        <w:sectPr>
          <w:pgSz w:w="16838" w:h="11906" w:orient="landscape"/>
          <w:pgMar w:top="1587" w:right="2098" w:bottom="1474" w:left="1984" w:header="850" w:footer="1134" w:gutter="0"/>
          <w:pgNumType w:fmt="decimal"/>
          <w:cols w:space="0" w:num="1"/>
          <w:rtlGutter w:val="0"/>
          <w:docGrid w:type="lines" w:linePitch="315" w:charSpace="0"/>
        </w:sectPr>
      </w:pPr>
    </w:p>
    <w:p>
      <w:pPr>
        <w:pStyle w:val="2"/>
        <w:spacing w:before="16" w:line="314" w:lineRule="auto"/>
        <w:ind w:right="1319"/>
        <w:jc w:val="center"/>
        <w:rPr>
          <w:rFonts w:hint="eastAsia" w:ascii="Times New Roman" w:hAnsi="Times New Roman" w:eastAsia="仿宋_GB2312"/>
          <w:color w:val="auto"/>
          <w:lang w:eastAsia="zh-CN"/>
        </w:rPr>
      </w:pPr>
      <w:r>
        <w:rPr>
          <w:rFonts w:hint="eastAsia" w:ascii="Times New Roman" w:hAnsi="Times New Roman" w:eastAsia="仿宋_GB2312"/>
          <w:color w:val="auto"/>
          <w:lang w:eastAsia="zh-CN"/>
        </w:rPr>
        <w:drawing>
          <wp:inline distT="0" distB="0" distL="114300" distR="114300">
            <wp:extent cx="5610225" cy="7936230"/>
            <wp:effectExtent l="0" t="0" r="9525" b="7620"/>
            <wp:docPr id="1" name="图片 1" descr="地质灾害治理工程项目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地质灾害治理工程项目分布图"/>
                    <pic:cNvPicPr>
                      <a:picLocks noChangeAspect="true"/>
                    </pic:cNvPicPr>
                  </pic:nvPicPr>
                  <pic:blipFill>
                    <a:blip r:embed="rId11"/>
                    <a:stretch>
                      <a:fillRect/>
                    </a:stretch>
                  </pic:blipFill>
                  <pic:spPr>
                    <a:xfrm>
                      <a:off x="0" y="0"/>
                      <a:ext cx="5610225" cy="7936230"/>
                    </a:xfrm>
                    <a:prstGeom prst="rect">
                      <a:avLst/>
                    </a:prstGeom>
                  </pic:spPr>
                </pic:pic>
              </a:graphicData>
            </a:graphic>
          </wp:inline>
        </w:drawing>
      </w:r>
    </w:p>
    <w:p>
      <w:pPr>
        <w:jc w:val="center"/>
        <w:rPr>
          <w:rFonts w:hint="eastAsia" w:ascii="Times New Roman" w:hAnsi="Times New Roman" w:eastAsia="仿宋_GB2312"/>
          <w:color w:val="auto"/>
          <w:lang w:eastAsia="zh-CN"/>
        </w:rPr>
      </w:pPr>
      <w:r>
        <w:rPr>
          <w:rFonts w:hint="eastAsia" w:ascii="Times New Roman" w:hAnsi="Times New Roman" w:eastAsia="仿宋_GB2312"/>
          <w:color w:val="auto"/>
          <w:lang w:eastAsia="zh-CN"/>
        </w:rPr>
        <w:drawing>
          <wp:inline distT="0" distB="0" distL="114300" distR="114300">
            <wp:extent cx="5610225" cy="7936230"/>
            <wp:effectExtent l="0" t="0" r="9525" b="7620"/>
            <wp:docPr id="5" name="图片 5" descr="99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9999"/>
                    <pic:cNvPicPr>
                      <a:picLocks noChangeAspect="true"/>
                    </pic:cNvPicPr>
                  </pic:nvPicPr>
                  <pic:blipFill>
                    <a:blip r:embed="rId12"/>
                    <a:stretch>
                      <a:fillRect/>
                    </a:stretch>
                  </pic:blipFill>
                  <pic:spPr>
                    <a:xfrm>
                      <a:off x="0" y="0"/>
                      <a:ext cx="5610225" cy="7936230"/>
                    </a:xfrm>
                    <a:prstGeom prst="rect">
                      <a:avLst/>
                    </a:prstGeom>
                  </pic:spPr>
                </pic:pic>
              </a:graphicData>
            </a:graphic>
          </wp:inline>
        </w:drawing>
      </w:r>
    </w:p>
    <w:p>
      <w:pPr>
        <w:jc w:val="center"/>
        <w:rPr>
          <w:rFonts w:ascii="Times New Roman" w:hAnsi="Times New Roman" w:eastAsia="仿宋_GB2312"/>
          <w:color w:val="auto"/>
        </w:rPr>
      </w:pPr>
      <w:r>
        <w:rPr>
          <w:rFonts w:ascii="Times New Roman" w:hAnsi="Times New Roman" w:eastAsia="仿宋_GB2312"/>
          <w:color w:val="auto"/>
        </w:rPr>
        <w:drawing>
          <wp:inline distT="0" distB="0" distL="114300" distR="114300">
            <wp:extent cx="5610225" cy="7936230"/>
            <wp:effectExtent l="0" t="0" r="9525" b="7620"/>
            <wp:docPr id="2" name="图片 2" descr="金口河区现有应急避难场所分布图9.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金口河区现有应急避难场所分布图9.13"/>
                    <pic:cNvPicPr>
                      <a:picLocks noChangeAspect="true"/>
                    </pic:cNvPicPr>
                  </pic:nvPicPr>
                  <pic:blipFill>
                    <a:blip r:embed="rId13"/>
                    <a:stretch>
                      <a:fillRect/>
                    </a:stretch>
                  </pic:blipFill>
                  <pic:spPr>
                    <a:xfrm>
                      <a:off x="0" y="0"/>
                      <a:ext cx="5610225" cy="7936230"/>
                    </a:xfrm>
                    <a:prstGeom prst="rect">
                      <a:avLst/>
                    </a:prstGeom>
                  </pic:spPr>
                </pic:pic>
              </a:graphicData>
            </a:graphic>
          </wp:inline>
        </w:drawing>
      </w:r>
    </w:p>
    <w:p>
      <w:pPr>
        <w:pStyle w:val="9"/>
        <w:ind w:left="0" w:leftChars="0" w:firstLine="0" w:firstLineChars="0"/>
        <w:rPr>
          <w:rFonts w:hint="eastAsia" w:eastAsia="仿宋_GB2312"/>
          <w:lang w:val="en-US" w:eastAsia="zh-CN"/>
        </w:rPr>
      </w:pPr>
      <w:r>
        <w:rPr>
          <w:rFonts w:hint="eastAsia" w:eastAsia="仿宋_GB2312"/>
          <w:lang w:val="en-US" w:eastAsia="zh-CN"/>
        </w:rPr>
        <w:drawing>
          <wp:inline distT="0" distB="0" distL="114300" distR="114300">
            <wp:extent cx="5610225" cy="7936230"/>
            <wp:effectExtent l="0" t="0" r="9525" b="7620"/>
            <wp:docPr id="6" name="图片 6" descr="大瓦山应急救援队伍分布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大瓦山应急救援队伍分布2"/>
                    <pic:cNvPicPr>
                      <a:picLocks noChangeAspect="true"/>
                    </pic:cNvPicPr>
                  </pic:nvPicPr>
                  <pic:blipFill>
                    <a:blip r:embed="rId14"/>
                    <a:stretch>
                      <a:fillRect/>
                    </a:stretch>
                  </pic:blipFill>
                  <pic:spPr>
                    <a:xfrm>
                      <a:off x="0" y="0"/>
                      <a:ext cx="5610225" cy="7936230"/>
                    </a:xfrm>
                    <a:prstGeom prst="rect">
                      <a:avLst/>
                    </a:prstGeom>
                  </pic:spPr>
                </pic:pic>
              </a:graphicData>
            </a:graphic>
          </wp:inline>
        </w:drawing>
      </w:r>
      <w:r>
        <w:rPr>
          <w:rFonts w:hint="eastAsia" w:eastAsia="仿宋_GB2312"/>
          <w:lang w:val="en-US" w:eastAsia="zh-CN"/>
        </w:rPr>
        <w:drawing>
          <wp:inline distT="0" distB="0" distL="114300" distR="114300">
            <wp:extent cx="5610225" cy="7936230"/>
            <wp:effectExtent l="0" t="0" r="9525" b="7620"/>
            <wp:docPr id="4" name="图片 4" descr="大瓦山应急救援能力规划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大瓦山应急救援能力规划2"/>
                    <pic:cNvPicPr>
                      <a:picLocks noChangeAspect="true"/>
                    </pic:cNvPicPr>
                  </pic:nvPicPr>
                  <pic:blipFill>
                    <a:blip r:embed="rId15"/>
                    <a:stretch>
                      <a:fillRect/>
                    </a:stretch>
                  </pic:blipFill>
                  <pic:spPr>
                    <a:xfrm>
                      <a:off x="0" y="0"/>
                      <a:ext cx="5610225" cy="7936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default" w:ascii="Times New Roman" w:hAnsi="Times New Roman" w:eastAsia="黑体" w:cs="黑体"/>
          <w:b w:val="0"/>
          <w:bCs w:val="0"/>
          <w:color w:val="auto"/>
          <w:sz w:val="32"/>
          <w:szCs w:val="32"/>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方正小标宋简体" w:cs="方正小标宋简体"/>
          <w:b w:val="0"/>
          <w:bCs w:val="0"/>
          <w:color w:val="auto"/>
          <w:sz w:val="44"/>
          <w:szCs w:val="44"/>
        </w:rPr>
      </w:pPr>
      <w:r>
        <w:rPr>
          <w:rFonts w:hint="eastAsia" w:ascii="Times New Roman" w:hAnsi="Times New Roman" w:eastAsia="方正小标宋简体" w:cs="方正小标宋简体"/>
          <w:b w:val="0"/>
          <w:bCs w:val="0"/>
          <w:color w:val="auto"/>
          <w:sz w:val="44"/>
          <w:szCs w:val="44"/>
          <w:lang w:val="en-US" w:eastAsia="zh-CN"/>
        </w:rPr>
        <w:t>乐山市</w:t>
      </w:r>
      <w:r>
        <w:rPr>
          <w:rFonts w:hint="eastAsia" w:ascii="Times New Roman" w:hAnsi="Times New Roman" w:eastAsia="方正小标宋简体" w:cs="方正小标宋简体"/>
          <w:b w:val="0"/>
          <w:bCs w:val="0"/>
          <w:color w:val="auto"/>
          <w:sz w:val="44"/>
          <w:szCs w:val="44"/>
        </w:rPr>
        <w:t>金口河区乡镇级片区（大峡谷生态文旅片区）应急体系专项规划（2021—2035年）</w:t>
      </w: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pStyle w:val="9"/>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both"/>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r>
        <w:rPr>
          <w:rFonts w:hint="eastAsia" w:ascii="Times New Roman" w:hAnsi="Times New Roman" w:eastAsia="黑体" w:cs="黑体"/>
          <w:b w:val="0"/>
          <w:bCs w:val="0"/>
          <w:color w:val="auto"/>
          <w:sz w:val="32"/>
          <w:szCs w:val="32"/>
          <w:lang w:val="en-US" w:eastAsia="zh-CN"/>
        </w:rPr>
        <w:t>乐山市金口河区人民政府</w:t>
      </w: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Times New Roman" w:hAnsi="Times New Roman" w:eastAsia="黑体" w:cs="黑体"/>
          <w:b w:val="0"/>
          <w:bCs w:val="0"/>
          <w:color w:val="auto"/>
          <w:sz w:val="32"/>
          <w:szCs w:val="32"/>
          <w:lang w:val="en-US" w:eastAsia="zh-CN"/>
        </w:rPr>
      </w:pPr>
      <w:r>
        <w:rPr>
          <w:rFonts w:hint="eastAsia" w:ascii="Times New Roman" w:hAnsi="Times New Roman" w:eastAsia="黑体" w:cs="黑体"/>
          <w:b w:val="0"/>
          <w:bCs w:val="0"/>
          <w:color w:val="auto"/>
          <w:sz w:val="32"/>
          <w:szCs w:val="32"/>
          <w:lang w:val="en-US" w:eastAsia="zh-CN"/>
        </w:rPr>
        <w:t>二〇二三年二月</w:t>
      </w:r>
    </w:p>
    <w:p>
      <w:pPr>
        <w:pStyle w:val="2"/>
        <w:rPr>
          <w:rFonts w:hint="eastAsia"/>
        </w:rPr>
      </w:pPr>
    </w:p>
    <w:sdt>
      <w:sdtPr>
        <w:rPr>
          <w:rFonts w:ascii="Times New Roman" w:hAnsi="Times New Roman" w:eastAsia="宋体" w:cstheme="minorBidi"/>
          <w:b w:val="0"/>
          <w:bCs w:val="0"/>
          <w:color w:val="auto"/>
          <w:kern w:val="2"/>
          <w:sz w:val="21"/>
          <w:szCs w:val="24"/>
          <w:lang w:val="en-US" w:eastAsia="zh-CN" w:bidi="ar-SA"/>
        </w:rPr>
        <w:id w:val="147453849"/>
        <w15:color w:val="DBDBDB"/>
        <w:docPartObj>
          <w:docPartGallery w:val="Table of Contents"/>
          <w:docPartUnique/>
        </w:docPartObj>
      </w:sdtPr>
      <w:sdtEndPr>
        <w:rPr>
          <w:rFonts w:hint="eastAsia" w:ascii="Times New Roman" w:hAnsi="Times New Roman" w:eastAsia="仿宋" w:cs="仿宋"/>
          <w:b w:val="0"/>
          <w:bCs w:val="0"/>
          <w:color w:val="auto"/>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eastAsia="宋体" w:cstheme="minorBidi"/>
              <w:b w:val="0"/>
              <w:bCs w:val="0"/>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Times New Roman" w:hAnsi="Times New Roman" w:eastAsia="宋体" w:cstheme="minorBidi"/>
              <w:b w:val="0"/>
              <w:bCs w:val="0"/>
              <w:color w:val="auto"/>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Times New Roman" w:hAnsi="Times New Roman"/>
              <w:b w:val="0"/>
              <w:bCs w:val="0"/>
              <w:color w:val="auto"/>
              <w:sz w:val="32"/>
              <w:szCs w:val="32"/>
            </w:rPr>
          </w:pPr>
          <w:r>
            <w:rPr>
              <w:rFonts w:hint="eastAsia" w:ascii="Times New Roman" w:hAnsi="Times New Roman" w:eastAsia="黑体" w:cs="黑体"/>
              <w:b w:val="0"/>
              <w:bCs w:val="0"/>
              <w:color w:val="auto"/>
              <w:sz w:val="44"/>
              <w:szCs w:val="44"/>
            </w:rPr>
            <w:t>目录</w:t>
          </w:r>
        </w:p>
        <w:p>
          <w:pPr>
            <w:pStyle w:val="12"/>
            <w:tabs>
              <w:tab w:val="right" w:leader="dot" w:pos="8845"/>
            </w:tabs>
            <w:rPr>
              <w:rFonts w:hint="default" w:ascii="Times New Roman" w:hAnsi="Times New Roman" w:cs="Times New Roman"/>
              <w:sz w:val="32"/>
              <w:szCs w:val="40"/>
            </w:rPr>
          </w:pPr>
          <w:r>
            <w:rPr>
              <w:rFonts w:hint="eastAsia" w:ascii="Times New Roman" w:hAnsi="Times New Roman" w:eastAsia="仿宋" w:cs="仿宋"/>
              <w:b w:val="0"/>
              <w:bCs w:val="0"/>
              <w:color w:val="auto"/>
              <w:sz w:val="32"/>
              <w:szCs w:val="32"/>
            </w:rPr>
            <w:fldChar w:fldCharType="begin"/>
          </w:r>
          <w:r>
            <w:rPr>
              <w:rFonts w:hint="eastAsia" w:ascii="仿宋" w:hAnsi="仿宋" w:eastAsia="仿宋" w:cs="仿宋"/>
              <w:b w:val="0"/>
              <w:bCs w:val="0"/>
              <w:color w:val="auto"/>
              <w:sz w:val="32"/>
              <w:szCs w:val="32"/>
            </w:rPr>
            <w:instrText xml:space="preserve">TOC \o "1-2" \h \u </w:instrText>
          </w:r>
          <w:r>
            <w:rPr>
              <w:rFonts w:hint="eastAsia" w:ascii="Times New Roman" w:hAnsi="Times New Roman" w:eastAsia="仿宋" w:cs="仿宋"/>
              <w:b w:val="0"/>
              <w:bCs w:val="0"/>
              <w:color w:val="auto"/>
              <w:sz w:val="32"/>
              <w:szCs w:val="32"/>
            </w:rPr>
            <w:fldChar w:fldCharType="separate"/>
          </w: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_Toc6367 </w:instrText>
          </w:r>
          <w:r>
            <w:rPr>
              <w:rFonts w:hint="default" w:ascii="Times New Roman" w:hAnsi="Times New Roman" w:eastAsia="仿宋" w:cs="Times New Roman"/>
              <w:bCs w:val="0"/>
              <w:sz w:val="32"/>
              <w:szCs w:val="48"/>
            </w:rPr>
            <w:fldChar w:fldCharType="separate"/>
          </w:r>
          <w:r>
            <w:rPr>
              <w:rFonts w:hint="default" w:ascii="Times New Roman" w:hAnsi="Times New Roman" w:eastAsia="黑体" w:cs="Times New Roman"/>
              <w:bCs w:val="0"/>
              <w:sz w:val="32"/>
              <w:szCs w:val="48"/>
            </w:rPr>
            <w:t>一、总则</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_Toc6367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52</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_Toc3991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（一）地位作用</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_Toc3991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52</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_Toc7257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（二）规划依据</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_Toc7257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52</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_Toc25286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（三）规划原则</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_Toc25286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53</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_Toc19216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（四）规划期限</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_Toc19216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54</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2"/>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_Toc6765 </w:instrText>
          </w:r>
          <w:r>
            <w:rPr>
              <w:rFonts w:hint="default" w:ascii="Times New Roman" w:hAnsi="Times New Roman" w:eastAsia="仿宋" w:cs="Times New Roman"/>
              <w:bCs w:val="0"/>
              <w:sz w:val="32"/>
              <w:szCs w:val="48"/>
            </w:rPr>
            <w:fldChar w:fldCharType="separate"/>
          </w:r>
          <w:r>
            <w:rPr>
              <w:rFonts w:hint="default" w:ascii="Times New Roman" w:hAnsi="Times New Roman" w:eastAsia="黑体" w:cs="Times New Roman"/>
              <w:bCs w:val="0"/>
              <w:sz w:val="32"/>
              <w:szCs w:val="48"/>
            </w:rPr>
            <w:t>二、规划背景</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_Toc6765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54</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_Toc8921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（一）片区现状</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_Toc8921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54</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_Toc14463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w:t>
          </w:r>
          <w:r>
            <w:rPr>
              <w:rFonts w:hint="default" w:ascii="Times New Roman" w:hAnsi="Times New Roman" w:eastAsia="楷体" w:cs="Times New Roman"/>
              <w:bCs w:val="0"/>
              <w:sz w:val="32"/>
              <w:szCs w:val="48"/>
              <w:lang w:val="en-US" w:eastAsia="zh-CN"/>
            </w:rPr>
            <w:t>二</w:t>
          </w:r>
          <w:r>
            <w:rPr>
              <w:rFonts w:hint="default" w:ascii="Times New Roman" w:hAnsi="Times New Roman" w:eastAsia="楷体" w:cs="Times New Roman"/>
              <w:bCs w:val="0"/>
              <w:sz w:val="32"/>
              <w:szCs w:val="48"/>
            </w:rPr>
            <w:t>）面临形势</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_Toc14463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56</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2"/>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_Toc29565 </w:instrText>
          </w:r>
          <w:r>
            <w:rPr>
              <w:rFonts w:hint="default" w:ascii="Times New Roman" w:hAnsi="Times New Roman" w:eastAsia="仿宋" w:cs="Times New Roman"/>
              <w:bCs w:val="0"/>
              <w:sz w:val="32"/>
              <w:szCs w:val="48"/>
            </w:rPr>
            <w:fldChar w:fldCharType="separate"/>
          </w:r>
          <w:r>
            <w:rPr>
              <w:rFonts w:hint="default" w:ascii="Times New Roman" w:hAnsi="Times New Roman" w:eastAsia="黑体" w:cs="Times New Roman"/>
              <w:bCs w:val="0"/>
              <w:sz w:val="32"/>
              <w:szCs w:val="48"/>
            </w:rPr>
            <w:t>三、规划目标</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_Toc29565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59</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_Toc29858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（一）近期目标</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_Toc29858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59</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_Toc10504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（二）远景目标</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_Toc10504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62</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2"/>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_Toc14786 </w:instrText>
          </w:r>
          <w:r>
            <w:rPr>
              <w:rFonts w:hint="default" w:ascii="Times New Roman" w:hAnsi="Times New Roman" w:eastAsia="仿宋" w:cs="Times New Roman"/>
              <w:bCs w:val="0"/>
              <w:sz w:val="32"/>
              <w:szCs w:val="48"/>
            </w:rPr>
            <w:fldChar w:fldCharType="separate"/>
          </w:r>
          <w:r>
            <w:rPr>
              <w:rFonts w:hint="default" w:ascii="Times New Roman" w:hAnsi="Times New Roman" w:eastAsia="黑体" w:cs="Times New Roman"/>
              <w:bCs w:val="0"/>
              <w:sz w:val="32"/>
              <w:szCs w:val="48"/>
            </w:rPr>
            <w:t>四、主要任务和重点工程</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_Toc14786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63</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_Toc15746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（一）</w:t>
          </w:r>
          <w:r>
            <w:rPr>
              <w:rFonts w:hint="default" w:ascii="Times New Roman" w:hAnsi="Times New Roman" w:eastAsia="楷体" w:cs="Times New Roman"/>
              <w:sz w:val="32"/>
              <w:szCs w:val="96"/>
              <w:lang w:val="en-US" w:eastAsia="zh-CN"/>
            </w:rPr>
            <w:t>应急管理体制机制方面</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_Toc15746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63</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_Toc4463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（二）</w:t>
          </w:r>
          <w:r>
            <w:rPr>
              <w:rFonts w:hint="default" w:ascii="Times New Roman" w:hAnsi="Times New Roman" w:eastAsia="楷体" w:cs="Times New Roman"/>
              <w:sz w:val="32"/>
              <w:szCs w:val="96"/>
              <w:lang w:val="en-US" w:eastAsia="zh-CN"/>
            </w:rPr>
            <w:t>安全生产风险防控方面</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_Toc4463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64</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_Toc13646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（三）</w:t>
          </w:r>
          <w:r>
            <w:rPr>
              <w:rFonts w:hint="default" w:ascii="Times New Roman" w:hAnsi="Times New Roman" w:eastAsia="楷体" w:cs="Times New Roman"/>
              <w:sz w:val="32"/>
              <w:szCs w:val="96"/>
              <w:lang w:val="en-US" w:eastAsia="zh-CN"/>
            </w:rPr>
            <w:t>自然灾害防治方面</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_Toc13646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67</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_Toc29484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（四）</w:t>
          </w:r>
          <w:r>
            <w:rPr>
              <w:rFonts w:hint="default" w:ascii="Times New Roman" w:hAnsi="Times New Roman" w:eastAsia="楷体" w:cs="Times New Roman"/>
              <w:sz w:val="32"/>
              <w:szCs w:val="96"/>
              <w:lang w:val="en-US" w:eastAsia="zh-CN"/>
            </w:rPr>
            <w:t>应急能力建设方面</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_Toc29484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69</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_Toc25554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（五）</w:t>
          </w:r>
          <w:r>
            <w:rPr>
              <w:rFonts w:hint="default" w:ascii="Times New Roman" w:hAnsi="Times New Roman" w:eastAsia="楷体" w:cs="Times New Roman"/>
              <w:sz w:val="32"/>
              <w:szCs w:val="96"/>
              <w:lang w:val="en-US" w:eastAsia="zh-CN"/>
            </w:rPr>
            <w:t>先进技术应用方面</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_Toc25554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75</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_Toc24330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rPr>
            <w:t>（六）应急管理共建共治共享方面</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_Toc24330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76</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2"/>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_Toc25110 </w:instrText>
          </w:r>
          <w:r>
            <w:rPr>
              <w:rFonts w:hint="default" w:ascii="Times New Roman" w:hAnsi="Times New Roman" w:eastAsia="仿宋" w:cs="Times New Roman"/>
              <w:bCs w:val="0"/>
              <w:sz w:val="32"/>
              <w:szCs w:val="48"/>
            </w:rPr>
            <w:fldChar w:fldCharType="separate"/>
          </w:r>
          <w:r>
            <w:rPr>
              <w:rFonts w:hint="default" w:ascii="Times New Roman" w:hAnsi="Times New Roman" w:eastAsia="黑体" w:cs="Times New Roman"/>
              <w:bCs w:val="0"/>
              <w:sz w:val="32"/>
              <w:szCs w:val="48"/>
            </w:rPr>
            <w:t>五、保障措施</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_Toc25110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78</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_Toc9798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lang w:val="en-US" w:eastAsia="zh-CN"/>
            </w:rPr>
            <w:t>一</w:t>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rPr>
            <w:t xml:space="preserve"> 加强组织领导</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_Toc9798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78</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_Toc12140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lang w:val="en-US" w:eastAsia="zh-CN"/>
            </w:rPr>
            <w:t>二</w:t>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rPr>
            <w:t xml:space="preserve"> 加强资金保障</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_Toc12140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78</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default" w:ascii="Times New Roman" w:hAnsi="Times New Roman" w:cs="Times New Roman"/>
              <w:sz w:val="32"/>
              <w:szCs w:val="40"/>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_Toc6602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lang w:val="en-US" w:eastAsia="zh-CN"/>
            </w:rPr>
            <w:t>三</w:t>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rPr>
            <w:t xml:space="preserve"> 加强人才培养</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_Toc6602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79</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pStyle w:val="13"/>
            <w:tabs>
              <w:tab w:val="right" w:leader="dot" w:pos="8845"/>
            </w:tabs>
            <w:rPr>
              <w:rFonts w:hint="eastAsia" w:ascii="Times New Roman" w:hAnsi="Times New Roman" w:eastAsia="仿宋" w:cs="仿宋"/>
              <w:bCs w:val="0"/>
              <w:color w:val="auto"/>
              <w:sz w:val="32"/>
              <w:szCs w:val="48"/>
            </w:rPr>
          </w:pPr>
          <w:r>
            <w:rPr>
              <w:rFonts w:hint="default" w:ascii="Times New Roman" w:hAnsi="Times New Roman" w:eastAsia="仿宋" w:cs="Times New Roman"/>
              <w:bCs w:val="0"/>
              <w:color w:val="auto"/>
              <w:sz w:val="32"/>
              <w:szCs w:val="48"/>
            </w:rPr>
            <w:fldChar w:fldCharType="begin"/>
          </w:r>
          <w:r>
            <w:rPr>
              <w:rFonts w:hint="default" w:ascii="Times New Roman" w:hAnsi="Times New Roman" w:eastAsia="仿宋" w:cs="Times New Roman"/>
              <w:bCs w:val="0"/>
              <w:sz w:val="32"/>
              <w:szCs w:val="48"/>
            </w:rPr>
            <w:instrText xml:space="preserve"> HYPERLINK \l _Toc29805 </w:instrText>
          </w:r>
          <w:r>
            <w:rPr>
              <w:rFonts w:hint="default" w:ascii="Times New Roman" w:hAnsi="Times New Roman" w:eastAsia="仿宋" w:cs="Times New Roman"/>
              <w:bCs w:val="0"/>
              <w:sz w:val="32"/>
              <w:szCs w:val="48"/>
            </w:rPr>
            <w:fldChar w:fldCharType="separate"/>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lang w:val="en-US" w:eastAsia="zh-CN"/>
            </w:rPr>
            <w:t>四</w:t>
          </w:r>
          <w:r>
            <w:rPr>
              <w:rFonts w:hint="default" w:ascii="Times New Roman" w:hAnsi="Times New Roman" w:eastAsia="楷体" w:cs="Times New Roman"/>
              <w:bCs w:val="0"/>
              <w:sz w:val="32"/>
              <w:szCs w:val="48"/>
              <w:lang w:eastAsia="zh-CN"/>
            </w:rPr>
            <w:t>）</w:t>
          </w:r>
          <w:r>
            <w:rPr>
              <w:rFonts w:hint="default" w:ascii="Times New Roman" w:hAnsi="Times New Roman" w:eastAsia="楷体" w:cs="Times New Roman"/>
              <w:bCs w:val="0"/>
              <w:sz w:val="32"/>
              <w:szCs w:val="48"/>
            </w:rPr>
            <w:t xml:space="preserve"> 加强监督管理</w:t>
          </w:r>
          <w:r>
            <w:rPr>
              <w:rFonts w:hint="default" w:ascii="Times New Roman" w:hAnsi="Times New Roman" w:cs="Times New Roman"/>
              <w:sz w:val="32"/>
              <w:szCs w:val="40"/>
            </w:rPr>
            <w:tab/>
          </w:r>
          <w:r>
            <w:rPr>
              <w:rFonts w:hint="default" w:ascii="Times New Roman" w:hAnsi="Times New Roman" w:cs="Times New Roman"/>
              <w:sz w:val="32"/>
              <w:szCs w:val="40"/>
            </w:rPr>
            <w:fldChar w:fldCharType="begin"/>
          </w:r>
          <w:r>
            <w:rPr>
              <w:rFonts w:hint="default" w:ascii="Times New Roman" w:hAnsi="Times New Roman" w:cs="Times New Roman"/>
              <w:sz w:val="32"/>
              <w:szCs w:val="40"/>
            </w:rPr>
            <w:instrText xml:space="preserve"> PAGEREF _Toc29805 \h </w:instrText>
          </w:r>
          <w:r>
            <w:rPr>
              <w:rFonts w:hint="default" w:ascii="Times New Roman" w:hAnsi="Times New Roman" w:cs="Times New Roman"/>
              <w:sz w:val="32"/>
              <w:szCs w:val="40"/>
            </w:rPr>
            <w:fldChar w:fldCharType="separate"/>
          </w:r>
          <w:r>
            <w:rPr>
              <w:rFonts w:hint="default" w:ascii="Times New Roman" w:hAnsi="Times New Roman" w:cs="Times New Roman"/>
              <w:sz w:val="32"/>
              <w:szCs w:val="40"/>
            </w:rPr>
            <w:t>79</w:t>
          </w:r>
          <w:r>
            <w:rPr>
              <w:rFonts w:hint="default" w:ascii="Times New Roman" w:hAnsi="Times New Roman" w:cs="Times New Roman"/>
              <w:sz w:val="32"/>
              <w:szCs w:val="40"/>
            </w:rPr>
            <w:fldChar w:fldCharType="end"/>
          </w:r>
          <w:r>
            <w:rPr>
              <w:rFonts w:hint="default" w:ascii="Times New Roman" w:hAnsi="Times New Roman" w:eastAsia="仿宋" w:cs="Times New Roman"/>
              <w:bCs w:val="0"/>
              <w:color w:val="auto"/>
              <w:sz w:val="32"/>
              <w:szCs w:val="48"/>
            </w:rPr>
            <w:fldChar w:fldCharType="end"/>
          </w:r>
        </w:p>
        <w:p>
          <w:pPr>
            <w:rPr>
              <w:rFonts w:hint="default" w:ascii="Times New Roman" w:hAnsi="Times New Roman" w:eastAsia="黑体" w:cs="黑体"/>
              <w:bCs w:val="0"/>
              <w:kern w:val="2"/>
              <w:sz w:val="32"/>
              <w:szCs w:val="48"/>
              <w:lang w:val="en-US" w:eastAsia="zh-CN" w:bidi="ar-SA"/>
            </w:rPr>
          </w:pPr>
          <w:r>
            <w:rPr>
              <w:rFonts w:hint="eastAsia" w:ascii="Times New Roman" w:hAnsi="Times New Roman" w:eastAsia="黑体" w:cs="黑体"/>
              <w:bCs w:val="0"/>
              <w:kern w:val="2"/>
              <w:sz w:val="32"/>
              <w:szCs w:val="48"/>
              <w:lang w:val="en-US" w:eastAsia="zh-CN" w:bidi="ar-SA"/>
            </w:rPr>
            <w:t>规划附表及附图..............................................................................80</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Times New Roman" w:hAnsi="Times New Roman" w:eastAsia="仿宋" w:cs="仿宋"/>
              <w:b w:val="0"/>
              <w:bCs w:val="0"/>
              <w:color w:val="auto"/>
              <w:sz w:val="32"/>
              <w:szCs w:val="32"/>
            </w:rPr>
            <w:sectPr>
              <w:pgSz w:w="11906" w:h="16838"/>
              <w:pgMar w:top="2098" w:right="1474" w:bottom="1984" w:left="1587" w:header="850" w:footer="1134" w:gutter="0"/>
              <w:pgNumType w:fmt="decimal"/>
              <w:cols w:space="0" w:num="1"/>
              <w:rtlGutter w:val="0"/>
              <w:docGrid w:type="lines" w:linePitch="312" w:charSpace="0"/>
            </w:sectPr>
          </w:pPr>
          <w:r>
            <w:rPr>
              <w:rFonts w:hint="eastAsia" w:ascii="Times New Roman" w:hAnsi="Times New Roman" w:eastAsia="仿宋" w:cs="仿宋"/>
              <w:bCs w:val="0"/>
              <w:color w:val="auto"/>
              <w:szCs w:val="32"/>
            </w:rPr>
            <w:fldChar w:fldCharType="end"/>
          </w:r>
        </w:p>
      </w:sdtContent>
    </w:sdt>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为做好全省乡镇行政区划和村级建制调整改革“后半篇”文章，持续深化大峡谷生态文旅片区应急管理改革发展，全力推进片区应急管理体系完善，切实保障片区内人民群众生命和财产安全，根据四川省委省政府、乐山市委市政府、</w:t>
      </w:r>
      <w:r>
        <w:rPr>
          <w:rFonts w:hint="eastAsia" w:ascii="仿宋_GB2312" w:hAnsi="仿宋_GB2312" w:eastAsia="仿宋_GB2312" w:cs="仿宋_GB2312"/>
          <w:b w:val="0"/>
          <w:bCs w:val="0"/>
          <w:color w:val="auto"/>
          <w:sz w:val="32"/>
          <w:szCs w:val="32"/>
          <w:lang w:val="en-US" w:eastAsia="zh-CN"/>
        </w:rPr>
        <w:t>乐山市</w:t>
      </w:r>
      <w:r>
        <w:rPr>
          <w:rFonts w:hint="eastAsia" w:ascii="仿宋_GB2312" w:hAnsi="仿宋_GB2312" w:eastAsia="仿宋_GB2312" w:cs="仿宋_GB2312"/>
          <w:b w:val="0"/>
          <w:bCs w:val="0"/>
          <w:color w:val="auto"/>
          <w:sz w:val="32"/>
          <w:szCs w:val="32"/>
        </w:rPr>
        <w:t>金口河区委区政府以及相关文件要求，编制《</w:t>
      </w:r>
      <w:r>
        <w:rPr>
          <w:rFonts w:hint="eastAsia" w:ascii="仿宋_GB2312" w:hAnsi="仿宋_GB2312" w:eastAsia="仿宋_GB2312" w:cs="仿宋_GB2312"/>
          <w:b w:val="0"/>
          <w:bCs w:val="0"/>
          <w:color w:val="auto"/>
          <w:sz w:val="32"/>
          <w:szCs w:val="32"/>
          <w:lang w:val="en-US" w:eastAsia="zh-CN"/>
        </w:rPr>
        <w:t>乐山市</w:t>
      </w:r>
      <w:r>
        <w:rPr>
          <w:rFonts w:hint="eastAsia" w:ascii="仿宋_GB2312" w:hAnsi="仿宋_GB2312" w:eastAsia="仿宋_GB2312" w:cs="仿宋_GB2312"/>
          <w:b w:val="0"/>
          <w:bCs w:val="0"/>
          <w:color w:val="auto"/>
          <w:sz w:val="32"/>
          <w:szCs w:val="32"/>
        </w:rPr>
        <w:t>金口河区乡镇级片区（大峡谷生态文旅片区）应急体系专项规划（2021—2035 年）》（以下简称《规划》）。</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 w:cs="仿宋"/>
          <w:b w:val="0"/>
          <w:bCs w:val="0"/>
          <w:color w:val="auto"/>
          <w:sz w:val="32"/>
          <w:szCs w:val="32"/>
        </w:rPr>
      </w:pPr>
      <w:bookmarkStart w:id="46" w:name="_Toc6367"/>
      <w:r>
        <w:rPr>
          <w:rFonts w:hint="eastAsia" w:ascii="Times New Roman" w:hAnsi="Times New Roman" w:eastAsia="黑体" w:cs="黑体"/>
          <w:b w:val="0"/>
          <w:bCs w:val="0"/>
          <w:color w:val="auto"/>
          <w:sz w:val="32"/>
          <w:szCs w:val="32"/>
        </w:rPr>
        <w:t>一、总则</w:t>
      </w:r>
      <w:bookmarkEnd w:id="4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47" w:name="_Toc3991"/>
      <w:r>
        <w:rPr>
          <w:rFonts w:hint="eastAsia" w:ascii="Times New Roman" w:hAnsi="Times New Roman" w:eastAsia="楷体" w:cs="楷体"/>
          <w:b w:val="0"/>
          <w:bCs w:val="0"/>
          <w:color w:val="auto"/>
          <w:sz w:val="32"/>
          <w:szCs w:val="32"/>
        </w:rPr>
        <w:t>（一）地位作用</w:t>
      </w:r>
      <w:bookmarkEnd w:id="4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编制乡镇级片区应急体系专项规划，是全面落实</w:t>
      </w:r>
      <w:r>
        <w:rPr>
          <w:rFonts w:hint="eastAsia" w:ascii="仿宋_GB2312" w:hAnsi="仿宋_GB2312" w:eastAsia="仿宋_GB2312" w:cs="仿宋_GB2312"/>
          <w:b w:val="0"/>
          <w:bCs w:val="0"/>
          <w:color w:val="auto"/>
          <w:sz w:val="32"/>
          <w:szCs w:val="32"/>
          <w:lang w:val="en-US" w:eastAsia="zh-CN"/>
        </w:rPr>
        <w:t>乐山市</w:t>
      </w:r>
      <w:r>
        <w:rPr>
          <w:rFonts w:hint="eastAsia" w:ascii="仿宋_GB2312" w:hAnsi="仿宋_GB2312" w:eastAsia="仿宋_GB2312" w:cs="仿宋_GB2312"/>
          <w:b w:val="0"/>
          <w:bCs w:val="0"/>
          <w:color w:val="auto"/>
          <w:sz w:val="32"/>
          <w:szCs w:val="32"/>
        </w:rPr>
        <w:t>金口河区政府关于做好两项改革“后半篇”文章的重大举措，是融合衔接乡镇级片区国土空间规划的实际需求，是对</w:t>
      </w:r>
      <w:r>
        <w:rPr>
          <w:rFonts w:hint="eastAsia" w:ascii="仿宋_GB2312" w:hAnsi="仿宋_GB2312" w:eastAsia="仿宋_GB2312" w:cs="仿宋_GB2312"/>
          <w:b w:val="0"/>
          <w:bCs w:val="0"/>
          <w:color w:val="auto"/>
          <w:sz w:val="32"/>
          <w:szCs w:val="32"/>
          <w:lang w:eastAsia="zh-CN"/>
        </w:rPr>
        <w:t>“十四五”</w:t>
      </w:r>
      <w:r>
        <w:rPr>
          <w:rFonts w:hint="eastAsia" w:ascii="仿宋_GB2312" w:hAnsi="仿宋_GB2312" w:eastAsia="仿宋_GB2312" w:cs="仿宋_GB2312"/>
          <w:b w:val="0"/>
          <w:bCs w:val="0"/>
          <w:color w:val="auto"/>
          <w:sz w:val="32"/>
          <w:szCs w:val="32"/>
        </w:rPr>
        <w:t>应急体系规划和提升基层应急能力工作方案的细化和深化，是自然灾害综合风险普查成果的具体应用，是健全完善基层应急体系、提升基层应急能力的重要依据。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48" w:name="_Toc7257"/>
      <w:r>
        <w:rPr>
          <w:rFonts w:hint="eastAsia" w:ascii="Times New Roman" w:hAnsi="Times New Roman" w:eastAsia="楷体" w:cs="楷体"/>
          <w:b w:val="0"/>
          <w:bCs w:val="0"/>
          <w:color w:val="auto"/>
          <w:sz w:val="32"/>
          <w:szCs w:val="32"/>
        </w:rPr>
        <w:t>（二）规划依据</w:t>
      </w:r>
      <w:bookmarkEnd w:id="4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《中华人民共和国安全生产法》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《中华人民共和国突发事件应对法》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《中共四川省委办公厅四川省人民政府办公厅关于印发&lt;关于做好乡镇行政区划和村级建制调整改革“后半篇”文章的实施方案）的通知》（川委厅〔2021〕6号）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《中共四川省委办公厅四川省人民政府办公厅印发〈关于全省区域内片区划分的指导意见〉〈关于以片区为单元编制乡村国土空间规划的指导意见〉的通知》（川委厅〔2021〕53号）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《四川省人民政府关于印发〈四川省“十四五”应急体系规划〉的通知》（川府发〔2021〕43号）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《四川省自然资源厅关于印发〈乡镇级片区专项规划省级工作方案&gt;的通知》（川自然资发〔2021〕43号）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《四川省应急管理厅关于印发〈四川省乡镇级片区应急体系专项规划编制要点（试行）〉〈四川省乡镇级片区应急体系专项规划备案程序及审查要点（试行）〉的通知》（川应急〔2022〕3号）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《四川省应急管理厅山洪、地质灾害应急处置项目实施意见（试行）》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《乐山市国民经济和社会发展第十四个五年规划和二〇三五年远景目标纲要》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《乐山市金口河区国民经济和社会发展第十四个五年规划和二〇三五远景目标纲》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《乐山市“十四五”应急体系规划》（乐府发〔2022〕13 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乐山市</w:t>
      </w:r>
      <w:r>
        <w:rPr>
          <w:rFonts w:hint="eastAsia" w:ascii="仿宋_GB2312" w:hAnsi="仿宋_GB2312" w:eastAsia="仿宋_GB2312" w:cs="仿宋_GB2312"/>
          <w:b w:val="0"/>
          <w:bCs w:val="0"/>
          <w:color w:val="auto"/>
          <w:sz w:val="32"/>
          <w:szCs w:val="32"/>
        </w:rPr>
        <w:t>金口河区国土空间总体规划》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乐山市</w:t>
      </w:r>
      <w:r>
        <w:rPr>
          <w:rFonts w:hint="eastAsia" w:ascii="仿宋_GB2312" w:hAnsi="仿宋_GB2312" w:eastAsia="仿宋_GB2312" w:cs="仿宋_GB2312"/>
          <w:b w:val="0"/>
          <w:bCs w:val="0"/>
          <w:color w:val="auto"/>
          <w:sz w:val="32"/>
          <w:szCs w:val="32"/>
        </w:rPr>
        <w:t>金口河区突发公共事件总体应急预案》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49" w:name="_Toc25286"/>
      <w:r>
        <w:rPr>
          <w:rFonts w:hint="eastAsia" w:ascii="Times New Roman" w:hAnsi="Times New Roman" w:eastAsia="楷体" w:cs="楷体"/>
          <w:b w:val="0"/>
          <w:bCs w:val="0"/>
          <w:color w:val="auto"/>
          <w:sz w:val="32"/>
          <w:szCs w:val="32"/>
        </w:rPr>
        <w:t>（三）规划原则</w:t>
      </w:r>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注重现状，规划引领。规划要考虑当前片区的实际情况，弥补现有短板、发挥已有优势，使规划既具有可操作行，又能发挥带动引领作用，坚持量力而行、尽力而为，确保规划能用管用好用。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bookmarkStart w:id="50" w:name="_Toc3527"/>
      <w:r>
        <w:rPr>
          <w:rFonts w:hint="eastAsia" w:ascii="仿宋_GB2312" w:hAnsi="仿宋_GB2312" w:eastAsia="仿宋_GB2312" w:cs="仿宋_GB2312"/>
          <w:b w:val="0"/>
          <w:bCs w:val="0"/>
          <w:color w:val="auto"/>
          <w:sz w:val="32"/>
          <w:szCs w:val="32"/>
          <w:lang w:val="en-US" w:eastAsia="zh-CN"/>
        </w:rPr>
        <w:t>因地制宜，资源整合。立足于乡镇行政区划和村级建制调整、镇村驻地房屋空余等现状，在国土空间规划的框架内，盘活用好闲置资产。结合不同乡镇、部门在应急方面需求，把有限的资源用好，最大限度让项目发挥最大效用。</w:t>
      </w:r>
      <w:bookmarkEnd w:id="5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加强联系，开拓创新。利用新技术手段，加大宣传培训和科普力度，积极发挥乡镇、村领导干部带头作用，把提高社会公众自救互救能力摆在更加突出位置，构建共建共治共享新时代。</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51" w:name="_Toc19216"/>
      <w:r>
        <w:rPr>
          <w:rFonts w:hint="eastAsia" w:ascii="Times New Roman" w:hAnsi="Times New Roman" w:eastAsia="楷体" w:cs="楷体"/>
          <w:b w:val="0"/>
          <w:bCs w:val="0"/>
          <w:color w:val="auto"/>
          <w:sz w:val="32"/>
          <w:szCs w:val="32"/>
        </w:rPr>
        <w:t>（四）规划期限</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本规划基期年为2020年，期限为2021-2035年，近期至2025年。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 w:cs="仿宋"/>
          <w:b w:val="0"/>
          <w:bCs w:val="0"/>
          <w:color w:val="auto"/>
          <w:sz w:val="32"/>
          <w:szCs w:val="32"/>
        </w:rPr>
      </w:pPr>
      <w:bookmarkStart w:id="52" w:name="_Toc6765"/>
      <w:r>
        <w:rPr>
          <w:rFonts w:hint="eastAsia" w:ascii="Times New Roman" w:hAnsi="Times New Roman" w:eastAsia="黑体" w:cs="黑体"/>
          <w:b w:val="0"/>
          <w:bCs w:val="0"/>
          <w:color w:val="auto"/>
          <w:sz w:val="32"/>
          <w:szCs w:val="32"/>
        </w:rPr>
        <w:t>二、规划背景</w:t>
      </w:r>
      <w:bookmarkEnd w:id="5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53" w:name="_Toc8921"/>
      <w:r>
        <w:rPr>
          <w:rFonts w:hint="eastAsia" w:ascii="Times New Roman" w:hAnsi="Times New Roman" w:eastAsia="楷体" w:cs="楷体"/>
          <w:b w:val="0"/>
          <w:bCs w:val="0"/>
          <w:color w:val="auto"/>
          <w:sz w:val="32"/>
          <w:szCs w:val="32"/>
        </w:rPr>
        <w:t>（一）片区现状</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片区基本情况。大峡谷生态文旅片区由永和镇、和平彝族乡、共安彝族乡组成，共有14个行政村、4个社区，户籍人口3.28万人，常住人口2.94万人，面积300平方公里，中心镇为永和镇。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片区内旅游、农业资源丰富，有世界著名的金口河大峡谷地质公园景区；铁道兵博物馆是全国首座建成开放的铁道兵综合历史展馆；有“天然氧吧”之称的八月林自然保护区；有大熊猫、藏酋猴、羚羊、四川鹧鸪、锦鸡等珍稀保护动物和重楼、灵芝等野生中药材；有0.3万亩蓝莓现代农业产业园。一、二、三期生态食品加工园坐落该片区，是特色农产品精深加工和鲜活农产品冷链仓储的最佳基地。民族特色文化浓厚，彝族传统文化资源传承保护较好。片区功能定位是重点发展红色旅游、民俗旅游、峡谷旅游、清洁能源、特色农业等产业，打造四川彝区乡村振兴示范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安全生产情况。片区现有学校11所，医疗卫生机构3个，文化场所23所，旅游景区1处（不含乡村旅游点），星级饭店1座，体育场馆1座，宗教活动场所1座，高铁站1座（成昆复线金口河南站）；危险化学品经营企业4家，烟花爆竹批发企业1家，冶炼企业1家，轻工业1家。片区3个乡镇均成立了安全生产委员会、应急管理委员会、道路交通委员会，设立了安全生产、地灾防治、森林防灭火、防汛抗旱等专项工作应急指挥部负责突发事件应急指挥工作，组建基层应急管理机构—社会治理办公室（挂应急管理和安全生产委员会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自然灾害情况。大峡谷生态文旅片区地处四川盆地与川西高原过渡地带，紧邻龙门山、鲜水河、安宁河三大地震断裂带，区域地质构造复杂，河谷深切，岩体破碎，断层、褶皱发育，断裂活动多。片区内有“金口河断裂”，并受周边“洪雅总岗山—柳江”、“峨眉山—金阳”等断裂影响，断裂、褶皱虽较为发育，但规模不大，属中强地震区（5级左右），根据《中国地震动参数区划图》（GB18306—2015），金口河区地震基本烈度为7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截至2022年，经调查统计入库后有山洪灾害危险区18处、地质灾害隐患点25处，其中滑坡17处、崩塌（危岩）5处、泥石流3处。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片区内永和镇的黎明村、新民村、新乐村、新华村、胜利村、罗回社区，和平彝族乡的蒲梯村、桠溪村、迎新村、迎春村、解放村，共安彝族乡的象鼻村、林丰村、新河村、文店村为森林火灾高风险区。自1978年建区以来未发生过较大规模森林火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54" w:name="_Toc14463"/>
      <w:r>
        <w:rPr>
          <w:rFonts w:hint="eastAsia" w:ascii="Times New Roman" w:hAnsi="Times New Roman" w:eastAsia="楷体" w:cs="楷体"/>
          <w:b w:val="0"/>
          <w:bCs w:val="0"/>
          <w:color w:val="auto"/>
          <w:sz w:val="32"/>
          <w:szCs w:val="32"/>
        </w:rPr>
        <w:t>（</w:t>
      </w:r>
      <w:r>
        <w:rPr>
          <w:rFonts w:hint="eastAsia" w:ascii="Times New Roman" w:hAnsi="Times New Roman" w:eastAsia="楷体" w:cs="楷体"/>
          <w:b w:val="0"/>
          <w:bCs w:val="0"/>
          <w:color w:val="auto"/>
          <w:sz w:val="32"/>
          <w:szCs w:val="32"/>
          <w:lang w:val="en-US" w:eastAsia="zh-CN"/>
        </w:rPr>
        <w:t>二</w:t>
      </w:r>
      <w:r>
        <w:rPr>
          <w:rFonts w:hint="eastAsia" w:ascii="Times New Roman" w:hAnsi="Times New Roman" w:eastAsia="楷体" w:cs="楷体"/>
          <w:b w:val="0"/>
          <w:bCs w:val="0"/>
          <w:color w:val="auto"/>
          <w:sz w:val="32"/>
          <w:szCs w:val="32"/>
        </w:rPr>
        <w:t>）面临形势</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企业安全方面。企业信息化建设滞后，大部分未接入市区安全监管平台。需要进一步落实安全监管制度，强化源头管控，加强安全风险监控预警现代化建设，建立健全监测预警响应机制，推广视频识别、物联网等先进技术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交通运输方面。大峡谷文旅片区地形地质条件复杂、自然灾害频发，山体滑坡和塌方导致的道路阻断时有发生，G245线风险点较多，且与毗邻区县间未实现三级及以上干线公路贯通，路网可替代迂回路线或疏散通道有限。除G245线外，其余公路均为四级路，有60%的乡镇不通三级及以上公路，有11%的30户以上自然村未通硬化路，83.7%的路面宽度小于4.5米，县道仍存在18公里断头路，制约了本片区应急疏散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旅游安全方面。“十四五”期间，片区内继续加大发展文旅产业力度，规划建设大峡谷、枕头坝、关村坝旅游码头，开展游船、游艇、漂流等水上旅游项目。但水上安全救助一体化设施还未进行配套建设。农家民宿发展迅速，相关民宿应急设施普遍不足，人员应急意识及技能水平偏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城乡消防方面。该片区以人口密集、道路宽度有限。老城区消防隐患多，现有消防力量薄弱，人员不足、特殊装备缺乏，难以满足片区消防安全需要，需提升消防救援能力。乡、村两级消防设施配备不足，无专业消防队伍，消火栓数量严重不足、微型消防站建设缓慢。部分村组道路坡度达到30度以上，坡陡弯急较多，大型专业消防救援车辆难以及时进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自然灾害方面。片区自然灾害发生风险增大，极端天气事件增多增强趋势明显，多灾并发日益突出，高温、干旱、山洪、地灾的风险进一步加剧。自然灾害形成机理、发生规律、损失程度和影响程度出现新特点和新变化，林区发生较大规模森林火灾可能性增加。山区沟壑较多，一旦发生暴雨、洪水容易诱发垮塌、泥石流等次生灾害。片区自动雨量站点和自动水位站点数量少、设备老化，山洪灾害预警员专业水平低，报警器等装备不足，山洪灾害防范能力差。需加强自动监测预警设备建设，加大对预警员业务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地震地灾风险。片区地质灾害隐患点位多，受威胁群众多且分布分散，地震地灾监测预警能力差，仅有地震宏观监测员6名，乡镇防震减灾助理员3名，村（社区）地震安全员18名，自动监测预警5套，地震观测台2个，需要实施隐患点工程治理和排危除险工程，建设自动监测预警，加强对地质灾害监测员业务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森林火灾风险。片区内共安彝族乡、和平彝族乡为重点林区镇，扑火装备较为落后，科技含量不高，乡镇、村级扑火物资储备不足、品种单一</w:t>
      </w:r>
      <w:r>
        <w:rPr>
          <w:rFonts w:hint="default"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防灭火水池不足</w:t>
      </w:r>
      <w:r>
        <w:rPr>
          <w:rFonts w:hint="default"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森林消防蓄水池覆盖率10%，无法满足未来的扑火需求</w:t>
      </w:r>
      <w:r>
        <w:rPr>
          <w:rFonts w:hint="default"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绝大部分的国有林区由于地势偏远、交通不便、地广人稀，林火监测覆盖率只有50%，火场应急通信（语音、视频通信）覆盖率仅为35%</w:t>
      </w:r>
      <w:r>
        <w:rPr>
          <w:rFonts w:hint="default"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市、县级信息指挥中心及镇（片区站）级信息指挥中心互联互通率为0。重点林区道路里程短，部分道路宽度窄、路况差，通行能力弱，发生火情后难以做到快速处置。一旦发生森林火灾，救援压力较大，容易造成较大经济损失。需要加强森林防火道路建设，增设防灭火水池，新建配套消防站、通讯基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应急能力方面。该片区应急管理工作和能力建设任务较重，难度较大。应急管理体制机制有待完善，片区乡镇应急保障制度、培训制度、预警预报制度等还未健全，没有形成系统化的应急管理体制机制，应急指挥能力较弱。需要构建区、乡（镇）、村（社区）的三级应急管理框架，健全完善信息报送等工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应急救援力量薄弱。目前片区应急保障力量主要依托于区消防救援大队，没有能够满足危险化工救援、矿山救援、水上救援等综合救援需求的应急队伍。需要提升“一主两辅”队伍都装备水平和技术能力，组建一支经验丰富、技术过硬、专业实力强，满足矿山救援、森林扑火、消防救援、水上救援、山地救援等需求的综合救援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应急信息化水平低，乡镇应急指挥可用装备缺乏，科技信息化手段在监测预警、指挥决策、救援实战中的运用占比较低。需要在片区和中心乡镇新扩建应急指挥阵地，增置应急指挥装备。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应急避难场地（所）数量少、规模小、设施差、设备缺、标准低。乡镇、村（社区）应急资金保障不足，应急物资品种不齐、数量不足，储存条件不理想。需开展应急避难场所规范化建设，应急物资仓库建设，配足备齐各类应急物资，创新物资储备方式，完善物资管理调配制度。积极筹划无人机物资运输系统，提升应急物资保障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社会共治共享。片区尚未建立社会共治示范区及文化宣传广场，宣传手段基本为发放应知应会手册或传单，缺乏现代信息技术手段应用。片区家庭配备灾害防灾和自救装备比例极低，群众防灾减灾意识、安全意识不强，掌握自救呼救能力程度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仿宋"/>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 w:cs="仿宋"/>
          <w:b w:val="0"/>
          <w:bCs w:val="0"/>
          <w:color w:val="auto"/>
          <w:sz w:val="32"/>
          <w:szCs w:val="32"/>
        </w:rPr>
      </w:pPr>
      <w:bookmarkStart w:id="55" w:name="_Toc29565"/>
      <w:r>
        <w:rPr>
          <w:rFonts w:hint="eastAsia" w:ascii="Times New Roman" w:hAnsi="Times New Roman" w:eastAsia="黑体" w:cs="黑体"/>
          <w:b w:val="0"/>
          <w:bCs w:val="0"/>
          <w:color w:val="auto"/>
          <w:sz w:val="32"/>
          <w:szCs w:val="32"/>
        </w:rPr>
        <w:t>三、规划目标</w:t>
      </w:r>
      <w:bookmarkEnd w:id="5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56" w:name="_Toc29858"/>
      <w:r>
        <w:rPr>
          <w:rFonts w:hint="eastAsia" w:ascii="Times New Roman" w:hAnsi="Times New Roman" w:eastAsia="楷体" w:cs="楷体"/>
          <w:b w:val="0"/>
          <w:bCs w:val="0"/>
          <w:color w:val="auto"/>
          <w:sz w:val="32"/>
          <w:szCs w:val="32"/>
        </w:rPr>
        <w:t>（一）近期目标</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到2025年，应急管理体系和能力现代化建设取得明显成效体制机制更加健全完善，风险防控、基层基础、应急救援、综台保障、社会协同能力显著提升，安全生产整体水平、防灾减灾救灾能力显著增强，重特大生产安全事故得到有效遏制，各类灾害事故得到及时妥善应对处置，人民生命财产安全得到有力保障，为深入实施金口河“1168”发展战略、奋力开启现代化金口河新征程提供坚强保障，作出积极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安全生产目标。片区安全生产责任体系进一步完善，片区生产安全事故死亡人数下降，专职安全管理人员得到充实，安全生产宣传教育“七进”活动完成率、隐患全部按期整改率有所提高。</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3280"/>
        <w:gridCol w:w="3360"/>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061" w:type="dxa"/>
            <w:gridSpan w:val="4"/>
            <w:vAlign w:val="center"/>
          </w:tcPr>
          <w:p>
            <w:pPr>
              <w:pStyle w:val="9"/>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eastAsia" w:ascii="仿宋_GB2312" w:hAnsi="仿宋_GB2312" w:eastAsia="仿宋_GB2312" w:cs="仿宋_GB2312"/>
                <w:b w:val="0"/>
                <w:bCs w:val="0"/>
                <w:color w:val="auto"/>
                <w:sz w:val="30"/>
                <w:szCs w:val="30"/>
                <w:vertAlign w:val="baseline"/>
              </w:rPr>
            </w:pPr>
            <w:r>
              <w:rPr>
                <w:rFonts w:hint="eastAsia" w:ascii="仿宋_GB2312" w:hAnsi="仿宋_GB2312" w:eastAsia="仿宋_GB2312" w:cs="仿宋_GB2312"/>
                <w:b w:val="0"/>
                <w:bCs w:val="0"/>
                <w:color w:val="auto"/>
                <w:sz w:val="30"/>
                <w:szCs w:val="30"/>
                <w:vertAlign w:val="baseline"/>
              </w:rPr>
              <w:t>专栏1 安全生产主要指标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序号</w:t>
            </w:r>
          </w:p>
        </w:tc>
        <w:tc>
          <w:tcPr>
            <w:tcW w:w="32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指标名称</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预期值</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1</w:t>
            </w:r>
          </w:p>
        </w:tc>
        <w:tc>
          <w:tcPr>
            <w:tcW w:w="32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生产安全事故死亡人数</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相比“十三五”期间总数同口径下降10%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2</w:t>
            </w:r>
          </w:p>
        </w:tc>
        <w:tc>
          <w:tcPr>
            <w:tcW w:w="32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单位地区生产总值安全事故死亡率</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相比“十三五”期间死亡率同口径下降33%</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3</w:t>
            </w:r>
          </w:p>
        </w:tc>
        <w:tc>
          <w:tcPr>
            <w:tcW w:w="32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工矿商贸就业人员万人生产安全事故死亡率</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相比“十三五”期间死亡率同口径下降10%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4</w:t>
            </w:r>
          </w:p>
        </w:tc>
        <w:tc>
          <w:tcPr>
            <w:tcW w:w="32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专职安全管理人员数量</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上升30%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5</w:t>
            </w:r>
          </w:p>
        </w:tc>
        <w:tc>
          <w:tcPr>
            <w:tcW w:w="32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安全生产宣传教育“七进”活动完成率</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≥80%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6</w:t>
            </w:r>
          </w:p>
        </w:tc>
        <w:tc>
          <w:tcPr>
            <w:tcW w:w="32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隐患按期整改率</w:t>
            </w:r>
          </w:p>
        </w:tc>
        <w:tc>
          <w:tcPr>
            <w:tcW w:w="33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100%</w:t>
            </w:r>
          </w:p>
        </w:tc>
        <w:tc>
          <w:tcPr>
            <w:tcW w:w="151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约束性</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防灾减灾目标。</w:t>
      </w:r>
      <w:r>
        <w:rPr>
          <w:rFonts w:hint="eastAsia" w:ascii="仿宋_GB2312" w:hAnsi="仿宋_GB2312" w:eastAsia="仿宋_GB2312" w:cs="仿宋_GB2312"/>
          <w:color w:val="auto"/>
          <w:sz w:val="32"/>
          <w:szCs w:val="32"/>
          <w:lang w:val="en-US" w:eastAsia="zh-CN"/>
        </w:rPr>
        <w:t>片区防灾减灾救灾能力进一步提升，自然灾害直接经济损失不断下降，因自然灾害死亡人数不断减少；应急避难场所和应急物资储备站（点）建设不断加强，防灾减灾宣传深入人心，居民配备家庭应急救援包比例明显提高</w:t>
      </w:r>
      <w:r>
        <w:rPr>
          <w:rFonts w:hint="eastAsia" w:ascii="仿宋_GB2312" w:hAnsi="仿宋_GB2312" w:eastAsia="仿宋_GB2312" w:cs="仿宋_GB2312"/>
          <w:b w:val="0"/>
          <w:bCs w:val="0"/>
          <w:color w:val="auto"/>
          <w:sz w:val="32"/>
          <w:szCs w:val="32"/>
        </w:rPr>
        <w:t>。</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3960"/>
        <w:gridCol w:w="2730"/>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061" w:type="dxa"/>
            <w:gridSpan w:val="4"/>
            <w:vAlign w:val="center"/>
          </w:tcPr>
          <w:p>
            <w:pPr>
              <w:pStyle w:val="2"/>
              <w:keepNext w:val="0"/>
              <w:keepLines w:val="0"/>
              <w:pageBreakBefore w:val="0"/>
              <w:widowControl w:val="0"/>
              <w:tabs>
                <w:tab w:val="left" w:pos="4050"/>
              </w:tabs>
              <w:kinsoku/>
              <w:wordWrap/>
              <w:overflowPunct/>
              <w:topLinePunct w:val="0"/>
              <w:autoSpaceDE/>
              <w:autoSpaceDN/>
              <w:bidi w:val="0"/>
              <w:adjustRightInd/>
              <w:snapToGrid/>
              <w:spacing w:line="560" w:lineRule="exact"/>
              <w:ind w:left="10" w:leftChars="0" w:right="154" w:hanging="10" w:firstLineChars="0"/>
              <w:jc w:val="center"/>
              <w:textAlignment w:val="auto"/>
              <w:rPr>
                <w:rFonts w:hint="eastAsia" w:ascii="仿宋_GB2312" w:hAnsi="仿宋_GB2312" w:eastAsia="仿宋_GB2312" w:cs="仿宋_GB2312"/>
                <w:b w:val="0"/>
                <w:bCs w:val="0"/>
                <w:color w:val="auto"/>
                <w:sz w:val="30"/>
                <w:szCs w:val="30"/>
                <w:vertAlign w:val="baseline"/>
              </w:rPr>
            </w:pPr>
            <w:r>
              <w:rPr>
                <w:rFonts w:hint="eastAsia" w:ascii="仿宋_GB2312" w:hAnsi="仿宋_GB2312" w:eastAsia="仿宋_GB2312" w:cs="仿宋_GB2312"/>
                <w:b w:val="0"/>
                <w:bCs w:val="0"/>
                <w:color w:val="auto"/>
                <w:sz w:val="30"/>
                <w:szCs w:val="30"/>
              </w:rPr>
              <w:t>专栏2</w:t>
            </w:r>
            <w:r>
              <w:rPr>
                <w:rFonts w:hint="eastAsia" w:ascii="仿宋_GB2312" w:hAnsi="仿宋_GB2312" w:eastAsia="仿宋_GB2312" w:cs="仿宋_GB2312"/>
                <w:b w:val="0"/>
                <w:bCs w:val="0"/>
                <w:color w:val="auto"/>
                <w:sz w:val="30"/>
                <w:szCs w:val="30"/>
                <w:lang w:val="en-US" w:eastAsia="zh-CN"/>
              </w:rPr>
              <w:t xml:space="preserve"> </w:t>
            </w:r>
            <w:r>
              <w:rPr>
                <w:rFonts w:hint="eastAsia" w:ascii="仿宋_GB2312" w:hAnsi="仿宋_GB2312" w:eastAsia="仿宋_GB2312" w:cs="仿宋_GB2312"/>
                <w:b w:val="0"/>
                <w:bCs w:val="0"/>
                <w:color w:val="auto"/>
                <w:sz w:val="30"/>
                <w:szCs w:val="30"/>
              </w:rPr>
              <w:t>防灾减灾主要指标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序号</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指标名称</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预期值</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1</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年均因自然灾害直接经济损失占本地区生产总之的比例</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≤0.5%</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2</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年均因自然灾害死亡人数</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≤1%</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3</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灾害信息发布覆盖率</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≥95%</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4</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受灾群众基本生活得到有效救助的时间</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lang w:val="en-US" w:eastAsia="zh-CN"/>
              </w:rPr>
            </w:pPr>
            <w:r>
              <w:rPr>
                <w:rFonts w:hint="eastAsia" w:ascii="仿宋_GB2312" w:hAnsi="仿宋_GB2312" w:eastAsia="仿宋_GB2312" w:cs="仿宋_GB2312"/>
                <w:b w:val="0"/>
                <w:bCs w:val="0"/>
                <w:color w:val="auto"/>
                <w:sz w:val="30"/>
                <w:szCs w:val="30"/>
                <w:vertAlign w:val="baseline"/>
                <w:lang w:val="en-US" w:eastAsia="zh-CN"/>
              </w:rPr>
              <w:t>2h（交通方便）</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4h（交通偏远）</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5</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村（社区）应急物资储备点设置率</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≥80%</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6</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镇区应急避难场所人均避难面积</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≥2m</w:t>
            </w:r>
            <w:r>
              <w:rPr>
                <w:rFonts w:hint="eastAsia" w:ascii="仿宋_GB2312" w:hAnsi="仿宋_GB2312" w:eastAsia="仿宋_GB2312" w:cs="仿宋_GB2312"/>
                <w:b w:val="0"/>
                <w:bCs w:val="0"/>
                <w:color w:val="auto"/>
                <w:sz w:val="30"/>
                <w:szCs w:val="30"/>
                <w:vertAlign w:val="superscript"/>
                <w:lang w:val="en-US" w:eastAsia="zh-CN"/>
              </w:rPr>
              <w:t>2</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7</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vertAlign w:val="baseline"/>
                <w:lang w:val="en-US" w:eastAsia="zh-CN"/>
              </w:rPr>
              <w:t>应急物资储备站（点）规划建设情况</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vertAlign w:val="baseline"/>
                <w:lang w:val="en-US" w:eastAsia="zh-CN"/>
              </w:rPr>
              <w:t>完成物资储备点规范化建设</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8</w:t>
            </w:r>
          </w:p>
        </w:tc>
        <w:tc>
          <w:tcPr>
            <w:tcW w:w="396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家庭应急物资配备率</w:t>
            </w:r>
          </w:p>
        </w:tc>
        <w:tc>
          <w:tcPr>
            <w:tcW w:w="27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共安彝族乡≥50%</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其余≥30%</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b w:val="0"/>
                <w:bCs w:val="0"/>
                <w:color w:val="auto"/>
                <w:sz w:val="30"/>
                <w:szCs w:val="30"/>
                <w:lang w:val="en-US" w:eastAsia="zh-CN"/>
              </w:rPr>
              <w:t>预期性</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应急能力目标。</w:t>
      </w:r>
      <w:r>
        <w:rPr>
          <w:rFonts w:hint="eastAsia" w:ascii="仿宋_GB2312" w:hAnsi="仿宋_GB2312" w:eastAsia="仿宋_GB2312" w:cs="仿宋_GB2312"/>
          <w:b w:val="0"/>
          <w:bCs w:val="0"/>
          <w:color w:val="auto"/>
          <w:sz w:val="32"/>
          <w:szCs w:val="32"/>
        </w:rPr>
        <w:t>片区应急能力进一步提升，形成以镇级总体预案为核心，各类专项预案、处置预案为依托的应急预案体系，扎实开展预案演练；应急救援队伍得到充实，专业水平不断提升，响应救援速度不断加快。</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4561"/>
        <w:gridCol w:w="184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061" w:type="dxa"/>
            <w:gridSpan w:val="4"/>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rPr>
            </w:pPr>
            <w:r>
              <w:rPr>
                <w:rFonts w:hint="eastAsia" w:ascii="仿宋_GB2312" w:hAnsi="仿宋_GB2312" w:eastAsia="仿宋_GB2312" w:cs="仿宋_GB2312"/>
                <w:b w:val="0"/>
                <w:bCs w:val="0"/>
                <w:color w:val="auto"/>
                <w:sz w:val="30"/>
                <w:szCs w:val="30"/>
                <w:lang w:val="en-US" w:eastAsia="zh-CN"/>
              </w:rPr>
              <w:t>专栏3 应急能力主要指标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序号</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指标名称</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预期值</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1</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应急预案编制率、演练率</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100%</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2</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专项预案演练率</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100%</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lang w:val="en-US" w:eastAsia="zh-CN"/>
              </w:rPr>
              <w:t>3</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综合性消防救援队伍和政府专职消防救援人员占人口比</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≥0.3%</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b w:val="0"/>
                <w:bCs w:val="0"/>
                <w:color w:val="auto"/>
                <w:sz w:val="30"/>
                <w:szCs w:val="30"/>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4</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消防站布局符合标准要求、消防力量达到辖区边缘时间</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≤15分钟</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5</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乡（镇）10分钟快速相应救援圈建成率</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100%</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kern w:val="2"/>
                <w:sz w:val="30"/>
                <w:szCs w:val="30"/>
                <w:lang w:val="en-US" w:eastAsia="zh-CN" w:bidi="ar-SA"/>
              </w:rPr>
            </w:pPr>
            <w:r>
              <w:rPr>
                <w:rFonts w:hint="eastAsia" w:ascii="仿宋_GB2312" w:hAnsi="仿宋_GB2312" w:eastAsia="仿宋_GB2312" w:cs="仿宋_GB2312"/>
                <w:color w:val="auto"/>
                <w:sz w:val="30"/>
                <w:szCs w:val="30"/>
                <w:highlight w:val="none"/>
                <w:vertAlign w:val="baseli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color w:val="auto"/>
                <w:sz w:val="30"/>
                <w:szCs w:val="30"/>
                <w:highlight w:val="none"/>
                <w:vertAlign w:val="baseline"/>
                <w:lang w:val="en-US" w:eastAsia="zh-CN"/>
              </w:rPr>
              <w:t>6</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镇应急队、村（社区）应急分队建成率</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100%</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lang w:val="en-US" w:eastAsia="zh-CN"/>
              </w:rPr>
            </w:pPr>
            <w:r>
              <w:rPr>
                <w:rFonts w:hint="eastAsia" w:ascii="仿宋_GB2312" w:hAnsi="仿宋_GB2312" w:eastAsia="仿宋_GB2312" w:cs="仿宋_GB2312"/>
                <w:color w:val="auto"/>
                <w:sz w:val="30"/>
                <w:szCs w:val="30"/>
                <w:highlight w:val="none"/>
                <w:vertAlign w:val="baseline"/>
                <w:lang w:val="en-US" w:eastAsia="zh-CN"/>
              </w:rPr>
              <w:t>7</w:t>
            </w:r>
          </w:p>
        </w:tc>
        <w:tc>
          <w:tcPr>
            <w:tcW w:w="456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应急队伍装备配置完备率</w:t>
            </w:r>
          </w:p>
        </w:tc>
        <w:tc>
          <w:tcPr>
            <w:tcW w:w="184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95%</w:t>
            </w:r>
          </w:p>
        </w:tc>
        <w:tc>
          <w:tcPr>
            <w:tcW w:w="1641"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0"/>
                <w:szCs w:val="30"/>
                <w:vertAlign w:val="baseline"/>
                <w:lang w:val="en-US" w:eastAsia="zh-CN"/>
              </w:rPr>
            </w:pPr>
            <w:r>
              <w:rPr>
                <w:rFonts w:hint="eastAsia" w:ascii="仿宋_GB2312" w:hAnsi="仿宋_GB2312" w:eastAsia="仿宋_GB2312" w:cs="仿宋_GB2312"/>
                <w:color w:val="auto"/>
                <w:sz w:val="30"/>
                <w:szCs w:val="30"/>
                <w:highlight w:val="none"/>
                <w:vertAlign w:val="baseline"/>
                <w:lang w:val="en-US" w:eastAsia="zh-CN"/>
              </w:rPr>
              <w:t>预期性</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57" w:name="_Toc10504"/>
      <w:r>
        <w:rPr>
          <w:rFonts w:hint="eastAsia" w:ascii="Times New Roman" w:hAnsi="Times New Roman" w:eastAsia="楷体" w:cs="楷体"/>
          <w:b w:val="0"/>
          <w:bCs w:val="0"/>
          <w:color w:val="auto"/>
          <w:sz w:val="32"/>
          <w:szCs w:val="32"/>
        </w:rPr>
        <w:t>（二）远景目标</w:t>
      </w:r>
      <w:bookmarkEnd w:id="5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rPr>
      </w:pPr>
      <w:r>
        <w:rPr>
          <w:rFonts w:hint="eastAsia" w:ascii="仿宋_GB2312" w:hAnsi="仿宋_GB2312" w:eastAsia="仿宋_GB2312" w:cs="仿宋_GB2312"/>
          <w:b w:val="0"/>
          <w:bCs w:val="0"/>
          <w:color w:val="auto"/>
          <w:sz w:val="32"/>
          <w:szCs w:val="32"/>
        </w:rPr>
        <w:t>到2035年，把该片区建成全国应急管理体系和能力现代化建设示范区，大幅提升安全风险防控水平，安全生产形势根本好转；大幅提升自然灾害防御和巨灾应对能力，应急管理实现法治化、科学化、智慧化，形成共建共治共享的新格局，达到</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人人懂安全、家家会应急”的新高度，人民群众的获得感、幸福感、安全感显著增强。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黑体" w:cs="黑体"/>
          <w:b w:val="0"/>
          <w:bCs w:val="0"/>
          <w:color w:val="auto"/>
          <w:sz w:val="32"/>
          <w:szCs w:val="32"/>
        </w:rPr>
      </w:pPr>
      <w:bookmarkStart w:id="58" w:name="_Toc1478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黑体" w:cs="黑体"/>
          <w:b w:val="0"/>
          <w:bCs w:val="0"/>
          <w:color w:val="auto"/>
          <w:sz w:val="32"/>
          <w:szCs w:val="32"/>
        </w:rPr>
      </w:pPr>
      <w:r>
        <w:rPr>
          <w:rFonts w:hint="eastAsia" w:ascii="Times New Roman" w:hAnsi="Times New Roman" w:eastAsia="黑体" w:cs="黑体"/>
          <w:b w:val="0"/>
          <w:bCs w:val="0"/>
          <w:color w:val="auto"/>
          <w:sz w:val="32"/>
          <w:szCs w:val="32"/>
        </w:rPr>
        <w:t>四、主要任务和重点工程</w:t>
      </w:r>
      <w:bookmarkEnd w:id="58"/>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default" w:ascii="Times New Roman" w:hAnsi="Times New Roman" w:eastAsia="仿宋" w:cs="仿宋"/>
          <w:b w:val="0"/>
          <w:bCs w:val="0"/>
          <w:color w:val="auto"/>
          <w:sz w:val="32"/>
          <w:szCs w:val="32"/>
          <w:lang w:val="en-US"/>
        </w:rPr>
      </w:pPr>
      <w:bookmarkStart w:id="59" w:name="_Toc15746"/>
      <w:r>
        <w:rPr>
          <w:rFonts w:hint="eastAsia" w:ascii="Times New Roman" w:hAnsi="Times New Roman" w:eastAsia="楷体" w:cs="楷体"/>
          <w:b w:val="0"/>
          <w:bCs w:val="0"/>
          <w:color w:val="auto"/>
          <w:sz w:val="32"/>
          <w:szCs w:val="32"/>
        </w:rPr>
        <w:t>（一）</w:t>
      </w:r>
      <w:r>
        <w:rPr>
          <w:rFonts w:hint="eastAsia" w:ascii="Times New Roman" w:hAnsi="Times New Roman" w:eastAsia="楷体" w:cs="楷体"/>
          <w:color w:val="auto"/>
          <w:sz w:val="32"/>
          <w:szCs w:val="48"/>
          <w:lang w:val="en-US" w:eastAsia="zh-CN"/>
        </w:rPr>
        <w:t>应急管理体制机制方面</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健全应急组织体系。</w:t>
      </w:r>
      <w:r>
        <w:rPr>
          <w:rFonts w:hint="eastAsia" w:ascii="仿宋_GB2312" w:hAnsi="仿宋_GB2312" w:eastAsia="仿宋_GB2312" w:cs="仿宋_GB2312"/>
          <w:b w:val="0"/>
          <w:bCs w:val="0"/>
          <w:color w:val="auto"/>
          <w:sz w:val="32"/>
          <w:szCs w:val="32"/>
        </w:rPr>
        <w:t>创新应急管理机构设置模式，设立应急指挥分中心，构建区应急管理局——片区应急指挥分中心——行政村（社区）应急服务站（点）的三级应急管理框架。探索实行镇级现场应急指挥官制度，优化突发事件现场指挥处置规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完善应急工作机制。</w:t>
      </w:r>
      <w:r>
        <w:rPr>
          <w:rFonts w:hint="eastAsia" w:ascii="仿宋_GB2312" w:hAnsi="仿宋_GB2312" w:eastAsia="仿宋_GB2312" w:cs="仿宋_GB2312"/>
          <w:b w:val="0"/>
          <w:bCs w:val="0"/>
          <w:color w:val="auto"/>
          <w:sz w:val="32"/>
          <w:szCs w:val="32"/>
        </w:rPr>
        <w:t>建立信息收集定期报告机制，组建村（社区）突发事件信息情报员队伍；规范恢复重建机制，加强恢复重建过程中的资金管理；完善风险分担机制。推行安全生产责任保险，加强应急救援人员人身安全保险保障；提升协同联动机制，推进形成多元主体参与突发事件应急处置的良性互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提升应急指挥效能。</w:t>
      </w:r>
      <w:r>
        <w:rPr>
          <w:rFonts w:hint="eastAsia" w:ascii="仿宋_GB2312" w:hAnsi="仿宋_GB2312" w:eastAsia="仿宋_GB2312" w:cs="仿宋_GB2312"/>
          <w:b w:val="0"/>
          <w:bCs w:val="0"/>
          <w:color w:val="auto"/>
          <w:sz w:val="32"/>
          <w:szCs w:val="32"/>
        </w:rPr>
        <w:t>建设金口河区应急指挥中心和镇级应急指挥分中心，推动应急平台之间系统对接、互联互通、数据交换、信息资源共享，提高基层应急平台终端信息采集能力，提升突发事件视频、图像、灾情等信息的报送效率，强化应急平台智能辅助指挥决策等功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优化应急预案体系。</w:t>
      </w:r>
      <w:r>
        <w:rPr>
          <w:rFonts w:hint="eastAsia" w:ascii="仿宋_GB2312" w:hAnsi="仿宋_GB2312" w:eastAsia="仿宋_GB2312" w:cs="仿宋_GB2312"/>
          <w:b w:val="0"/>
          <w:bCs w:val="0"/>
          <w:color w:val="auto"/>
          <w:sz w:val="32"/>
          <w:szCs w:val="32"/>
        </w:rPr>
        <w:t>制定片区突发事件联合应急预案，完善应急预案体系；充分利用互联网、大数据、智能辅助决策等新技术，在应急管理相关信息化系统中推进应急预案数字化应用；加强应急预案演练和评估，开展形式多样、节约高效的应急演练，加强演练后评估工作。</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专栏1 应急管理重点工程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1.镇级应急指挥分中心建设重点工程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建设内容：片区内3个乡镇各配备应急指挥终端、单兵装备、侦察无人机，改建应急指挥场所，购置会议设备。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建设地点：永和镇、和平彝族乡、共安彝族乡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用地范围：利旧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牵头部门：区应急管理局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完成时限：2023年-2025年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经费估算：45万元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2.天通1号通信系统提升工程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建设内容：主要用于轻骑兵点验，天通一号设备维修和通讯费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牵头部门：区应急管理局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完成时限：2023年-2025年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经费估算：15万元/年</w:t>
            </w:r>
          </w:p>
        </w:tc>
      </w:tr>
    </w:tbl>
    <w:p>
      <w:pPr>
        <w:pStyle w:val="9"/>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imes New Roman" w:hAnsi="Times New Roman"/>
          <w:b w:val="0"/>
          <w:bCs w:val="0"/>
          <w:color w:val="auto"/>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60" w:name="_Toc4463"/>
      <w:r>
        <w:rPr>
          <w:rFonts w:hint="eastAsia" w:ascii="Times New Roman" w:hAnsi="Times New Roman" w:eastAsia="楷体" w:cs="楷体"/>
          <w:b w:val="0"/>
          <w:bCs w:val="0"/>
          <w:color w:val="auto"/>
          <w:sz w:val="32"/>
          <w:szCs w:val="32"/>
        </w:rPr>
        <w:t>（二）</w:t>
      </w:r>
      <w:r>
        <w:rPr>
          <w:rFonts w:hint="eastAsia" w:ascii="Times New Roman" w:hAnsi="Times New Roman" w:eastAsia="楷体" w:cs="楷体"/>
          <w:color w:val="auto"/>
          <w:sz w:val="32"/>
          <w:szCs w:val="48"/>
          <w:lang w:val="en-US" w:eastAsia="zh-CN"/>
        </w:rPr>
        <w:t>安全生产风险防控方面</w:t>
      </w:r>
      <w:bookmarkEnd w:id="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监管监察能力建设。强化安全生产风险管控和隐患排查治理体系、安全生产监管信息化和监管能力建设。推进危化企业安全风险分级和隐患排查治理双重预防机制建设，提升重大危险源监测监控能力。实现政府监管监察执法、企业在线监测和预警防控信息一体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加强源头管控。旅游安全生产方面，为配合金口河大峡谷地质公园景区发展，结合大渡河水文情况，严格把控水上项目落地实施，建设水上救援中心，组建水上救援队。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强化风险监测。全面实施“互联网+安全生产”行动计划，推动企业生产信息上网上云，实现企业与政府部门信息及时共享。充分利用物联网、视频识别、5G、AI等技术，逐渐掌握设备智能化、网络化应用，强化风险感知，提高监测感知能力。加强安全生产风险预报预警能力建设，实现对危险化学品、道路交通、建筑施工、消防、非煤矿山、工贸和人员密集场所等重点行业领域、重点区域、重点企业、重要设施安全风险态势评估、动态监测和分级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巩固提升安全生产专项整治成果。从安全生产责任制落实，矿山、危化、建筑施工、道路交通等重点行业领域提档升级，重大隐患排查整治、老旧小区、“三合一”场所、经营性自建房等高风险场所的消防通道建设、临坎临水路段防护栏建设、老旧危房改造等方面提出建设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健全落实安全风险分级管控和隐患排查治理双重预防机制，严格落实企业“双报告”工作制度。强化隐患治理全过程闭环管理，推动企业隐患自查自改自报、政府部门监督检查、第三方机构（专家）专业指导、企业职工广泛参与、社会公众举报监督等多方联动共治。持续推进企业安全生产标准化创建。巩固提升危险化学品、道路交通、建筑施工、消防安全、工贸行业重点环节、特种设备、农业农村等重点行业（领域）和商场等人员密集场所安全生产专项整治成果，探索适应本片区水上旅游、山地旅游、红色旅游及相关配套产业的应急管理方法，实现安全事故风险得到有效管控，安全生产整体水平明显提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专栏2 安全生产风险防控重点工程</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1.综合执法服务能力提升重点工程</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建设内容：乡镇综合执法中队建设，配套培训室（大会议室）各1间，办公室各1间，询问室各1间，资料室各1间，装备室各1间。购买执法车辆各1辆，执法装备各1套。</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建设地点：永和镇、和平彝族乡、共安彝族乡</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用地范围：利旧</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牵头部门：区应急管理局</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完成年限：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kern w:val="2"/>
                <w:sz w:val="32"/>
                <w:szCs w:val="32"/>
                <w:lang w:val="en-US" w:eastAsia="zh-CN" w:bidi="ar-SA"/>
              </w:rPr>
              <w:t>2025年</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费用估算：150万元</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2.道路质量及安防设施基础补短重点工程</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建设内容：对片区内40公里农村公路道路质量进行提升</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建设地点：永和镇、和平彝族乡、共安彝族乡</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用地范围：利旧</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牵头部门：区交通运输局</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完成时限：2025年-2035年</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Times New Roman" w:hAnsi="Times New Roman" w:eastAsia="仿宋" w:cs="仿宋"/>
                <w:b w:val="0"/>
                <w:bCs w:val="0"/>
                <w:color w:val="auto"/>
                <w:sz w:val="32"/>
                <w:szCs w:val="32"/>
                <w:vertAlign w:val="baseline"/>
              </w:rPr>
            </w:pPr>
            <w:r>
              <w:rPr>
                <w:rFonts w:hint="eastAsia" w:ascii="仿宋_GB2312" w:hAnsi="仿宋_GB2312" w:eastAsia="仿宋_GB2312" w:cs="仿宋_GB2312"/>
                <w:b w:val="0"/>
                <w:bCs w:val="0"/>
                <w:color w:val="auto"/>
                <w:kern w:val="2"/>
                <w:sz w:val="32"/>
                <w:szCs w:val="32"/>
                <w:lang w:val="en-US" w:eastAsia="zh-CN" w:bidi="ar-SA"/>
              </w:rPr>
              <w:t>经费估算：800万元</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61" w:name="_Toc1364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r>
        <w:rPr>
          <w:rFonts w:hint="eastAsia" w:ascii="Times New Roman" w:hAnsi="Times New Roman" w:eastAsia="楷体" w:cs="楷体"/>
          <w:b w:val="0"/>
          <w:bCs w:val="0"/>
          <w:color w:val="auto"/>
          <w:sz w:val="32"/>
          <w:szCs w:val="32"/>
        </w:rPr>
        <w:t>（三）</w:t>
      </w:r>
      <w:r>
        <w:rPr>
          <w:rFonts w:hint="eastAsia" w:ascii="Times New Roman" w:hAnsi="Times New Roman" w:eastAsia="楷体" w:cs="楷体"/>
          <w:color w:val="auto"/>
          <w:sz w:val="32"/>
          <w:szCs w:val="48"/>
          <w:lang w:val="en-US" w:eastAsia="zh-CN"/>
        </w:rPr>
        <w:t>自然灾害防治方面</w:t>
      </w:r>
      <w:bookmarkEnd w:id="61"/>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用好自然灾害普查成果。</w:t>
      </w:r>
      <w:r>
        <w:rPr>
          <w:rFonts w:hint="eastAsia" w:ascii="仿宋_GB2312" w:hAnsi="仿宋_GB2312" w:eastAsia="仿宋_GB2312" w:cs="仿宋_GB2312"/>
          <w:b w:val="0"/>
          <w:bCs w:val="0"/>
          <w:color w:val="auto"/>
          <w:sz w:val="32"/>
          <w:szCs w:val="32"/>
        </w:rPr>
        <w:t>充分利用自然灾害综合风险普查成果，科学规划片区应急避难场所、救灾物资储备点、森林检查站等，建立村（社区）微型消防救援站，完善村（社区）防灾减灾基础设施建设，增强城乡社区综合服务设施应急功能。</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强化自然灾害监测预警。</w:t>
      </w:r>
      <w:r>
        <w:rPr>
          <w:rFonts w:hint="eastAsia" w:ascii="仿宋_GB2312" w:hAnsi="仿宋_GB2312" w:eastAsia="仿宋_GB2312" w:cs="仿宋_GB2312"/>
          <w:b w:val="0"/>
          <w:bCs w:val="0"/>
          <w:color w:val="auto"/>
          <w:sz w:val="32"/>
          <w:szCs w:val="32"/>
        </w:rPr>
        <w:t>加强片区气象监测预报基础设施建设。提高对中小尺度强对流天气、暴雨等及其可能引发的地质灾害、山洪灾害和其他次生灾害的预测预警能力。</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加强防汛抗旱能力建设。</w:t>
      </w:r>
      <w:r>
        <w:rPr>
          <w:rFonts w:hint="eastAsia" w:ascii="仿宋_GB2312" w:hAnsi="仿宋_GB2312" w:eastAsia="仿宋_GB2312" w:cs="仿宋_GB2312"/>
          <w:b w:val="0"/>
          <w:bCs w:val="0"/>
          <w:color w:val="auto"/>
          <w:sz w:val="32"/>
          <w:szCs w:val="32"/>
        </w:rPr>
        <w:t>推进防汛抗旱水利提升工程，进一步推进中小河流治理、中小型水库和其他小型水利设施建设，提高防洪抗旱和水安全保障。</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提升城乡抗震减灾水平。</w:t>
      </w:r>
      <w:r>
        <w:rPr>
          <w:rFonts w:hint="eastAsia" w:ascii="仿宋_GB2312" w:hAnsi="仿宋_GB2312" w:eastAsia="仿宋_GB2312" w:cs="仿宋_GB2312"/>
          <w:b w:val="0"/>
          <w:bCs w:val="0"/>
          <w:color w:val="auto"/>
          <w:sz w:val="32"/>
          <w:szCs w:val="32"/>
        </w:rPr>
        <w:t>加强隐患治理和抗震工作，提升安全性能。加强应急避难场所规范化建设，片区内18个行政村（社区）每村（社区）至少有1个规范化应急避难场所，满足本区内居民应急避险需要。</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推进地质灾害综合治理。</w:t>
      </w:r>
      <w:r>
        <w:rPr>
          <w:rFonts w:hint="eastAsia" w:ascii="仿宋_GB2312" w:hAnsi="仿宋_GB2312" w:eastAsia="仿宋_GB2312" w:cs="仿宋_GB2312"/>
          <w:b w:val="0"/>
          <w:bCs w:val="0"/>
          <w:color w:val="auto"/>
          <w:sz w:val="32"/>
          <w:szCs w:val="32"/>
        </w:rPr>
        <w:t>加强地质灾害易发区及危险区土地利用管理，降低地质灾害风险。对风险等级高、搬迁难度大的重大地质灾害隐患进行工程治理，推进小型地质灾害隐患简易治理及除危排险。</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夯实森林防灭火基础设施。</w:t>
      </w:r>
      <w:r>
        <w:rPr>
          <w:rFonts w:hint="eastAsia" w:ascii="仿宋_GB2312" w:hAnsi="仿宋_GB2312" w:eastAsia="仿宋_GB2312" w:cs="仿宋_GB2312"/>
          <w:b w:val="0"/>
          <w:bCs w:val="0"/>
          <w:color w:val="auto"/>
          <w:sz w:val="32"/>
          <w:szCs w:val="32"/>
        </w:rPr>
        <w:t>推进森林防火基础综合设施建设项目，促进新科技、新装备的使用，加强森林防火应急道路、应急水池和阻隔系统建设，推进林业有害生物防治等基础能力建设。</w:t>
      </w:r>
    </w:p>
    <w:p>
      <w:pPr>
        <w:pStyle w:val="9"/>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专栏3 自然灾害防治重点工程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1.防汛抗洪水利能力提升工程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rPr>
              <w:t>建设内容：</w:t>
            </w:r>
            <w:r>
              <w:rPr>
                <w:rFonts w:hint="eastAsia" w:ascii="仿宋_GB2312" w:hAnsi="仿宋_GB2312" w:eastAsia="仿宋_GB2312" w:cs="仿宋_GB2312"/>
                <w:b w:val="0"/>
                <w:bCs w:val="0"/>
                <w:color w:val="auto"/>
                <w:sz w:val="32"/>
                <w:szCs w:val="32"/>
                <w:vertAlign w:val="baseline"/>
                <w:lang w:val="en-US" w:eastAsia="zh-CN"/>
              </w:rPr>
              <w:t>小河1.5公里治理工程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建设地点：共安彝族乡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用地范围：利旧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：区水务局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2025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vertAlign w:val="baseline"/>
                <w:lang w:val="en-US" w:eastAsia="zh-CN"/>
              </w:rPr>
              <w:t>1300</w:t>
            </w:r>
            <w:r>
              <w:rPr>
                <w:rFonts w:hint="eastAsia" w:ascii="仿宋_GB2312" w:hAnsi="仿宋_GB2312" w:eastAsia="仿宋_GB2312" w:cs="仿宋_GB2312"/>
                <w:b w:val="0"/>
                <w:bCs w:val="0"/>
                <w:color w:val="auto"/>
                <w:sz w:val="32"/>
                <w:szCs w:val="32"/>
                <w:vertAlign w:val="baseline"/>
              </w:rPr>
              <w:t>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2.金口河区气象监测能力提升工程</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建设内容：购置多套可视化气象监测设备和智能预警发布系统。</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建设地点：永和镇、和平彝族乡、共安彝族乡</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用地范围：利旧</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牵头单位：区应急管理局、区交通局、区农业农村局</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完成时限：</w:t>
            </w:r>
            <w:r>
              <w:rPr>
                <w:rFonts w:hint="eastAsia" w:ascii="仿宋_GB2312" w:hAnsi="仿宋_GB2312" w:eastAsia="仿宋_GB2312" w:cs="仿宋_GB2312"/>
                <w:color w:val="auto"/>
                <w:sz w:val="32"/>
                <w:szCs w:val="32"/>
                <w:highlight w:val="none"/>
                <w:lang w:val="en-US" w:eastAsia="zh-CN"/>
              </w:rPr>
              <w:t>2023年-</w:t>
            </w:r>
            <w:r>
              <w:rPr>
                <w:rFonts w:hint="eastAsia" w:ascii="仿宋_GB2312" w:hAnsi="仿宋_GB2312" w:eastAsia="仿宋_GB2312" w:cs="仿宋_GB2312"/>
                <w:color w:val="auto"/>
                <w:sz w:val="32"/>
                <w:szCs w:val="32"/>
                <w:highlight w:val="none"/>
                <w:vertAlign w:val="baseline"/>
                <w:lang w:val="en-US" w:eastAsia="zh-CN"/>
              </w:rPr>
              <w:t>2035年</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highlight w:val="none"/>
                <w:vertAlign w:val="baseline"/>
                <w:lang w:val="en-US" w:eastAsia="zh-CN"/>
              </w:rPr>
            </w:pPr>
            <w:r>
              <w:rPr>
                <w:rFonts w:hint="eastAsia" w:ascii="仿宋_GB2312" w:hAnsi="仿宋_GB2312" w:eastAsia="仿宋_GB2312" w:cs="仿宋_GB2312"/>
                <w:color w:val="auto"/>
                <w:sz w:val="32"/>
                <w:szCs w:val="32"/>
                <w:highlight w:val="none"/>
                <w:vertAlign w:val="baseline"/>
                <w:lang w:val="en-US" w:eastAsia="zh-CN"/>
              </w:rPr>
              <w:t>经费估算：55万元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3.森林防火基础综合设施建设项目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建设内容：新改建防火道路</w:t>
            </w:r>
            <w:r>
              <w:rPr>
                <w:rFonts w:hint="eastAsia" w:ascii="仿宋_GB2312" w:hAnsi="仿宋_GB2312" w:eastAsia="仿宋_GB2312" w:cs="仿宋_GB2312"/>
                <w:b w:val="0"/>
                <w:bCs w:val="0"/>
                <w:color w:val="auto"/>
                <w:sz w:val="32"/>
                <w:szCs w:val="32"/>
                <w:vertAlign w:val="baseline"/>
                <w:lang w:val="en-US" w:eastAsia="zh-CN"/>
              </w:rPr>
              <w:t>48.2</w:t>
            </w:r>
            <w:r>
              <w:rPr>
                <w:rFonts w:hint="eastAsia" w:ascii="仿宋_GB2312" w:hAnsi="仿宋_GB2312" w:eastAsia="仿宋_GB2312" w:cs="仿宋_GB2312"/>
                <w:b w:val="0"/>
                <w:bCs w:val="0"/>
                <w:color w:val="auto"/>
                <w:sz w:val="32"/>
                <w:szCs w:val="32"/>
                <w:vertAlign w:val="baseline"/>
              </w:rPr>
              <w:t>公里</w:t>
            </w:r>
            <w:r>
              <w:rPr>
                <w:rFonts w:hint="eastAsia" w:ascii="仿宋_GB2312" w:hAnsi="仿宋_GB2312" w:eastAsia="仿宋_GB2312" w:cs="仿宋_GB2312"/>
                <w:b w:val="0"/>
                <w:bCs w:val="0"/>
                <w:color w:val="auto"/>
                <w:sz w:val="32"/>
                <w:szCs w:val="32"/>
                <w:vertAlign w:val="baseline"/>
                <w:lang w:eastAsia="zh-CN"/>
              </w:rPr>
              <w:t>，</w:t>
            </w:r>
            <w:r>
              <w:rPr>
                <w:rFonts w:hint="eastAsia" w:ascii="仿宋_GB2312" w:hAnsi="仿宋_GB2312" w:eastAsia="仿宋_GB2312" w:cs="仿宋_GB2312"/>
                <w:b w:val="0"/>
                <w:bCs w:val="0"/>
                <w:color w:val="auto"/>
                <w:sz w:val="32"/>
                <w:szCs w:val="32"/>
                <w:vertAlign w:val="baseline"/>
                <w:lang w:val="en-US" w:eastAsia="zh-CN"/>
              </w:rPr>
              <w:t>完善</w:t>
            </w:r>
            <w:r>
              <w:rPr>
                <w:rFonts w:hint="eastAsia" w:ascii="仿宋_GB2312" w:hAnsi="仿宋_GB2312" w:eastAsia="仿宋_GB2312" w:cs="仿宋_GB2312"/>
                <w:b w:val="0"/>
                <w:bCs w:val="0"/>
                <w:color w:val="auto"/>
                <w:sz w:val="32"/>
                <w:szCs w:val="32"/>
                <w:vertAlign w:val="baseline"/>
              </w:rPr>
              <w:t>大峡谷总体消防设施建设，新建消防水池6口，增设林火视频监控系统野外监控点3个，新建林区消防站1个</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建设地点：共安彝族乡、 八月林自然保护区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用地范围：林区道路沿线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：区自然资源局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vertAlign w:val="baseline"/>
                <w:lang w:val="en-US" w:eastAsia="zh-CN"/>
              </w:rPr>
              <w:t>800</w:t>
            </w:r>
            <w:r>
              <w:rPr>
                <w:rFonts w:hint="eastAsia" w:ascii="仿宋_GB2312" w:hAnsi="仿宋_GB2312" w:eastAsia="仿宋_GB2312" w:cs="仿宋_GB2312"/>
                <w:b w:val="0"/>
                <w:bCs w:val="0"/>
                <w:color w:val="auto"/>
                <w:sz w:val="32"/>
                <w:szCs w:val="32"/>
                <w:vertAlign w:val="baseline"/>
              </w:rPr>
              <w:t>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b w:val="0"/>
                <w:bCs w:val="0"/>
                <w:color w:val="auto"/>
                <w:sz w:val="32"/>
                <w:szCs w:val="32"/>
                <w:vertAlign w:val="baseline"/>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62" w:name="_Toc29484"/>
      <w:r>
        <w:rPr>
          <w:rFonts w:hint="eastAsia" w:ascii="Times New Roman" w:hAnsi="Times New Roman" w:eastAsia="楷体" w:cs="楷体"/>
          <w:b w:val="0"/>
          <w:bCs w:val="0"/>
          <w:color w:val="auto"/>
          <w:sz w:val="32"/>
          <w:szCs w:val="32"/>
        </w:rPr>
        <w:t>（四）</w:t>
      </w:r>
      <w:r>
        <w:rPr>
          <w:rFonts w:hint="eastAsia" w:ascii="Times New Roman" w:hAnsi="Times New Roman" w:eastAsia="楷体" w:cs="楷体"/>
          <w:color w:val="auto"/>
          <w:sz w:val="32"/>
          <w:szCs w:val="48"/>
          <w:lang w:val="en-US" w:eastAsia="zh-CN"/>
        </w:rPr>
        <w:t>应急能力建设方面</w:t>
      </w:r>
      <w:bookmarkEnd w:id="62"/>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应急队伍建设。</w:t>
      </w:r>
      <w:r>
        <w:rPr>
          <w:rFonts w:hint="eastAsia" w:ascii="仿宋_GB2312" w:hAnsi="仿宋_GB2312" w:eastAsia="仿宋_GB2312" w:cs="仿宋_GB2312"/>
          <w:b w:val="0"/>
          <w:bCs w:val="0"/>
          <w:color w:val="auto"/>
          <w:sz w:val="32"/>
          <w:szCs w:val="32"/>
        </w:rPr>
        <w:t>一是加强基层应急管理体系建设，健全集约高效基层应急管理机制，构建起</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区中心消防救援站+乡</w:t>
      </w:r>
      <w:r>
        <w:rPr>
          <w:rFonts w:hint="eastAsia" w:ascii="仿宋_GB2312" w:hAnsi="仿宋_GB2312" w:eastAsia="仿宋_GB2312" w:cs="仿宋_GB2312"/>
          <w:b w:val="0"/>
          <w:bCs w:val="0"/>
          <w:color w:val="auto"/>
          <w:sz w:val="32"/>
          <w:szCs w:val="32"/>
          <w:lang w:eastAsia="zh-CN"/>
        </w:rPr>
        <w:t>乡（镇）</w:t>
      </w:r>
      <w:r>
        <w:rPr>
          <w:rFonts w:hint="eastAsia" w:ascii="仿宋_GB2312" w:hAnsi="仿宋_GB2312" w:eastAsia="仿宋_GB2312" w:cs="仿宋_GB2312"/>
          <w:b w:val="0"/>
          <w:bCs w:val="0"/>
          <w:color w:val="auto"/>
          <w:sz w:val="32"/>
          <w:szCs w:val="32"/>
        </w:rPr>
        <w:t>应急队+村（社区）应急分队”的</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大消防”格局，打造</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全灾种、大应急、多专业”的多维度、多层次应急救援队伍</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根据片区产业类型、规模、分布情况，以立足现在、着眼未来，专兼结合、综合使用，用好现有资源，适度超前发展原则，组建专业应急队伍、社会救援队伍、基层应急队。实现专业应急队伍综合化、社会救援队伍全面化、基层应急队伍群众化。实行统筹布局、分级管理、统一调度、集中培训，提高应急救援的针对性和实效性。基本建成以区域性中心</w:t>
      </w:r>
      <w:r>
        <w:rPr>
          <w:rFonts w:hint="eastAsia" w:ascii="仿宋_GB2312" w:hAnsi="仿宋_GB2312" w:eastAsia="仿宋_GB2312" w:cs="仿宋_GB2312"/>
          <w:b w:val="0"/>
          <w:bCs w:val="0"/>
          <w:color w:val="auto"/>
          <w:sz w:val="32"/>
          <w:szCs w:val="32"/>
          <w:lang w:eastAsia="zh-CN"/>
        </w:rPr>
        <w:t>乡（镇）</w:t>
      </w:r>
      <w:r>
        <w:rPr>
          <w:rFonts w:hint="eastAsia" w:ascii="仿宋_GB2312" w:hAnsi="仿宋_GB2312" w:eastAsia="仿宋_GB2312" w:cs="仿宋_GB2312"/>
          <w:b w:val="0"/>
          <w:bCs w:val="0"/>
          <w:color w:val="auto"/>
          <w:sz w:val="32"/>
          <w:szCs w:val="32"/>
        </w:rPr>
        <w:t>消防救援站为主力，</w:t>
      </w:r>
      <w:r>
        <w:rPr>
          <w:rFonts w:hint="eastAsia" w:ascii="仿宋_GB2312" w:hAnsi="仿宋_GB2312" w:eastAsia="仿宋_GB2312" w:cs="仿宋_GB2312"/>
          <w:b w:val="0"/>
          <w:bCs w:val="0"/>
          <w:color w:val="auto"/>
          <w:sz w:val="32"/>
          <w:szCs w:val="32"/>
          <w:lang w:eastAsia="zh-CN"/>
        </w:rPr>
        <w:t>乡（镇）</w:t>
      </w:r>
      <w:r>
        <w:rPr>
          <w:rFonts w:hint="eastAsia" w:ascii="仿宋_GB2312" w:hAnsi="仿宋_GB2312" w:eastAsia="仿宋_GB2312" w:cs="仿宋_GB2312"/>
          <w:b w:val="0"/>
          <w:bCs w:val="0"/>
          <w:color w:val="auto"/>
          <w:sz w:val="32"/>
          <w:szCs w:val="32"/>
        </w:rPr>
        <w:t>应急队和村（社区）应急分队为辅助的</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一主两辅”基层应急力量体系，实现了数量精简，布局优化，效能提升。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二是加强专业救援力量建设。依托金口河大峡谷景区建设的水上救援中心项目</w:t>
      </w:r>
      <w:r>
        <w:rPr>
          <w:rFonts w:hint="eastAsia" w:ascii="仿宋_GB2312" w:hAnsi="仿宋_GB2312" w:eastAsia="仿宋_GB2312" w:cs="仿宋_GB2312"/>
          <w:b w:val="0"/>
          <w:bCs w:val="0"/>
          <w:color w:val="auto"/>
          <w:sz w:val="32"/>
          <w:szCs w:val="32"/>
          <w:lang w:val="en-US" w:eastAsia="zh-CN"/>
        </w:rPr>
        <w:t>及区消防救援大队，</w:t>
      </w:r>
      <w:r>
        <w:rPr>
          <w:rFonts w:hint="eastAsia" w:ascii="仿宋_GB2312" w:hAnsi="仿宋_GB2312" w:eastAsia="仿宋_GB2312" w:cs="仿宋_GB2312"/>
          <w:b w:val="0"/>
          <w:bCs w:val="0"/>
          <w:color w:val="auto"/>
          <w:sz w:val="32"/>
          <w:szCs w:val="32"/>
        </w:rPr>
        <w:t>组建一支专业水上救援队伍。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三是引导社会救援力量。出台政策鼓励支持社会团体和民间救援组织等社会力量参与应急救援工作。开展社会应急力量调查摸底，建立健全社会应急力量分级分类管理制度。健全属地为主的社会应急力量调用征用机制，完善救援保障和补偿政策及标准，全面提升社会应急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是强化应急管理干部队伍建设。加强灾害信息员、气象信息员、群测群防员、网格员等应急信息员队伍，加强综合性业务培训，促进新技术在应急管理工作中的应用，通过科技赋能，提高工作效率，实现“一人多职，一岗多能”，同时给予必要经费、物资支持。</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物资保障</w:t>
      </w:r>
      <w:r>
        <w:rPr>
          <w:rFonts w:hint="eastAsia" w:ascii="仿宋_GB2312" w:hAnsi="仿宋_GB2312" w:eastAsia="仿宋_GB2312" w:cs="仿宋_GB2312"/>
          <w:b/>
          <w:bCs/>
          <w:color w:val="auto"/>
          <w:sz w:val="32"/>
          <w:szCs w:val="32"/>
          <w:lang w:val="en-US" w:eastAsia="zh-CN"/>
        </w:rPr>
        <w:t>建设</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val="0"/>
          <w:bCs w:val="0"/>
          <w:color w:val="auto"/>
          <w:sz w:val="32"/>
          <w:szCs w:val="32"/>
        </w:rPr>
        <w:t>依托现有设施，新建、改造一批综合应急物资储备库，配足备齐镇、村应急物资，逐步实现仓储资源、应急物资的高效整合、共建共享和快捷调运。健全应急物资实物储备、社会储备和生产能力储备管理制度；推进应急物资综合信息管理系统建设提高应急物资综合协调、分类分级保障能力。鼓励企业、社会组织和家庭储备一定数量的应急物资。进一步推进安全生产应急救援装备物资、地震应急救援专业装备物资等应急物资保障能力建设。加强城市防洪、排水防涝、生命线系统抢修、应急供水、生活保障等应急物资和装备储备，补充储备品种、增加储备数量。</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应急预案建设。</w:t>
      </w:r>
      <w:r>
        <w:rPr>
          <w:rFonts w:hint="eastAsia" w:ascii="仿宋_GB2312" w:hAnsi="仿宋_GB2312" w:eastAsia="仿宋_GB2312" w:cs="仿宋_GB2312"/>
          <w:b w:val="0"/>
          <w:bCs w:val="0"/>
          <w:color w:val="auto"/>
          <w:sz w:val="32"/>
          <w:szCs w:val="32"/>
        </w:rPr>
        <w:t>结合本片区安全风险、灾害种类实际，科学构建灾害模拟情景，编制修订镇级综合应急预案、专项处置方案。尤其开展地质灾害、水上安全、森林火灾等风险分析和应急能力评估，制定相关专项应急救援行动方案。开展应急预案数字化管理，实现</w:t>
      </w:r>
      <w:r>
        <w:rPr>
          <w:rFonts w:hint="eastAsia" w:ascii="仿宋_GB2312" w:hAnsi="仿宋_GB2312" w:eastAsia="仿宋_GB2312" w:cs="仿宋_GB2312"/>
          <w:b w:val="0"/>
          <w:bCs w:val="0"/>
          <w:color w:val="auto"/>
          <w:sz w:val="32"/>
          <w:szCs w:val="32"/>
          <w:lang w:val="en-US" w:eastAsia="zh-CN"/>
        </w:rPr>
        <w:t>应急预案、工作手册平台化应用</w:t>
      </w:r>
      <w:r>
        <w:rPr>
          <w:rFonts w:hint="eastAsia" w:ascii="仿宋_GB2312" w:hAnsi="仿宋_GB2312" w:eastAsia="仿宋_GB2312" w:cs="仿宋_GB2312"/>
          <w:b w:val="0"/>
          <w:bCs w:val="0"/>
          <w:color w:val="auto"/>
          <w:sz w:val="32"/>
          <w:szCs w:val="32"/>
        </w:rPr>
        <w:t>，提高应急预案的</w:t>
      </w:r>
      <w:r>
        <w:rPr>
          <w:rFonts w:hint="eastAsia" w:ascii="仿宋_GB2312" w:hAnsi="仿宋_GB2312" w:eastAsia="仿宋_GB2312" w:cs="仿宋_GB2312"/>
          <w:b w:val="0"/>
          <w:bCs w:val="0"/>
          <w:color w:val="auto"/>
          <w:sz w:val="32"/>
          <w:szCs w:val="32"/>
          <w:lang w:val="en-US" w:eastAsia="zh-CN"/>
        </w:rPr>
        <w:t>时效性和</w:t>
      </w:r>
      <w:r>
        <w:rPr>
          <w:rFonts w:hint="eastAsia" w:ascii="仿宋_GB2312" w:hAnsi="仿宋_GB2312" w:eastAsia="仿宋_GB2312" w:cs="仿宋_GB2312"/>
          <w:b w:val="0"/>
          <w:bCs w:val="0"/>
          <w:color w:val="auto"/>
          <w:sz w:val="32"/>
          <w:szCs w:val="32"/>
        </w:rPr>
        <w:t>针对性。加强应急预案演练</w:t>
      </w:r>
      <w:r>
        <w:rPr>
          <w:rFonts w:hint="eastAsia" w:ascii="仿宋_GB2312" w:hAnsi="仿宋_GB2312" w:eastAsia="仿宋_GB2312" w:cs="仿宋_GB2312"/>
          <w:b w:val="0"/>
          <w:bCs w:val="0"/>
          <w:color w:val="auto"/>
          <w:sz w:val="32"/>
          <w:szCs w:val="32"/>
          <w:lang w:val="en-US" w:eastAsia="zh-CN"/>
        </w:rPr>
        <w:t>力度</w:t>
      </w:r>
      <w:r>
        <w:rPr>
          <w:rFonts w:hint="eastAsia" w:ascii="仿宋_GB2312" w:hAnsi="仿宋_GB2312" w:eastAsia="仿宋_GB2312" w:cs="仿宋_GB2312"/>
          <w:b w:val="0"/>
          <w:bCs w:val="0"/>
          <w:color w:val="auto"/>
          <w:sz w:val="32"/>
          <w:szCs w:val="32"/>
        </w:rPr>
        <w:t>，鼓励采用</w:t>
      </w:r>
      <w:r>
        <w:rPr>
          <w:rFonts w:hint="eastAsia" w:ascii="仿宋_GB2312" w:hAnsi="仿宋_GB2312" w:eastAsia="仿宋_GB2312" w:cs="仿宋_GB2312"/>
          <w:b w:val="0"/>
          <w:bCs w:val="0"/>
          <w:color w:val="auto"/>
          <w:sz w:val="32"/>
          <w:szCs w:val="32"/>
          <w:lang w:val="en-US" w:eastAsia="zh-CN"/>
        </w:rPr>
        <w:t>多种</w:t>
      </w:r>
      <w:r>
        <w:rPr>
          <w:rFonts w:hint="eastAsia" w:ascii="仿宋_GB2312" w:hAnsi="仿宋_GB2312" w:eastAsia="仿宋_GB2312" w:cs="仿宋_GB2312"/>
          <w:b w:val="0"/>
          <w:bCs w:val="0"/>
          <w:color w:val="auto"/>
          <w:sz w:val="32"/>
          <w:szCs w:val="32"/>
        </w:rPr>
        <w:t>多样、</w:t>
      </w:r>
      <w:r>
        <w:rPr>
          <w:rFonts w:hint="eastAsia" w:ascii="仿宋_GB2312" w:hAnsi="仿宋_GB2312" w:eastAsia="仿宋_GB2312" w:cs="仿宋_GB2312"/>
          <w:b w:val="0"/>
          <w:bCs w:val="0"/>
          <w:color w:val="auto"/>
          <w:sz w:val="32"/>
          <w:szCs w:val="32"/>
          <w:lang w:val="en-US" w:eastAsia="zh-CN"/>
        </w:rPr>
        <w:t>集约</w:t>
      </w:r>
      <w:r>
        <w:rPr>
          <w:rFonts w:hint="eastAsia" w:ascii="仿宋_GB2312" w:hAnsi="仿宋_GB2312" w:eastAsia="仿宋_GB2312" w:cs="仿宋_GB2312"/>
          <w:b w:val="0"/>
          <w:bCs w:val="0"/>
          <w:color w:val="auto"/>
          <w:sz w:val="32"/>
          <w:szCs w:val="32"/>
        </w:rPr>
        <w:t>高效的演练形式，推动常态化开展灾害事故应急预案演练。</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设施</w:t>
      </w:r>
      <w:r>
        <w:rPr>
          <w:rFonts w:hint="eastAsia" w:ascii="仿宋_GB2312" w:hAnsi="仿宋_GB2312" w:eastAsia="仿宋_GB2312" w:cs="仿宋_GB2312"/>
          <w:b/>
          <w:bCs/>
          <w:color w:val="auto"/>
          <w:sz w:val="32"/>
          <w:szCs w:val="32"/>
          <w:lang w:val="en-US" w:eastAsia="zh-CN"/>
        </w:rPr>
        <w:t>场所</w:t>
      </w:r>
      <w:r>
        <w:rPr>
          <w:rFonts w:hint="eastAsia" w:ascii="仿宋_GB2312" w:hAnsi="仿宋_GB2312" w:eastAsia="仿宋_GB2312" w:cs="仿宋_GB2312"/>
          <w:b/>
          <w:bCs/>
          <w:color w:val="auto"/>
          <w:sz w:val="32"/>
          <w:szCs w:val="32"/>
        </w:rPr>
        <w:t>建设。</w:t>
      </w:r>
      <w:r>
        <w:rPr>
          <w:rFonts w:hint="eastAsia" w:ascii="仿宋_GB2312" w:hAnsi="仿宋_GB2312" w:eastAsia="仿宋_GB2312" w:cs="仿宋_GB2312"/>
          <w:b w:val="0"/>
          <w:bCs w:val="0"/>
          <w:color w:val="auto"/>
          <w:sz w:val="32"/>
          <w:szCs w:val="32"/>
        </w:rPr>
        <w:t>改造应急物资储备库仓储设施、配备储物架，增加防潮、防虫、防火等设施设备。采取以租代储、实物储备及购买服务等形式，加强防汛、基本生活保障、应急救援、森林防灭火等应急物资实物储备。完善储备物资台账建设，保证应急物资的时效性。依托片区内企事业单位、社会团体、组织机构等建立应急物资储备点，适时前置应急物资。引导群众做好家庭应急物资储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推进紧急、临时、固定等类型应急避难场所建设，建立应急避难场所信息数据库和电子地图。加强应急避难场所日常管理与维护，完善运行管理规范，实现对应急避难场所功能区、应急物资、人员安置和运行状态等动态管理。逐步完善移动式救灾指挥、应急医疗救护、应急厕所、应急供电供水消防和应急垃圾与污水处理等配套设施功能，完善线路指示牌和安全警示等标识标牌。各村（社区）可将党群服务中心设置为村（社区）级应急避难场所。</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专栏4 应急能力建设重点工程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1.基层应急物资储备库建设项目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建设内容：改建3个镇级应急物资仓库，新建改建14个村级应急物资储备点，配足必需的应急物资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建设地点：永和镇、和平彝族乡、共安彝族乡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用地范围：</w:t>
            </w:r>
            <w:r>
              <w:rPr>
                <w:rFonts w:hint="eastAsia" w:ascii="仿宋_GB2312" w:hAnsi="仿宋_GB2312" w:eastAsia="仿宋_GB2312" w:cs="仿宋_GB2312"/>
                <w:b w:val="0"/>
                <w:bCs w:val="0"/>
                <w:color w:val="auto"/>
                <w:sz w:val="32"/>
                <w:szCs w:val="32"/>
                <w:vertAlign w:val="baseline"/>
                <w:lang w:val="en-US" w:eastAsia="zh-CN"/>
              </w:rPr>
              <w:t>利旧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highlight w:val="yellow"/>
                <w:vertAlign w:val="baseline"/>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highlight w:val="none"/>
                <w:vertAlign w:val="baseline"/>
              </w:rPr>
              <w:t>：</w:t>
            </w:r>
            <w:r>
              <w:rPr>
                <w:rFonts w:hint="eastAsia" w:ascii="仿宋_GB2312" w:hAnsi="仿宋_GB2312" w:eastAsia="仿宋_GB2312" w:cs="仿宋_GB2312"/>
                <w:b w:val="0"/>
                <w:bCs w:val="0"/>
                <w:color w:val="auto"/>
                <w:sz w:val="32"/>
                <w:szCs w:val="32"/>
                <w:highlight w:val="none"/>
                <w:vertAlign w:val="baseline"/>
                <w:lang w:val="en-US" w:eastAsia="zh-CN"/>
              </w:rPr>
              <w:t>290</w:t>
            </w:r>
            <w:r>
              <w:rPr>
                <w:rFonts w:hint="eastAsia" w:ascii="仿宋_GB2312" w:hAnsi="仿宋_GB2312" w:eastAsia="仿宋_GB2312" w:cs="仿宋_GB2312"/>
                <w:b w:val="0"/>
                <w:bCs w:val="0"/>
                <w:color w:val="auto"/>
                <w:sz w:val="32"/>
                <w:szCs w:val="32"/>
                <w:highlight w:val="none"/>
                <w:vertAlign w:val="baseline"/>
              </w:rPr>
              <w:t>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2</w:t>
            </w:r>
            <w:r>
              <w:rPr>
                <w:rFonts w:hint="eastAsia" w:ascii="仿宋_GB2312" w:hAnsi="仿宋_GB2312" w:eastAsia="仿宋_GB2312" w:cs="仿宋_GB2312"/>
                <w:b w:val="0"/>
                <w:bCs w:val="0"/>
                <w:color w:val="auto"/>
                <w:sz w:val="32"/>
                <w:szCs w:val="32"/>
                <w:vertAlign w:val="baseline"/>
              </w:rPr>
              <w:t>.</w:t>
            </w:r>
            <w:r>
              <w:rPr>
                <w:rFonts w:hint="eastAsia" w:ascii="仿宋_GB2312" w:hAnsi="仿宋_GB2312" w:eastAsia="仿宋_GB2312" w:cs="仿宋_GB2312"/>
                <w:b w:val="0"/>
                <w:bCs w:val="0"/>
                <w:color w:val="auto"/>
                <w:sz w:val="32"/>
                <w:szCs w:val="32"/>
                <w:vertAlign w:val="baseline"/>
                <w:lang w:val="en-US" w:eastAsia="zh-CN"/>
              </w:rPr>
              <w:t>既有储备库提升改造</w:t>
            </w:r>
            <w:r>
              <w:rPr>
                <w:rFonts w:hint="eastAsia" w:ascii="仿宋_GB2312" w:hAnsi="仿宋_GB2312" w:eastAsia="仿宋_GB2312" w:cs="仿宋_GB2312"/>
                <w:b w:val="0"/>
                <w:bCs w:val="0"/>
                <w:color w:val="auto"/>
                <w:sz w:val="32"/>
                <w:szCs w:val="32"/>
                <w:vertAlign w:val="baseline"/>
              </w:rPr>
              <w:t>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建设内容：提升改造原乐山市金口河区粮食物资储备中心（老储备库）和原红华公司供应处设备科仓库大院对面仓库</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建设地点：永和镇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用地范围：</w:t>
            </w:r>
            <w:r>
              <w:rPr>
                <w:rFonts w:hint="eastAsia" w:ascii="仿宋_GB2312" w:hAnsi="仿宋_GB2312" w:eastAsia="仿宋_GB2312" w:cs="仿宋_GB2312"/>
                <w:b w:val="0"/>
                <w:bCs w:val="0"/>
                <w:color w:val="auto"/>
                <w:sz w:val="32"/>
                <w:szCs w:val="32"/>
                <w:vertAlign w:val="baseline"/>
                <w:lang w:val="en-US" w:eastAsia="zh-CN"/>
              </w:rPr>
              <w:t>利旧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w:t>
            </w:r>
            <w:r>
              <w:rPr>
                <w:rFonts w:hint="eastAsia" w:ascii="仿宋_GB2312" w:hAnsi="仿宋_GB2312" w:eastAsia="仿宋_GB2312" w:cs="仿宋_GB2312"/>
                <w:b w:val="0"/>
                <w:bCs w:val="0"/>
                <w:color w:val="auto"/>
                <w:sz w:val="32"/>
                <w:szCs w:val="32"/>
                <w:vertAlign w:val="baseline"/>
                <w:lang w:eastAsia="zh-CN"/>
              </w:rPr>
              <w:t>、</w:t>
            </w:r>
            <w:r>
              <w:rPr>
                <w:rFonts w:hint="eastAsia" w:ascii="仿宋_GB2312" w:hAnsi="仿宋_GB2312" w:eastAsia="仿宋_GB2312" w:cs="仿宋_GB2312"/>
                <w:b w:val="0"/>
                <w:bCs w:val="0"/>
                <w:color w:val="auto"/>
                <w:sz w:val="32"/>
                <w:szCs w:val="32"/>
                <w:vertAlign w:val="baseline"/>
                <w:lang w:val="en-US" w:eastAsia="zh-CN"/>
              </w:rPr>
              <w:t>区发改局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highlight w:val="none"/>
                <w:vertAlign w:val="baseline"/>
              </w:rPr>
              <w:t>：</w:t>
            </w:r>
            <w:r>
              <w:rPr>
                <w:rFonts w:hint="eastAsia" w:ascii="仿宋_GB2312" w:hAnsi="仿宋_GB2312" w:eastAsia="仿宋_GB2312" w:cs="仿宋_GB2312"/>
                <w:b w:val="0"/>
                <w:bCs w:val="0"/>
                <w:color w:val="auto"/>
                <w:sz w:val="32"/>
                <w:szCs w:val="32"/>
                <w:highlight w:val="none"/>
                <w:vertAlign w:val="baseline"/>
                <w:lang w:val="en-US" w:eastAsia="zh-CN"/>
              </w:rPr>
              <w:t>1000</w:t>
            </w:r>
            <w:r>
              <w:rPr>
                <w:rFonts w:hint="eastAsia" w:ascii="仿宋_GB2312" w:hAnsi="仿宋_GB2312" w:eastAsia="仿宋_GB2312" w:cs="仿宋_GB2312"/>
                <w:b w:val="0"/>
                <w:bCs w:val="0"/>
                <w:color w:val="auto"/>
                <w:sz w:val="32"/>
                <w:szCs w:val="32"/>
                <w:highlight w:val="none"/>
                <w:vertAlign w:val="baseline"/>
              </w:rPr>
              <w:t>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3</w:t>
            </w:r>
            <w:r>
              <w:rPr>
                <w:rFonts w:hint="eastAsia" w:ascii="仿宋_GB2312" w:hAnsi="仿宋_GB2312" w:eastAsia="仿宋_GB2312" w:cs="仿宋_GB2312"/>
                <w:b w:val="0"/>
                <w:bCs w:val="0"/>
                <w:color w:val="auto"/>
                <w:sz w:val="32"/>
                <w:szCs w:val="32"/>
                <w:vertAlign w:val="baseline"/>
              </w:rPr>
              <w:t>.应急物资社会储备项目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建设内容：借助企业事业单位场地设施，对部分有储存条件要求的物资采取以租代储、实物储备及购买服务进行专业储备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经费估算：1000万元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4</w:t>
            </w:r>
            <w:r>
              <w:rPr>
                <w:rFonts w:hint="eastAsia" w:ascii="仿宋_GB2312" w:hAnsi="仿宋_GB2312" w:eastAsia="仿宋_GB2312" w:cs="仿宋_GB2312"/>
                <w:b w:val="0"/>
                <w:bCs w:val="0"/>
                <w:color w:val="auto"/>
                <w:sz w:val="32"/>
                <w:szCs w:val="32"/>
                <w:vertAlign w:val="baseline"/>
              </w:rPr>
              <w:t>.综合性应急避难场所建设项目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建设内容：建在</w:t>
            </w:r>
            <w:r>
              <w:rPr>
                <w:rFonts w:hint="eastAsia" w:ascii="仿宋_GB2312" w:hAnsi="仿宋_GB2312" w:eastAsia="仿宋_GB2312" w:cs="仿宋_GB2312"/>
                <w:b w:val="0"/>
                <w:bCs w:val="0"/>
                <w:color w:val="auto"/>
                <w:sz w:val="32"/>
                <w:szCs w:val="32"/>
                <w:vertAlign w:val="baseline"/>
                <w:lang w:eastAsia="zh-CN"/>
              </w:rPr>
              <w:t>永和镇</w:t>
            </w:r>
            <w:r>
              <w:rPr>
                <w:rFonts w:hint="eastAsia" w:ascii="仿宋_GB2312" w:hAnsi="仿宋_GB2312" w:eastAsia="仿宋_GB2312" w:cs="仿宋_GB2312"/>
                <w:b w:val="0"/>
                <w:bCs w:val="0"/>
                <w:color w:val="auto"/>
                <w:sz w:val="32"/>
                <w:szCs w:val="32"/>
                <w:vertAlign w:val="baseline"/>
              </w:rPr>
              <w:t>，建成可供3000人紧急避险10天的综合性应急避难场所。配套建设水电气网络设施，卫生排污处理系统，配置救援救灾设施，配套建智能停车场，以利于发生疫情时可改为医疗方舱医院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建设地点：永和镇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：区应急管理局、区住建局、区人民医院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经费估算：800万元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5</w:t>
            </w:r>
            <w:r>
              <w:rPr>
                <w:rFonts w:hint="eastAsia" w:ascii="仿宋_GB2312" w:hAnsi="仿宋_GB2312" w:eastAsia="仿宋_GB2312" w:cs="仿宋_GB2312"/>
                <w:b w:val="0"/>
                <w:bCs w:val="0"/>
                <w:color w:val="auto"/>
                <w:sz w:val="32"/>
                <w:szCs w:val="32"/>
                <w:vertAlign w:val="baseline"/>
              </w:rPr>
              <w:t>.应急避难场所规范化建设项目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建设内容：对现有14个村级临时应急避难场所进行标准化升级建设。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建设地点：永和镇、和平彝族乡、共安彝族乡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用地范围：利旧与新建结合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vertAlign w:val="baseline"/>
                <w:lang w:val="en-US" w:eastAsia="zh-CN"/>
              </w:rPr>
              <w:t>140</w:t>
            </w:r>
            <w:r>
              <w:rPr>
                <w:rFonts w:hint="eastAsia" w:ascii="仿宋_GB2312" w:hAnsi="仿宋_GB2312" w:eastAsia="仿宋_GB2312" w:cs="仿宋_GB2312"/>
                <w:b w:val="0"/>
                <w:bCs w:val="0"/>
                <w:color w:val="auto"/>
                <w:sz w:val="32"/>
                <w:szCs w:val="32"/>
                <w:vertAlign w:val="baseline"/>
              </w:rPr>
              <w:t>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6</w:t>
            </w:r>
            <w:r>
              <w:rPr>
                <w:rFonts w:hint="eastAsia" w:ascii="仿宋_GB2312" w:hAnsi="仿宋_GB2312" w:eastAsia="仿宋_GB2312" w:cs="仿宋_GB2312"/>
                <w:b w:val="0"/>
                <w:bCs w:val="0"/>
                <w:color w:val="auto"/>
                <w:sz w:val="32"/>
                <w:szCs w:val="32"/>
                <w:vertAlign w:val="baseline"/>
              </w:rPr>
              <w:t>.金口河区</w:t>
            </w:r>
            <w:r>
              <w:rPr>
                <w:rFonts w:hint="eastAsia" w:ascii="仿宋_GB2312" w:hAnsi="仿宋_GB2312" w:eastAsia="仿宋_GB2312" w:cs="仿宋_GB2312"/>
                <w:b w:val="0"/>
                <w:bCs w:val="0"/>
                <w:color w:val="auto"/>
                <w:sz w:val="32"/>
                <w:szCs w:val="32"/>
                <w:vertAlign w:val="baseline"/>
                <w:lang w:eastAsia="zh-CN"/>
              </w:rPr>
              <w:t>“</w:t>
            </w:r>
            <w:r>
              <w:rPr>
                <w:rFonts w:hint="eastAsia" w:ascii="仿宋_GB2312" w:hAnsi="仿宋_GB2312" w:eastAsia="仿宋_GB2312" w:cs="仿宋_GB2312"/>
                <w:b w:val="0"/>
                <w:bCs w:val="0"/>
                <w:color w:val="auto"/>
                <w:sz w:val="32"/>
                <w:szCs w:val="32"/>
                <w:vertAlign w:val="baseline"/>
              </w:rPr>
              <w:t>一主两辅”救援队伍培训基地建设项目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建设内容：依托消防救援大队现有设施条件，增设训练场所、消防演练设施，配齐救援设施设备。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建设地点：区消防救援大队驻地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用地范围：利旧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：区消防救援大队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vertAlign w:val="baseline"/>
                <w:lang w:val="en-US" w:eastAsia="zh-CN"/>
              </w:rPr>
              <w:t>200</w:t>
            </w:r>
            <w:r>
              <w:rPr>
                <w:rFonts w:hint="eastAsia" w:ascii="仿宋_GB2312" w:hAnsi="仿宋_GB2312" w:eastAsia="仿宋_GB2312" w:cs="仿宋_GB2312"/>
                <w:b w:val="0"/>
                <w:bCs w:val="0"/>
                <w:color w:val="auto"/>
                <w:sz w:val="32"/>
                <w:szCs w:val="32"/>
                <w:vertAlign w:val="baseline"/>
              </w:rPr>
              <w:t>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7</w:t>
            </w:r>
            <w:r>
              <w:rPr>
                <w:rFonts w:hint="eastAsia" w:ascii="仿宋_GB2312" w:hAnsi="仿宋_GB2312" w:eastAsia="仿宋_GB2312" w:cs="仿宋_GB2312"/>
                <w:b w:val="0"/>
                <w:bCs w:val="0"/>
                <w:color w:val="auto"/>
                <w:sz w:val="32"/>
                <w:szCs w:val="32"/>
                <w:vertAlign w:val="baseline"/>
              </w:rPr>
              <w:t>.金口河区消防站升级改造建设项目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建设内容：城区一级消防站按正规化建设、更新车辆器材装备、配齐特勤器材等。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建设地点：区消防救援大队驻地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用地范围：利旧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：区消防救援大队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2025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vertAlign w:val="baseline"/>
                <w:lang w:val="en-US" w:eastAsia="zh-CN"/>
              </w:rPr>
              <w:t>100</w:t>
            </w:r>
            <w:r>
              <w:rPr>
                <w:rFonts w:hint="eastAsia" w:ascii="仿宋_GB2312" w:hAnsi="仿宋_GB2312" w:eastAsia="仿宋_GB2312" w:cs="仿宋_GB2312"/>
                <w:b w:val="0"/>
                <w:bCs w:val="0"/>
                <w:color w:val="auto"/>
                <w:sz w:val="32"/>
                <w:szCs w:val="32"/>
                <w:vertAlign w:val="baseline"/>
              </w:rPr>
              <w:t>万元</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63" w:name="_Toc25554"/>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r>
        <w:rPr>
          <w:rFonts w:hint="eastAsia" w:ascii="Times New Roman" w:hAnsi="Times New Roman" w:eastAsia="楷体" w:cs="楷体"/>
          <w:b w:val="0"/>
          <w:bCs w:val="0"/>
          <w:color w:val="auto"/>
          <w:sz w:val="32"/>
          <w:szCs w:val="32"/>
        </w:rPr>
        <w:t>（五）</w:t>
      </w:r>
      <w:r>
        <w:rPr>
          <w:rFonts w:hint="eastAsia" w:ascii="Times New Roman" w:hAnsi="Times New Roman" w:eastAsia="楷体" w:cs="楷体"/>
          <w:color w:val="auto"/>
          <w:sz w:val="32"/>
          <w:szCs w:val="48"/>
          <w:lang w:val="en-US" w:eastAsia="zh-CN"/>
        </w:rPr>
        <w:t>先进技术应用方面</w:t>
      </w:r>
      <w:bookmarkEnd w:id="63"/>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应急指挥中心建设。</w:t>
      </w:r>
      <w:r>
        <w:rPr>
          <w:rFonts w:hint="eastAsia" w:ascii="仿宋_GB2312" w:hAnsi="仿宋_GB2312" w:eastAsia="仿宋_GB2312" w:cs="仿宋_GB2312"/>
          <w:b w:val="0"/>
          <w:bCs w:val="0"/>
          <w:color w:val="auto"/>
          <w:sz w:val="32"/>
          <w:szCs w:val="32"/>
        </w:rPr>
        <w:t>建设镇级应急指挥中心及配套设施，实现指挥救援、监测预警、监督管理、决策支持和社会动员等功能，推动片区应急管理信息化工作向“智慧应急”迈进。</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应急指挥网络建设。</w:t>
      </w:r>
      <w:r>
        <w:rPr>
          <w:rFonts w:hint="eastAsia" w:ascii="仿宋_GB2312" w:hAnsi="仿宋_GB2312" w:eastAsia="仿宋_GB2312" w:cs="仿宋_GB2312"/>
          <w:b w:val="0"/>
          <w:bCs w:val="0"/>
          <w:color w:val="auto"/>
          <w:sz w:val="32"/>
          <w:szCs w:val="32"/>
        </w:rPr>
        <w:t>结合社会治理智能化建设，各镇、村（社区）运用手机、微信群、网络视频会议、卫星电话、广播村村响系统、手持对讲机等信息化手段，搭建指挥网络，实现灾情反馈、指令下达、信息传递顺畅高效、务实管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专栏5 先进技术应用重点工程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1.应急通讯补短板工程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建设内容：建设通讯基站1个，实现区域通讯网络全覆盖、无死角。</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eastAsia="zh-CN"/>
              </w:rPr>
            </w:pPr>
            <w:r>
              <w:rPr>
                <w:rFonts w:hint="eastAsia" w:ascii="仿宋_GB2312" w:hAnsi="仿宋_GB2312" w:eastAsia="仿宋_GB2312" w:cs="仿宋_GB2312"/>
                <w:color w:val="auto"/>
                <w:sz w:val="32"/>
                <w:szCs w:val="40"/>
              </w:rPr>
              <w:t>建设地点：</w:t>
            </w:r>
            <w:r>
              <w:rPr>
                <w:rFonts w:hint="eastAsia" w:ascii="仿宋_GB2312" w:hAnsi="仿宋_GB2312" w:eastAsia="仿宋_GB2312" w:cs="仿宋_GB2312"/>
                <w:color w:val="auto"/>
                <w:sz w:val="32"/>
                <w:szCs w:val="40"/>
                <w:lang w:eastAsia="zh-CN"/>
              </w:rPr>
              <w:t>八月林自然保护区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用地范围：利旧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eastAsia="zh-CN"/>
              </w:rPr>
            </w:pPr>
            <w:r>
              <w:rPr>
                <w:rFonts w:hint="eastAsia" w:ascii="仿宋_GB2312" w:hAnsi="仿宋_GB2312" w:eastAsia="仿宋_GB2312" w:cs="仿宋_GB2312"/>
                <w:color w:val="auto"/>
                <w:sz w:val="32"/>
                <w:szCs w:val="40"/>
                <w:lang w:eastAsia="zh-CN"/>
              </w:rPr>
              <w:t>牵头部门</w:t>
            </w:r>
            <w:r>
              <w:rPr>
                <w:rFonts w:hint="eastAsia" w:ascii="仿宋_GB2312" w:hAnsi="仿宋_GB2312" w:eastAsia="仿宋_GB2312" w:cs="仿宋_GB2312"/>
                <w:color w:val="auto"/>
                <w:sz w:val="32"/>
                <w:szCs w:val="40"/>
              </w:rPr>
              <w:t>：</w:t>
            </w:r>
            <w:r>
              <w:rPr>
                <w:rFonts w:hint="eastAsia" w:ascii="仿宋_GB2312" w:hAnsi="仿宋_GB2312" w:eastAsia="仿宋_GB2312" w:cs="仿宋_GB2312"/>
                <w:color w:val="auto"/>
                <w:sz w:val="32"/>
                <w:szCs w:val="40"/>
                <w:lang w:eastAsia="zh-CN"/>
              </w:rPr>
              <w:t>区自然资源局</w:t>
            </w:r>
            <w:r>
              <w:rPr>
                <w:rFonts w:hint="eastAsia" w:ascii="仿宋_GB2312" w:hAnsi="仿宋_GB2312" w:eastAsia="仿宋_GB2312" w:cs="仿宋_GB2312"/>
                <w:color w:val="auto"/>
                <w:sz w:val="32"/>
                <w:szCs w:val="40"/>
              </w:rPr>
              <w:t>、</w:t>
            </w:r>
            <w:r>
              <w:rPr>
                <w:rFonts w:hint="eastAsia" w:ascii="仿宋_GB2312" w:hAnsi="仿宋_GB2312" w:eastAsia="仿宋_GB2312" w:cs="仿宋_GB2312"/>
                <w:color w:val="auto"/>
                <w:sz w:val="32"/>
                <w:szCs w:val="40"/>
                <w:lang w:eastAsia="zh-CN"/>
              </w:rPr>
              <w:t>八月林自然保护区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eastAsia="zh-CN"/>
              </w:rPr>
            </w:pPr>
            <w:r>
              <w:rPr>
                <w:rFonts w:hint="eastAsia" w:ascii="仿宋_GB2312" w:hAnsi="仿宋_GB2312" w:eastAsia="仿宋_GB2312" w:cs="仿宋_GB2312"/>
                <w:color w:val="auto"/>
                <w:sz w:val="32"/>
                <w:szCs w:val="40"/>
              </w:rPr>
              <w:t>完成时限：</w:t>
            </w:r>
            <w:r>
              <w:rPr>
                <w:rFonts w:hint="eastAsia" w:ascii="仿宋_GB2312" w:hAnsi="仿宋_GB2312" w:eastAsia="仿宋_GB2312" w:cs="仿宋_GB2312"/>
                <w:color w:val="auto"/>
                <w:sz w:val="32"/>
                <w:szCs w:val="40"/>
                <w:lang w:val="en-US" w:eastAsia="zh-CN"/>
              </w:rPr>
              <w:t>2023年-</w:t>
            </w:r>
            <w:r>
              <w:rPr>
                <w:rFonts w:hint="eastAsia" w:ascii="仿宋_GB2312" w:hAnsi="仿宋_GB2312" w:eastAsia="仿宋_GB2312" w:cs="仿宋_GB2312"/>
                <w:color w:val="auto"/>
                <w:sz w:val="32"/>
                <w:szCs w:val="40"/>
              </w:rPr>
              <w:t>2025</w:t>
            </w:r>
            <w:r>
              <w:rPr>
                <w:rFonts w:hint="eastAsia" w:ascii="仿宋_GB2312" w:hAnsi="仿宋_GB2312" w:eastAsia="仿宋_GB2312" w:cs="仿宋_GB2312"/>
                <w:color w:val="auto"/>
                <w:sz w:val="32"/>
                <w:szCs w:val="40"/>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经费估算：150万元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2.</w:t>
            </w:r>
            <w:r>
              <w:rPr>
                <w:rFonts w:hint="eastAsia" w:ascii="仿宋_GB2312" w:hAnsi="仿宋_GB2312" w:eastAsia="仿宋_GB2312" w:cs="仿宋_GB2312"/>
                <w:color w:val="auto"/>
                <w:sz w:val="32"/>
                <w:szCs w:val="32"/>
                <w:vertAlign w:val="baseline"/>
                <w:lang w:val="en-US" w:eastAsia="zh-CN"/>
              </w:rPr>
              <w:t>应急预案数字化平台建设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建设内容：将应急预案进行结构化、流程化分解，实现各种信息和资源与应急预案流程关联，为应急处置人员提供智能化、精准化的辅助决策。</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eastAsia="zh-CN"/>
              </w:rPr>
            </w:pPr>
            <w:r>
              <w:rPr>
                <w:rFonts w:hint="eastAsia" w:ascii="仿宋_GB2312" w:hAnsi="仿宋_GB2312" w:eastAsia="仿宋_GB2312" w:cs="仿宋_GB2312"/>
                <w:color w:val="auto"/>
                <w:sz w:val="32"/>
                <w:szCs w:val="40"/>
                <w:lang w:eastAsia="zh-CN"/>
              </w:rPr>
              <w:t>牵头部门</w:t>
            </w:r>
            <w:r>
              <w:rPr>
                <w:rFonts w:hint="eastAsia" w:ascii="仿宋_GB2312" w:hAnsi="仿宋_GB2312" w:eastAsia="仿宋_GB2312" w:cs="仿宋_GB2312"/>
                <w:color w:val="auto"/>
                <w:sz w:val="32"/>
                <w:szCs w:val="40"/>
              </w:rPr>
              <w:t>：区应急管理局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eastAsia="zh-CN"/>
              </w:rPr>
            </w:pPr>
            <w:r>
              <w:rPr>
                <w:rFonts w:hint="eastAsia" w:ascii="仿宋_GB2312" w:hAnsi="仿宋_GB2312" w:eastAsia="仿宋_GB2312" w:cs="仿宋_GB2312"/>
                <w:color w:val="auto"/>
                <w:sz w:val="32"/>
                <w:szCs w:val="40"/>
              </w:rPr>
              <w:t>完成时限：</w:t>
            </w:r>
            <w:r>
              <w:rPr>
                <w:rFonts w:hint="eastAsia" w:ascii="仿宋_GB2312" w:hAnsi="仿宋_GB2312" w:eastAsia="仿宋_GB2312" w:cs="仿宋_GB2312"/>
                <w:color w:val="auto"/>
                <w:sz w:val="32"/>
                <w:szCs w:val="40"/>
                <w:lang w:val="en-US" w:eastAsia="zh-CN"/>
              </w:rPr>
              <w:t>2023年-</w:t>
            </w:r>
            <w:r>
              <w:rPr>
                <w:rFonts w:hint="eastAsia" w:ascii="仿宋_GB2312" w:hAnsi="仿宋_GB2312" w:eastAsia="仿宋_GB2312" w:cs="仿宋_GB2312"/>
                <w:color w:val="auto"/>
                <w:sz w:val="32"/>
                <w:szCs w:val="40"/>
              </w:rPr>
              <w:t>2025</w:t>
            </w:r>
            <w:r>
              <w:rPr>
                <w:rFonts w:hint="eastAsia" w:ascii="仿宋_GB2312" w:hAnsi="仿宋_GB2312" w:eastAsia="仿宋_GB2312" w:cs="仿宋_GB2312"/>
                <w:color w:val="auto"/>
                <w:sz w:val="32"/>
                <w:szCs w:val="40"/>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经费估算：20万元</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40"/>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val="en-US" w:eastAsia="zh-CN"/>
              </w:rPr>
            </w:pPr>
            <w:r>
              <w:rPr>
                <w:rFonts w:hint="eastAsia" w:ascii="仿宋_GB2312" w:hAnsi="仿宋_GB2312" w:eastAsia="仿宋_GB2312" w:cs="仿宋_GB2312"/>
                <w:color w:val="auto"/>
                <w:sz w:val="32"/>
                <w:szCs w:val="40"/>
                <w:lang w:val="en-US" w:eastAsia="zh-CN"/>
              </w:rPr>
              <w:t>3.地震监测系统升级工程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rPr>
            </w:pPr>
            <w:r>
              <w:rPr>
                <w:rFonts w:hint="eastAsia" w:ascii="仿宋_GB2312" w:hAnsi="仿宋_GB2312" w:eastAsia="仿宋_GB2312" w:cs="仿宋_GB2312"/>
                <w:color w:val="auto"/>
                <w:sz w:val="32"/>
                <w:szCs w:val="40"/>
              </w:rPr>
              <w:t>建设内容：购置新水氡监测设备1台</w:t>
            </w:r>
            <w:r>
              <w:rPr>
                <w:rFonts w:hint="eastAsia" w:ascii="仿宋_GB2312" w:hAnsi="仿宋_GB2312" w:eastAsia="仿宋_GB2312" w:cs="仿宋_GB2312"/>
                <w:color w:val="auto"/>
                <w:sz w:val="32"/>
                <w:szCs w:val="40"/>
                <w:lang w:eastAsia="zh-CN"/>
              </w:rPr>
              <w:t>，</w:t>
            </w:r>
            <w:r>
              <w:rPr>
                <w:rFonts w:hint="eastAsia" w:ascii="仿宋_GB2312" w:hAnsi="仿宋_GB2312" w:eastAsia="仿宋_GB2312" w:cs="仿宋_GB2312"/>
                <w:color w:val="auto"/>
                <w:sz w:val="32"/>
                <w:szCs w:val="40"/>
              </w:rPr>
              <w:t>购置地震预警终端台42台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eastAsia="zh-CN"/>
              </w:rPr>
            </w:pPr>
            <w:r>
              <w:rPr>
                <w:rFonts w:hint="eastAsia" w:ascii="仿宋_GB2312" w:hAnsi="仿宋_GB2312" w:eastAsia="仿宋_GB2312" w:cs="仿宋_GB2312"/>
                <w:color w:val="auto"/>
                <w:sz w:val="32"/>
                <w:szCs w:val="40"/>
                <w:lang w:eastAsia="zh-CN"/>
              </w:rPr>
              <w:t>牵头部门</w:t>
            </w:r>
            <w:r>
              <w:rPr>
                <w:rFonts w:hint="eastAsia" w:ascii="仿宋_GB2312" w:hAnsi="仿宋_GB2312" w:eastAsia="仿宋_GB2312" w:cs="仿宋_GB2312"/>
                <w:color w:val="auto"/>
                <w:sz w:val="32"/>
                <w:szCs w:val="40"/>
              </w:rPr>
              <w:t>：</w:t>
            </w:r>
            <w:r>
              <w:rPr>
                <w:rFonts w:hint="eastAsia" w:ascii="仿宋_GB2312" w:hAnsi="仿宋_GB2312" w:eastAsia="仿宋_GB2312" w:cs="仿宋_GB2312"/>
                <w:color w:val="auto"/>
                <w:sz w:val="32"/>
                <w:szCs w:val="40"/>
                <w:lang w:val="en-US" w:eastAsia="zh-CN"/>
              </w:rPr>
              <w:t>区防震减灾服务中心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40"/>
                <w:lang w:eastAsia="zh-CN"/>
              </w:rPr>
            </w:pPr>
            <w:r>
              <w:rPr>
                <w:rFonts w:hint="eastAsia" w:ascii="仿宋_GB2312" w:hAnsi="仿宋_GB2312" w:eastAsia="仿宋_GB2312" w:cs="仿宋_GB2312"/>
                <w:color w:val="auto"/>
                <w:sz w:val="32"/>
                <w:szCs w:val="40"/>
              </w:rPr>
              <w:t>完成时限：</w:t>
            </w:r>
            <w:r>
              <w:rPr>
                <w:rFonts w:hint="eastAsia" w:ascii="仿宋_GB2312" w:hAnsi="仿宋_GB2312" w:eastAsia="仿宋_GB2312" w:cs="仿宋_GB2312"/>
                <w:color w:val="auto"/>
                <w:sz w:val="32"/>
                <w:szCs w:val="40"/>
                <w:lang w:val="en-US" w:eastAsia="zh-CN"/>
              </w:rPr>
              <w:t>2023年-</w:t>
            </w:r>
            <w:r>
              <w:rPr>
                <w:rFonts w:hint="eastAsia" w:ascii="仿宋_GB2312" w:hAnsi="仿宋_GB2312" w:eastAsia="仿宋_GB2312" w:cs="仿宋_GB2312"/>
                <w:color w:val="auto"/>
                <w:sz w:val="32"/>
                <w:szCs w:val="40"/>
              </w:rPr>
              <w:t>2025</w:t>
            </w:r>
            <w:r>
              <w:rPr>
                <w:rFonts w:hint="eastAsia" w:ascii="仿宋_GB2312" w:hAnsi="仿宋_GB2312" w:eastAsia="仿宋_GB2312" w:cs="仿宋_GB2312"/>
                <w:color w:val="auto"/>
                <w:sz w:val="32"/>
                <w:szCs w:val="40"/>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32"/>
                <w:szCs w:val="40"/>
              </w:rPr>
              <w:t>经费估算：</w:t>
            </w:r>
            <w:r>
              <w:rPr>
                <w:rFonts w:hint="eastAsia" w:ascii="仿宋_GB2312" w:hAnsi="仿宋_GB2312" w:eastAsia="仿宋_GB2312" w:cs="仿宋_GB2312"/>
                <w:color w:val="auto"/>
                <w:sz w:val="32"/>
                <w:szCs w:val="40"/>
                <w:lang w:val="en-US" w:eastAsia="zh-CN"/>
              </w:rPr>
              <w:t>157</w:t>
            </w:r>
            <w:r>
              <w:rPr>
                <w:rFonts w:hint="eastAsia" w:ascii="仿宋_GB2312" w:hAnsi="仿宋_GB2312" w:eastAsia="仿宋_GB2312" w:cs="仿宋_GB2312"/>
                <w:color w:val="auto"/>
                <w:sz w:val="32"/>
                <w:szCs w:val="40"/>
              </w:rPr>
              <w:t>万元</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楷体" w:cs="楷体"/>
          <w:b w:val="0"/>
          <w:bCs w:val="0"/>
          <w:color w:val="auto"/>
          <w:sz w:val="32"/>
          <w:szCs w:val="32"/>
        </w:rPr>
      </w:pPr>
      <w:bookmarkStart w:id="64" w:name="_Toc24330"/>
      <w:r>
        <w:rPr>
          <w:rFonts w:hint="eastAsia" w:ascii="Times New Roman" w:hAnsi="Times New Roman" w:eastAsia="楷体" w:cs="楷体"/>
          <w:b w:val="0"/>
          <w:bCs w:val="0"/>
          <w:color w:val="auto"/>
          <w:sz w:val="32"/>
          <w:szCs w:val="32"/>
        </w:rPr>
        <w:t>（六）</w:t>
      </w:r>
      <w:r>
        <w:rPr>
          <w:rFonts w:hint="eastAsia" w:ascii="Times New Roman" w:hAnsi="Times New Roman" w:eastAsia="楷体" w:cs="楷体"/>
          <w:bCs w:val="0"/>
          <w:color w:val="auto"/>
          <w:sz w:val="32"/>
          <w:szCs w:val="32"/>
        </w:rPr>
        <w:t>应急管理共建共治共享方面</w:t>
      </w:r>
      <w:bookmarkEnd w:id="64"/>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bCs/>
          <w:color w:val="auto"/>
          <w:sz w:val="32"/>
          <w:szCs w:val="32"/>
        </w:rPr>
        <w:t>加强文化宣传教育。</w:t>
      </w:r>
      <w:r>
        <w:rPr>
          <w:rFonts w:hint="eastAsia" w:ascii="仿宋_GB2312" w:hAnsi="仿宋_GB2312" w:eastAsia="仿宋_GB2312" w:cs="仿宋_GB2312"/>
          <w:b w:val="0"/>
          <w:bCs w:val="0"/>
          <w:color w:val="auto"/>
          <w:sz w:val="32"/>
          <w:szCs w:val="32"/>
        </w:rPr>
        <w:t>深入</w:t>
      </w:r>
      <w:r>
        <w:rPr>
          <w:rFonts w:hint="eastAsia" w:ascii="仿宋_GB2312" w:hAnsi="仿宋_GB2312" w:eastAsia="仿宋_GB2312" w:cs="仿宋_GB2312"/>
          <w:b w:val="0"/>
          <w:bCs w:val="0"/>
          <w:color w:val="auto"/>
          <w:sz w:val="32"/>
          <w:szCs w:val="32"/>
          <w:lang w:val="en-US" w:eastAsia="zh-CN"/>
        </w:rPr>
        <w:t>推动</w:t>
      </w:r>
      <w:r>
        <w:rPr>
          <w:rFonts w:hint="eastAsia" w:ascii="仿宋_GB2312" w:hAnsi="仿宋_GB2312" w:eastAsia="仿宋_GB2312" w:cs="仿宋_GB2312"/>
          <w:b w:val="0"/>
          <w:bCs w:val="0"/>
          <w:color w:val="auto"/>
          <w:sz w:val="32"/>
          <w:szCs w:val="32"/>
        </w:rPr>
        <w:t>安全宣传进企业、进</w:t>
      </w:r>
      <w:r>
        <w:rPr>
          <w:rFonts w:hint="eastAsia" w:ascii="仿宋_GB2312" w:hAnsi="仿宋_GB2312" w:eastAsia="仿宋_GB2312" w:cs="仿宋_GB2312"/>
          <w:b w:val="0"/>
          <w:bCs w:val="0"/>
          <w:color w:val="auto"/>
          <w:sz w:val="32"/>
          <w:szCs w:val="32"/>
          <w:lang w:val="en-US" w:eastAsia="zh-CN"/>
        </w:rPr>
        <w:t>校园</w:t>
      </w:r>
      <w:r>
        <w:rPr>
          <w:rFonts w:hint="eastAsia" w:ascii="仿宋_GB2312" w:hAnsi="仿宋_GB2312" w:eastAsia="仿宋_GB2312" w:cs="仿宋_GB2312"/>
          <w:b w:val="0"/>
          <w:bCs w:val="0"/>
          <w:color w:val="auto"/>
          <w:sz w:val="32"/>
          <w:szCs w:val="32"/>
        </w:rPr>
        <w:t>、进</w:t>
      </w:r>
      <w:r>
        <w:rPr>
          <w:rFonts w:hint="eastAsia" w:ascii="仿宋_GB2312" w:hAnsi="仿宋_GB2312" w:eastAsia="仿宋_GB2312" w:cs="仿宋_GB2312"/>
          <w:b w:val="0"/>
          <w:bCs w:val="0"/>
          <w:color w:val="auto"/>
          <w:sz w:val="32"/>
          <w:szCs w:val="32"/>
          <w:lang w:val="en-US" w:eastAsia="zh-CN"/>
        </w:rPr>
        <w:t>机关</w:t>
      </w:r>
      <w:r>
        <w:rPr>
          <w:rFonts w:hint="eastAsia" w:ascii="仿宋_GB2312" w:hAnsi="仿宋_GB2312" w:eastAsia="仿宋_GB2312" w:cs="仿宋_GB2312"/>
          <w:b w:val="0"/>
          <w:bCs w:val="0"/>
          <w:color w:val="auto"/>
          <w:sz w:val="32"/>
          <w:szCs w:val="32"/>
        </w:rPr>
        <w:t>、进</w:t>
      </w:r>
      <w:r>
        <w:rPr>
          <w:rFonts w:hint="eastAsia" w:ascii="仿宋_GB2312" w:hAnsi="仿宋_GB2312" w:eastAsia="仿宋_GB2312" w:cs="仿宋_GB2312"/>
          <w:b w:val="0"/>
          <w:bCs w:val="0"/>
          <w:color w:val="auto"/>
          <w:sz w:val="32"/>
          <w:szCs w:val="32"/>
          <w:lang w:val="en-US" w:eastAsia="zh-CN"/>
        </w:rPr>
        <w:t>社区</w:t>
      </w:r>
      <w:r>
        <w:rPr>
          <w:rFonts w:hint="eastAsia" w:ascii="仿宋_GB2312" w:hAnsi="仿宋_GB2312" w:eastAsia="仿宋_GB2312" w:cs="仿宋_GB2312"/>
          <w:b w:val="0"/>
          <w:bCs w:val="0"/>
          <w:color w:val="auto"/>
          <w:sz w:val="32"/>
          <w:szCs w:val="32"/>
        </w:rPr>
        <w:t>、进</w:t>
      </w:r>
      <w:r>
        <w:rPr>
          <w:rFonts w:hint="eastAsia" w:ascii="仿宋_GB2312" w:hAnsi="仿宋_GB2312" w:eastAsia="仿宋_GB2312" w:cs="仿宋_GB2312"/>
          <w:b w:val="0"/>
          <w:bCs w:val="0"/>
          <w:color w:val="auto"/>
          <w:sz w:val="32"/>
          <w:szCs w:val="32"/>
          <w:lang w:val="en-US" w:eastAsia="zh-CN"/>
        </w:rPr>
        <w:t>农村、进家庭、进公共场所</w:t>
      </w:r>
      <w:r>
        <w:rPr>
          <w:rFonts w:hint="eastAsia" w:ascii="仿宋_GB2312" w:hAnsi="仿宋_GB2312" w:eastAsia="仿宋_GB2312" w:cs="仿宋_GB2312"/>
          <w:b w:val="0"/>
          <w:bCs w:val="0"/>
          <w:color w:val="auto"/>
          <w:sz w:val="32"/>
          <w:szCs w:val="32"/>
        </w:rPr>
        <w:t>，提高公众防灾避险意识和自救互救能力。结合防灾减灾日、安全生产月、消防宣传月等重要节点，开展形式多样的宣传教育活动。深入开展“新安法”普法宣传、应急管理“八五”普法工作，加强生产安全事故典型案例、森林防灭火典型违法案件警示教育。充分利用微博、微信、短视频、VR 等新手段加强公益宣传，普及安全知识，强化应急意识。</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bCs/>
          <w:color w:val="auto"/>
          <w:sz w:val="32"/>
          <w:szCs w:val="32"/>
        </w:rPr>
        <w:t>强化社会协同防范。</w:t>
      </w:r>
      <w:r>
        <w:rPr>
          <w:rFonts w:hint="eastAsia" w:ascii="仿宋_GB2312" w:hAnsi="仿宋_GB2312" w:eastAsia="仿宋_GB2312" w:cs="仿宋_GB2312"/>
          <w:b w:val="0"/>
          <w:bCs w:val="0"/>
          <w:color w:val="auto"/>
          <w:sz w:val="32"/>
          <w:szCs w:val="32"/>
        </w:rPr>
        <w:t>健全防治结合、联防联控、群防群控的工作机制，完善社区动员、社会救助、社会福利、社会事务、社会力量的</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五社”联动机制，引导社会公众积极参与突发事件应对工作，开展常态化应急疏散演练。</w:t>
      </w:r>
      <w:r>
        <w:rPr>
          <w:rFonts w:hint="eastAsia" w:ascii="仿宋_GB2312" w:hAnsi="仿宋_GB2312" w:eastAsia="仿宋_GB2312" w:cs="仿宋_GB2312"/>
          <w:color w:val="auto"/>
          <w:sz w:val="32"/>
          <w:szCs w:val="32"/>
          <w:lang w:val="en-US" w:eastAsia="zh-CN"/>
        </w:rPr>
        <w:t>严格按照“一人受理，全员工作”的原则，认真调查处理上报事项，及时向报告人和社会反馈相应结果。</w:t>
      </w:r>
      <w:r>
        <w:rPr>
          <w:rFonts w:hint="eastAsia" w:ascii="仿宋_GB2312" w:hAnsi="仿宋_GB2312" w:eastAsia="仿宋_GB2312" w:cs="仿宋_GB2312"/>
          <w:b w:val="0"/>
          <w:bCs w:val="0"/>
          <w:color w:val="auto"/>
          <w:sz w:val="32"/>
          <w:szCs w:val="32"/>
        </w:rPr>
        <w:t>探索保险机构灾害事故预防和灾后补偿服务，推行安全生产责任保险</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lang w:val="en-US" w:eastAsia="zh-CN"/>
        </w:rPr>
        <w:t>探索建立隐患上报奖励制度，提高民众参与积极性。</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专栏 6 共建共治共享重点工程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1.县级防震减灾科普示范学校创建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建设内容：推进延风中学创建国家级防震减灾科普示范学校，配套建设相应设备设施场地。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建设地点：延风中学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用地范围：利旧</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：区应急管理局、区教育局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2025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经费估算：50万元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2.农村民居地震安全示范点建设项目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建设内容：在大峡谷生态文旅片区内选定1个行政村作为农村民居地震安全示范点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w:t>
            </w:r>
            <w:r>
              <w:rPr>
                <w:rFonts w:hint="eastAsia" w:ascii="仿宋_GB2312" w:hAnsi="仿宋_GB2312" w:eastAsia="仿宋_GB2312" w:cs="仿宋_GB2312"/>
                <w:b w:val="0"/>
                <w:bCs w:val="0"/>
                <w:color w:val="auto"/>
                <w:sz w:val="32"/>
                <w:szCs w:val="32"/>
                <w:vertAlign w:val="baseline"/>
                <w:lang w:val="en-US" w:eastAsia="zh-CN"/>
              </w:rPr>
              <w:t>50</w:t>
            </w:r>
            <w:r>
              <w:rPr>
                <w:rFonts w:hint="eastAsia" w:ascii="仿宋_GB2312" w:hAnsi="仿宋_GB2312" w:eastAsia="仿宋_GB2312" w:cs="仿宋_GB2312"/>
                <w:b w:val="0"/>
                <w:bCs w:val="0"/>
                <w:color w:val="auto"/>
                <w:sz w:val="32"/>
                <w:szCs w:val="32"/>
                <w:vertAlign w:val="baseline"/>
              </w:rPr>
              <w:t>万元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lang w:val="en-US" w:eastAsia="zh-CN"/>
              </w:rPr>
              <w:t>3</w:t>
            </w:r>
            <w:r>
              <w:rPr>
                <w:rFonts w:hint="eastAsia" w:ascii="仿宋_GB2312" w:hAnsi="仿宋_GB2312" w:eastAsia="仿宋_GB2312" w:cs="仿宋_GB2312"/>
                <w:b w:val="0"/>
                <w:bCs w:val="0"/>
                <w:color w:val="auto"/>
                <w:sz w:val="32"/>
                <w:szCs w:val="32"/>
                <w:vertAlign w:val="baseline"/>
              </w:rPr>
              <w:t>.宣教培训专栏建设项目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建设内容：在片区每个行政村设宣传专栏，每半年更新宣传内容，提高片区内群众的安全意识、应急意识、自救互救意识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建设地点：永和镇、和平彝族乡、共安彝族乡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lang w:eastAsia="zh-CN"/>
              </w:rPr>
              <w:t>牵头部门</w:t>
            </w:r>
            <w:r>
              <w:rPr>
                <w:rFonts w:hint="eastAsia" w:ascii="仿宋_GB2312" w:hAnsi="仿宋_GB2312" w:eastAsia="仿宋_GB2312" w:cs="仿宋_GB2312"/>
                <w:b w:val="0"/>
                <w:bCs w:val="0"/>
                <w:color w:val="auto"/>
                <w:sz w:val="32"/>
                <w:szCs w:val="32"/>
                <w:vertAlign w:val="baseline"/>
              </w:rPr>
              <w:t>：区应急管理局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lang w:eastAsia="zh-CN"/>
              </w:rPr>
            </w:pPr>
            <w:r>
              <w:rPr>
                <w:rFonts w:hint="eastAsia" w:ascii="仿宋_GB2312" w:hAnsi="仿宋_GB2312" w:eastAsia="仿宋_GB2312" w:cs="仿宋_GB2312"/>
                <w:b w:val="0"/>
                <w:bCs w:val="0"/>
                <w:color w:val="auto"/>
                <w:sz w:val="32"/>
                <w:szCs w:val="32"/>
                <w:vertAlign w:val="baseline"/>
              </w:rPr>
              <w:t>完成时限：</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b w:val="0"/>
                <w:bCs w:val="0"/>
                <w:color w:val="auto"/>
                <w:sz w:val="32"/>
                <w:szCs w:val="32"/>
                <w:vertAlign w:val="baseline"/>
              </w:rPr>
              <w:t>2035</w:t>
            </w:r>
            <w:r>
              <w:rPr>
                <w:rFonts w:hint="eastAsia" w:ascii="仿宋_GB2312" w:hAnsi="仿宋_GB2312" w:eastAsia="仿宋_GB2312" w:cs="仿宋_GB2312"/>
                <w:b w:val="0"/>
                <w:bCs w:val="0"/>
                <w:color w:val="auto"/>
                <w:sz w:val="32"/>
                <w:szCs w:val="32"/>
                <w:vertAlign w:val="baseline"/>
                <w:lang w:eastAsia="zh-CN"/>
              </w:rPr>
              <w:t>年</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vertAlign w:val="baseline"/>
              </w:rPr>
            </w:pPr>
            <w:r>
              <w:rPr>
                <w:rFonts w:hint="eastAsia" w:ascii="仿宋_GB2312" w:hAnsi="仿宋_GB2312" w:eastAsia="仿宋_GB2312" w:cs="仿宋_GB2312"/>
                <w:b w:val="0"/>
                <w:bCs w:val="0"/>
                <w:color w:val="auto"/>
                <w:sz w:val="32"/>
                <w:szCs w:val="32"/>
                <w:vertAlign w:val="baseline"/>
              </w:rPr>
              <w:t>经费估算：30万元</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仿宋"/>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Times New Roman" w:hAnsi="Times New Roman" w:eastAsia="仿宋" w:cs="仿宋"/>
          <w:b w:val="0"/>
          <w:bCs w:val="0"/>
          <w:color w:val="auto"/>
          <w:sz w:val="32"/>
          <w:szCs w:val="32"/>
        </w:rPr>
      </w:pPr>
      <w:bookmarkStart w:id="65" w:name="_Toc25110"/>
      <w:r>
        <w:rPr>
          <w:rFonts w:hint="eastAsia" w:ascii="Times New Roman" w:hAnsi="Times New Roman" w:eastAsia="黑体" w:cs="黑体"/>
          <w:b w:val="0"/>
          <w:bCs w:val="0"/>
          <w:color w:val="auto"/>
          <w:sz w:val="32"/>
          <w:szCs w:val="32"/>
        </w:rPr>
        <w:t>五、保障措施</w:t>
      </w:r>
      <w:bookmarkEnd w:id="6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66" w:name="_Toc9798"/>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lang w:val="en-US" w:eastAsia="zh-CN"/>
        </w:rPr>
        <w:t>一</w:t>
      </w:r>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rPr>
        <w:t xml:space="preserve"> 加强组织领导</w:t>
      </w:r>
      <w:bookmarkEnd w:id="6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坚持党委、政府在应急体系工作中的领导和主导地位，出台相关配套政策，加大规划实施力度，有力推动重点工程项目实施。成立规划实施的组织领导机构，建立分工协作机制，制定规划实施方案，分解落实规划的主要任务和重点工程项目，进一步明确分工体系，细化目标任务，落实各级责任。建立各项任务台账清单，明确</w:t>
      </w:r>
      <w:r>
        <w:rPr>
          <w:rFonts w:hint="eastAsia" w:ascii="仿宋_GB2312" w:hAnsi="仿宋_GB2312" w:eastAsia="仿宋_GB2312" w:cs="仿宋_GB2312"/>
          <w:b w:val="0"/>
          <w:bCs w:val="0"/>
          <w:color w:val="auto"/>
          <w:sz w:val="32"/>
          <w:szCs w:val="32"/>
          <w:lang w:eastAsia="zh-CN"/>
        </w:rPr>
        <w:t>牵头部门</w:t>
      </w:r>
      <w:r>
        <w:rPr>
          <w:rFonts w:hint="eastAsia" w:ascii="仿宋_GB2312" w:hAnsi="仿宋_GB2312" w:eastAsia="仿宋_GB2312" w:cs="仿宋_GB2312"/>
          <w:b w:val="0"/>
          <w:bCs w:val="0"/>
          <w:color w:val="auto"/>
          <w:sz w:val="32"/>
          <w:szCs w:val="32"/>
        </w:rPr>
        <w:t>和责任人，督促各责任主体保质保量按时完成目标任务。落实保障措施，强化保障力度，确保重点工程项目建设稳步推进。</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67" w:name="_Toc12140"/>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lang w:val="en-US" w:eastAsia="zh-CN"/>
        </w:rPr>
        <w:t>二</w:t>
      </w:r>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rPr>
        <w:t xml:space="preserve"> 加强资金保障</w:t>
      </w:r>
      <w:bookmarkEnd w:id="6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优化资金投入机制，健全资源统筹，拓宽资金渠道。通过积极争取上级资金、统筹整合专项资金、调整优化支出结构、清理盘活存量资金、鼓励企业、社会组织及个人投入或自主研发创新等方式，切实保障项目实施。加大应急体系基础设施建设、重大工程建设、巨灾保险、基层减灾能力建设、物资装备、人才培养、科普宣传等方面的经费投入。加强资金的使用管理，根据投资进度合理确定年度筹资方案，建立资金日常运行及维护机制，按需发放，全程监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68" w:name="_Toc6602"/>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lang w:val="en-US" w:eastAsia="zh-CN"/>
        </w:rPr>
        <w:t>三</w:t>
      </w:r>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rPr>
        <w:t xml:space="preserve"> 加强人才培养</w:t>
      </w:r>
      <w:bookmarkEnd w:id="6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立足应急管理实际工作需要，加强应急管理、安全生产和防灾减灾、安全监管、应急救援、技术保障等专业人才的培养和集聚，大力引进经验丰富的专家学者。激发队伍活力，扩充队伍数量，优化队伍结构，提高队伍素质，形成结构合理、专业过硬、素质优良的多梯次人才队伍，有效提升应对灾害事故的能力和水平。</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仿宋"/>
          <w:b w:val="0"/>
          <w:bCs w:val="0"/>
          <w:color w:val="auto"/>
          <w:sz w:val="32"/>
          <w:szCs w:val="32"/>
        </w:rPr>
      </w:pPr>
      <w:bookmarkStart w:id="69" w:name="_Toc29805"/>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lang w:val="en-US" w:eastAsia="zh-CN"/>
        </w:rPr>
        <w:t>四</w:t>
      </w:r>
      <w:r>
        <w:rPr>
          <w:rFonts w:hint="eastAsia" w:ascii="Times New Roman" w:hAnsi="Times New Roman" w:eastAsia="楷体" w:cs="楷体"/>
          <w:b w:val="0"/>
          <w:bCs w:val="0"/>
          <w:color w:val="auto"/>
          <w:sz w:val="32"/>
          <w:szCs w:val="32"/>
          <w:lang w:eastAsia="zh-CN"/>
        </w:rPr>
        <w:t>）</w:t>
      </w:r>
      <w:r>
        <w:rPr>
          <w:rFonts w:hint="eastAsia" w:ascii="Times New Roman" w:hAnsi="Times New Roman" w:eastAsia="楷体" w:cs="楷体"/>
          <w:b w:val="0"/>
          <w:bCs w:val="0"/>
          <w:color w:val="auto"/>
          <w:sz w:val="32"/>
          <w:szCs w:val="32"/>
        </w:rPr>
        <w:t xml:space="preserve"> 加强监督管理</w:t>
      </w:r>
      <w:bookmarkEnd w:id="6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建立健全规划实施的跟踪监管与考核评估制度，强化目标任务管理，将规划任务具体落实情况作为对部门工作督导检查及考核评价的重要内容，考评结果作为年度绩效考核的重要依据。区应急管理局对规划建设内容实行全过程动态监管，跟踪分析，适时组织开展规划执行情况中期评估，及时发现问题并作适当调整。加大社会监督力度，开展规划宣传，规划实施进展及考核结果及时公布。各相关单位要执行常态化检查，发挥规划的底线约束和战略引领作用，促进规划目标的顺利实现。</w:t>
      </w:r>
    </w:p>
    <w:p>
      <w:pPr>
        <w:pStyle w:val="9"/>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imes New Roman" w:hAnsi="Times New Roman" w:eastAsia="仿宋" w:cs="仿宋"/>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bCs/>
          <w:color w:val="auto"/>
          <w:sz w:val="32"/>
          <w:szCs w:val="32"/>
        </w:rPr>
        <w:t>规划附表</w:t>
      </w:r>
      <w:r>
        <w:rPr>
          <w:rFonts w:hint="eastAsia" w:ascii="仿宋_GB2312" w:hAnsi="仿宋_GB2312" w:eastAsia="仿宋_GB2312" w:cs="仿宋_GB2312"/>
          <w:b/>
          <w:bCs/>
          <w:color w:val="auto"/>
          <w:sz w:val="32"/>
          <w:szCs w:val="32"/>
          <w:lang w:eastAsia="zh-CN"/>
        </w:rPr>
        <w:t>：</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sz w:val="32"/>
          <w:szCs w:val="32"/>
          <w:lang w:val="en-US" w:eastAsia="zh-CN"/>
        </w:rPr>
        <w:t>片区企业风险等级及分布表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sz w:val="32"/>
          <w:szCs w:val="32"/>
          <w:lang w:val="en-US" w:eastAsia="zh-CN"/>
        </w:rPr>
        <w:t>片区应急管理用地现状和规划用地指标</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3.片区重点工程项目统计表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szCs w:val="32"/>
          <w:lang w:val="en-US" w:eastAsia="zh-CN"/>
        </w:rPr>
        <w:t>4.片区应急队伍统计及分布表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5.片区基层扑火装备统计表</w:t>
      </w: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6.片区应急救援装备、物资统计及分布表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规划附图</w:t>
      </w:r>
      <w:r>
        <w:rPr>
          <w:rFonts w:hint="eastAsia" w:ascii="仿宋_GB2312" w:hAnsi="仿宋_GB2312" w:eastAsia="仿宋_GB2312" w:cs="仿宋_GB2312"/>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金口河区地质灾害治理工程数量分布</w:t>
      </w:r>
      <w:r>
        <w:rPr>
          <w:rFonts w:hint="eastAsia" w:ascii="仿宋_GB2312" w:hAnsi="仿宋_GB2312" w:eastAsia="仿宋_GB2312" w:cs="仿宋_GB2312"/>
          <w:b w:val="0"/>
          <w:bCs w:val="0"/>
          <w:color w:val="auto"/>
          <w:sz w:val="32"/>
          <w:szCs w:val="32"/>
        </w:rPr>
        <w:t>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片区地质灾害自动化实时检测体系建设项目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金口河区现有应急避难场所分布图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4.片区应急救援队伍分布图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5.片区应急救援能力规划图</w:t>
      </w:r>
    </w:p>
    <w:p>
      <w:pPr>
        <w:pStyle w:val="9"/>
        <w:rPr>
          <w:rFonts w:hint="eastAsia" w:ascii="Times New Roman" w:hAnsi="Times New Roman"/>
          <w:color w:val="auto"/>
        </w:rPr>
      </w:pPr>
    </w:p>
    <w:p>
      <w:pPr>
        <w:rPr>
          <w:rFonts w:hint="eastAsia" w:ascii="Times New Roman" w:hAnsi="Times New Roman"/>
          <w:color w:val="auto"/>
        </w:rPr>
      </w:pPr>
    </w:p>
    <w:p>
      <w:pPr>
        <w:pStyle w:val="9"/>
        <w:rPr>
          <w:rFonts w:hint="eastAsia" w:ascii="Times New Roman" w:hAnsi="Times New Roman"/>
          <w:color w:val="auto"/>
        </w:rPr>
      </w:pPr>
    </w:p>
    <w:p>
      <w:pPr>
        <w:rPr>
          <w:rFonts w:hint="eastAsia" w:ascii="Times New Roman" w:hAnsi="Times New Roman"/>
          <w:color w:val="auto"/>
        </w:rPr>
      </w:pPr>
    </w:p>
    <w:p>
      <w:pPr>
        <w:pStyle w:val="9"/>
        <w:rPr>
          <w:rFonts w:hint="eastAsia" w:ascii="Times New Roman" w:hAnsi="Times New Roman"/>
          <w:color w:val="auto"/>
        </w:rPr>
      </w:pPr>
    </w:p>
    <w:p>
      <w:pPr>
        <w:rPr>
          <w:rFonts w:hint="eastAsia"/>
        </w:rPr>
        <w:sectPr>
          <w:footerReference r:id="rId5" w:type="default"/>
          <w:pgSz w:w="11906" w:h="16838"/>
          <w:pgMar w:top="2098" w:right="1474" w:bottom="1984" w:left="1587" w:header="850" w:footer="1134" w:gutter="0"/>
          <w:pgNumType w:fmt="decimal"/>
          <w:cols w:space="0" w:num="1"/>
          <w:rtlGutter w:val="0"/>
          <w:docGrid w:type="lines" w:linePitch="312" w:charSpace="0"/>
        </w:sectPr>
      </w:pPr>
    </w:p>
    <w:p>
      <w:pPr>
        <w:jc w:val="left"/>
        <w:rPr>
          <w:rFonts w:hint="eastAsia" w:ascii="仿宋" w:hAnsi="仿宋" w:eastAsia="仿宋" w:cs="仿宋"/>
          <w:sz w:val="24"/>
          <w:szCs w:val="24"/>
          <w:lang w:val="en-US" w:eastAsia="zh-CN"/>
        </w:rPr>
      </w:pP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.片区企业风险等级及分布表</w:t>
      </w:r>
    </w:p>
    <w:tbl>
      <w:tblPr>
        <w:tblStyle w:val="18"/>
        <w:tblW w:w="13780" w:type="dxa"/>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260"/>
        <w:gridCol w:w="3710"/>
        <w:gridCol w:w="1840"/>
        <w:gridCol w:w="1830"/>
        <w:gridCol w:w="1660"/>
        <w:gridCol w:w="1590"/>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26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371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企业名称</w:t>
            </w:r>
          </w:p>
        </w:tc>
        <w:tc>
          <w:tcPr>
            <w:tcW w:w="184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地址</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行业类型</w:t>
            </w:r>
          </w:p>
        </w:tc>
        <w:tc>
          <w:tcPr>
            <w:tcW w:w="166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风险等级</w:t>
            </w:r>
          </w:p>
        </w:tc>
        <w:tc>
          <w:tcPr>
            <w:tcW w:w="159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生产情况</w:t>
            </w:r>
          </w:p>
        </w:tc>
        <w:tc>
          <w:tcPr>
            <w:tcW w:w="11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w:t>
            </w:r>
          </w:p>
        </w:tc>
        <w:tc>
          <w:tcPr>
            <w:tcW w:w="1260" w:type="dxa"/>
            <w:vMerge w:val="restart"/>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危险化学品企业</w:t>
            </w:r>
          </w:p>
        </w:tc>
        <w:tc>
          <w:tcPr>
            <w:tcW w:w="371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中国石油天然气股份有限公司四川乐山销售分公司金口河加油站</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永和镇漫璇河</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加油站</w:t>
            </w:r>
          </w:p>
        </w:tc>
        <w:tc>
          <w:tcPr>
            <w:tcW w:w="166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59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13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w:t>
            </w:r>
          </w:p>
        </w:tc>
        <w:tc>
          <w:tcPr>
            <w:tcW w:w="1260" w:type="dxa"/>
            <w:vMerge w:val="continue"/>
            <w:vAlign w:val="center"/>
          </w:tcPr>
          <w:p>
            <w:pPr>
              <w:jc w:val="center"/>
              <w:rPr>
                <w:rFonts w:hint="eastAsia" w:ascii="仿宋" w:hAnsi="仿宋" w:eastAsia="仿宋" w:cs="仿宋"/>
                <w:sz w:val="24"/>
                <w:szCs w:val="24"/>
                <w:vertAlign w:val="baseline"/>
                <w:lang w:val="en-US" w:eastAsia="zh-CN"/>
              </w:rPr>
            </w:pPr>
          </w:p>
        </w:tc>
        <w:tc>
          <w:tcPr>
            <w:tcW w:w="371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乐山市金口河区攀金商贸有限责任公司</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永和镇新民村</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加油站</w:t>
            </w:r>
          </w:p>
        </w:tc>
        <w:tc>
          <w:tcPr>
            <w:tcW w:w="166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59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13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3</w:t>
            </w:r>
          </w:p>
        </w:tc>
        <w:tc>
          <w:tcPr>
            <w:tcW w:w="1260" w:type="dxa"/>
            <w:vMerge w:val="continue"/>
            <w:vAlign w:val="center"/>
          </w:tcPr>
          <w:p>
            <w:pPr>
              <w:jc w:val="center"/>
              <w:rPr>
                <w:rFonts w:hint="eastAsia" w:ascii="仿宋" w:hAnsi="仿宋" w:eastAsia="仿宋" w:cs="仿宋"/>
                <w:sz w:val="24"/>
                <w:szCs w:val="24"/>
                <w:vertAlign w:val="baseline"/>
                <w:lang w:val="en-US" w:eastAsia="zh-CN"/>
              </w:rPr>
            </w:pPr>
          </w:p>
        </w:tc>
        <w:tc>
          <w:tcPr>
            <w:tcW w:w="371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乐山市金口河区英德瑞气体有限责任公司</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永和镇捡金坝</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气体充装站</w:t>
            </w:r>
          </w:p>
        </w:tc>
        <w:tc>
          <w:tcPr>
            <w:tcW w:w="166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59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13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4</w:t>
            </w:r>
          </w:p>
        </w:tc>
        <w:tc>
          <w:tcPr>
            <w:tcW w:w="1260" w:type="dxa"/>
            <w:vMerge w:val="continue"/>
            <w:vAlign w:val="center"/>
          </w:tcPr>
          <w:p>
            <w:pPr>
              <w:jc w:val="center"/>
              <w:rPr>
                <w:rFonts w:hint="eastAsia" w:ascii="仿宋" w:hAnsi="仿宋" w:eastAsia="仿宋" w:cs="仿宋"/>
                <w:sz w:val="24"/>
                <w:szCs w:val="24"/>
                <w:vertAlign w:val="baseline"/>
                <w:lang w:val="en-US" w:eastAsia="zh-CN"/>
              </w:rPr>
            </w:pPr>
          </w:p>
        </w:tc>
        <w:tc>
          <w:tcPr>
            <w:tcW w:w="371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乐山市金口河区三丰气体充装站</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永和镇新民村</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气体充装站</w:t>
            </w:r>
          </w:p>
        </w:tc>
        <w:tc>
          <w:tcPr>
            <w:tcW w:w="166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59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13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5</w:t>
            </w:r>
          </w:p>
        </w:tc>
        <w:tc>
          <w:tcPr>
            <w:tcW w:w="126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烟花爆竹企业</w:t>
            </w:r>
          </w:p>
        </w:tc>
        <w:tc>
          <w:tcPr>
            <w:tcW w:w="371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乐山市金口河区宏信烟花爆竹有限公司</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共安乡林丰村</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烟花爆竹批发</w:t>
            </w:r>
          </w:p>
        </w:tc>
        <w:tc>
          <w:tcPr>
            <w:tcW w:w="166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59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13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6</w:t>
            </w:r>
          </w:p>
        </w:tc>
        <w:tc>
          <w:tcPr>
            <w:tcW w:w="1260" w:type="dxa"/>
            <w:vMerge w:val="restart"/>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工贸企业</w:t>
            </w:r>
          </w:p>
        </w:tc>
        <w:tc>
          <w:tcPr>
            <w:tcW w:w="371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四川金洋康宁硅业有限责任公司</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永和镇捡金坝</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冶金</w:t>
            </w:r>
          </w:p>
        </w:tc>
        <w:tc>
          <w:tcPr>
            <w:tcW w:w="166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59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13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7</w:t>
            </w:r>
          </w:p>
        </w:tc>
        <w:tc>
          <w:tcPr>
            <w:tcW w:w="1260" w:type="dxa"/>
            <w:vMerge w:val="continue"/>
            <w:vAlign w:val="center"/>
          </w:tcPr>
          <w:p>
            <w:pPr>
              <w:jc w:val="center"/>
              <w:rPr>
                <w:rFonts w:hint="eastAsia" w:ascii="仿宋" w:hAnsi="仿宋" w:eastAsia="仿宋" w:cs="仿宋"/>
                <w:sz w:val="24"/>
                <w:szCs w:val="24"/>
                <w:vertAlign w:val="baseline"/>
                <w:lang w:val="en-US" w:eastAsia="zh-CN"/>
              </w:rPr>
            </w:pPr>
          </w:p>
        </w:tc>
        <w:tc>
          <w:tcPr>
            <w:tcW w:w="371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乐山市金源纺织有限责任公司</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永和镇新民村</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纺织</w:t>
            </w:r>
          </w:p>
        </w:tc>
        <w:tc>
          <w:tcPr>
            <w:tcW w:w="166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一般风险</w:t>
            </w:r>
          </w:p>
        </w:tc>
        <w:tc>
          <w:tcPr>
            <w:tcW w:w="159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正常生产</w:t>
            </w:r>
          </w:p>
        </w:tc>
        <w:tc>
          <w:tcPr>
            <w:tcW w:w="1130" w:type="dxa"/>
            <w:vAlign w:val="center"/>
          </w:tcPr>
          <w:p>
            <w:pPr>
              <w:jc w:val="center"/>
              <w:rPr>
                <w:rFonts w:hint="eastAsia" w:ascii="仿宋" w:hAnsi="仿宋" w:eastAsia="仿宋" w:cs="仿宋"/>
                <w:sz w:val="24"/>
                <w:szCs w:val="24"/>
                <w:vertAlign w:val="baseline"/>
                <w:lang w:val="en-US" w:eastAsia="zh-CN"/>
              </w:rPr>
            </w:pPr>
          </w:p>
        </w:tc>
      </w:tr>
    </w:tbl>
    <w:p>
      <w:pPr>
        <w:pStyle w:val="2"/>
        <w:spacing w:before="16" w:line="314" w:lineRule="auto"/>
        <w:ind w:right="-64" w:rightChars="0"/>
        <w:jc w:val="left"/>
        <w:rPr>
          <w:rFonts w:hint="eastAsia" w:ascii="Times New Roman" w:hAnsi="Times New Roman" w:eastAsia="仿宋_GB2312"/>
          <w:color w:val="auto"/>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default" w:ascii="仿宋" w:hAnsi="仿宋" w:eastAsia="仿宋" w:cs="仿宋"/>
          <w:sz w:val="24"/>
          <w:szCs w:val="24"/>
          <w:lang w:val="en-US" w:eastAsia="zh-CN"/>
        </w:rPr>
      </w:pPr>
      <w:r>
        <w:rPr>
          <w:rFonts w:hint="eastAsia" w:ascii="Times New Roman" w:hAnsi="Times New Roman" w:eastAsia="仿宋" w:cs="仿宋"/>
          <w:sz w:val="32"/>
          <w:szCs w:val="32"/>
          <w:lang w:val="en-US" w:eastAsia="zh-CN"/>
        </w:rPr>
        <w:t>2</w:t>
      </w:r>
      <w:r>
        <w:rPr>
          <w:rFonts w:hint="eastAsia" w:ascii="仿宋" w:hAnsi="仿宋" w:eastAsia="仿宋" w:cs="仿宋"/>
          <w:sz w:val="32"/>
          <w:szCs w:val="32"/>
          <w:lang w:val="en-US" w:eastAsia="zh-CN"/>
        </w:rPr>
        <w:t>.片区应急管理用地现状和规划用地指标</w:t>
      </w:r>
    </w:p>
    <w:tbl>
      <w:tblPr>
        <w:tblStyle w:val="18"/>
        <w:tblW w:w="12990" w:type="dxa"/>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3710"/>
        <w:gridCol w:w="1840"/>
        <w:gridCol w:w="1830"/>
        <w:gridCol w:w="2240"/>
        <w:gridCol w:w="150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6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371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项目名称</w:t>
            </w:r>
          </w:p>
        </w:tc>
        <w:tc>
          <w:tcPr>
            <w:tcW w:w="18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具体位置</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用途</w:t>
            </w:r>
          </w:p>
        </w:tc>
        <w:tc>
          <w:tcPr>
            <w:tcW w:w="224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用地类型（利旧/共建/新建）</w:t>
            </w:r>
          </w:p>
        </w:tc>
        <w:tc>
          <w:tcPr>
            <w:tcW w:w="150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用地规模</w:t>
            </w:r>
          </w:p>
        </w:tc>
        <w:tc>
          <w:tcPr>
            <w:tcW w:w="111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滨河路社区居委会应急避难场所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和平社区居委会应急避难场所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3</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官村社区居委会应急避难场所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4</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罗回社区居委会应急避难场所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5</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新民村委会应急避难场所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6</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新乐村委会应急避难场所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7</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新华村委会应急避难场所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8</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胜利村委会应急避难场所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9</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黎明村委会应急避难场所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永和镇</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解放村委会应急避难场所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和平彝族乡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11</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迎新村委会应急避难场所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和平彝族乡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12</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迎春村委会应急避难场所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和平彝族乡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13</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桠溪村委会应急避难场所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和平彝族乡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14</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蒲梯村委会应急避难场所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和平彝族乡</w:t>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15</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文店村委会应急避难场所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fldChar w:fldCharType="begin"/>
            </w:r>
            <w:r>
              <w:rPr>
                <w:rFonts w:hint="eastAsia" w:ascii="仿宋" w:hAnsi="仿宋" w:eastAsia="仿宋" w:cs="仿宋"/>
                <w:i w:val="0"/>
                <w:iCs w:val="0"/>
                <w:color w:val="000000"/>
                <w:kern w:val="0"/>
                <w:sz w:val="24"/>
                <w:szCs w:val="24"/>
                <w:u w:val="none"/>
                <w:lang w:val="en-US" w:eastAsia="zh-CN" w:bidi="ar"/>
              </w:rPr>
              <w:instrText xml:space="preserve"> HYPERLINK "http://www.stats.gov.cn/tjsj/tjbz/tjyqhdmhcxhfdm/2021/51/11/13/511113201.html" \o "http://www.stats.gov.cn/tjsj/tjbz/tjyqhdmhcxhfdm/2021/51/11/13/511113201.html" </w:instrText>
            </w:r>
            <w:r>
              <w:rPr>
                <w:rFonts w:hint="eastAsia" w:ascii="仿宋" w:hAnsi="仿宋" w:eastAsia="仿宋" w:cs="仿宋"/>
                <w:i w:val="0"/>
                <w:iCs w:val="0"/>
                <w:color w:val="000000"/>
                <w:kern w:val="0"/>
                <w:sz w:val="24"/>
                <w:szCs w:val="24"/>
                <w:u w:val="none"/>
                <w:lang w:val="en-US" w:eastAsia="zh-CN" w:bidi="ar"/>
              </w:rPr>
              <w:fldChar w:fldCharType="separate"/>
            </w:r>
            <w:r>
              <w:rPr>
                <w:rFonts w:hint="eastAsia" w:ascii="仿宋" w:hAnsi="仿宋" w:eastAsia="仿宋" w:cs="仿宋"/>
                <w:i w:val="0"/>
                <w:iCs w:val="0"/>
                <w:color w:val="000000"/>
                <w:kern w:val="0"/>
                <w:sz w:val="24"/>
                <w:szCs w:val="24"/>
                <w:u w:val="none"/>
                <w:lang w:val="en-US" w:eastAsia="zh-CN" w:bidi="ar"/>
              </w:rPr>
              <w:t>共安彝族乡</w:t>
            </w:r>
            <w:r>
              <w:rPr>
                <w:rFonts w:hint="eastAsia" w:ascii="仿宋" w:hAnsi="仿宋" w:eastAsia="仿宋" w:cs="仿宋"/>
                <w:i w:val="0"/>
                <w:iCs w:val="0"/>
                <w:color w:val="000000"/>
                <w:kern w:val="0"/>
                <w:sz w:val="24"/>
                <w:szCs w:val="24"/>
                <w:u w:val="none"/>
                <w:lang w:val="en-US" w:eastAsia="zh-CN" w:bidi="ar"/>
              </w:rPr>
              <w:fldChar w:fldCharType="end"/>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16</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象鼻村委会应急避难场所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fldChar w:fldCharType="begin"/>
            </w:r>
            <w:r>
              <w:rPr>
                <w:rFonts w:hint="eastAsia" w:ascii="仿宋" w:hAnsi="仿宋" w:eastAsia="仿宋" w:cs="仿宋"/>
                <w:i w:val="0"/>
                <w:iCs w:val="0"/>
                <w:color w:val="000000"/>
                <w:kern w:val="0"/>
                <w:sz w:val="24"/>
                <w:szCs w:val="24"/>
                <w:u w:val="none"/>
                <w:lang w:val="en-US" w:eastAsia="zh-CN" w:bidi="ar"/>
              </w:rPr>
              <w:instrText xml:space="preserve"> HYPERLINK "http://www.stats.gov.cn/tjsj/tjbz/tjyqhdmhcxhfdm/2021/51/11/13/511113201.html" \o "http://www.stats.gov.cn/tjsj/tjbz/tjyqhdmhcxhfdm/2021/51/11/13/511113201.html" </w:instrText>
            </w:r>
            <w:r>
              <w:rPr>
                <w:rFonts w:hint="eastAsia" w:ascii="仿宋" w:hAnsi="仿宋" w:eastAsia="仿宋" w:cs="仿宋"/>
                <w:i w:val="0"/>
                <w:iCs w:val="0"/>
                <w:color w:val="000000"/>
                <w:kern w:val="0"/>
                <w:sz w:val="24"/>
                <w:szCs w:val="24"/>
                <w:u w:val="none"/>
                <w:lang w:val="en-US" w:eastAsia="zh-CN" w:bidi="ar"/>
              </w:rPr>
              <w:fldChar w:fldCharType="separate"/>
            </w:r>
            <w:r>
              <w:rPr>
                <w:rFonts w:hint="eastAsia" w:ascii="仿宋" w:hAnsi="仿宋" w:eastAsia="仿宋" w:cs="仿宋"/>
                <w:i w:val="0"/>
                <w:iCs w:val="0"/>
                <w:color w:val="000000"/>
                <w:kern w:val="0"/>
                <w:sz w:val="24"/>
                <w:szCs w:val="24"/>
                <w:u w:val="none"/>
                <w:lang w:val="en-US" w:eastAsia="zh-CN" w:bidi="ar"/>
              </w:rPr>
              <w:t>共安彝族乡</w:t>
            </w:r>
            <w:r>
              <w:rPr>
                <w:rFonts w:hint="eastAsia" w:ascii="仿宋" w:hAnsi="仿宋" w:eastAsia="仿宋" w:cs="仿宋"/>
                <w:i w:val="0"/>
                <w:iCs w:val="0"/>
                <w:color w:val="000000"/>
                <w:kern w:val="0"/>
                <w:sz w:val="24"/>
                <w:szCs w:val="24"/>
                <w:u w:val="none"/>
                <w:lang w:val="en-US" w:eastAsia="zh-CN" w:bidi="ar"/>
              </w:rPr>
              <w:fldChar w:fldCharType="end"/>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17</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林丰村委会应急避难场所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fldChar w:fldCharType="begin"/>
            </w:r>
            <w:r>
              <w:rPr>
                <w:rFonts w:hint="eastAsia" w:ascii="仿宋" w:hAnsi="仿宋" w:eastAsia="仿宋" w:cs="仿宋"/>
                <w:i w:val="0"/>
                <w:iCs w:val="0"/>
                <w:color w:val="000000"/>
                <w:kern w:val="0"/>
                <w:sz w:val="24"/>
                <w:szCs w:val="24"/>
                <w:u w:val="none"/>
                <w:lang w:val="en-US" w:eastAsia="zh-CN" w:bidi="ar"/>
              </w:rPr>
              <w:instrText xml:space="preserve"> HYPERLINK "http://www.stats.gov.cn/tjsj/tjbz/tjyqhdmhcxhfdm/2021/51/11/13/511113201.html" \o "http://www.stats.gov.cn/tjsj/tjbz/tjyqhdmhcxhfdm/2021/51/11/13/511113201.html" </w:instrText>
            </w:r>
            <w:r>
              <w:rPr>
                <w:rFonts w:hint="eastAsia" w:ascii="仿宋" w:hAnsi="仿宋" w:eastAsia="仿宋" w:cs="仿宋"/>
                <w:i w:val="0"/>
                <w:iCs w:val="0"/>
                <w:color w:val="000000"/>
                <w:kern w:val="0"/>
                <w:sz w:val="24"/>
                <w:szCs w:val="24"/>
                <w:u w:val="none"/>
                <w:lang w:val="en-US" w:eastAsia="zh-CN" w:bidi="ar"/>
              </w:rPr>
              <w:fldChar w:fldCharType="separate"/>
            </w:r>
            <w:r>
              <w:rPr>
                <w:rFonts w:hint="eastAsia" w:ascii="仿宋" w:hAnsi="仿宋" w:eastAsia="仿宋" w:cs="仿宋"/>
                <w:i w:val="0"/>
                <w:iCs w:val="0"/>
                <w:color w:val="000000"/>
                <w:kern w:val="0"/>
                <w:sz w:val="24"/>
                <w:szCs w:val="24"/>
                <w:u w:val="none"/>
                <w:lang w:val="en-US" w:eastAsia="zh-CN" w:bidi="ar"/>
              </w:rPr>
              <w:t>共安彝族乡</w:t>
            </w:r>
            <w:r>
              <w:rPr>
                <w:rFonts w:hint="eastAsia" w:ascii="仿宋" w:hAnsi="仿宋" w:eastAsia="仿宋" w:cs="仿宋"/>
                <w:i w:val="0"/>
                <w:iCs w:val="0"/>
                <w:color w:val="000000"/>
                <w:kern w:val="0"/>
                <w:sz w:val="24"/>
                <w:szCs w:val="24"/>
                <w:u w:val="none"/>
                <w:lang w:val="en-US" w:eastAsia="zh-CN" w:bidi="ar"/>
              </w:rPr>
              <w:fldChar w:fldCharType="end"/>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0" w:type="dxa"/>
            <w:vAlign w:val="center"/>
          </w:tcPr>
          <w:p>
            <w:pPr>
              <w:jc w:val="center"/>
              <w:rPr>
                <w:rFonts w:hint="default" w:ascii="Times New Roman" w:hAnsi="Times New Roman"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18</w:t>
            </w:r>
          </w:p>
        </w:tc>
        <w:tc>
          <w:tcPr>
            <w:tcW w:w="3710"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新河村委会应急避难场所</w:t>
            </w:r>
          </w:p>
        </w:tc>
        <w:tc>
          <w:tcPr>
            <w:tcW w:w="1840" w:type="dxa"/>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fldChar w:fldCharType="begin"/>
            </w:r>
            <w:r>
              <w:rPr>
                <w:rFonts w:hint="eastAsia" w:ascii="仿宋" w:hAnsi="仿宋" w:eastAsia="仿宋" w:cs="仿宋"/>
                <w:i w:val="0"/>
                <w:iCs w:val="0"/>
                <w:color w:val="000000"/>
                <w:kern w:val="0"/>
                <w:sz w:val="24"/>
                <w:szCs w:val="24"/>
                <w:u w:val="none"/>
                <w:lang w:val="en-US" w:eastAsia="zh-CN" w:bidi="ar"/>
              </w:rPr>
              <w:instrText xml:space="preserve"> HYPERLINK "http://www.stats.gov.cn/tjsj/tjbz/tjyqhdmhcxhfdm/2021/51/11/13/511113201.html" \o "http://www.stats.gov.cn/tjsj/tjbz/tjyqhdmhcxhfdm/2021/51/11/13/511113201.html" </w:instrText>
            </w:r>
            <w:r>
              <w:rPr>
                <w:rFonts w:hint="eastAsia" w:ascii="仿宋" w:hAnsi="仿宋" w:eastAsia="仿宋" w:cs="仿宋"/>
                <w:i w:val="0"/>
                <w:iCs w:val="0"/>
                <w:color w:val="000000"/>
                <w:kern w:val="0"/>
                <w:sz w:val="24"/>
                <w:szCs w:val="24"/>
                <w:u w:val="none"/>
                <w:lang w:val="en-US" w:eastAsia="zh-CN" w:bidi="ar"/>
              </w:rPr>
              <w:fldChar w:fldCharType="separate"/>
            </w:r>
            <w:r>
              <w:rPr>
                <w:rFonts w:hint="eastAsia" w:ascii="仿宋" w:hAnsi="仿宋" w:eastAsia="仿宋" w:cs="仿宋"/>
                <w:i w:val="0"/>
                <w:iCs w:val="0"/>
                <w:color w:val="000000"/>
                <w:kern w:val="0"/>
                <w:sz w:val="24"/>
                <w:szCs w:val="24"/>
                <w:u w:val="none"/>
                <w:lang w:val="en-US" w:eastAsia="zh-CN" w:bidi="ar"/>
              </w:rPr>
              <w:t>共安彝族乡</w:t>
            </w:r>
            <w:r>
              <w:rPr>
                <w:rFonts w:hint="eastAsia" w:ascii="仿宋" w:hAnsi="仿宋" w:eastAsia="仿宋" w:cs="仿宋"/>
                <w:i w:val="0"/>
                <w:iCs w:val="0"/>
                <w:color w:val="000000"/>
                <w:kern w:val="0"/>
                <w:sz w:val="24"/>
                <w:szCs w:val="24"/>
                <w:u w:val="none"/>
                <w:lang w:val="en-US" w:eastAsia="zh-CN" w:bidi="ar"/>
              </w:rPr>
              <w:fldChar w:fldCharType="end"/>
            </w:r>
          </w:p>
        </w:tc>
        <w:tc>
          <w:tcPr>
            <w:tcW w:w="1830" w:type="dxa"/>
            <w:vAlign w:val="center"/>
          </w:tcPr>
          <w:p>
            <w:pPr>
              <w:jc w:val="center"/>
              <w:rPr>
                <w:rFonts w:hint="default"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应急避难场所</w:t>
            </w:r>
          </w:p>
        </w:tc>
        <w:tc>
          <w:tcPr>
            <w:tcW w:w="224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利旧</w:t>
            </w:r>
          </w:p>
        </w:tc>
        <w:tc>
          <w:tcPr>
            <w:tcW w:w="1500" w:type="dxa"/>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1110" w:type="dxa"/>
            <w:vAlign w:val="center"/>
          </w:tcPr>
          <w:p>
            <w:pPr>
              <w:jc w:val="center"/>
              <w:rPr>
                <w:rFonts w:hint="eastAsia" w:ascii="仿宋" w:hAnsi="仿宋" w:eastAsia="仿宋" w:cs="仿宋"/>
                <w:sz w:val="24"/>
                <w:szCs w:val="24"/>
                <w:vertAlign w:val="baseline"/>
                <w:lang w:val="en-US" w:eastAsia="zh-CN"/>
              </w:rPr>
            </w:pPr>
          </w:p>
        </w:tc>
      </w:tr>
    </w:tbl>
    <w:p>
      <w:pPr>
        <w:pStyle w:val="2"/>
        <w:spacing w:before="16" w:line="314" w:lineRule="auto"/>
        <w:ind w:right="-64" w:rightChars="0"/>
        <w:jc w:val="left"/>
        <w:rPr>
          <w:rFonts w:hint="eastAsia" w:ascii="Times New Roman" w:hAnsi="Times New Roman" w:eastAsia="仿宋_GB2312"/>
          <w:color w:val="auto"/>
          <w:lang w:val="en-US" w:eastAsia="zh-CN"/>
        </w:rPr>
      </w:pPr>
    </w:p>
    <w:p>
      <w:pPr>
        <w:pStyle w:val="2"/>
        <w:spacing w:before="16" w:line="314" w:lineRule="auto"/>
        <w:ind w:right="-64" w:rightChars="0"/>
        <w:jc w:val="left"/>
        <w:rPr>
          <w:rFonts w:hint="eastAsia" w:ascii="Times New Roman" w:hAnsi="Times New Roman" w:eastAsia="仿宋_GB2312"/>
          <w:color w:val="auto"/>
          <w:lang w:val="en-US" w:eastAsia="zh-CN"/>
        </w:rPr>
      </w:pPr>
    </w:p>
    <w:p>
      <w:pPr>
        <w:pStyle w:val="2"/>
        <w:spacing w:before="16" w:line="314" w:lineRule="auto"/>
        <w:ind w:right="-64" w:rightChars="0"/>
        <w:jc w:val="left"/>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3.片区重点工程项目统计表</w:t>
      </w:r>
    </w:p>
    <w:tbl>
      <w:tblPr>
        <w:tblStyle w:val="18"/>
        <w:tblW w:w="14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420"/>
        <w:gridCol w:w="2576"/>
        <w:gridCol w:w="1379"/>
        <w:gridCol w:w="1169"/>
        <w:gridCol w:w="1168"/>
        <w:gridCol w:w="1170"/>
        <w:gridCol w:w="1450"/>
        <w:gridCol w:w="1564"/>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83" w:type="dxa"/>
            <w:vAlign w:val="center"/>
          </w:tcPr>
          <w:p>
            <w:pPr>
              <w:pStyle w:val="2"/>
              <w:spacing w:before="16" w:line="314" w:lineRule="auto"/>
              <w:ind w:right="-145" w:rightChars="-69"/>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项目大类</w:t>
            </w:r>
          </w:p>
        </w:tc>
        <w:tc>
          <w:tcPr>
            <w:tcW w:w="1420" w:type="dxa"/>
            <w:vAlign w:val="center"/>
          </w:tcPr>
          <w:p>
            <w:pPr>
              <w:pStyle w:val="2"/>
              <w:spacing w:before="16" w:line="314" w:lineRule="auto"/>
              <w:ind w:left="1" w:leftChars="-6" w:right="64" w:rightChars="0" w:hanging="13" w:firstLine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项目小类</w:t>
            </w:r>
          </w:p>
        </w:tc>
        <w:tc>
          <w:tcPr>
            <w:tcW w:w="2576" w:type="dxa"/>
            <w:vAlign w:val="center"/>
          </w:tcPr>
          <w:p>
            <w:pPr>
              <w:pStyle w:val="2"/>
              <w:spacing w:before="16" w:line="314" w:lineRule="auto"/>
              <w:ind w:right="-61" w:right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建设内容</w:t>
            </w:r>
          </w:p>
        </w:tc>
        <w:tc>
          <w:tcPr>
            <w:tcW w:w="1379" w:type="dxa"/>
            <w:vAlign w:val="center"/>
          </w:tcPr>
          <w:p>
            <w:pPr>
              <w:pStyle w:val="2"/>
              <w:spacing w:before="16" w:line="314" w:lineRule="auto"/>
              <w:ind w:right="-61" w:right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建设地点</w:t>
            </w:r>
          </w:p>
        </w:tc>
        <w:tc>
          <w:tcPr>
            <w:tcW w:w="1169" w:type="dxa"/>
            <w:vAlign w:val="center"/>
          </w:tcPr>
          <w:p>
            <w:pPr>
              <w:pStyle w:val="2"/>
              <w:spacing w:before="16" w:line="314" w:lineRule="auto"/>
              <w:ind w:right="-61" w:right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用地量</w:t>
            </w:r>
          </w:p>
        </w:tc>
        <w:tc>
          <w:tcPr>
            <w:tcW w:w="1168" w:type="dxa"/>
            <w:vAlign w:val="center"/>
          </w:tcPr>
          <w:p>
            <w:pPr>
              <w:pStyle w:val="2"/>
              <w:spacing w:before="16" w:line="314" w:lineRule="auto"/>
              <w:ind w:right="-61" w:right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用地性质</w:t>
            </w:r>
          </w:p>
        </w:tc>
        <w:tc>
          <w:tcPr>
            <w:tcW w:w="1170" w:type="dxa"/>
            <w:vAlign w:val="center"/>
          </w:tcPr>
          <w:p>
            <w:pPr>
              <w:pStyle w:val="2"/>
              <w:spacing w:before="16" w:line="314" w:lineRule="auto"/>
              <w:ind w:right="-76" w:right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建设期限</w:t>
            </w:r>
          </w:p>
        </w:tc>
        <w:tc>
          <w:tcPr>
            <w:tcW w:w="1450" w:type="dxa"/>
            <w:vAlign w:val="center"/>
          </w:tcPr>
          <w:p>
            <w:pPr>
              <w:pStyle w:val="2"/>
              <w:spacing w:before="16" w:line="314" w:lineRule="auto"/>
              <w:ind w:right="-26" w:right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牵头单位</w:t>
            </w:r>
          </w:p>
        </w:tc>
        <w:tc>
          <w:tcPr>
            <w:tcW w:w="1564" w:type="dxa"/>
            <w:vAlign w:val="center"/>
          </w:tcPr>
          <w:p>
            <w:pPr>
              <w:pStyle w:val="2"/>
              <w:spacing w:before="16" w:line="314" w:lineRule="auto"/>
              <w:ind w:left="0" w:leftChars="0" w:right="-19" w:rightChars="0" w:firstLine="0" w:firstLine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责任单位</w:t>
            </w:r>
          </w:p>
        </w:tc>
        <w:tc>
          <w:tcPr>
            <w:tcW w:w="1283" w:type="dxa"/>
            <w:vAlign w:val="center"/>
          </w:tcPr>
          <w:p>
            <w:pPr>
              <w:pStyle w:val="2"/>
              <w:spacing w:before="16" w:line="314" w:lineRule="auto"/>
              <w:ind w:left="0" w:leftChars="0" w:right="-19" w:rightChars="0" w:firstLine="0" w:firstLineChars="0"/>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应急管理重点工程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镇级应急指挥分中心建设重点工程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片区内3个乡镇各配备应急指挥终端、单兵装备、侦察无人机，改建应急指挥场所，购置会议设备</w:t>
            </w:r>
          </w:p>
        </w:tc>
        <w:tc>
          <w:tcPr>
            <w:tcW w:w="137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应急管理重点工程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天通1号通信系统提升工程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对天通1号通信系统进行系统服务升级</w:t>
            </w:r>
          </w:p>
        </w:tc>
        <w:tc>
          <w:tcPr>
            <w:tcW w:w="137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15万元/年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安全生产风险防控重点工程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综合执法服务能力提升重点工程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乡镇综合执法中队建设，配套培训室（大会议室）各1间，办公室各1间，询问室各1间，资料室各1间，装备室各1间。购买执法车辆各1辆，执法装备各1套。</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564" w:type="dxa"/>
            <w:vAlign w:val="center"/>
          </w:tcPr>
          <w:p>
            <w:pPr>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安全生产风险防控重点工程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道路质量及安防设施基础补短重点工程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对片区内40公里农村公路道路质量进行提升</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片区道路沿线</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集体</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区交通运输局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自然灾害防治重点工程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防汛抗洪水利能力提升工程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ar-SA"/>
              </w:rPr>
              <w:t>小河1.5公里治理工程</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集体</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区水务局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自然灾害防治重点工程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金口河区交通干线气象监测能力提升工程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购置3套可视化气象监测设备和智能预警发布系统</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片区道路沿线</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集体</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区应急管理局、区交通局、区农业农村局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自然灾害防治重点工程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森林防火基础综合设施建设项目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新改建防火道路48.2公里完成大峡谷总体消防设施建设，新建消防水池6口，增设林火视频监控系统野外监控点3个，新建林区消防站1个</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共安彝族乡、 八月林自然保护区</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林区道路沿线</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区自然资源局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共安彝族乡、 八月林自然保护区</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基层应急物资储备库建设项目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改建3个镇级应急物资仓库，新建改建14个村级应急物资储备点，配足必需的应急物资</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290万元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既有储备库提升改造项目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提升改造原乐山市金口河区粮食物资储备中心（老储备库）和原红华公司供应处设备科仓库大院对面仓库</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区应急管理局、区发改局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应急物资社会储备项目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借助企业事业单位场地设施，对部分有储存条件要求的物资采取以租代储、实物储备及购买服务进行专业储备</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综合性应急避难场所建设项目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建在永和镇，建成可供3000人紧急避险10天的综合性应急避难场所。配套建设水电气网络设施，卫生排污处理系统，配置救援救灾设施，配套建智能停车场，以利于发生疫情时可改为医疗方舱医院</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区应急管理局、区住建局、区人民医院</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应急避难场所规范化建设项目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对现有14个村级临时应急避难场所进行标准化升级建设</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kern w:val="2"/>
                <w:sz w:val="24"/>
                <w:szCs w:val="24"/>
                <w:vertAlign w:val="baseline"/>
                <w:lang w:val="en-US" w:eastAsia="zh-CN" w:bidi="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140万元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金口河区“一主两辅”救援队伍培训基地建设项目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依托消防救援大队现有设施条件，增设训练场所、消防演练设施，配齐救援设施设备。</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区消防救援大队驻地</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2023年-2030年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区消防救援大队</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区消防救援大队</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应急能力建设重点工程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金口河区消防站升级改造建设项目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城区一级消防站按正规化建设、更新车辆器材装备、配齐特勤器材等</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区消防救援大队驻地</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区消防救援大队</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区消防救援大队</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先进技术应用重点工程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应急通讯补短板工程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建设通讯基站1个，实现区域通讯网络全覆盖、无死角</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八月林自然保护区</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区自然资源和规划局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八月林自然保护区</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先进技术应用重点工程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应急预案数字化平台建设</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将应急预案进行结构化、流程化分解，实现各种信息和资源与应急预案流程关联，为应急处置人员提供智能化、精准化的辅助决策。</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先进技术应用重点工程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地震监测系统升级工程</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购置新水氡监测设备1台，购置地震预警终端台42台</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区防震减灾服务中心</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区防震减灾服务中心</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157万元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共建共治共享格局重点工程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县级防震减灾科普示范学校创建</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推进延风中学创建国家级防震减灾科普示范学校，配套建设相应设备设施场地。</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延风中学</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国有</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2023年-2025年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区应急管理局、区教育局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延风中学</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共建共治共享格局重点工程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农村民居地震安全示范点建设项目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在大峡谷生态文旅片区内选定1个行政村作为农村民居地震安全示范点</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利用</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集体</w:t>
            </w: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共建共治共享格局重点工程</w:t>
            </w:r>
          </w:p>
        </w:tc>
        <w:tc>
          <w:tcPr>
            <w:tcW w:w="142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宣教培训专栏建设项目</w:t>
            </w:r>
          </w:p>
        </w:tc>
        <w:tc>
          <w:tcPr>
            <w:tcW w:w="2576"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在片区每个行政村设宣传专栏，每半年更新宣传内容，提高片区内群众的安全意识、应急意识、自救互救意识</w:t>
            </w:r>
          </w:p>
        </w:tc>
        <w:tc>
          <w:tcPr>
            <w:tcW w:w="1379" w:type="dxa"/>
            <w:vAlign w:val="center"/>
          </w:tcPr>
          <w:p>
            <w:pPr>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169"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利旧</w:t>
            </w:r>
          </w:p>
        </w:tc>
        <w:tc>
          <w:tcPr>
            <w:tcW w:w="1168"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p>
        </w:tc>
        <w:tc>
          <w:tcPr>
            <w:tcW w:w="117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2023年-2035年</w:t>
            </w:r>
          </w:p>
        </w:tc>
        <w:tc>
          <w:tcPr>
            <w:tcW w:w="1450"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区应急管理局</w:t>
            </w:r>
          </w:p>
        </w:tc>
        <w:tc>
          <w:tcPr>
            <w:tcW w:w="1564"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kern w:val="2"/>
                <w:sz w:val="24"/>
                <w:szCs w:val="24"/>
                <w:vertAlign w:val="baseline"/>
                <w:lang w:val="en-US" w:eastAsia="zh-CN" w:bidi="zh-CN"/>
              </w:rPr>
            </w:pPr>
            <w:r>
              <w:rPr>
                <w:rFonts w:hint="eastAsia" w:ascii="仿宋_GB2312" w:hAnsi="仿宋_GB2312" w:eastAsia="仿宋_GB2312" w:cs="仿宋_GB2312"/>
                <w:b w:val="0"/>
                <w:bCs w:val="0"/>
                <w:color w:val="auto"/>
                <w:sz w:val="24"/>
                <w:szCs w:val="24"/>
                <w:vertAlign w:val="baseline"/>
                <w:lang w:val="en-US" w:eastAsia="zh-CN"/>
              </w:rPr>
              <w:t>永和镇、和平彝族乡、共安彝族乡</w:t>
            </w:r>
          </w:p>
        </w:tc>
        <w:tc>
          <w:tcPr>
            <w:tcW w:w="1283" w:type="dxa"/>
            <w:vAlign w:val="center"/>
          </w:tcPr>
          <w:p>
            <w:pPr>
              <w:pStyle w:val="2"/>
              <w:spacing w:before="16" w:line="314" w:lineRule="auto"/>
              <w:ind w:right="-57" w:rightChars="-27"/>
              <w:jc w:val="both"/>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30万元</w:t>
            </w:r>
          </w:p>
        </w:tc>
      </w:tr>
    </w:tbl>
    <w:p>
      <w:pPr>
        <w:pStyle w:val="2"/>
        <w:spacing w:before="16" w:line="314" w:lineRule="auto"/>
        <w:ind w:right="-64" w:rightChars="0"/>
        <w:jc w:val="left"/>
        <w:rPr>
          <w:rFonts w:hint="eastAsia" w:ascii="Times New Roman" w:hAnsi="Times New Roman" w:eastAsia="仿宋_GB2312"/>
          <w:color w:val="auto"/>
          <w:lang w:val="en-US" w:eastAsia="zh-CN"/>
        </w:rPr>
      </w:pPr>
    </w:p>
    <w:p>
      <w:pPr>
        <w:pStyle w:val="2"/>
        <w:spacing w:before="16" w:line="314" w:lineRule="auto"/>
        <w:ind w:right="-64" w:rightChars="0"/>
        <w:jc w:val="left"/>
        <w:rPr>
          <w:rFonts w:hint="eastAsia" w:ascii="仿宋" w:hAnsi="仿宋" w:eastAsia="仿宋" w:cs="仿宋"/>
          <w:b w:val="0"/>
          <w:bCs w:val="0"/>
          <w:kern w:val="2"/>
          <w:sz w:val="32"/>
          <w:szCs w:val="32"/>
          <w:lang w:val="en-US" w:eastAsia="zh-CN" w:bidi="ar-SA"/>
        </w:rPr>
      </w:pPr>
    </w:p>
    <w:p>
      <w:pPr>
        <w:pStyle w:val="2"/>
        <w:spacing w:before="16" w:line="314" w:lineRule="auto"/>
        <w:ind w:right="-64" w:rightChars="0"/>
        <w:jc w:val="left"/>
        <w:rPr>
          <w:rFonts w:hint="eastAsia" w:ascii="仿宋" w:hAnsi="仿宋" w:eastAsia="仿宋" w:cs="仿宋"/>
          <w:b w:val="0"/>
          <w:bCs w:val="0"/>
          <w:kern w:val="2"/>
          <w:sz w:val="32"/>
          <w:szCs w:val="32"/>
          <w:lang w:val="en-US" w:eastAsia="zh-CN" w:bidi="ar-SA"/>
        </w:rPr>
      </w:pPr>
    </w:p>
    <w:p>
      <w:pPr>
        <w:pStyle w:val="2"/>
        <w:spacing w:before="16" w:line="314" w:lineRule="auto"/>
        <w:ind w:right="-64" w:rightChars="0"/>
        <w:jc w:val="left"/>
        <w:rPr>
          <w:rFonts w:hint="eastAsia" w:ascii="仿宋" w:hAnsi="仿宋" w:eastAsia="仿宋" w:cs="仿宋"/>
          <w:b w:val="0"/>
          <w:bCs w:val="0"/>
          <w:kern w:val="2"/>
          <w:sz w:val="32"/>
          <w:szCs w:val="32"/>
          <w:lang w:val="en-US" w:eastAsia="zh-CN" w:bidi="ar-SA"/>
        </w:rPr>
      </w:pPr>
    </w:p>
    <w:p>
      <w:pPr>
        <w:pStyle w:val="2"/>
        <w:spacing w:before="16" w:line="314" w:lineRule="auto"/>
        <w:ind w:right="-64" w:rightChars="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4.片区应急队伍统计及分布表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576"/>
        <w:gridCol w:w="3503"/>
        <w:gridCol w:w="2239"/>
        <w:gridCol w:w="2663"/>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350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队伍名称</w:t>
            </w:r>
          </w:p>
        </w:tc>
        <w:tc>
          <w:tcPr>
            <w:tcW w:w="2239"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队伍人数（人）</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救援类型</w:t>
            </w:r>
          </w:p>
        </w:tc>
        <w:tc>
          <w:tcPr>
            <w:tcW w:w="1742"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乡镇应急队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共安乡政府机关应急救援队</w:t>
            </w:r>
          </w:p>
        </w:tc>
        <w:tc>
          <w:tcPr>
            <w:tcW w:w="2239"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20</w:t>
            </w:r>
          </w:p>
        </w:tc>
        <w:tc>
          <w:tcPr>
            <w:tcW w:w="2663"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文店村应急救援队</w:t>
            </w:r>
          </w:p>
        </w:tc>
        <w:tc>
          <w:tcPr>
            <w:tcW w:w="2239"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3</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象鼻村应急救援队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4</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新河村应急救援队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5</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林丰村应急救援队</w:t>
            </w:r>
          </w:p>
        </w:tc>
        <w:tc>
          <w:tcPr>
            <w:tcW w:w="2239"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6</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乡镇应急队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和平乡政府机关应急救援队</w:t>
            </w:r>
          </w:p>
        </w:tc>
        <w:tc>
          <w:tcPr>
            <w:tcW w:w="2239"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7</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解放村应急救援队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8</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迎春村应急救援队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9</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迎新村应急救援队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10</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桠溪村应急救援队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9"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11</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蒲梯村应急救援队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12</w:t>
            </w:r>
          </w:p>
        </w:tc>
        <w:tc>
          <w:tcPr>
            <w:tcW w:w="1576" w:type="dxa"/>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乡镇应急队</w:t>
            </w:r>
          </w:p>
        </w:tc>
        <w:tc>
          <w:tcPr>
            <w:tcW w:w="3503" w:type="dxa"/>
            <w:vAlign w:val="bottom"/>
          </w:tcPr>
          <w:p>
            <w:pPr>
              <w:keepNext w:val="0"/>
              <w:keepLines w:val="0"/>
              <w:widowControl/>
              <w:suppressLineNumbers w:val="0"/>
              <w:jc w:val="center"/>
              <w:textAlignment w:val="bottom"/>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永和镇政府机关应急救援队</w:t>
            </w:r>
          </w:p>
        </w:tc>
        <w:tc>
          <w:tcPr>
            <w:tcW w:w="2239" w:type="dxa"/>
          </w:tcPr>
          <w:p>
            <w:pPr>
              <w:jc w:val="center"/>
              <w:rPr>
                <w:rFonts w:hint="default"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20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13</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新民村应急救援队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bottom"/>
          </w:tcPr>
          <w:p>
            <w:pPr>
              <w:keepNext w:val="0"/>
              <w:keepLines w:val="0"/>
              <w:widowControl/>
              <w:suppressLineNumbers w:val="0"/>
              <w:jc w:val="center"/>
              <w:textAlignment w:val="bottom"/>
              <w:rPr>
                <w:rFonts w:hint="default"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14</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新乐村应急救援队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15</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新华村应急救援队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bottom"/>
          </w:tcPr>
          <w:p>
            <w:pPr>
              <w:keepNext w:val="0"/>
              <w:keepLines w:val="0"/>
              <w:widowControl/>
              <w:suppressLineNumbers w:val="0"/>
              <w:jc w:val="center"/>
              <w:textAlignment w:val="bottom"/>
              <w:rPr>
                <w:rFonts w:hint="default"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16</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社区应急队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罗回社区应急救援队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17</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黎明村应急救援队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dxa"/>
            <w:vAlign w:val="center"/>
          </w:tcPr>
          <w:p>
            <w:pPr>
              <w:keepNext w:val="0"/>
              <w:keepLines w:val="0"/>
              <w:widowControl/>
              <w:suppressLineNumbers w:val="0"/>
              <w:jc w:val="center"/>
              <w:textAlignment w:val="center"/>
              <w:rPr>
                <w:rFonts w:hint="default"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18</w:t>
            </w:r>
          </w:p>
        </w:tc>
        <w:tc>
          <w:tcPr>
            <w:tcW w:w="1576"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村应急队</w:t>
            </w:r>
          </w:p>
        </w:tc>
        <w:tc>
          <w:tcPr>
            <w:tcW w:w="3503" w:type="dxa"/>
            <w:vAlign w:val="top"/>
          </w:tcPr>
          <w:p>
            <w:pPr>
              <w:keepNext w:val="0"/>
              <w:keepLines w:val="0"/>
              <w:widowControl/>
              <w:suppressLineNumbers w:val="0"/>
              <w:jc w:val="center"/>
              <w:textAlignment w:val="top"/>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胜利村应急救援队</w:t>
            </w:r>
          </w:p>
        </w:tc>
        <w:tc>
          <w:tcPr>
            <w:tcW w:w="2239" w:type="dxa"/>
          </w:tcPr>
          <w:p>
            <w:pPr>
              <w:jc w:val="center"/>
              <w:rPr>
                <w:rFonts w:hint="eastAsia" w:ascii="仿宋" w:hAnsi="仿宋" w:eastAsia="仿宋" w:cs="仿宋"/>
                <w:sz w:val="24"/>
                <w:szCs w:val="24"/>
                <w:vertAlign w:val="baseline"/>
                <w:lang w:val="en-US" w:eastAsia="zh-CN"/>
              </w:rPr>
            </w:pPr>
            <w:r>
              <w:rPr>
                <w:rFonts w:hint="eastAsia" w:ascii="Times New Roman" w:hAnsi="Times New Roman" w:eastAsia="仿宋" w:cs="仿宋"/>
                <w:sz w:val="24"/>
                <w:szCs w:val="24"/>
                <w:vertAlign w:val="baseline"/>
                <w:lang w:val="en-US" w:eastAsia="zh-CN"/>
              </w:rPr>
              <w:t>10</w:t>
            </w:r>
          </w:p>
        </w:tc>
        <w:tc>
          <w:tcPr>
            <w:tcW w:w="2663" w:type="dxa"/>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综合应急救援</w:t>
            </w:r>
          </w:p>
        </w:tc>
        <w:tc>
          <w:tcPr>
            <w:tcW w:w="1742" w:type="dxa"/>
          </w:tcPr>
          <w:p>
            <w:pPr>
              <w:jc w:val="center"/>
              <w:rPr>
                <w:rFonts w:hint="eastAsia" w:ascii="仿宋" w:hAnsi="仿宋" w:eastAsia="仿宋" w:cs="仿宋"/>
                <w:sz w:val="24"/>
                <w:szCs w:val="24"/>
                <w:vertAlign w:val="baseline"/>
                <w:lang w:val="en-US" w:eastAsia="zh-CN"/>
              </w:rPr>
            </w:pPr>
          </w:p>
        </w:tc>
      </w:tr>
    </w:tbl>
    <w:p>
      <w:pPr>
        <w:jc w:val="left"/>
        <w:rPr>
          <w:rFonts w:hint="eastAsia" w:ascii="Times New Roman" w:hAnsi="Times New Roman" w:eastAsia="仿宋" w:cs="仿宋"/>
          <w:color w:val="auto"/>
          <w:sz w:val="32"/>
          <w:szCs w:val="32"/>
          <w:lang w:val="en-US" w:eastAsia="zh-CN"/>
        </w:rPr>
      </w:pPr>
    </w:p>
    <w:p>
      <w:pPr>
        <w:jc w:val="left"/>
        <w:rPr>
          <w:rFonts w:hint="eastAsia" w:ascii="Times New Roman" w:hAnsi="Times New Roman" w:eastAsia="仿宋" w:cs="仿宋"/>
          <w:color w:val="auto"/>
          <w:sz w:val="32"/>
          <w:szCs w:val="32"/>
          <w:lang w:val="en-US" w:eastAsia="zh-CN"/>
        </w:rPr>
      </w:pPr>
    </w:p>
    <w:p>
      <w:pPr>
        <w:jc w:val="left"/>
        <w:rPr>
          <w:rFonts w:hint="eastAsia" w:ascii="Times New Roman" w:hAnsi="Times New Roman" w:eastAsia="仿宋" w:cs="仿宋"/>
          <w:color w:val="auto"/>
          <w:sz w:val="32"/>
          <w:szCs w:val="32"/>
          <w:lang w:val="en-US" w:eastAsia="zh-CN"/>
        </w:rPr>
      </w:pPr>
    </w:p>
    <w:p>
      <w:pPr>
        <w:jc w:val="left"/>
        <w:rPr>
          <w:rFonts w:hint="eastAsia"/>
          <w:color w:val="auto"/>
          <w:lang w:eastAsia="zh-CN"/>
        </w:rPr>
      </w:pPr>
      <w:r>
        <w:rPr>
          <w:rFonts w:hint="eastAsia" w:ascii="Times New Roman" w:hAnsi="Times New Roman" w:eastAsia="仿宋" w:cs="仿宋"/>
          <w:color w:val="auto"/>
          <w:sz w:val="32"/>
          <w:szCs w:val="32"/>
          <w:lang w:val="en-US" w:eastAsia="zh-CN"/>
        </w:rPr>
        <w:t>5.片区基层扑火装备统计表</w:t>
      </w:r>
    </w:p>
    <w:tbl>
      <w:tblPr>
        <w:tblStyle w:val="17"/>
        <w:tblW w:w="13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17"/>
        <w:gridCol w:w="1340"/>
        <w:gridCol w:w="1240"/>
        <w:gridCol w:w="1300"/>
        <w:gridCol w:w="1580"/>
        <w:gridCol w:w="1860"/>
        <w:gridCol w:w="118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队伍名称</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三号工具</w:t>
            </w:r>
          </w:p>
        </w:tc>
        <w:tc>
          <w:tcPr>
            <w:tcW w:w="12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清林切</w:t>
            </w:r>
          </w:p>
        </w:tc>
        <w:tc>
          <w:tcPr>
            <w:tcW w:w="130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消防铲</w:t>
            </w:r>
          </w:p>
        </w:tc>
        <w:tc>
          <w:tcPr>
            <w:tcW w:w="15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26"/>
                <w:rFonts w:hint="eastAsia" w:ascii="仿宋" w:hAnsi="仿宋" w:eastAsia="仿宋" w:cs="仿宋"/>
                <w:color w:val="auto"/>
                <w:sz w:val="24"/>
                <w:szCs w:val="24"/>
                <w:lang w:val="en-US" w:eastAsia="zh-CN" w:bidi="ar"/>
              </w:rPr>
              <w:t>风水灭火机</w:t>
            </w:r>
          </w:p>
        </w:tc>
        <w:tc>
          <w:tcPr>
            <w:tcW w:w="186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单兵组合工具</w:t>
            </w:r>
          </w:p>
        </w:tc>
        <w:tc>
          <w:tcPr>
            <w:tcW w:w="118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防火服</w:t>
            </w:r>
          </w:p>
        </w:tc>
        <w:tc>
          <w:tcPr>
            <w:tcW w:w="11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共安乡政府机关森林义务扑火队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80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30</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30</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7</w:t>
            </w:r>
          </w:p>
        </w:tc>
        <w:tc>
          <w:tcPr>
            <w:tcW w:w="18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1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文店村森林义务扑火队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象鼻村森林义务扑火队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新河村森林义务扑火队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林丰村森林义务扑火队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5</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和平乡政府机关森林义务扑火队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80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86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1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17</w:t>
            </w: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解放村森林义务扑火队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70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17</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17</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迎春村森林义务扑火队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迎新村森林义务扑火队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極溪村森林义务扑火队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蒲梯村森林义务扑火队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bottom"/>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永和镇政府机关森林义务扑火队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38</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86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10</w:t>
            </w:r>
          </w:p>
        </w:tc>
        <w:tc>
          <w:tcPr>
            <w:tcW w:w="118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17</w:t>
            </w:r>
          </w:p>
        </w:tc>
        <w:tc>
          <w:tcPr>
            <w:tcW w:w="1140" w:type="dxa"/>
            <w:shd w:val="clear" w:color="auto" w:fill="auto"/>
            <w:noWrap/>
            <w:vAlign w:val="center"/>
          </w:tcPr>
          <w:p>
            <w:pPr>
              <w:keepNext w:val="0"/>
              <w:keepLines w:val="0"/>
              <w:widowControl/>
              <w:suppressLineNumbers w:val="0"/>
              <w:ind w:left="0" w:leftChars="0" w:firstLine="0" w:firstLineChars="0"/>
              <w:jc w:val="center"/>
              <w:textAlignment w:val="bottom"/>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新民村森林义务扑火队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新乐村森林义务扑火队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新华村森林义务扑火队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罗回社区森林义务扑火队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黎明村森林义务扑火队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center"/>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4117" w:type="dxa"/>
            <w:shd w:val="clear" w:color="auto" w:fill="auto"/>
            <w:noWrap/>
            <w:vAlign w:val="center"/>
          </w:tcPr>
          <w:p>
            <w:pPr>
              <w:keepNext w:val="0"/>
              <w:keepLines w:val="0"/>
              <w:widowControl/>
              <w:suppressLineNumbers w:val="0"/>
              <w:jc w:val="center"/>
              <w:textAlignment w:val="top"/>
              <w:rPr>
                <w:rFonts w:hint="eastAsia" w:ascii="仿宋" w:hAnsi="仿宋" w:eastAsia="仿宋" w:cs="仿宋"/>
                <w:i w:val="0"/>
                <w:iCs w:val="0"/>
                <w:color w:val="auto"/>
                <w:sz w:val="24"/>
                <w:szCs w:val="24"/>
                <w:u w:val="none"/>
              </w:rPr>
            </w:pPr>
            <w:r>
              <w:rPr>
                <w:rStyle w:val="38"/>
                <w:rFonts w:hint="eastAsia" w:ascii="仿宋" w:hAnsi="仿宋" w:eastAsia="仿宋" w:cs="仿宋"/>
                <w:color w:val="auto"/>
                <w:sz w:val="24"/>
                <w:szCs w:val="24"/>
                <w:lang w:val="en-US" w:eastAsia="zh-CN" w:bidi="ar"/>
              </w:rPr>
              <w:t>胜利村森林义务扑火队</w:t>
            </w:r>
          </w:p>
        </w:tc>
        <w:tc>
          <w:tcPr>
            <w:tcW w:w="134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20</w:t>
            </w:r>
          </w:p>
        </w:tc>
        <w:tc>
          <w:tcPr>
            <w:tcW w:w="124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15</w:t>
            </w:r>
          </w:p>
        </w:tc>
        <w:tc>
          <w:tcPr>
            <w:tcW w:w="130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6</w:t>
            </w:r>
          </w:p>
        </w:tc>
        <w:tc>
          <w:tcPr>
            <w:tcW w:w="158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3</w:t>
            </w:r>
          </w:p>
        </w:tc>
        <w:tc>
          <w:tcPr>
            <w:tcW w:w="186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80" w:type="dxa"/>
            <w:shd w:val="clear" w:color="auto" w:fill="auto"/>
            <w:noWrap/>
            <w:vAlign w:val="center"/>
          </w:tcPr>
          <w:p>
            <w:pPr>
              <w:ind w:left="0" w:leftChars="0" w:firstLine="0" w:firstLineChars="0"/>
              <w:jc w:val="center"/>
              <w:rPr>
                <w:rFonts w:hint="eastAsia" w:ascii="仿宋" w:hAnsi="仿宋" w:eastAsia="仿宋" w:cs="仿宋"/>
                <w:i w:val="0"/>
                <w:iCs w:val="0"/>
                <w:color w:val="auto"/>
                <w:sz w:val="24"/>
                <w:szCs w:val="24"/>
                <w:u w:val="none"/>
              </w:rPr>
            </w:pPr>
          </w:p>
        </w:tc>
        <w:tc>
          <w:tcPr>
            <w:tcW w:w="1140" w:type="dxa"/>
            <w:shd w:val="clear" w:color="auto" w:fill="auto"/>
            <w:noWrap/>
            <w:vAlign w:val="center"/>
          </w:tcPr>
          <w:p>
            <w:pPr>
              <w:keepNext w:val="0"/>
              <w:keepLines w:val="0"/>
              <w:widowControl/>
              <w:suppressLineNumbers w:val="0"/>
              <w:ind w:left="0" w:leftChars="0" w:firstLine="0" w:firstLineChars="0"/>
              <w:jc w:val="center"/>
              <w:textAlignment w:val="top"/>
              <w:rPr>
                <w:rFonts w:hint="eastAsia" w:ascii="仿宋" w:hAnsi="仿宋" w:eastAsia="仿宋" w:cs="仿宋"/>
                <w:i w:val="0"/>
                <w:iCs w:val="0"/>
                <w:color w:val="auto"/>
                <w:sz w:val="24"/>
                <w:szCs w:val="24"/>
                <w:u w:val="none"/>
              </w:rPr>
            </w:pPr>
            <w:r>
              <w:rPr>
                <w:rFonts w:hint="eastAsia" w:ascii="Times New Roman" w:hAnsi="Times New Roman" w:eastAsia="仿宋" w:cs="仿宋"/>
                <w:i w:val="0"/>
                <w:iCs w:val="0"/>
                <w:color w:val="auto"/>
                <w:kern w:val="0"/>
                <w:sz w:val="24"/>
                <w:szCs w:val="24"/>
                <w:u w:val="none"/>
                <w:lang w:val="en-US" w:eastAsia="zh-CN" w:bidi="ar"/>
              </w:rPr>
              <w:t>44</w:t>
            </w:r>
          </w:p>
        </w:tc>
      </w:tr>
    </w:tbl>
    <w:p>
      <w:pPr>
        <w:jc w:val="left"/>
        <w:rPr>
          <w:rFonts w:hint="eastAsia" w:ascii="Times New Roman" w:hAnsi="Times New Roman" w:eastAsia="仿宋" w:cs="仿宋"/>
          <w:color w:val="auto"/>
          <w:sz w:val="32"/>
          <w:szCs w:val="32"/>
          <w:lang w:val="en-US" w:eastAsia="zh-CN"/>
        </w:rPr>
      </w:pPr>
    </w:p>
    <w:p>
      <w:pPr>
        <w:jc w:val="left"/>
        <w:rPr>
          <w:rFonts w:hint="eastAsia" w:ascii="Times New Roman" w:hAnsi="Times New Roman" w:eastAsia="仿宋" w:cs="仿宋"/>
          <w:sz w:val="32"/>
          <w:szCs w:val="32"/>
          <w:lang w:val="en-US" w:eastAsia="zh-CN"/>
        </w:rPr>
      </w:pPr>
    </w:p>
    <w:p>
      <w:pPr>
        <w:jc w:val="left"/>
        <w:rPr>
          <w:rFonts w:hint="eastAsia" w:ascii="仿宋" w:hAnsi="仿宋" w:eastAsia="仿宋" w:cs="仿宋"/>
          <w:sz w:val="32"/>
          <w:szCs w:val="32"/>
          <w:lang w:val="en-US" w:eastAsia="zh-CN"/>
        </w:rPr>
      </w:pPr>
      <w:r>
        <w:rPr>
          <w:rFonts w:hint="eastAsia" w:ascii="Times New Roman" w:hAnsi="Times New Roman" w:eastAsia="仿宋" w:cs="仿宋"/>
          <w:sz w:val="32"/>
          <w:szCs w:val="32"/>
          <w:lang w:val="en-US" w:eastAsia="zh-CN"/>
        </w:rPr>
        <w:t>6</w:t>
      </w:r>
      <w:r>
        <w:rPr>
          <w:rFonts w:hint="eastAsia" w:ascii="仿宋" w:hAnsi="仿宋" w:eastAsia="仿宋" w:cs="仿宋"/>
          <w:sz w:val="32"/>
          <w:szCs w:val="32"/>
          <w:lang w:val="en-US" w:eastAsia="zh-CN"/>
        </w:rPr>
        <w:t>.片区应急救援装备、物资统计及分布表</w:t>
      </w:r>
    </w:p>
    <w:tbl>
      <w:tblPr>
        <w:tblStyle w:val="18"/>
        <w:tblW w:w="13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920"/>
        <w:gridCol w:w="3340"/>
        <w:gridCol w:w="1598"/>
        <w:gridCol w:w="1500"/>
        <w:gridCol w:w="144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restart"/>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序号</w:t>
            </w:r>
          </w:p>
        </w:tc>
        <w:tc>
          <w:tcPr>
            <w:tcW w:w="2920" w:type="dxa"/>
            <w:vMerge w:val="restart"/>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类别</w:t>
            </w:r>
          </w:p>
        </w:tc>
        <w:tc>
          <w:tcPr>
            <w:tcW w:w="3340" w:type="dxa"/>
            <w:vMerge w:val="restart"/>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名称</w:t>
            </w:r>
          </w:p>
        </w:tc>
        <w:tc>
          <w:tcPr>
            <w:tcW w:w="1598" w:type="dxa"/>
            <w:vMerge w:val="restart"/>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单位</w:t>
            </w:r>
          </w:p>
        </w:tc>
        <w:tc>
          <w:tcPr>
            <w:tcW w:w="4390" w:type="dxa"/>
            <w:gridSpan w:val="3"/>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所在位置及数量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Merge w:val="continue"/>
            <w:vAlign w:val="center"/>
          </w:tcPr>
          <w:p>
            <w:pPr>
              <w:jc w:val="center"/>
              <w:rPr>
                <w:rFonts w:hint="eastAsia" w:ascii="仿宋" w:hAnsi="仿宋" w:eastAsia="仿宋" w:cs="仿宋"/>
                <w:sz w:val="24"/>
                <w:szCs w:val="24"/>
                <w:vertAlign w:val="baseline"/>
                <w:lang w:val="en-US" w:eastAsia="zh-CN"/>
              </w:rPr>
            </w:pPr>
          </w:p>
        </w:tc>
        <w:tc>
          <w:tcPr>
            <w:tcW w:w="2920" w:type="dxa"/>
            <w:vMerge w:val="continue"/>
            <w:vAlign w:val="center"/>
          </w:tcPr>
          <w:p>
            <w:pPr>
              <w:jc w:val="center"/>
              <w:rPr>
                <w:rFonts w:hint="eastAsia" w:ascii="仿宋" w:hAnsi="仿宋" w:eastAsia="仿宋" w:cs="仿宋"/>
                <w:sz w:val="24"/>
                <w:szCs w:val="24"/>
                <w:vertAlign w:val="baseline"/>
                <w:lang w:val="en-US" w:eastAsia="zh-CN"/>
              </w:rPr>
            </w:pPr>
          </w:p>
        </w:tc>
        <w:tc>
          <w:tcPr>
            <w:tcW w:w="3340" w:type="dxa"/>
            <w:vMerge w:val="continue"/>
            <w:vAlign w:val="center"/>
          </w:tcPr>
          <w:p>
            <w:pPr>
              <w:jc w:val="center"/>
              <w:rPr>
                <w:rFonts w:hint="eastAsia" w:ascii="仿宋" w:hAnsi="仿宋" w:eastAsia="仿宋" w:cs="仿宋"/>
                <w:sz w:val="24"/>
                <w:szCs w:val="24"/>
                <w:vertAlign w:val="baseline"/>
                <w:lang w:val="en-US" w:eastAsia="zh-CN"/>
              </w:rPr>
            </w:pPr>
          </w:p>
        </w:tc>
        <w:tc>
          <w:tcPr>
            <w:tcW w:w="1598" w:type="dxa"/>
            <w:vMerge w:val="continue"/>
            <w:vAlign w:val="center"/>
          </w:tcPr>
          <w:p>
            <w:pPr>
              <w:jc w:val="center"/>
              <w:rPr>
                <w:rFonts w:hint="eastAsia" w:ascii="仿宋" w:hAnsi="仿宋" w:eastAsia="仿宋" w:cs="仿宋"/>
                <w:sz w:val="24"/>
                <w:szCs w:val="24"/>
                <w:vertAlign w:val="baseline"/>
                <w:lang w:val="en-US" w:eastAsia="zh-CN"/>
              </w:rPr>
            </w:pPr>
          </w:p>
        </w:tc>
        <w:tc>
          <w:tcPr>
            <w:tcW w:w="150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永和镇</w:t>
            </w:r>
          </w:p>
        </w:tc>
        <w:tc>
          <w:tcPr>
            <w:tcW w:w="144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和平彝族乡</w:t>
            </w:r>
          </w:p>
        </w:tc>
        <w:tc>
          <w:tcPr>
            <w:tcW w:w="1450"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共安彝族乡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LED强光探照灯（手提探照灯）</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34</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安全帽</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顶</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228</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147</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便携式工作灯</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14</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反光背心</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222</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172</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防尘口罩</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310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190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防刺穿救援鞋</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双</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69</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防护手套</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打</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强光手电筒（防爆手电筒）</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234</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9</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手电筒</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38</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手提强力照明灯</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线手套</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双</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265</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1100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12</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雨鞋（雨靴）</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双</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187</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178</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13</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个人防护类</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雨衣</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178</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178</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14</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救生缆索</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550</w:t>
            </w:r>
          </w:p>
        </w:tc>
        <w:tc>
          <w:tcPr>
            <w:tcW w:w="14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350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15</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highlight w:val="yellow"/>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highlight w:val="yellow"/>
                <w:vertAlign w:val="baseline"/>
                <w:lang w:val="en-US" w:eastAsia="zh-CN"/>
              </w:rPr>
            </w:pPr>
            <w:r>
              <w:rPr>
                <w:rFonts w:hint="eastAsia" w:ascii="仿宋" w:hAnsi="仿宋" w:eastAsia="仿宋" w:cs="仿宋"/>
                <w:i w:val="0"/>
                <w:iCs w:val="0"/>
                <w:color w:val="000000"/>
                <w:kern w:val="0"/>
                <w:sz w:val="24"/>
                <w:szCs w:val="24"/>
                <w:u w:val="none"/>
                <w:lang w:val="en-US" w:eastAsia="zh-CN" w:bidi="ar"/>
              </w:rPr>
              <w:t>救生圈</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highlight w:val="yellow"/>
                <w:vertAlign w:val="baseline"/>
                <w:lang w:val="en-US" w:eastAsia="zh-CN"/>
              </w:rPr>
            </w:pPr>
            <w:r>
              <w:rPr>
                <w:rFonts w:hint="eastAsia" w:ascii="仿宋" w:hAnsi="仿宋" w:eastAsia="仿宋" w:cs="仿宋"/>
                <w:i w:val="0"/>
                <w:iCs w:val="0"/>
                <w:color w:val="000000"/>
                <w:kern w:val="0"/>
                <w:sz w:val="24"/>
                <w:szCs w:val="24"/>
                <w:u w:val="none"/>
                <w:lang w:val="en-US" w:eastAsia="zh-CN" w:bidi="ar"/>
              </w:rPr>
              <w:t>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63</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41</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16</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救生衣</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240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156</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17</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救援装备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救援担架</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18</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代储情况</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家</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19</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防寒服</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235</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20</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毛巾被</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13</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21</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棉被</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200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311</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22</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棉大衣</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件</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287</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313</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帐篷（救灾单帐篷）</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顶</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45</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24</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生活物资</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折叠床</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张</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238</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241</w:t>
            </w:r>
          </w:p>
        </w:tc>
        <w:tc>
          <w:tcPr>
            <w:tcW w:w="14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25</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防汛沙袋</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800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26</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麻绳</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根</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27</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土工布（篷布）</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w:t>
            </w:r>
          </w:p>
        </w:tc>
        <w:tc>
          <w:tcPr>
            <w:tcW w:w="14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28</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应急抢险物资储备（材料）</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应急双肩包</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c>
          <w:tcPr>
            <w:tcW w:w="14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10</w:t>
            </w:r>
          </w:p>
        </w:tc>
        <w:tc>
          <w:tcPr>
            <w:tcW w:w="14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29</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Times New Roman" w:hAnsi="Times New Roman" w:eastAsia="仿宋" w:cs="仿宋"/>
                <w:i w:val="0"/>
                <w:iCs w:val="0"/>
                <w:color w:val="000000"/>
                <w:kern w:val="0"/>
                <w:sz w:val="24"/>
                <w:szCs w:val="24"/>
                <w:u w:val="none"/>
                <w:lang w:val="en-US" w:eastAsia="zh-CN" w:bidi="ar"/>
              </w:rPr>
              <w:t>3</w:t>
            </w:r>
            <w:r>
              <w:rPr>
                <w:rFonts w:hint="eastAsia" w:ascii="仿宋" w:hAnsi="仿宋" w:eastAsia="仿宋" w:cs="仿宋"/>
                <w:i w:val="0"/>
                <w:iCs w:val="0"/>
                <w:color w:val="000000"/>
                <w:kern w:val="0"/>
                <w:sz w:val="24"/>
                <w:szCs w:val="24"/>
                <w:u w:val="none"/>
                <w:lang w:val="en-US" w:eastAsia="zh-CN" w:bidi="ar"/>
              </w:rPr>
              <w:t>号打火工具</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锄头</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9</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31</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电缆绞盘</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32</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发电机</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33</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钢镐</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34</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口哨</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210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227</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35</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铁铲</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340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132</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36</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铁锤</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把</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55</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35</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37</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头灯</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116</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78</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38</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应急抢险物资储备（工具）</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液压手推车</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辆</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39</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除湿器</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4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40</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应急抢险物资储备（设备）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汽（柴）油应急发电机</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41</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对讲机</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部</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55</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16</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42</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警示带</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条</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1133</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727</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43</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警示杆</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根</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110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40</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44</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扩音器（手提喇叭）</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55</w:t>
            </w:r>
          </w:p>
        </w:tc>
        <w:tc>
          <w:tcPr>
            <w:tcW w:w="144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35</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45</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手持式卫星定位</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46</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手摇（或电动）报警器</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个</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6</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8</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47</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卫星电话</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部</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2</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48</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无人机</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台</w:t>
            </w:r>
          </w:p>
        </w:tc>
        <w:tc>
          <w:tcPr>
            <w:tcW w:w="150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1</w:t>
            </w:r>
          </w:p>
        </w:tc>
        <w:tc>
          <w:tcPr>
            <w:tcW w:w="1450" w:type="dxa"/>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49</w:t>
            </w:r>
          </w:p>
        </w:tc>
        <w:tc>
          <w:tcPr>
            <w:tcW w:w="292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预警通讯设备</w:t>
            </w:r>
          </w:p>
        </w:tc>
        <w:tc>
          <w:tcPr>
            <w:tcW w:w="3340"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预警铜锣</w:t>
            </w:r>
          </w:p>
        </w:tc>
        <w:tc>
          <w:tcPr>
            <w:tcW w:w="1598" w:type="dxa"/>
            <w:vAlign w:val="center"/>
          </w:tcPr>
          <w:p>
            <w:pPr>
              <w:keepNext w:val="0"/>
              <w:keepLines w:val="0"/>
              <w:widowControl/>
              <w:suppressLineNumbers w:val="0"/>
              <w:jc w:val="center"/>
              <w:textAlignment w:val="center"/>
              <w:rPr>
                <w:rFonts w:hint="eastAsia" w:ascii="仿宋" w:hAnsi="仿宋" w:eastAsia="仿宋" w:cs="仿宋"/>
                <w:sz w:val="24"/>
                <w:szCs w:val="24"/>
                <w:vertAlign w:val="baseline"/>
                <w:lang w:val="en-US" w:eastAsia="zh-CN"/>
              </w:rPr>
            </w:pPr>
            <w:r>
              <w:rPr>
                <w:rFonts w:hint="eastAsia" w:ascii="仿宋" w:hAnsi="仿宋" w:eastAsia="仿宋" w:cs="仿宋"/>
                <w:i w:val="0"/>
                <w:iCs w:val="0"/>
                <w:color w:val="000000"/>
                <w:kern w:val="0"/>
                <w:sz w:val="24"/>
                <w:szCs w:val="24"/>
                <w:u w:val="none"/>
                <w:lang w:val="en-US" w:eastAsia="zh-CN" w:bidi="ar"/>
              </w:rPr>
              <w:t>面</w:t>
            </w:r>
          </w:p>
        </w:tc>
        <w:tc>
          <w:tcPr>
            <w:tcW w:w="150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50</w:t>
            </w:r>
          </w:p>
        </w:tc>
        <w:tc>
          <w:tcPr>
            <w:tcW w:w="144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44</w:t>
            </w:r>
          </w:p>
        </w:tc>
        <w:tc>
          <w:tcPr>
            <w:tcW w:w="1450"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仿宋" w:cs="仿宋"/>
                <w:i w:val="0"/>
                <w:iCs w:val="0"/>
                <w:color w:val="auto"/>
                <w:kern w:val="0"/>
                <w:sz w:val="24"/>
                <w:szCs w:val="24"/>
                <w:u w:val="none"/>
                <w:lang w:val="en-US" w:eastAsia="zh-CN" w:bidi="ar"/>
              </w:rPr>
            </w:pPr>
            <w:r>
              <w:rPr>
                <w:rFonts w:hint="eastAsia" w:ascii="Times New Roman" w:hAnsi="Times New Roman" w:eastAsia="仿宋" w:cs="仿宋"/>
                <w:i w:val="0"/>
                <w:iCs w:val="0"/>
                <w:color w:val="auto"/>
                <w:kern w:val="0"/>
                <w:sz w:val="24"/>
                <w:szCs w:val="24"/>
                <w:u w:val="none"/>
                <w:lang w:val="en-US" w:eastAsia="zh-CN" w:bidi="ar"/>
              </w:rPr>
              <w:t>50</w:t>
            </w:r>
          </w:p>
        </w:tc>
      </w:tr>
    </w:tbl>
    <w:p>
      <w:pPr>
        <w:rPr>
          <w:rFonts w:hint="default"/>
          <w:lang w:val="en-US" w:eastAsia="zh-CN"/>
        </w:rPr>
        <w:sectPr>
          <w:pgSz w:w="16838" w:h="11906" w:orient="landscape"/>
          <w:pgMar w:top="1587" w:right="2098" w:bottom="1474" w:left="1984" w:header="850" w:footer="1134" w:gutter="0"/>
          <w:pgNumType w:fmt="decimal"/>
          <w:cols w:space="0" w:num="1"/>
          <w:rtlGutter w:val="0"/>
          <w:docGrid w:type="lines" w:linePitch="315" w:charSpace="0"/>
        </w:sectPr>
      </w:pPr>
    </w:p>
    <w:p>
      <w:pPr>
        <w:pStyle w:val="9"/>
        <w:ind w:left="0" w:leftChars="0" w:firstLine="0" w:firstLineChars="0"/>
        <w:jc w:val="center"/>
        <w:rPr>
          <w:rFonts w:hint="eastAsia" w:ascii="Times New Roman" w:hAnsi="Times New Roman"/>
          <w:b w:val="0"/>
          <w:bCs w:val="0"/>
          <w:color w:val="auto"/>
          <w:lang w:eastAsia="zh-CN"/>
        </w:rPr>
      </w:pPr>
      <w:r>
        <w:rPr>
          <w:rFonts w:hint="eastAsia" w:ascii="Times New Roman" w:hAnsi="Times New Roman"/>
          <w:b w:val="0"/>
          <w:bCs w:val="0"/>
          <w:color w:val="auto"/>
          <w:lang w:eastAsia="zh-CN"/>
        </w:rPr>
        <w:drawing>
          <wp:inline distT="0" distB="0" distL="114300" distR="114300">
            <wp:extent cx="5548630" cy="7849870"/>
            <wp:effectExtent l="0" t="0" r="13970" b="17780"/>
            <wp:docPr id="8" name="图片 7" descr="地质灾害治理工程项目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descr="地质灾害治理工程项目分布图"/>
                    <pic:cNvPicPr>
                      <a:picLocks noChangeAspect="true"/>
                    </pic:cNvPicPr>
                  </pic:nvPicPr>
                  <pic:blipFill>
                    <a:blip r:embed="rId16"/>
                    <a:stretch>
                      <a:fillRect/>
                    </a:stretch>
                  </pic:blipFill>
                  <pic:spPr>
                    <a:xfrm>
                      <a:off x="0" y="0"/>
                      <a:ext cx="5548630" cy="7849870"/>
                    </a:xfrm>
                    <a:prstGeom prst="rect">
                      <a:avLst/>
                    </a:prstGeom>
                    <a:noFill/>
                    <a:ln>
                      <a:noFill/>
                    </a:ln>
                  </pic:spPr>
                </pic:pic>
              </a:graphicData>
            </a:graphic>
          </wp:inline>
        </w:drawing>
      </w:r>
    </w:p>
    <w:p>
      <w:pPr>
        <w:jc w:val="center"/>
        <w:rPr>
          <w:rFonts w:hint="eastAsia" w:ascii="Times New Roman" w:hAnsi="Times New Roman"/>
          <w:b w:val="0"/>
          <w:bCs w:val="0"/>
          <w:color w:val="auto"/>
          <w:lang w:eastAsia="zh-CN"/>
        </w:rPr>
      </w:pPr>
      <w:r>
        <w:rPr>
          <w:rFonts w:hint="eastAsia" w:ascii="Times New Roman" w:hAnsi="Times New Roman"/>
          <w:b w:val="0"/>
          <w:bCs w:val="0"/>
          <w:color w:val="auto"/>
          <w:lang w:eastAsia="zh-CN"/>
        </w:rPr>
        <w:drawing>
          <wp:inline distT="0" distB="0" distL="114300" distR="114300">
            <wp:extent cx="5485765" cy="7760970"/>
            <wp:effectExtent l="0" t="0" r="635" b="11430"/>
            <wp:docPr id="9" name="图片 9" descr="大峡谷生态文旅片区地质灾害自动化实时检测体系建设项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大峡谷生态文旅片区地质灾害自动化实时检测体系建设项目"/>
                    <pic:cNvPicPr>
                      <a:picLocks noChangeAspect="true"/>
                    </pic:cNvPicPr>
                  </pic:nvPicPr>
                  <pic:blipFill>
                    <a:blip r:embed="rId17"/>
                    <a:stretch>
                      <a:fillRect/>
                    </a:stretch>
                  </pic:blipFill>
                  <pic:spPr>
                    <a:xfrm>
                      <a:off x="0" y="0"/>
                      <a:ext cx="5485765" cy="7760970"/>
                    </a:xfrm>
                    <a:prstGeom prst="rect">
                      <a:avLst/>
                    </a:prstGeom>
                  </pic:spPr>
                </pic:pic>
              </a:graphicData>
            </a:graphic>
          </wp:inline>
        </w:drawing>
      </w:r>
    </w:p>
    <w:p>
      <w:pPr>
        <w:pStyle w:val="9"/>
        <w:ind w:left="0" w:leftChars="0" w:firstLine="0" w:firstLineChars="0"/>
        <w:jc w:val="both"/>
        <w:rPr>
          <w:rFonts w:hint="eastAsia" w:ascii="Times New Roman" w:hAnsi="Times New Roman"/>
          <w:b w:val="0"/>
          <w:bCs w:val="0"/>
          <w:color w:val="auto"/>
          <w:lang w:eastAsia="zh-CN"/>
        </w:rPr>
      </w:pPr>
      <w:r>
        <w:rPr>
          <w:rFonts w:hint="eastAsia" w:ascii="Times New Roman" w:hAnsi="Times New Roman"/>
          <w:b w:val="0"/>
          <w:bCs w:val="0"/>
          <w:color w:val="auto"/>
          <w:lang w:eastAsia="zh-CN"/>
        </w:rPr>
        <w:drawing>
          <wp:inline distT="0" distB="0" distL="114300" distR="114300">
            <wp:extent cx="5601335" cy="7924800"/>
            <wp:effectExtent l="0" t="0" r="18415" b="0"/>
            <wp:docPr id="10" name="图片 10" descr="金口河区现有应急避难场所分布图9.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金口河区现有应急避难场所分布图9.13"/>
                    <pic:cNvPicPr>
                      <a:picLocks noChangeAspect="true"/>
                    </pic:cNvPicPr>
                  </pic:nvPicPr>
                  <pic:blipFill>
                    <a:blip r:embed="rId13"/>
                    <a:stretch>
                      <a:fillRect/>
                    </a:stretch>
                  </pic:blipFill>
                  <pic:spPr>
                    <a:xfrm>
                      <a:off x="0" y="0"/>
                      <a:ext cx="5601335" cy="7924800"/>
                    </a:xfrm>
                    <a:prstGeom prst="rect">
                      <a:avLst/>
                    </a:prstGeom>
                  </pic:spPr>
                </pic:pic>
              </a:graphicData>
            </a:graphic>
          </wp:inline>
        </w:drawing>
      </w:r>
    </w:p>
    <w:p>
      <w:pPr>
        <w:jc w:val="center"/>
        <w:rPr>
          <w:rFonts w:hint="eastAsia"/>
        </w:rPr>
      </w:pPr>
      <w:r>
        <w:rPr>
          <w:rFonts w:hint="eastAsia"/>
        </w:rPr>
        <w:drawing>
          <wp:inline distT="0" distB="0" distL="114300" distR="114300">
            <wp:extent cx="5462905" cy="7727950"/>
            <wp:effectExtent l="0" t="0" r="4445" b="6350"/>
            <wp:docPr id="11" name="图片 11" descr="大峡谷应急救援队伍分布"/>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大峡谷应急救援队伍分布"/>
                    <pic:cNvPicPr>
                      <a:picLocks noChangeAspect="true"/>
                    </pic:cNvPicPr>
                  </pic:nvPicPr>
                  <pic:blipFill>
                    <a:blip r:embed="rId18"/>
                    <a:stretch>
                      <a:fillRect/>
                    </a:stretch>
                  </pic:blipFill>
                  <pic:spPr>
                    <a:xfrm>
                      <a:off x="0" y="0"/>
                      <a:ext cx="5462905" cy="7727950"/>
                    </a:xfrm>
                    <a:prstGeom prst="rect">
                      <a:avLst/>
                    </a:prstGeom>
                  </pic:spPr>
                </pic:pic>
              </a:graphicData>
            </a:graphic>
          </wp:inline>
        </w:drawing>
      </w:r>
    </w:p>
    <w:p>
      <w:pPr>
        <w:pStyle w:val="16"/>
        <w:ind w:left="0" w:leftChars="0" w:firstLine="0" w:firstLineChars="0"/>
        <w:jc w:val="both"/>
        <w:rPr>
          <w:rFonts w:hint="default"/>
          <w:lang w:val="en-US" w:eastAsia="zh-CN"/>
        </w:rPr>
      </w:pPr>
      <w:r>
        <w:rPr>
          <w:rFonts w:hint="eastAsia"/>
        </w:rPr>
        <w:drawing>
          <wp:inline distT="0" distB="0" distL="114300" distR="114300">
            <wp:extent cx="5535930" cy="7832090"/>
            <wp:effectExtent l="0" t="0" r="7620" b="16510"/>
            <wp:docPr id="12" name="图片 12" descr="大峡谷应急救援能力规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大峡谷应急救援能力规划"/>
                    <pic:cNvPicPr>
                      <a:picLocks noChangeAspect="true"/>
                    </pic:cNvPicPr>
                  </pic:nvPicPr>
                  <pic:blipFill>
                    <a:blip r:embed="rId19"/>
                    <a:stretch>
                      <a:fillRect/>
                    </a:stretch>
                  </pic:blipFill>
                  <pic:spPr>
                    <a:xfrm>
                      <a:off x="0" y="0"/>
                      <a:ext cx="5535930" cy="7832090"/>
                    </a:xfrm>
                    <a:prstGeom prst="rect">
                      <a:avLst/>
                    </a:prstGeom>
                  </pic:spPr>
                </pic:pic>
              </a:graphicData>
            </a:graphic>
          </wp:inline>
        </w:drawing>
      </w:r>
    </w:p>
    <w:p>
      <w:pPr>
        <w:pStyle w:val="16"/>
        <w:rPr>
          <w:rFonts w:hint="default"/>
          <w:lang w:val="en-US" w:eastAsia="zh-CN"/>
        </w:rPr>
      </w:pPr>
    </w:p>
    <w:p>
      <w:pPr>
        <w:spacing w:line="600" w:lineRule="exact"/>
        <w:rPr>
          <w:rFonts w:hint="eastAsia" w:ascii="黑体" w:hAnsi="黑体" w:eastAsia="黑体"/>
          <w:sz w:val="32"/>
          <w:szCs w:val="32"/>
        </w:rPr>
      </w:pPr>
    </w:p>
    <w:p>
      <w:pPr>
        <w:pStyle w:val="2"/>
        <w:rPr>
          <w:rFonts w:hint="eastAsia" w:ascii="黑体" w:hAnsi="黑体" w:eastAsia="黑体"/>
          <w:sz w:val="32"/>
          <w:szCs w:val="32"/>
        </w:rPr>
      </w:pPr>
    </w:p>
    <w:p>
      <w:pPr>
        <w:rPr>
          <w:rFonts w:hint="eastAsia" w:ascii="黑体" w:hAnsi="黑体" w:eastAsia="黑体"/>
          <w:sz w:val="32"/>
          <w:szCs w:val="32"/>
        </w:rPr>
      </w:pPr>
    </w:p>
    <w:p>
      <w:pPr>
        <w:pStyle w:val="2"/>
        <w:rPr>
          <w:rFonts w:hint="eastAsia" w:ascii="黑体" w:hAnsi="黑体" w:eastAsia="黑体"/>
          <w:sz w:val="32"/>
          <w:szCs w:val="32"/>
        </w:rPr>
      </w:pPr>
    </w:p>
    <w:p>
      <w:pPr>
        <w:rPr>
          <w:rFonts w:hint="eastAsia" w:ascii="黑体" w:hAnsi="黑体" w:eastAsia="黑体"/>
          <w:sz w:val="32"/>
          <w:szCs w:val="32"/>
        </w:rPr>
      </w:pPr>
    </w:p>
    <w:p>
      <w:pPr>
        <w:pStyle w:val="2"/>
        <w:rPr>
          <w:rFonts w:hint="eastAsia" w:ascii="黑体" w:hAnsi="黑体" w:eastAsia="黑体"/>
          <w:sz w:val="32"/>
          <w:szCs w:val="32"/>
        </w:rPr>
      </w:pPr>
    </w:p>
    <w:p>
      <w:pPr>
        <w:rPr>
          <w:rFonts w:hint="eastAsia" w:ascii="黑体" w:hAnsi="黑体" w:eastAsia="黑体"/>
          <w:sz w:val="32"/>
          <w:szCs w:val="32"/>
        </w:rPr>
      </w:pPr>
    </w:p>
    <w:p>
      <w:pPr>
        <w:pStyle w:val="2"/>
        <w:rPr>
          <w:rFonts w:hint="eastAsia" w:ascii="黑体" w:hAnsi="黑体" w:eastAsia="黑体"/>
          <w:sz w:val="32"/>
          <w:szCs w:val="32"/>
        </w:rPr>
      </w:pPr>
    </w:p>
    <w:p>
      <w:pPr>
        <w:rPr>
          <w:rFonts w:hint="eastAsia" w:ascii="黑体" w:hAnsi="黑体" w:eastAsia="黑体"/>
          <w:sz w:val="32"/>
          <w:szCs w:val="32"/>
        </w:rPr>
      </w:pPr>
    </w:p>
    <w:p>
      <w:pPr>
        <w:pStyle w:val="2"/>
        <w:rPr>
          <w:rFonts w:hint="eastAsia" w:ascii="黑体" w:hAnsi="黑体" w:eastAsia="黑体"/>
          <w:sz w:val="32"/>
          <w:szCs w:val="32"/>
        </w:rPr>
      </w:pPr>
    </w:p>
    <w:p>
      <w:pPr>
        <w:rPr>
          <w:rFonts w:hint="eastAsia" w:ascii="黑体" w:hAnsi="黑体" w:eastAsia="黑体"/>
          <w:sz w:val="32"/>
          <w:szCs w:val="32"/>
        </w:rPr>
      </w:pPr>
    </w:p>
    <w:p>
      <w:pPr>
        <w:pStyle w:val="2"/>
        <w:rPr>
          <w:rFonts w:hint="eastAsia"/>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pStyle w:val="2"/>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hint="eastAsia" w:ascii="黑体" w:hAnsi="黑体" w:eastAsia="黑体"/>
          <w:sz w:val="32"/>
          <w:szCs w:val="32"/>
        </w:rPr>
      </w:pPr>
    </w:p>
    <w:p>
      <w:pPr>
        <w:spacing w:line="600" w:lineRule="exact"/>
        <w:rPr>
          <w:rFonts w:ascii="黑体" w:eastAsia="黑体"/>
          <w:sz w:val="32"/>
          <w:szCs w:val="32"/>
        </w:rPr>
      </w:pPr>
      <w:r>
        <w:rPr>
          <w:rFonts w:hint="eastAsia" w:ascii="黑体" w:hAnsi="黑体" w:eastAsia="黑体"/>
          <w:sz w:val="32"/>
          <w:szCs w:val="32"/>
        </w:rPr>
        <w:t>信息公开选项</w:t>
      </w:r>
      <w:r>
        <w:rPr>
          <w:rFonts w:hint="eastAsia" w:ascii="黑体" w:eastAsia="黑体"/>
          <w:sz w:val="32"/>
          <w:szCs w:val="32"/>
        </w:rPr>
        <w:t>：</w:t>
      </w:r>
      <w:r>
        <w:rPr>
          <w:rFonts w:hint="eastAsia" w:ascii="方正小标宋简体" w:eastAsia="方正小标宋简体"/>
          <w:color w:val="000000"/>
          <w:sz w:val="32"/>
          <w:szCs w:val="32"/>
          <w:lang w:val="en-US" w:eastAsia="zh-CN"/>
        </w:rPr>
        <w:t>主动</w:t>
      </w:r>
      <w:r>
        <w:rPr>
          <w:rFonts w:hint="eastAsia" w:ascii="方正小标宋简体" w:eastAsia="方正小标宋简体"/>
          <w:color w:val="000000"/>
          <w:sz w:val="32"/>
          <w:szCs w:val="32"/>
        </w:rPr>
        <w:t>公开</w:t>
      </w:r>
    </w:p>
    <w:p>
      <w:pPr>
        <w:spacing w:line="300" w:lineRule="exact"/>
        <w:rPr>
          <w:rFonts w:hint="eastAsia" w:ascii="仿宋_GB2312" w:hAnsi="Calibri" w:eastAsia="仿宋_GB2312"/>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76200</wp:posOffset>
                </wp:positionV>
                <wp:extent cx="5492750" cy="35560"/>
                <wp:effectExtent l="0" t="6350" r="12700" b="15240"/>
                <wp:wrapNone/>
                <wp:docPr id="85" name="直接连接符 85"/>
                <wp:cNvGraphicFramePr/>
                <a:graphic xmlns:a="http://schemas.openxmlformats.org/drawingml/2006/main">
                  <a:graphicData uri="http://schemas.microsoft.com/office/word/2010/wordprocessingShape">
                    <wps:wsp>
                      <wps:cNvCnPr/>
                      <wps:spPr>
                        <a:xfrm flipV="true">
                          <a:off x="0" y="0"/>
                          <a:ext cx="5492750" cy="35560"/>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0pt;margin-top:6pt;height:2.8pt;width:432.5pt;z-index:251662336;mso-width-relative:page;mso-height-relative:page;" filled="f" stroked="t" coordsize="21600,21600" o:gfxdata="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pg71DVAAAABgEAAA8AAAAAAAAAAQAgAAAAOAAAAGRycy9kb3du&#10;cmV2LnhtbFBLAQIUABQAAAAIAIdO4kCBvBJc7AEAAK0DAAAOAAAAAAAAAAEAIAAAADoBAABkcnMv&#10;ZTJvRG9jLnhtbFBLBQYAAAAABgAGAFkBAACYBQAAAAA=&#10;">
                <v:fill on="f" focussize="0,0"/>
                <v:stroke weight="1pt" color="#000000" joinstyle="round"/>
                <v:imagedata o:title=""/>
                <o:lock v:ext="edit" aspectratio="f"/>
              </v:line>
            </w:pict>
          </mc:Fallback>
        </mc:AlternateContent>
      </w:r>
    </w:p>
    <w:p>
      <w:pPr>
        <w:spacing w:line="400" w:lineRule="exact"/>
        <w:ind w:left="1149" w:leftChars="147" w:hanging="840" w:hangingChars="300"/>
        <w:rPr>
          <w:rFonts w:hint="eastAsia" w:ascii="仿宋_GB2312" w:hAnsi="Calibri" w:eastAsia="仿宋_GB2312"/>
          <w:sz w:val="28"/>
          <w:szCs w:val="28"/>
        </w:rPr>
      </w:pPr>
      <w:r>
        <w:rPr>
          <w:rFonts w:hint="eastAsia" w:ascii="仿宋_GB2312" w:hAnsi="Calibri" w:eastAsia="仿宋_GB2312"/>
          <w:sz w:val="28"/>
          <w:szCs w:val="28"/>
        </w:rPr>
        <w:t>抄送：区委办公室，区人大常委会办公室，区政协办公室，区纪委</w:t>
      </w:r>
    </w:p>
    <w:p>
      <w:pPr>
        <w:spacing w:line="400" w:lineRule="exact"/>
        <w:ind w:left="1147" w:leftChars="546"/>
        <w:rPr>
          <w:rFonts w:hint="eastAsia" w:ascii="仿宋_GB2312" w:hAnsi="Calibri" w:eastAsia="仿宋_GB2312"/>
          <w:sz w:val="28"/>
          <w:szCs w:val="28"/>
        </w:rPr>
      </w:pPr>
      <w:r>
        <w:rPr>
          <w:rFonts w:hint="eastAsia" w:ascii="仿宋_GB2312" w:hAnsi="Calibri" w:eastAsia="仿宋_GB2312"/>
          <w:sz w:val="28"/>
          <w:szCs w:val="28"/>
        </w:rPr>
        <w:t>监委，区法院，区检察院，区人武部。</w:t>
      </w:r>
    </w:p>
    <w:p>
      <w:pPr>
        <w:spacing w:line="300" w:lineRule="exact"/>
        <w:ind w:left="1121" w:leftChars="534"/>
        <w:rPr>
          <w:rFonts w:hint="eastAsia" w:ascii="仿宋_GB2312" w:hAnsi="Calibri" w:eastAsia="仿宋_GB2312"/>
          <w:sz w:val="28"/>
          <w:szCs w:val="28"/>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71120</wp:posOffset>
                </wp:positionV>
                <wp:extent cx="5492750" cy="35560"/>
                <wp:effectExtent l="0" t="6350" r="12700" b="15240"/>
                <wp:wrapNone/>
                <wp:docPr id="84" name="直接连接符 84"/>
                <wp:cNvGraphicFramePr/>
                <a:graphic xmlns:a="http://schemas.openxmlformats.org/drawingml/2006/main">
                  <a:graphicData uri="http://schemas.microsoft.com/office/word/2010/wordprocessingShape">
                    <wps:wsp>
                      <wps:cNvCnPr/>
                      <wps:spPr>
                        <a:xfrm flipV="true">
                          <a:off x="0" y="0"/>
                          <a:ext cx="5492750" cy="35560"/>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0pt;margin-top:5.6pt;height:2.8pt;width:432.5pt;z-index:251661312;mso-width-relative:page;mso-height-relative:page;" filled="f" stroked="t" coordsize="21600,21600" o:gfxdata="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HdBArUAAAABgEAAA8AAAAAAAAAAQAgAAAAOAAAAGRycy9kb3du&#10;cmV2LnhtbFBLAQIUABQAAAAIAIdO4kCrOhYS7QEAAK0DAAAOAAAAAAAAAAEAIAAAADkBAABkcnMv&#10;ZTJvRG9jLnhtbFBLBQYAAAAABgAGAFkBAACYBQAAAAA=&#10;">
                <v:fill on="f" focussize="0,0"/>
                <v:stroke weight="1pt" color="#000000" joinstyle="round"/>
                <v:imagedata o:title=""/>
                <o:lock v:ext="edit" aspectratio="f"/>
              </v:line>
            </w:pict>
          </mc:Fallback>
        </mc:AlternateContent>
      </w:r>
    </w:p>
    <w:p>
      <w:pPr>
        <w:spacing w:line="300" w:lineRule="exact"/>
        <w:ind w:firstLine="312" w:firstLineChars="149"/>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276860</wp:posOffset>
                </wp:positionV>
                <wp:extent cx="5492750" cy="35560"/>
                <wp:effectExtent l="0" t="6350" r="12700" b="15240"/>
                <wp:wrapNone/>
                <wp:docPr id="83" name="直接连接符 83"/>
                <wp:cNvGraphicFramePr/>
                <a:graphic xmlns:a="http://schemas.openxmlformats.org/drawingml/2006/main">
                  <a:graphicData uri="http://schemas.microsoft.com/office/word/2010/wordprocessingShape">
                    <wps:wsp>
                      <wps:cNvCnPr/>
                      <wps:spPr>
                        <a:xfrm flipV="true">
                          <a:off x="0" y="0"/>
                          <a:ext cx="5492750" cy="35560"/>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0pt;margin-top:21.8pt;height:2.8pt;width:432.5pt;z-index:251660288;mso-width-relative:page;mso-height-relative:page;" filled="f" stroked="t" coordsize="21600,21600" o:gfxdata="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wQVSy1gAAAAYBAAAPAAAAAAAAAAEAIAAAADgAAABkcnMvZG93&#10;bnJldi54bWxQSwECFAAUAAAACACHTuJAPK54I+wBAACtAwAADgAAAAAAAAABACAAAAA7AQAAZHJz&#10;L2Uyb0RvYy54bWxQSwUGAAAAAAYABgBZAQAAmQUAAAAA&#10;">
                <v:fill on="f" focussize="0,0"/>
                <v:stroke weight="1pt" color="#000000" joinstyle="round"/>
                <v:imagedata o:title=""/>
                <o:lock v:ext="edit" aspectratio="f"/>
              </v:line>
            </w:pict>
          </mc:Fallback>
        </mc:AlternateContent>
      </w:r>
      <w:r>
        <w:rPr>
          <w:rFonts w:hint="eastAsia" w:eastAsia="仿宋_GB2312"/>
          <w:sz w:val="28"/>
          <w:szCs w:val="32"/>
        </w:rPr>
        <w:t>乐山市金口河区人民政府办公室</w:t>
      </w:r>
      <w:r>
        <w:rPr>
          <w:rFonts w:eastAsia="仿宋_GB2312"/>
          <w:sz w:val="28"/>
          <w:szCs w:val="32"/>
        </w:rPr>
        <w:t xml:space="preserve">         </w:t>
      </w:r>
      <w:r>
        <w:rPr>
          <w:rFonts w:hint="eastAsia" w:eastAsia="仿宋_GB2312"/>
          <w:sz w:val="28"/>
          <w:szCs w:val="32"/>
        </w:rPr>
        <w:t xml:space="preserve"> </w:t>
      </w:r>
      <w:r>
        <w:rPr>
          <w:rFonts w:eastAsia="仿宋_GB2312"/>
          <w:sz w:val="28"/>
          <w:szCs w:val="32"/>
        </w:rPr>
        <w:t>20</w:t>
      </w:r>
      <w:r>
        <w:rPr>
          <w:rFonts w:hint="eastAsia" w:eastAsia="仿宋_GB2312"/>
          <w:sz w:val="28"/>
          <w:szCs w:val="32"/>
        </w:rPr>
        <w:t>2</w:t>
      </w:r>
      <w:r>
        <w:rPr>
          <w:rFonts w:hint="eastAsia" w:eastAsia="仿宋_GB2312"/>
          <w:sz w:val="28"/>
          <w:szCs w:val="32"/>
          <w:lang w:val="en-US" w:eastAsia="zh-CN"/>
        </w:rPr>
        <w:t>3</w:t>
      </w:r>
      <w:r>
        <w:rPr>
          <w:rFonts w:hint="eastAsia" w:eastAsia="仿宋_GB2312"/>
          <w:sz w:val="28"/>
          <w:szCs w:val="32"/>
        </w:rPr>
        <w:t>年</w:t>
      </w:r>
      <w:r>
        <w:rPr>
          <w:rFonts w:hint="eastAsia" w:eastAsia="仿宋_GB2312"/>
          <w:sz w:val="28"/>
          <w:szCs w:val="32"/>
          <w:lang w:val="en-US" w:eastAsia="zh-CN"/>
        </w:rPr>
        <w:t>2</w:t>
      </w:r>
      <w:r>
        <w:rPr>
          <w:rFonts w:hint="eastAsia" w:eastAsia="仿宋_GB2312"/>
          <w:sz w:val="28"/>
          <w:szCs w:val="32"/>
        </w:rPr>
        <w:t>月</w:t>
      </w:r>
      <w:r>
        <w:rPr>
          <w:rFonts w:hint="eastAsia" w:eastAsia="仿宋_GB2312"/>
          <w:sz w:val="28"/>
          <w:szCs w:val="32"/>
          <w:lang w:val="en-US" w:eastAsia="zh-CN"/>
        </w:rPr>
        <w:t>22</w:t>
      </w:r>
      <w:r>
        <w:rPr>
          <w:rFonts w:hint="eastAsia" w:eastAsia="仿宋_GB2312"/>
          <w:sz w:val="28"/>
          <w:szCs w:val="32"/>
        </w:rPr>
        <w:t>日印发</w:t>
      </w:r>
    </w:p>
    <w:p>
      <w:pPr>
        <w:pStyle w:val="16"/>
        <w:rPr>
          <w:rFonts w:hint="default"/>
          <w:lang w:val="en-US" w:eastAsia="zh-CN"/>
        </w:rPr>
      </w:pPr>
    </w:p>
    <w:sectPr>
      <w:headerReference r:id="rId6" w:type="default"/>
      <w:footerReference r:id="rId8" w:type="default"/>
      <w:headerReference r:id="rId7" w:type="even"/>
      <w:footerReference r:id="rId9" w:type="even"/>
      <w:pgSz w:w="11906" w:h="16838"/>
      <w:pgMar w:top="2098" w:right="1474" w:bottom="1984" w:left="1587" w:header="1701" w:footer="1701" w:gutter="0"/>
      <w:pgBorders>
        <w:top w:val="none" w:sz="0" w:space="0"/>
        <w:left w:val="none" w:sz="0" w:space="0"/>
        <w:bottom w:val="none" w:sz="0" w:space="0"/>
        <w:right w:val="none" w:sz="0" w:space="0"/>
      </w:pgBorders>
      <w:pgNumType w:fmt="decimal"/>
      <w:cols w:space="0" w:num="1"/>
      <w:rtlGutter w:val="0"/>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altName w:val="宋体"/>
    <w:panose1 w:val="02010609060101010101"/>
    <w:charset w:val="86"/>
    <w:family w:val="auto"/>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文泉驿正黑">
    <w:panose1 w:val="02000603000000000000"/>
    <w:charset w:val="86"/>
    <w:family w:val="auto"/>
    <w:pitch w:val="default"/>
    <w:sig w:usb0="900002BF" w:usb1="2BDF7DFB" w:usb2="00000036" w:usb3="00000000" w:csb0="603E000D" w:csb1="D2D7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-47625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3.75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B0v4zfUAAAABwEAAA8AAAAAAAAAAQAgAAAAOAAAAGRycy9kb3ducmV2LnhtbFBL&#10;AQIUABQAAAAIAIdO4kAEHTBAHQIAACsEAAAOAAAAAAAAAAEAIAAAADkBAABkcnMvZTJvRG9jLnht&#10;bFBLBQYAAAAABgAGAFkBAADIBQAAAAA=&#10;">
              <v:fill on="f" focussize="0,0"/>
              <v:stroke on="f" weight="0.5pt"/>
              <v:imagedata o:title=""/>
              <o:lock v:ext="edit" aspectratio="f"/>
              <v:textbox inset="0mm,0mm,0mm,0mm" style="mso-fit-shape-to-text:t;">
                <w:txbxContent>
                  <w:p>
                    <w:pPr>
                      <w:pStyle w:val="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-47625</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3.75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B0v4zfUAAAABwEAAA8AAAAAAAAAAQAgAAAAOAAAAGRycy9kb3ducmV2LnhtbFBL&#10;AQIUABQAAAAIAIdO4kDzKQClHQIAACsEAAAOAAAAAAAAAAEAIAAAADkBAABkcnMvZTJvRG9jLnht&#10;bFBLBQYAAAAABgAGAFkBAADIBQAAAAA=&#10;">
              <v:fill on="f" focussize="0,0"/>
              <v:stroke on="f" weight="0.5pt"/>
              <v:imagedata o:title=""/>
              <o:lock v:ext="edit" aspectratio="f"/>
              <v:textbox inset="0mm,0mm,0mm,0mm" style="mso-fit-shape-to-text:t;">
                <w:txbxContent>
                  <w:p>
                    <w:pPr>
                      <w:pStyle w:val="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-47625</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3.75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dL+M31AAAAAcBAAAPAAAAAAAAAAEAIAAAADgAAABkcnMvZG93bnJldi54bWxQSwEC&#10;FAAUAAAACACHTuJAgevmGRsCAAArBAAADgAAAAAAAAABACAAAAA5AQAAZHJzL2Uyb0RvYy54bWxQ&#10;SwUGAAAAAAYABgBZAQAAxgUAAAAA&#10;">
              <v:fill on="f" focussize="0,0"/>
              <v:stroke on="f" weight="0.5pt"/>
              <v:imagedata o:title=""/>
              <o:lock v:ext="edit" aspectratio="f"/>
              <v:textbox inset="0mm,0mm,0mm,0mm" style="mso-fit-shape-to-text:t;">
                <w:txbxContent>
                  <w:p>
                    <w:pPr>
                      <w:pStyle w:val="1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1838"/>
      </w:tabs>
      <w:snapToGrid w:val="0"/>
      <w:spacing w:line="580" w:lineRule="exact"/>
      <w:ind w:right="360" w:firstLine="560" w:firstLineChars="200"/>
      <w:jc w:val="left"/>
      <w:rPr>
        <w:rFonts w:hint="eastAsia" w:ascii="宋体" w:hAnsi="Times New Roman" w:eastAsia="宋体" w:cs="Arial"/>
        <w:kern w:val="2"/>
        <w:sz w:val="28"/>
        <w:szCs w:val="28"/>
        <w:lang w:val="en-US" w:eastAsia="zh-CN" w:bidi="ar-SA"/>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- 351 -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uBYs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Vz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vuBYsHgIAACsEAAAOAAAAAAAAAAEAIAAAADUBAABkcnMvZTJvRG9jLnhtbFBL&#10;BQYAAAAABgAGAFkBAADFBQAAAAA=&#10;">
              <v:fill on="f" focussize="0,0"/>
              <v:stroke on="f" weight="0.5pt"/>
              <v:imagedata o:title=""/>
              <o:lock v:ext="edit" aspectratio="f"/>
              <v:textbox inset="0mm,0mm,0mm,0mm" style="mso-fit-shape-to-text:t;">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- 351 -</w:t>
                    </w:r>
                    <w:r>
                      <w:rPr>
                        <w:sz w:val="28"/>
                        <w:szCs w:val="28"/>
                      </w:rPr>
                      <w:fldChar w:fldCharType="end"/>
                    </w:r>
                    <w:r>
                      <w:rPr>
                        <w:sz w:val="28"/>
                        <w:szCs w:val="28"/>
                      </w:rPr>
                      <w:t xml:space="preserve"> —</w:t>
                    </w:r>
                  </w:p>
                </w:txbxContent>
              </v:textbox>
            </v:shape>
          </w:pict>
        </mc:Fallback>
      </mc:AlternateContent>
    </w:r>
    <w:r>
      <w:rPr>
        <w:rFonts w:hint="eastAsia" w:ascii="宋体" w:hAnsi="Times New Roman" w:eastAsia="宋体" w:cs="Arial"/>
        <w:kern w:val="2"/>
        <w:sz w:val="28"/>
        <w:szCs w:val="28"/>
        <w:lang w:val="en-US" w:eastAsia="zh-CN" w:bidi="ar-S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宋体" w:hAnsi="宋体" w:eastAsia="宋体" w:cs="Times New Roman"/>
        <w:kern w:val="2"/>
        <w:sz w:val="24"/>
        <w:lang w:val="en-US" w:eastAsia="zh-CN" w:bidi="ar-SA"/>
      </w:rPr>
    </w:pPr>
    <w:r>
      <w:rPr>
        <w:sz w:val="24"/>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- 352 -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0SsHQIAACs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P7RKwdAgAAKwQAAA4AAAAAAAAAAQAgAAAANQEAAGRycy9lMm9Eb2MueG1sUEsF&#10;BgAAAAAGAAYAWQEAAMQFAAAAAA==&#10;">
              <v:fill on="f" focussize="0,0"/>
              <v:stroke on="f" weight="0.5pt"/>
              <v:imagedata o:title=""/>
              <o:lock v:ext="edit" aspectratio="f"/>
              <v:textbox inset="0mm,0mm,0mm,0mm" style="mso-fit-shape-to-text:t;">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- 352 -</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HorizontalSpacing w:val="108"/>
  <w:drawingGridVerticalSpacing w:val="293"/>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mY2VhYTQzZmMxODU3NDY0YmZmMzJmMDY5ODhlNjEifQ=="/>
  </w:docVars>
  <w:rsids>
    <w:rsidRoot w:val="7B8D3063"/>
    <w:rsid w:val="00531DAF"/>
    <w:rsid w:val="009D0EA3"/>
    <w:rsid w:val="00A97848"/>
    <w:rsid w:val="013444C1"/>
    <w:rsid w:val="01A544B3"/>
    <w:rsid w:val="020236B3"/>
    <w:rsid w:val="021B4F62"/>
    <w:rsid w:val="02C57F5B"/>
    <w:rsid w:val="02F2154A"/>
    <w:rsid w:val="03197C8A"/>
    <w:rsid w:val="04003ABE"/>
    <w:rsid w:val="04103CB0"/>
    <w:rsid w:val="04875963"/>
    <w:rsid w:val="0497427D"/>
    <w:rsid w:val="04D74871"/>
    <w:rsid w:val="052BEFFE"/>
    <w:rsid w:val="05416E23"/>
    <w:rsid w:val="055E6E53"/>
    <w:rsid w:val="05955811"/>
    <w:rsid w:val="05DC60AF"/>
    <w:rsid w:val="05E4651A"/>
    <w:rsid w:val="05F7B7F0"/>
    <w:rsid w:val="06AB60C8"/>
    <w:rsid w:val="06B62CBE"/>
    <w:rsid w:val="070E34A9"/>
    <w:rsid w:val="074C2753"/>
    <w:rsid w:val="077F7BB6"/>
    <w:rsid w:val="07A17943"/>
    <w:rsid w:val="07A56FBB"/>
    <w:rsid w:val="07EA0E72"/>
    <w:rsid w:val="07F026EE"/>
    <w:rsid w:val="07FDCD63"/>
    <w:rsid w:val="09391BDB"/>
    <w:rsid w:val="098E1701"/>
    <w:rsid w:val="099665FA"/>
    <w:rsid w:val="09EA63BF"/>
    <w:rsid w:val="0A1A2AD5"/>
    <w:rsid w:val="0B187AA4"/>
    <w:rsid w:val="0B1B7594"/>
    <w:rsid w:val="0B27202A"/>
    <w:rsid w:val="0B7C6AB4"/>
    <w:rsid w:val="0B7C769C"/>
    <w:rsid w:val="0BAA5D2C"/>
    <w:rsid w:val="0BD1C7D6"/>
    <w:rsid w:val="0BE8391A"/>
    <w:rsid w:val="0BFD65D9"/>
    <w:rsid w:val="0C693011"/>
    <w:rsid w:val="0C7B3AB4"/>
    <w:rsid w:val="0C936FDB"/>
    <w:rsid w:val="0CA41DB2"/>
    <w:rsid w:val="0CADDBF6"/>
    <w:rsid w:val="0CD67C16"/>
    <w:rsid w:val="0D2F568B"/>
    <w:rsid w:val="0D8833E3"/>
    <w:rsid w:val="0DC45CC1"/>
    <w:rsid w:val="0E0C5066"/>
    <w:rsid w:val="0E5619F5"/>
    <w:rsid w:val="0F26281D"/>
    <w:rsid w:val="0F97F5E0"/>
    <w:rsid w:val="0FAF9D0D"/>
    <w:rsid w:val="0FBF47D9"/>
    <w:rsid w:val="0FCF8ADA"/>
    <w:rsid w:val="10236A5C"/>
    <w:rsid w:val="109366FA"/>
    <w:rsid w:val="10E52CD0"/>
    <w:rsid w:val="122D2A28"/>
    <w:rsid w:val="12362F21"/>
    <w:rsid w:val="12E66501"/>
    <w:rsid w:val="135FC125"/>
    <w:rsid w:val="136523E1"/>
    <w:rsid w:val="13C71511"/>
    <w:rsid w:val="140C03C2"/>
    <w:rsid w:val="1418774C"/>
    <w:rsid w:val="142409E5"/>
    <w:rsid w:val="144F703F"/>
    <w:rsid w:val="14CC409E"/>
    <w:rsid w:val="14CE4E21"/>
    <w:rsid w:val="164D7A16"/>
    <w:rsid w:val="1685435F"/>
    <w:rsid w:val="1688192D"/>
    <w:rsid w:val="16A11374"/>
    <w:rsid w:val="16BA40D6"/>
    <w:rsid w:val="173FCB92"/>
    <w:rsid w:val="178D5BA0"/>
    <w:rsid w:val="1798507A"/>
    <w:rsid w:val="17BE0693"/>
    <w:rsid w:val="17BEE62C"/>
    <w:rsid w:val="17D244D2"/>
    <w:rsid w:val="17D869D4"/>
    <w:rsid w:val="17DB748D"/>
    <w:rsid w:val="17E735C8"/>
    <w:rsid w:val="17EF97C4"/>
    <w:rsid w:val="17F4D0CB"/>
    <w:rsid w:val="17F81952"/>
    <w:rsid w:val="18512847"/>
    <w:rsid w:val="188A0377"/>
    <w:rsid w:val="18B27D87"/>
    <w:rsid w:val="18C80D5B"/>
    <w:rsid w:val="18DFA4A9"/>
    <w:rsid w:val="19474FC3"/>
    <w:rsid w:val="197D0294"/>
    <w:rsid w:val="19810F0A"/>
    <w:rsid w:val="19F723FF"/>
    <w:rsid w:val="1A143B2C"/>
    <w:rsid w:val="1A77FD0F"/>
    <w:rsid w:val="1AC640D9"/>
    <w:rsid w:val="1AFA1915"/>
    <w:rsid w:val="1B4B17D0"/>
    <w:rsid w:val="1B574618"/>
    <w:rsid w:val="1BDEFFCD"/>
    <w:rsid w:val="1BFE117B"/>
    <w:rsid w:val="1C180B3F"/>
    <w:rsid w:val="1C4E1577"/>
    <w:rsid w:val="1CB477B1"/>
    <w:rsid w:val="1CB82E85"/>
    <w:rsid w:val="1CBC001A"/>
    <w:rsid w:val="1CBFEAB0"/>
    <w:rsid w:val="1CD07241"/>
    <w:rsid w:val="1CD11779"/>
    <w:rsid w:val="1CD35B26"/>
    <w:rsid w:val="1D0D4151"/>
    <w:rsid w:val="1D6E2E56"/>
    <w:rsid w:val="1D779FFA"/>
    <w:rsid w:val="1DA83E65"/>
    <w:rsid w:val="1DB58BBE"/>
    <w:rsid w:val="1DFF3279"/>
    <w:rsid w:val="1DFFBB4C"/>
    <w:rsid w:val="1E05210A"/>
    <w:rsid w:val="1E164317"/>
    <w:rsid w:val="1E3B2F8D"/>
    <w:rsid w:val="1E3E4DFF"/>
    <w:rsid w:val="1E7AB81C"/>
    <w:rsid w:val="1EA47B74"/>
    <w:rsid w:val="1EA7D5A9"/>
    <w:rsid w:val="1EAC6EF9"/>
    <w:rsid w:val="1EBC16A4"/>
    <w:rsid w:val="1EBFFB83"/>
    <w:rsid w:val="1ED82B17"/>
    <w:rsid w:val="1EF7E977"/>
    <w:rsid w:val="1F3D1FE3"/>
    <w:rsid w:val="1F3F2101"/>
    <w:rsid w:val="1F5F0CCF"/>
    <w:rsid w:val="1F7D0E8D"/>
    <w:rsid w:val="1F844649"/>
    <w:rsid w:val="1F9B3951"/>
    <w:rsid w:val="1FAB33E8"/>
    <w:rsid w:val="1FB74F6B"/>
    <w:rsid w:val="1FCFA034"/>
    <w:rsid w:val="1FE178CD"/>
    <w:rsid w:val="1FED0F5D"/>
    <w:rsid w:val="1FEE8023"/>
    <w:rsid w:val="1FEF184D"/>
    <w:rsid w:val="1FF7F6BD"/>
    <w:rsid w:val="1FFB91A1"/>
    <w:rsid w:val="20863AF3"/>
    <w:rsid w:val="20945682"/>
    <w:rsid w:val="20A340B7"/>
    <w:rsid w:val="219F50C3"/>
    <w:rsid w:val="21C30B07"/>
    <w:rsid w:val="220240B6"/>
    <w:rsid w:val="223061C2"/>
    <w:rsid w:val="2245484E"/>
    <w:rsid w:val="22761828"/>
    <w:rsid w:val="22DFC99E"/>
    <w:rsid w:val="230A3054"/>
    <w:rsid w:val="23AA0E19"/>
    <w:rsid w:val="24633955"/>
    <w:rsid w:val="247268A5"/>
    <w:rsid w:val="24D16274"/>
    <w:rsid w:val="251A35EE"/>
    <w:rsid w:val="25AA07E5"/>
    <w:rsid w:val="25DF6D7A"/>
    <w:rsid w:val="2685203A"/>
    <w:rsid w:val="2689794E"/>
    <w:rsid w:val="26B24860"/>
    <w:rsid w:val="26F899B5"/>
    <w:rsid w:val="26FB0471"/>
    <w:rsid w:val="27244140"/>
    <w:rsid w:val="273C32B8"/>
    <w:rsid w:val="27585A5B"/>
    <w:rsid w:val="27665DC5"/>
    <w:rsid w:val="27B17B89"/>
    <w:rsid w:val="27D76959"/>
    <w:rsid w:val="27FFFC89"/>
    <w:rsid w:val="28D10EF7"/>
    <w:rsid w:val="28D728F5"/>
    <w:rsid w:val="28DC43AF"/>
    <w:rsid w:val="28E850A3"/>
    <w:rsid w:val="28EE39B4"/>
    <w:rsid w:val="28FC1062"/>
    <w:rsid w:val="298B14F0"/>
    <w:rsid w:val="29CB5C2C"/>
    <w:rsid w:val="29F45AE4"/>
    <w:rsid w:val="2A0F4015"/>
    <w:rsid w:val="2A5D6D30"/>
    <w:rsid w:val="2ADF87E7"/>
    <w:rsid w:val="2B2346F2"/>
    <w:rsid w:val="2B753823"/>
    <w:rsid w:val="2B775470"/>
    <w:rsid w:val="2B7A758A"/>
    <w:rsid w:val="2B9B7599"/>
    <w:rsid w:val="2BE71D13"/>
    <w:rsid w:val="2C293F03"/>
    <w:rsid w:val="2C6E28CA"/>
    <w:rsid w:val="2CA82898"/>
    <w:rsid w:val="2CFB7312"/>
    <w:rsid w:val="2D3E35FD"/>
    <w:rsid w:val="2D5B1D46"/>
    <w:rsid w:val="2D980B0D"/>
    <w:rsid w:val="2DAAE61C"/>
    <w:rsid w:val="2DFE07F0"/>
    <w:rsid w:val="2DFE8010"/>
    <w:rsid w:val="2DFF5229"/>
    <w:rsid w:val="2E5F156F"/>
    <w:rsid w:val="2E6E382B"/>
    <w:rsid w:val="2E6F1AA2"/>
    <w:rsid w:val="2EAC200C"/>
    <w:rsid w:val="2EB678A6"/>
    <w:rsid w:val="2EEED19E"/>
    <w:rsid w:val="2F4728B8"/>
    <w:rsid w:val="2F7EE4AA"/>
    <w:rsid w:val="2FCF52AD"/>
    <w:rsid w:val="2FDE5643"/>
    <w:rsid w:val="2FEF7F2F"/>
    <w:rsid w:val="2FFE4C0B"/>
    <w:rsid w:val="31083F93"/>
    <w:rsid w:val="312F1639"/>
    <w:rsid w:val="3171213C"/>
    <w:rsid w:val="32500B77"/>
    <w:rsid w:val="32D765AA"/>
    <w:rsid w:val="32FB4B47"/>
    <w:rsid w:val="335CB243"/>
    <w:rsid w:val="3365F2C2"/>
    <w:rsid w:val="337EC77D"/>
    <w:rsid w:val="339E7474"/>
    <w:rsid w:val="33A3246C"/>
    <w:rsid w:val="33BBE1BF"/>
    <w:rsid w:val="33C22CE8"/>
    <w:rsid w:val="33EB11AA"/>
    <w:rsid w:val="33EC4D0B"/>
    <w:rsid w:val="33FBCDCA"/>
    <w:rsid w:val="33FE4BF3"/>
    <w:rsid w:val="340B59A2"/>
    <w:rsid w:val="34517165"/>
    <w:rsid w:val="34B940A0"/>
    <w:rsid w:val="35074561"/>
    <w:rsid w:val="358463F8"/>
    <w:rsid w:val="35ABB5AE"/>
    <w:rsid w:val="35BFA7F0"/>
    <w:rsid w:val="35BFE2B8"/>
    <w:rsid w:val="35FD055A"/>
    <w:rsid w:val="35FD4B5F"/>
    <w:rsid w:val="35FEB950"/>
    <w:rsid w:val="36150799"/>
    <w:rsid w:val="3662778D"/>
    <w:rsid w:val="367DEEEA"/>
    <w:rsid w:val="36A51CFA"/>
    <w:rsid w:val="36DC7968"/>
    <w:rsid w:val="370C1CF6"/>
    <w:rsid w:val="37296A11"/>
    <w:rsid w:val="373E6BF7"/>
    <w:rsid w:val="37473E50"/>
    <w:rsid w:val="376D1FBE"/>
    <w:rsid w:val="376E7DA7"/>
    <w:rsid w:val="377DEC01"/>
    <w:rsid w:val="377E0B7C"/>
    <w:rsid w:val="37B2BF10"/>
    <w:rsid w:val="37BC0A8C"/>
    <w:rsid w:val="37BD0ED2"/>
    <w:rsid w:val="37D10B50"/>
    <w:rsid w:val="37D1EA3B"/>
    <w:rsid w:val="37DFAD83"/>
    <w:rsid w:val="37DFD14C"/>
    <w:rsid w:val="37F120DC"/>
    <w:rsid w:val="37F1F5BC"/>
    <w:rsid w:val="37FB9169"/>
    <w:rsid w:val="383A2E02"/>
    <w:rsid w:val="383E332F"/>
    <w:rsid w:val="385264CE"/>
    <w:rsid w:val="389B0969"/>
    <w:rsid w:val="38BF9B11"/>
    <w:rsid w:val="390C65EA"/>
    <w:rsid w:val="3934169D"/>
    <w:rsid w:val="3957A0B8"/>
    <w:rsid w:val="398114C3"/>
    <w:rsid w:val="39DFD4F8"/>
    <w:rsid w:val="39FF9DBA"/>
    <w:rsid w:val="3A612EBD"/>
    <w:rsid w:val="3A6E3A1F"/>
    <w:rsid w:val="3A7F2AF9"/>
    <w:rsid w:val="3ABF9083"/>
    <w:rsid w:val="3AC239F8"/>
    <w:rsid w:val="3AD4D1EF"/>
    <w:rsid w:val="3AFC2D82"/>
    <w:rsid w:val="3B5B4161"/>
    <w:rsid w:val="3B753045"/>
    <w:rsid w:val="3B75BB3F"/>
    <w:rsid w:val="3B912340"/>
    <w:rsid w:val="3BBF935C"/>
    <w:rsid w:val="3BBF9E4A"/>
    <w:rsid w:val="3BDBC98E"/>
    <w:rsid w:val="3BE7D2B2"/>
    <w:rsid w:val="3BF3638E"/>
    <w:rsid w:val="3BF61E0B"/>
    <w:rsid w:val="3BFF59DC"/>
    <w:rsid w:val="3BFF867D"/>
    <w:rsid w:val="3CA15CBB"/>
    <w:rsid w:val="3CB25F83"/>
    <w:rsid w:val="3CE1CEBC"/>
    <w:rsid w:val="3CED30BB"/>
    <w:rsid w:val="3CFC24D2"/>
    <w:rsid w:val="3CFE4857"/>
    <w:rsid w:val="3D110EAE"/>
    <w:rsid w:val="3D1C2F17"/>
    <w:rsid w:val="3D2B4C8B"/>
    <w:rsid w:val="3D3753F4"/>
    <w:rsid w:val="3D4B6CDE"/>
    <w:rsid w:val="3D527F38"/>
    <w:rsid w:val="3D971C6A"/>
    <w:rsid w:val="3D98044D"/>
    <w:rsid w:val="3DBB45AB"/>
    <w:rsid w:val="3DBF10E8"/>
    <w:rsid w:val="3DCCF216"/>
    <w:rsid w:val="3DDB2BDF"/>
    <w:rsid w:val="3DDF48E3"/>
    <w:rsid w:val="3DDFB34D"/>
    <w:rsid w:val="3DEA1327"/>
    <w:rsid w:val="3DEB65AD"/>
    <w:rsid w:val="3DEE62BF"/>
    <w:rsid w:val="3DEF4704"/>
    <w:rsid w:val="3DFA1890"/>
    <w:rsid w:val="3DFB5E35"/>
    <w:rsid w:val="3E5DE84D"/>
    <w:rsid w:val="3E7F2265"/>
    <w:rsid w:val="3EDDEA7F"/>
    <w:rsid w:val="3EDEFABC"/>
    <w:rsid w:val="3EE912C1"/>
    <w:rsid w:val="3EFED172"/>
    <w:rsid w:val="3EFF813A"/>
    <w:rsid w:val="3EFFB8EF"/>
    <w:rsid w:val="3F1A1BF9"/>
    <w:rsid w:val="3F2E12FE"/>
    <w:rsid w:val="3F5089EF"/>
    <w:rsid w:val="3F6B78D2"/>
    <w:rsid w:val="3F779907"/>
    <w:rsid w:val="3F78A40C"/>
    <w:rsid w:val="3F7948B9"/>
    <w:rsid w:val="3F7F263B"/>
    <w:rsid w:val="3F9BFA28"/>
    <w:rsid w:val="3FBBCFDE"/>
    <w:rsid w:val="3FD77964"/>
    <w:rsid w:val="3FD982EC"/>
    <w:rsid w:val="3FDFA2B7"/>
    <w:rsid w:val="3FDFB79C"/>
    <w:rsid w:val="3FEE635D"/>
    <w:rsid w:val="3FEF2694"/>
    <w:rsid w:val="3FEF897B"/>
    <w:rsid w:val="3FEFD0B7"/>
    <w:rsid w:val="3FEFDAEE"/>
    <w:rsid w:val="3FF30C93"/>
    <w:rsid w:val="3FF57650"/>
    <w:rsid w:val="3FF79A12"/>
    <w:rsid w:val="3FF7F1A2"/>
    <w:rsid w:val="3FFABC66"/>
    <w:rsid w:val="3FFB7475"/>
    <w:rsid w:val="3FFB7649"/>
    <w:rsid w:val="3FFD5FB2"/>
    <w:rsid w:val="3FFEF7FE"/>
    <w:rsid w:val="3FFFC93B"/>
    <w:rsid w:val="3FFFDE10"/>
    <w:rsid w:val="407C56AB"/>
    <w:rsid w:val="408C0180"/>
    <w:rsid w:val="40FB306D"/>
    <w:rsid w:val="40FBF29B"/>
    <w:rsid w:val="41422591"/>
    <w:rsid w:val="4142704D"/>
    <w:rsid w:val="420A63D7"/>
    <w:rsid w:val="42715A73"/>
    <w:rsid w:val="42A85CB2"/>
    <w:rsid w:val="437B05F4"/>
    <w:rsid w:val="43813731"/>
    <w:rsid w:val="441B5933"/>
    <w:rsid w:val="44254A04"/>
    <w:rsid w:val="445572C0"/>
    <w:rsid w:val="449776B0"/>
    <w:rsid w:val="44FA6A22"/>
    <w:rsid w:val="4541761C"/>
    <w:rsid w:val="45BFCFE1"/>
    <w:rsid w:val="45C24674"/>
    <w:rsid w:val="45FC53A9"/>
    <w:rsid w:val="460715B9"/>
    <w:rsid w:val="4632564F"/>
    <w:rsid w:val="46BF2EEE"/>
    <w:rsid w:val="46DB6AB3"/>
    <w:rsid w:val="47AF5401"/>
    <w:rsid w:val="47B75B7E"/>
    <w:rsid w:val="47BF579B"/>
    <w:rsid w:val="47EB96A8"/>
    <w:rsid w:val="47F41A04"/>
    <w:rsid w:val="47FF70AF"/>
    <w:rsid w:val="484B509C"/>
    <w:rsid w:val="48F11C2B"/>
    <w:rsid w:val="49792312"/>
    <w:rsid w:val="4A203CA4"/>
    <w:rsid w:val="4A976AA6"/>
    <w:rsid w:val="4B700C5B"/>
    <w:rsid w:val="4B726781"/>
    <w:rsid w:val="4B891F1D"/>
    <w:rsid w:val="4BBF9473"/>
    <w:rsid w:val="4BC33C07"/>
    <w:rsid w:val="4C0F30D2"/>
    <w:rsid w:val="4C170309"/>
    <w:rsid w:val="4C1A57BC"/>
    <w:rsid w:val="4C286C50"/>
    <w:rsid w:val="4C7F7A44"/>
    <w:rsid w:val="4CA566E2"/>
    <w:rsid w:val="4CA74B4B"/>
    <w:rsid w:val="4CFF4828"/>
    <w:rsid w:val="4D1062EB"/>
    <w:rsid w:val="4D3712FB"/>
    <w:rsid w:val="4D493467"/>
    <w:rsid w:val="4D7BB7EF"/>
    <w:rsid w:val="4D7E15BD"/>
    <w:rsid w:val="4D873E74"/>
    <w:rsid w:val="4D9B7A45"/>
    <w:rsid w:val="4DDE6F18"/>
    <w:rsid w:val="4DF572A2"/>
    <w:rsid w:val="4DFF1D80"/>
    <w:rsid w:val="4DFF1EEA"/>
    <w:rsid w:val="4DFF2BD9"/>
    <w:rsid w:val="4E05638D"/>
    <w:rsid w:val="4E7980EB"/>
    <w:rsid w:val="4E9F321A"/>
    <w:rsid w:val="4ECFCD3F"/>
    <w:rsid w:val="4EF105FA"/>
    <w:rsid w:val="4F1F99EB"/>
    <w:rsid w:val="4F369BE7"/>
    <w:rsid w:val="4F5D808F"/>
    <w:rsid w:val="4F77E327"/>
    <w:rsid w:val="4F7CB26C"/>
    <w:rsid w:val="4FB13448"/>
    <w:rsid w:val="4FBFFE63"/>
    <w:rsid w:val="4FC21196"/>
    <w:rsid w:val="4FD5B7E2"/>
    <w:rsid w:val="4FD654E4"/>
    <w:rsid w:val="4FFA6B2D"/>
    <w:rsid w:val="4FFC53C0"/>
    <w:rsid w:val="4FFCE7A2"/>
    <w:rsid w:val="4FFFD9F8"/>
    <w:rsid w:val="4FFFF7FB"/>
    <w:rsid w:val="5010755F"/>
    <w:rsid w:val="502E7388"/>
    <w:rsid w:val="50723B0F"/>
    <w:rsid w:val="50A0195F"/>
    <w:rsid w:val="50B7C164"/>
    <w:rsid w:val="50CE160C"/>
    <w:rsid w:val="51331174"/>
    <w:rsid w:val="513E4DF7"/>
    <w:rsid w:val="519821A9"/>
    <w:rsid w:val="51E67581"/>
    <w:rsid w:val="526563EA"/>
    <w:rsid w:val="52833022"/>
    <w:rsid w:val="5289743C"/>
    <w:rsid w:val="52D11218"/>
    <w:rsid w:val="52D41ACF"/>
    <w:rsid w:val="52F57FB9"/>
    <w:rsid w:val="531B76FE"/>
    <w:rsid w:val="535706A1"/>
    <w:rsid w:val="536E2A74"/>
    <w:rsid w:val="537BADB1"/>
    <w:rsid w:val="537BC1C6"/>
    <w:rsid w:val="53DF1300"/>
    <w:rsid w:val="53E3ABDA"/>
    <w:rsid w:val="53F2715B"/>
    <w:rsid w:val="54B21DDB"/>
    <w:rsid w:val="54D31420"/>
    <w:rsid w:val="54FFAD40"/>
    <w:rsid w:val="55254864"/>
    <w:rsid w:val="5528F6B5"/>
    <w:rsid w:val="55592760"/>
    <w:rsid w:val="55B31F35"/>
    <w:rsid w:val="55E061E7"/>
    <w:rsid w:val="55E605DF"/>
    <w:rsid w:val="55F7BF08"/>
    <w:rsid w:val="560260B5"/>
    <w:rsid w:val="562050C0"/>
    <w:rsid w:val="562FE0F7"/>
    <w:rsid w:val="5658085D"/>
    <w:rsid w:val="56DF417F"/>
    <w:rsid w:val="56FFF677"/>
    <w:rsid w:val="57659C7C"/>
    <w:rsid w:val="57734E1E"/>
    <w:rsid w:val="579FBE86"/>
    <w:rsid w:val="579FFF30"/>
    <w:rsid w:val="57B7E831"/>
    <w:rsid w:val="57DA2528"/>
    <w:rsid w:val="57E753FC"/>
    <w:rsid w:val="57F0460F"/>
    <w:rsid w:val="57F7CF06"/>
    <w:rsid w:val="57FDCCEE"/>
    <w:rsid w:val="581035A9"/>
    <w:rsid w:val="58F771B1"/>
    <w:rsid w:val="59431211"/>
    <w:rsid w:val="59BFC7E2"/>
    <w:rsid w:val="59CD2C90"/>
    <w:rsid w:val="59D733C2"/>
    <w:rsid w:val="59EFE134"/>
    <w:rsid w:val="59FB663E"/>
    <w:rsid w:val="59FD1B32"/>
    <w:rsid w:val="5A0A57DA"/>
    <w:rsid w:val="5A1841E6"/>
    <w:rsid w:val="5A5F08B9"/>
    <w:rsid w:val="5A6C083F"/>
    <w:rsid w:val="5A6E01C6"/>
    <w:rsid w:val="5AB934B3"/>
    <w:rsid w:val="5B0E0BA4"/>
    <w:rsid w:val="5B5ECEA7"/>
    <w:rsid w:val="5B6F2E7F"/>
    <w:rsid w:val="5B79005B"/>
    <w:rsid w:val="5B9A93A5"/>
    <w:rsid w:val="5B9B1359"/>
    <w:rsid w:val="5BA15BFE"/>
    <w:rsid w:val="5BEBCD91"/>
    <w:rsid w:val="5BF75DF3"/>
    <w:rsid w:val="5C3B1B16"/>
    <w:rsid w:val="5C5E97E8"/>
    <w:rsid w:val="5CAED8B3"/>
    <w:rsid w:val="5CAF3E20"/>
    <w:rsid w:val="5CBF8E4B"/>
    <w:rsid w:val="5CDE43F2"/>
    <w:rsid w:val="5CEE86E3"/>
    <w:rsid w:val="5CF54B1C"/>
    <w:rsid w:val="5CF559A0"/>
    <w:rsid w:val="5D2830E6"/>
    <w:rsid w:val="5D7B3ECE"/>
    <w:rsid w:val="5DBE6B02"/>
    <w:rsid w:val="5DD24E5D"/>
    <w:rsid w:val="5DDFE782"/>
    <w:rsid w:val="5DEEFBED"/>
    <w:rsid w:val="5DF7BC5C"/>
    <w:rsid w:val="5E164CA2"/>
    <w:rsid w:val="5E1FD642"/>
    <w:rsid w:val="5E32046D"/>
    <w:rsid w:val="5E3E0F04"/>
    <w:rsid w:val="5E5F5FEB"/>
    <w:rsid w:val="5E7B46F2"/>
    <w:rsid w:val="5E8F7842"/>
    <w:rsid w:val="5EAB639B"/>
    <w:rsid w:val="5EBF2D24"/>
    <w:rsid w:val="5EBFF550"/>
    <w:rsid w:val="5EDFD4AC"/>
    <w:rsid w:val="5EFA3C76"/>
    <w:rsid w:val="5EFF44AF"/>
    <w:rsid w:val="5F3F6AF2"/>
    <w:rsid w:val="5F41229A"/>
    <w:rsid w:val="5F4350ED"/>
    <w:rsid w:val="5F57AFFD"/>
    <w:rsid w:val="5F6495C3"/>
    <w:rsid w:val="5F6F9C0A"/>
    <w:rsid w:val="5F71C001"/>
    <w:rsid w:val="5F7812D2"/>
    <w:rsid w:val="5F7B93FC"/>
    <w:rsid w:val="5F7F157C"/>
    <w:rsid w:val="5F8424A3"/>
    <w:rsid w:val="5F87E41A"/>
    <w:rsid w:val="5F9D5164"/>
    <w:rsid w:val="5F9E02EA"/>
    <w:rsid w:val="5F9F15E6"/>
    <w:rsid w:val="5F9F1706"/>
    <w:rsid w:val="5FA90896"/>
    <w:rsid w:val="5FAFEF33"/>
    <w:rsid w:val="5FB39BA4"/>
    <w:rsid w:val="5FB7F3EA"/>
    <w:rsid w:val="5FBE4397"/>
    <w:rsid w:val="5FBE7253"/>
    <w:rsid w:val="5FBF0B35"/>
    <w:rsid w:val="5FBF2734"/>
    <w:rsid w:val="5FBF54CB"/>
    <w:rsid w:val="5FBF942D"/>
    <w:rsid w:val="5FBFE249"/>
    <w:rsid w:val="5FD2D034"/>
    <w:rsid w:val="5FD72618"/>
    <w:rsid w:val="5FD7F2A2"/>
    <w:rsid w:val="5FDD4008"/>
    <w:rsid w:val="5FE84790"/>
    <w:rsid w:val="5FEB07AA"/>
    <w:rsid w:val="5FEC9F51"/>
    <w:rsid w:val="5FEE3B0F"/>
    <w:rsid w:val="5FEFDC33"/>
    <w:rsid w:val="5FF12431"/>
    <w:rsid w:val="5FF3BDDF"/>
    <w:rsid w:val="5FF93DD1"/>
    <w:rsid w:val="5FFAE8A3"/>
    <w:rsid w:val="5FFB065A"/>
    <w:rsid w:val="5FFB62F5"/>
    <w:rsid w:val="5FFBA557"/>
    <w:rsid w:val="5FFD54EF"/>
    <w:rsid w:val="5FFD631A"/>
    <w:rsid w:val="5FFD679C"/>
    <w:rsid w:val="5FFD850E"/>
    <w:rsid w:val="5FFD9ADF"/>
    <w:rsid w:val="5FFDC28F"/>
    <w:rsid w:val="5FFF21C9"/>
    <w:rsid w:val="5FFF5FEC"/>
    <w:rsid w:val="5FFF6B96"/>
    <w:rsid w:val="5FFFDAE8"/>
    <w:rsid w:val="603733E7"/>
    <w:rsid w:val="60407BE0"/>
    <w:rsid w:val="60AA6E06"/>
    <w:rsid w:val="60AF63D5"/>
    <w:rsid w:val="60CE4002"/>
    <w:rsid w:val="60DF1D6B"/>
    <w:rsid w:val="61996AEF"/>
    <w:rsid w:val="62864468"/>
    <w:rsid w:val="62C7426D"/>
    <w:rsid w:val="62CA07F9"/>
    <w:rsid w:val="631816F3"/>
    <w:rsid w:val="631936B7"/>
    <w:rsid w:val="63A10F12"/>
    <w:rsid w:val="63E61662"/>
    <w:rsid w:val="642C127C"/>
    <w:rsid w:val="646A0075"/>
    <w:rsid w:val="647EC91B"/>
    <w:rsid w:val="64A54380"/>
    <w:rsid w:val="64D43E58"/>
    <w:rsid w:val="65167D25"/>
    <w:rsid w:val="65273CE0"/>
    <w:rsid w:val="658057EC"/>
    <w:rsid w:val="6596B09D"/>
    <w:rsid w:val="65C7CFF5"/>
    <w:rsid w:val="65D75707"/>
    <w:rsid w:val="65ED680D"/>
    <w:rsid w:val="65F6E991"/>
    <w:rsid w:val="65FC1F97"/>
    <w:rsid w:val="66051774"/>
    <w:rsid w:val="66467850"/>
    <w:rsid w:val="6697CE3D"/>
    <w:rsid w:val="669D7C85"/>
    <w:rsid w:val="66B33DBD"/>
    <w:rsid w:val="66FF4873"/>
    <w:rsid w:val="67524C3F"/>
    <w:rsid w:val="67937252"/>
    <w:rsid w:val="679BE4B7"/>
    <w:rsid w:val="67BFBCC9"/>
    <w:rsid w:val="67D657AE"/>
    <w:rsid w:val="67DE330B"/>
    <w:rsid w:val="67DF8FA8"/>
    <w:rsid w:val="67E67E83"/>
    <w:rsid w:val="67EFEAF1"/>
    <w:rsid w:val="67FBC709"/>
    <w:rsid w:val="67FD1F43"/>
    <w:rsid w:val="67FEB493"/>
    <w:rsid w:val="67FF861C"/>
    <w:rsid w:val="67FF8B49"/>
    <w:rsid w:val="67FFE34A"/>
    <w:rsid w:val="68102D20"/>
    <w:rsid w:val="689E5633"/>
    <w:rsid w:val="68A07245"/>
    <w:rsid w:val="68CC22D3"/>
    <w:rsid w:val="68FFDAEF"/>
    <w:rsid w:val="69380332"/>
    <w:rsid w:val="69496146"/>
    <w:rsid w:val="69561384"/>
    <w:rsid w:val="697FAC99"/>
    <w:rsid w:val="69D4673F"/>
    <w:rsid w:val="6A116D0D"/>
    <w:rsid w:val="6A116D77"/>
    <w:rsid w:val="6A224CF8"/>
    <w:rsid w:val="6A5167DD"/>
    <w:rsid w:val="6A5733E6"/>
    <w:rsid w:val="6AA10091"/>
    <w:rsid w:val="6AFF9C06"/>
    <w:rsid w:val="6AFFFF7E"/>
    <w:rsid w:val="6B0A7931"/>
    <w:rsid w:val="6B754D29"/>
    <w:rsid w:val="6B785296"/>
    <w:rsid w:val="6B7B645B"/>
    <w:rsid w:val="6B7FD5F7"/>
    <w:rsid w:val="6B8359E9"/>
    <w:rsid w:val="6B978FAB"/>
    <w:rsid w:val="6BA73DA6"/>
    <w:rsid w:val="6BAAED34"/>
    <w:rsid w:val="6BB67B6C"/>
    <w:rsid w:val="6BB7567F"/>
    <w:rsid w:val="6BBB1D88"/>
    <w:rsid w:val="6BCDF412"/>
    <w:rsid w:val="6BE64472"/>
    <w:rsid w:val="6BF3489D"/>
    <w:rsid w:val="6BFF372E"/>
    <w:rsid w:val="6C040BA3"/>
    <w:rsid w:val="6C4FF631"/>
    <w:rsid w:val="6C7F9869"/>
    <w:rsid w:val="6CFF29B7"/>
    <w:rsid w:val="6D6F83EF"/>
    <w:rsid w:val="6D73C552"/>
    <w:rsid w:val="6D771A05"/>
    <w:rsid w:val="6D97F42C"/>
    <w:rsid w:val="6D9B9502"/>
    <w:rsid w:val="6DA76385"/>
    <w:rsid w:val="6DAECE72"/>
    <w:rsid w:val="6DB69740"/>
    <w:rsid w:val="6DBF2D34"/>
    <w:rsid w:val="6DCE904D"/>
    <w:rsid w:val="6DCE995C"/>
    <w:rsid w:val="6DCF4FCF"/>
    <w:rsid w:val="6DCF6523"/>
    <w:rsid w:val="6DDF9140"/>
    <w:rsid w:val="6DDFC2E6"/>
    <w:rsid w:val="6DE45363"/>
    <w:rsid w:val="6DEFB9BF"/>
    <w:rsid w:val="6DF2A97D"/>
    <w:rsid w:val="6DFF36D3"/>
    <w:rsid w:val="6DFF4390"/>
    <w:rsid w:val="6DFF6B16"/>
    <w:rsid w:val="6DFF969E"/>
    <w:rsid w:val="6E002CD0"/>
    <w:rsid w:val="6E0F5142"/>
    <w:rsid w:val="6E4D322A"/>
    <w:rsid w:val="6E672A38"/>
    <w:rsid w:val="6E7E2431"/>
    <w:rsid w:val="6E8134E8"/>
    <w:rsid w:val="6E9E5DDB"/>
    <w:rsid w:val="6EAD0F63"/>
    <w:rsid w:val="6EB7DEC2"/>
    <w:rsid w:val="6EC13189"/>
    <w:rsid w:val="6ECB0EF8"/>
    <w:rsid w:val="6EDECBF1"/>
    <w:rsid w:val="6EE55491"/>
    <w:rsid w:val="6EEF47DD"/>
    <w:rsid w:val="6EF60910"/>
    <w:rsid w:val="6EF9B411"/>
    <w:rsid w:val="6EFF47B8"/>
    <w:rsid w:val="6F3D2EEB"/>
    <w:rsid w:val="6F4388CE"/>
    <w:rsid w:val="6F5ECD94"/>
    <w:rsid w:val="6F6B0354"/>
    <w:rsid w:val="6F6FA7EC"/>
    <w:rsid w:val="6F7FDA4E"/>
    <w:rsid w:val="6F8D6B67"/>
    <w:rsid w:val="6FA33C82"/>
    <w:rsid w:val="6FB13209"/>
    <w:rsid w:val="6FB758A8"/>
    <w:rsid w:val="6FB7663B"/>
    <w:rsid w:val="6FB770E2"/>
    <w:rsid w:val="6FBBE227"/>
    <w:rsid w:val="6FBF9476"/>
    <w:rsid w:val="6FD3CE8E"/>
    <w:rsid w:val="6FDF68CD"/>
    <w:rsid w:val="6FDF88A6"/>
    <w:rsid w:val="6FE38A85"/>
    <w:rsid w:val="6FE7CD3A"/>
    <w:rsid w:val="6FEA6B83"/>
    <w:rsid w:val="6FEF17EC"/>
    <w:rsid w:val="6FEF3128"/>
    <w:rsid w:val="6FEF7D1B"/>
    <w:rsid w:val="6FEFB8F8"/>
    <w:rsid w:val="6FF391BC"/>
    <w:rsid w:val="6FF64458"/>
    <w:rsid w:val="6FF7957E"/>
    <w:rsid w:val="6FFBEBB3"/>
    <w:rsid w:val="6FFD1CA9"/>
    <w:rsid w:val="6FFDEE5A"/>
    <w:rsid w:val="6FFF99D3"/>
    <w:rsid w:val="6FFFB544"/>
    <w:rsid w:val="6FFFCEA9"/>
    <w:rsid w:val="6FFFD911"/>
    <w:rsid w:val="6FFFDD00"/>
    <w:rsid w:val="70250EDB"/>
    <w:rsid w:val="705153F0"/>
    <w:rsid w:val="705F2997"/>
    <w:rsid w:val="70735F5E"/>
    <w:rsid w:val="70A76909"/>
    <w:rsid w:val="70BD6171"/>
    <w:rsid w:val="70E72B72"/>
    <w:rsid w:val="70FFEE35"/>
    <w:rsid w:val="715E6CDC"/>
    <w:rsid w:val="71FE2C12"/>
    <w:rsid w:val="71FE9329"/>
    <w:rsid w:val="723D41C4"/>
    <w:rsid w:val="72EFA8E2"/>
    <w:rsid w:val="72F247EE"/>
    <w:rsid w:val="730E1C76"/>
    <w:rsid w:val="7319AB12"/>
    <w:rsid w:val="733FB766"/>
    <w:rsid w:val="7373E6E7"/>
    <w:rsid w:val="738E25A3"/>
    <w:rsid w:val="739579C8"/>
    <w:rsid w:val="7396C8EC"/>
    <w:rsid w:val="73BFC49A"/>
    <w:rsid w:val="73D67F7C"/>
    <w:rsid w:val="73DD77CC"/>
    <w:rsid w:val="73E71C15"/>
    <w:rsid w:val="73ED8B46"/>
    <w:rsid w:val="73EFC72C"/>
    <w:rsid w:val="73F4165B"/>
    <w:rsid w:val="73F5C6F8"/>
    <w:rsid w:val="73F73E19"/>
    <w:rsid w:val="742F0F3F"/>
    <w:rsid w:val="74394A4E"/>
    <w:rsid w:val="748E32F2"/>
    <w:rsid w:val="74E064C8"/>
    <w:rsid w:val="74F17E67"/>
    <w:rsid w:val="74FB5140"/>
    <w:rsid w:val="7546588D"/>
    <w:rsid w:val="757F3DAB"/>
    <w:rsid w:val="757F468E"/>
    <w:rsid w:val="758F6D9E"/>
    <w:rsid w:val="759C014B"/>
    <w:rsid w:val="75BB4DEC"/>
    <w:rsid w:val="75BE4A8D"/>
    <w:rsid w:val="75BFBA37"/>
    <w:rsid w:val="75DFB213"/>
    <w:rsid w:val="75E5E9D7"/>
    <w:rsid w:val="75EFDFAD"/>
    <w:rsid w:val="75F2685F"/>
    <w:rsid w:val="75F3E489"/>
    <w:rsid w:val="75FEA72F"/>
    <w:rsid w:val="75FFD525"/>
    <w:rsid w:val="7617D301"/>
    <w:rsid w:val="7643299F"/>
    <w:rsid w:val="76525BE7"/>
    <w:rsid w:val="76752089"/>
    <w:rsid w:val="767F1E31"/>
    <w:rsid w:val="76933016"/>
    <w:rsid w:val="769C3E9C"/>
    <w:rsid w:val="76BEDE13"/>
    <w:rsid w:val="76BF2FFC"/>
    <w:rsid w:val="76DFFEB0"/>
    <w:rsid w:val="76EB435C"/>
    <w:rsid w:val="76EF5152"/>
    <w:rsid w:val="76F69B93"/>
    <w:rsid w:val="76FFDC1E"/>
    <w:rsid w:val="770BBF8E"/>
    <w:rsid w:val="771BD8EC"/>
    <w:rsid w:val="77352893"/>
    <w:rsid w:val="773782D3"/>
    <w:rsid w:val="773C54A0"/>
    <w:rsid w:val="77478D2B"/>
    <w:rsid w:val="776CD132"/>
    <w:rsid w:val="7776EAB7"/>
    <w:rsid w:val="77772BFE"/>
    <w:rsid w:val="77784BCB"/>
    <w:rsid w:val="779F17C0"/>
    <w:rsid w:val="77BB742A"/>
    <w:rsid w:val="77BE08D7"/>
    <w:rsid w:val="77CB2D70"/>
    <w:rsid w:val="77D35F1E"/>
    <w:rsid w:val="77DC326E"/>
    <w:rsid w:val="77DEF213"/>
    <w:rsid w:val="77DFBB6B"/>
    <w:rsid w:val="77E65353"/>
    <w:rsid w:val="77F15BBB"/>
    <w:rsid w:val="77F66340"/>
    <w:rsid w:val="77F6890B"/>
    <w:rsid w:val="77FB6072"/>
    <w:rsid w:val="77FCCEEA"/>
    <w:rsid w:val="77FE2818"/>
    <w:rsid w:val="77FE471F"/>
    <w:rsid w:val="77FFDB42"/>
    <w:rsid w:val="77FFFBF3"/>
    <w:rsid w:val="7833337B"/>
    <w:rsid w:val="784C1F8F"/>
    <w:rsid w:val="785A29AB"/>
    <w:rsid w:val="78646B1A"/>
    <w:rsid w:val="786F2D57"/>
    <w:rsid w:val="78DD31C0"/>
    <w:rsid w:val="78F30C09"/>
    <w:rsid w:val="7966AA20"/>
    <w:rsid w:val="797700B0"/>
    <w:rsid w:val="797F9510"/>
    <w:rsid w:val="79AF5910"/>
    <w:rsid w:val="79BB9CDA"/>
    <w:rsid w:val="79F3FB00"/>
    <w:rsid w:val="79FD06A4"/>
    <w:rsid w:val="7A677D06"/>
    <w:rsid w:val="7A7F5AE5"/>
    <w:rsid w:val="7A8CB50B"/>
    <w:rsid w:val="7ABE3973"/>
    <w:rsid w:val="7AC4AB0F"/>
    <w:rsid w:val="7AEC944A"/>
    <w:rsid w:val="7AF9E815"/>
    <w:rsid w:val="7AFF1CAD"/>
    <w:rsid w:val="7B1FA6E1"/>
    <w:rsid w:val="7B2DDC55"/>
    <w:rsid w:val="7B365D61"/>
    <w:rsid w:val="7B454ACD"/>
    <w:rsid w:val="7B4CE36E"/>
    <w:rsid w:val="7B5FE81C"/>
    <w:rsid w:val="7B7979E9"/>
    <w:rsid w:val="7B7B313B"/>
    <w:rsid w:val="7B7EEC2F"/>
    <w:rsid w:val="7B7F76EB"/>
    <w:rsid w:val="7B7FAD2F"/>
    <w:rsid w:val="7B892BA7"/>
    <w:rsid w:val="7B8D3063"/>
    <w:rsid w:val="7B98103C"/>
    <w:rsid w:val="7BAFD348"/>
    <w:rsid w:val="7BB62397"/>
    <w:rsid w:val="7BBD5148"/>
    <w:rsid w:val="7BBFC0BD"/>
    <w:rsid w:val="7BCC6CA3"/>
    <w:rsid w:val="7BD5EFD8"/>
    <w:rsid w:val="7BD79A38"/>
    <w:rsid w:val="7BDA9FC6"/>
    <w:rsid w:val="7BDCEC8B"/>
    <w:rsid w:val="7BE9F66D"/>
    <w:rsid w:val="7BF3428E"/>
    <w:rsid w:val="7BF470DE"/>
    <w:rsid w:val="7BF50F75"/>
    <w:rsid w:val="7BF7E899"/>
    <w:rsid w:val="7BFB61C0"/>
    <w:rsid w:val="7BFBCDCE"/>
    <w:rsid w:val="7BFC0A40"/>
    <w:rsid w:val="7BFDE2CE"/>
    <w:rsid w:val="7BFF0AB1"/>
    <w:rsid w:val="7BFF2484"/>
    <w:rsid w:val="7BFFA1A9"/>
    <w:rsid w:val="7BFFC729"/>
    <w:rsid w:val="7BFFD924"/>
    <w:rsid w:val="7BFFF528"/>
    <w:rsid w:val="7C0C0E4A"/>
    <w:rsid w:val="7C22EA7F"/>
    <w:rsid w:val="7C9D39D4"/>
    <w:rsid w:val="7CBB5DE8"/>
    <w:rsid w:val="7CE8201C"/>
    <w:rsid w:val="7CFF271C"/>
    <w:rsid w:val="7CFFDC51"/>
    <w:rsid w:val="7D0532C6"/>
    <w:rsid w:val="7D1F4F1F"/>
    <w:rsid w:val="7D3E6BD2"/>
    <w:rsid w:val="7D47F2D8"/>
    <w:rsid w:val="7D4EBDE0"/>
    <w:rsid w:val="7D6FD32B"/>
    <w:rsid w:val="7D70DFB1"/>
    <w:rsid w:val="7D7B5526"/>
    <w:rsid w:val="7D7D4660"/>
    <w:rsid w:val="7D7E6ED8"/>
    <w:rsid w:val="7D952B83"/>
    <w:rsid w:val="7D9E8544"/>
    <w:rsid w:val="7D9EF18B"/>
    <w:rsid w:val="7D9FD01B"/>
    <w:rsid w:val="7DA8331F"/>
    <w:rsid w:val="7DBB5A48"/>
    <w:rsid w:val="7DBFA1A7"/>
    <w:rsid w:val="7DD710E8"/>
    <w:rsid w:val="7DEDDE3B"/>
    <w:rsid w:val="7DEE931F"/>
    <w:rsid w:val="7DEF180C"/>
    <w:rsid w:val="7DF572A9"/>
    <w:rsid w:val="7DFCD735"/>
    <w:rsid w:val="7DFD5939"/>
    <w:rsid w:val="7DFD60FB"/>
    <w:rsid w:val="7DFD88BF"/>
    <w:rsid w:val="7DFE3C0F"/>
    <w:rsid w:val="7DFFC422"/>
    <w:rsid w:val="7E31867B"/>
    <w:rsid w:val="7E3328B7"/>
    <w:rsid w:val="7E336DF6"/>
    <w:rsid w:val="7E3D74A9"/>
    <w:rsid w:val="7E5D49FD"/>
    <w:rsid w:val="7E6754FF"/>
    <w:rsid w:val="7E7F8C03"/>
    <w:rsid w:val="7E8507DA"/>
    <w:rsid w:val="7E851D4C"/>
    <w:rsid w:val="7E870B87"/>
    <w:rsid w:val="7E946699"/>
    <w:rsid w:val="7EA64EFD"/>
    <w:rsid w:val="7EAD9A61"/>
    <w:rsid w:val="7EAF6FFA"/>
    <w:rsid w:val="7EB5FA92"/>
    <w:rsid w:val="7EBDD3A5"/>
    <w:rsid w:val="7ECC04F5"/>
    <w:rsid w:val="7ED147E3"/>
    <w:rsid w:val="7ED82CDA"/>
    <w:rsid w:val="7EDB4504"/>
    <w:rsid w:val="7EDEEBE6"/>
    <w:rsid w:val="7EDFD36B"/>
    <w:rsid w:val="7EE7843B"/>
    <w:rsid w:val="7EE93822"/>
    <w:rsid w:val="7EEB2BA4"/>
    <w:rsid w:val="7EEC9F28"/>
    <w:rsid w:val="7EF27A8F"/>
    <w:rsid w:val="7EF910A8"/>
    <w:rsid w:val="7EF92F17"/>
    <w:rsid w:val="7EFB548E"/>
    <w:rsid w:val="7EFC1C58"/>
    <w:rsid w:val="7EFDBC6F"/>
    <w:rsid w:val="7EFDF62C"/>
    <w:rsid w:val="7EFE1BF1"/>
    <w:rsid w:val="7EFE3070"/>
    <w:rsid w:val="7EFE40EC"/>
    <w:rsid w:val="7EFEC432"/>
    <w:rsid w:val="7EFF6E82"/>
    <w:rsid w:val="7EFFAE4A"/>
    <w:rsid w:val="7EFFB9AE"/>
    <w:rsid w:val="7F06CB53"/>
    <w:rsid w:val="7F1D3BFE"/>
    <w:rsid w:val="7F1F0FB2"/>
    <w:rsid w:val="7F2E130E"/>
    <w:rsid w:val="7F2FFB13"/>
    <w:rsid w:val="7F36098B"/>
    <w:rsid w:val="7F3B1212"/>
    <w:rsid w:val="7F3B5C3E"/>
    <w:rsid w:val="7F3D211D"/>
    <w:rsid w:val="7F3D6B7F"/>
    <w:rsid w:val="7F3D8747"/>
    <w:rsid w:val="7F3F65C0"/>
    <w:rsid w:val="7F3FC9D7"/>
    <w:rsid w:val="7F47334D"/>
    <w:rsid w:val="7F4DEE1B"/>
    <w:rsid w:val="7F5748DB"/>
    <w:rsid w:val="7F6EBD95"/>
    <w:rsid w:val="7F6FE77D"/>
    <w:rsid w:val="7F712B93"/>
    <w:rsid w:val="7F77727A"/>
    <w:rsid w:val="7F779FB3"/>
    <w:rsid w:val="7F7A60AB"/>
    <w:rsid w:val="7F7A838E"/>
    <w:rsid w:val="7F7B248A"/>
    <w:rsid w:val="7F7B2665"/>
    <w:rsid w:val="7F7B37FF"/>
    <w:rsid w:val="7F7B581B"/>
    <w:rsid w:val="7F7B8C10"/>
    <w:rsid w:val="7F7C0AFB"/>
    <w:rsid w:val="7F7DEAD5"/>
    <w:rsid w:val="7F7F1081"/>
    <w:rsid w:val="7F7F1A4D"/>
    <w:rsid w:val="7F9F4036"/>
    <w:rsid w:val="7F9F4DA7"/>
    <w:rsid w:val="7F9FD107"/>
    <w:rsid w:val="7FA4C8B2"/>
    <w:rsid w:val="7FA72A60"/>
    <w:rsid w:val="7FA762F8"/>
    <w:rsid w:val="7FA7C427"/>
    <w:rsid w:val="7FAB8665"/>
    <w:rsid w:val="7FABD482"/>
    <w:rsid w:val="7FAD7DAC"/>
    <w:rsid w:val="7FAF84D3"/>
    <w:rsid w:val="7FAFE6C7"/>
    <w:rsid w:val="7FB73B0A"/>
    <w:rsid w:val="7FB7F9E0"/>
    <w:rsid w:val="7FB877D9"/>
    <w:rsid w:val="7FBBE09A"/>
    <w:rsid w:val="7FBE31CB"/>
    <w:rsid w:val="7FBF11B5"/>
    <w:rsid w:val="7FBF1240"/>
    <w:rsid w:val="7FBF2049"/>
    <w:rsid w:val="7FBF842B"/>
    <w:rsid w:val="7FBFA834"/>
    <w:rsid w:val="7FBFB44C"/>
    <w:rsid w:val="7FBFF1E2"/>
    <w:rsid w:val="7FCA212B"/>
    <w:rsid w:val="7FCB5F6F"/>
    <w:rsid w:val="7FCF5181"/>
    <w:rsid w:val="7FCFE418"/>
    <w:rsid w:val="7FD36516"/>
    <w:rsid w:val="7FD7F96A"/>
    <w:rsid w:val="7FDC0833"/>
    <w:rsid w:val="7FDDC8B0"/>
    <w:rsid w:val="7FDE5098"/>
    <w:rsid w:val="7FDF80ED"/>
    <w:rsid w:val="7FDFB2C5"/>
    <w:rsid w:val="7FE317A5"/>
    <w:rsid w:val="7FE3ECC5"/>
    <w:rsid w:val="7FE46211"/>
    <w:rsid w:val="7FE6FF61"/>
    <w:rsid w:val="7FEADD4B"/>
    <w:rsid w:val="7FEC21D0"/>
    <w:rsid w:val="7FEF51D4"/>
    <w:rsid w:val="7FF5C330"/>
    <w:rsid w:val="7FF79F9D"/>
    <w:rsid w:val="7FF7C6B2"/>
    <w:rsid w:val="7FF7DA67"/>
    <w:rsid w:val="7FF7E99E"/>
    <w:rsid w:val="7FF954B2"/>
    <w:rsid w:val="7FF99A6C"/>
    <w:rsid w:val="7FFA47EC"/>
    <w:rsid w:val="7FFA64B3"/>
    <w:rsid w:val="7FFA9DBA"/>
    <w:rsid w:val="7FFAE5D2"/>
    <w:rsid w:val="7FFB17E2"/>
    <w:rsid w:val="7FFB3206"/>
    <w:rsid w:val="7FFD23CC"/>
    <w:rsid w:val="7FFD2F7C"/>
    <w:rsid w:val="7FFD9AFD"/>
    <w:rsid w:val="7FFDFA25"/>
    <w:rsid w:val="7FFE806F"/>
    <w:rsid w:val="7FFEA006"/>
    <w:rsid w:val="7FFEBD71"/>
    <w:rsid w:val="7FFEE86E"/>
    <w:rsid w:val="7FFF0917"/>
    <w:rsid w:val="7FFF11D9"/>
    <w:rsid w:val="7FFF45F5"/>
    <w:rsid w:val="7FFF6D8A"/>
    <w:rsid w:val="7FFF7C71"/>
    <w:rsid w:val="7FFF811B"/>
    <w:rsid w:val="7FFF837D"/>
    <w:rsid w:val="7FFFC2B5"/>
    <w:rsid w:val="7FFFF86F"/>
    <w:rsid w:val="83FF449F"/>
    <w:rsid w:val="874E3235"/>
    <w:rsid w:val="876F4B14"/>
    <w:rsid w:val="87F5443E"/>
    <w:rsid w:val="87F70752"/>
    <w:rsid w:val="881FA4FA"/>
    <w:rsid w:val="8A9D1984"/>
    <w:rsid w:val="8BDF7748"/>
    <w:rsid w:val="8EF94323"/>
    <w:rsid w:val="8FB33927"/>
    <w:rsid w:val="8FD75FED"/>
    <w:rsid w:val="8FDF01B6"/>
    <w:rsid w:val="8FFF21E3"/>
    <w:rsid w:val="93DA32BC"/>
    <w:rsid w:val="94D93C51"/>
    <w:rsid w:val="97FABA37"/>
    <w:rsid w:val="97FF07DD"/>
    <w:rsid w:val="97FF5C6A"/>
    <w:rsid w:val="97FFEAB8"/>
    <w:rsid w:val="97FFEE76"/>
    <w:rsid w:val="984BF194"/>
    <w:rsid w:val="993B7123"/>
    <w:rsid w:val="999F15AB"/>
    <w:rsid w:val="9A7EF1E3"/>
    <w:rsid w:val="9A9F2E65"/>
    <w:rsid w:val="9B8F9EC6"/>
    <w:rsid w:val="9BFBB119"/>
    <w:rsid w:val="9BFD48AC"/>
    <w:rsid w:val="9C0F6E19"/>
    <w:rsid w:val="9C772A2F"/>
    <w:rsid w:val="9C7AB095"/>
    <w:rsid w:val="9D4FACA3"/>
    <w:rsid w:val="9D77B0A0"/>
    <w:rsid w:val="9DAF7323"/>
    <w:rsid w:val="9DDB976D"/>
    <w:rsid w:val="9EEFBD07"/>
    <w:rsid w:val="9EFFE5FA"/>
    <w:rsid w:val="9F5FD2A0"/>
    <w:rsid w:val="9F7BE394"/>
    <w:rsid w:val="9F7D3850"/>
    <w:rsid w:val="9FA24A7F"/>
    <w:rsid w:val="9FAE06F5"/>
    <w:rsid w:val="9FAF4887"/>
    <w:rsid w:val="9FBF330C"/>
    <w:rsid w:val="9FE37447"/>
    <w:rsid w:val="9FFF2CA3"/>
    <w:rsid w:val="A1BFD62B"/>
    <w:rsid w:val="A3DF53EC"/>
    <w:rsid w:val="A3F7D1B0"/>
    <w:rsid w:val="A43DD992"/>
    <w:rsid w:val="A5FAD707"/>
    <w:rsid w:val="A65E8B09"/>
    <w:rsid w:val="A7BB847F"/>
    <w:rsid w:val="A7FBC3EB"/>
    <w:rsid w:val="A95B028E"/>
    <w:rsid w:val="A95F456D"/>
    <w:rsid w:val="A97F200F"/>
    <w:rsid w:val="AA7C47DF"/>
    <w:rsid w:val="AADF1A18"/>
    <w:rsid w:val="AAF51133"/>
    <w:rsid w:val="AAF92E21"/>
    <w:rsid w:val="ABBDDB75"/>
    <w:rsid w:val="ABFB2BF6"/>
    <w:rsid w:val="ACDFF8BE"/>
    <w:rsid w:val="AD76747B"/>
    <w:rsid w:val="ADD4EBA8"/>
    <w:rsid w:val="ADD58925"/>
    <w:rsid w:val="ADDBDAA1"/>
    <w:rsid w:val="ADF90216"/>
    <w:rsid w:val="AEBB7C51"/>
    <w:rsid w:val="AEBE1B21"/>
    <w:rsid w:val="AEDF193D"/>
    <w:rsid w:val="AEEF167E"/>
    <w:rsid w:val="AF57D893"/>
    <w:rsid w:val="AF7F3653"/>
    <w:rsid w:val="AF954EEA"/>
    <w:rsid w:val="AFAFF7A8"/>
    <w:rsid w:val="AFB45234"/>
    <w:rsid w:val="AFBF6000"/>
    <w:rsid w:val="AFD76FAF"/>
    <w:rsid w:val="AFEC0667"/>
    <w:rsid w:val="AFEEA33F"/>
    <w:rsid w:val="AFF7E465"/>
    <w:rsid w:val="AFFD517A"/>
    <w:rsid w:val="AFFE7DBC"/>
    <w:rsid w:val="AFFF76C5"/>
    <w:rsid w:val="AFFFFE11"/>
    <w:rsid w:val="B23EB734"/>
    <w:rsid w:val="B27BF2D0"/>
    <w:rsid w:val="B2EF12FD"/>
    <w:rsid w:val="B2EF3452"/>
    <w:rsid w:val="B3DFA56B"/>
    <w:rsid w:val="B3F75E57"/>
    <w:rsid w:val="B3FFB856"/>
    <w:rsid w:val="B5A33D53"/>
    <w:rsid w:val="B5FB80C4"/>
    <w:rsid w:val="B67772F5"/>
    <w:rsid w:val="B677972B"/>
    <w:rsid w:val="B6B85C5F"/>
    <w:rsid w:val="B6CD390D"/>
    <w:rsid w:val="B6FE578D"/>
    <w:rsid w:val="B7BDD617"/>
    <w:rsid w:val="B7BEAB17"/>
    <w:rsid w:val="B7EB2B8E"/>
    <w:rsid w:val="B7EB771B"/>
    <w:rsid w:val="B7EEB8B0"/>
    <w:rsid w:val="B7F7E57E"/>
    <w:rsid w:val="B7FE9429"/>
    <w:rsid w:val="B7FEADFB"/>
    <w:rsid w:val="B8ED8805"/>
    <w:rsid w:val="B9132D51"/>
    <w:rsid w:val="B91F65CD"/>
    <w:rsid w:val="B94F9801"/>
    <w:rsid w:val="B9DBBC9C"/>
    <w:rsid w:val="BA67240C"/>
    <w:rsid w:val="BAE75755"/>
    <w:rsid w:val="BAF113CD"/>
    <w:rsid w:val="BAFD6C38"/>
    <w:rsid w:val="BB33B067"/>
    <w:rsid w:val="BB8B39B9"/>
    <w:rsid w:val="BB984F13"/>
    <w:rsid w:val="BB9F879F"/>
    <w:rsid w:val="BBB9173D"/>
    <w:rsid w:val="BBDF3E8F"/>
    <w:rsid w:val="BBEBA5F7"/>
    <w:rsid w:val="BBF33D50"/>
    <w:rsid w:val="BBF719E3"/>
    <w:rsid w:val="BBFE9D48"/>
    <w:rsid w:val="BBFF7209"/>
    <w:rsid w:val="BCBC3AA5"/>
    <w:rsid w:val="BCDEDEA4"/>
    <w:rsid w:val="BCEB5669"/>
    <w:rsid w:val="BCF70541"/>
    <w:rsid w:val="BCFFD617"/>
    <w:rsid w:val="BD4D95F6"/>
    <w:rsid w:val="BD771D33"/>
    <w:rsid w:val="BDADB7C3"/>
    <w:rsid w:val="BDBF28A5"/>
    <w:rsid w:val="BDD7C7D3"/>
    <w:rsid w:val="BDECAA2D"/>
    <w:rsid w:val="BDF7C9D5"/>
    <w:rsid w:val="BDFDF53A"/>
    <w:rsid w:val="BDFF35B4"/>
    <w:rsid w:val="BDFFAE1D"/>
    <w:rsid w:val="BDFFDD73"/>
    <w:rsid w:val="BE3F3F29"/>
    <w:rsid w:val="BE56CDCE"/>
    <w:rsid w:val="BE98A8FD"/>
    <w:rsid w:val="BE9CCEA8"/>
    <w:rsid w:val="BE9F62F4"/>
    <w:rsid w:val="BEA7B4CC"/>
    <w:rsid w:val="BEC71BF1"/>
    <w:rsid w:val="BED7752D"/>
    <w:rsid w:val="BEEEDD97"/>
    <w:rsid w:val="BEFB54F2"/>
    <w:rsid w:val="BEFEA9F8"/>
    <w:rsid w:val="BEFEDEE3"/>
    <w:rsid w:val="BEFFBC90"/>
    <w:rsid w:val="BF197F51"/>
    <w:rsid w:val="BF5B71CB"/>
    <w:rsid w:val="BF6FE505"/>
    <w:rsid w:val="BF7719AD"/>
    <w:rsid w:val="BF7D4818"/>
    <w:rsid w:val="BF7E409E"/>
    <w:rsid w:val="BF7FACA3"/>
    <w:rsid w:val="BF98163A"/>
    <w:rsid w:val="BFA7E209"/>
    <w:rsid w:val="BFAB8F08"/>
    <w:rsid w:val="BFB923B3"/>
    <w:rsid w:val="BFBAC95D"/>
    <w:rsid w:val="BFBD07B0"/>
    <w:rsid w:val="BFBD810F"/>
    <w:rsid w:val="BFBF1285"/>
    <w:rsid w:val="BFBF794C"/>
    <w:rsid w:val="BFC06473"/>
    <w:rsid w:val="BFCE4168"/>
    <w:rsid w:val="BFDBB3DE"/>
    <w:rsid w:val="BFDED415"/>
    <w:rsid w:val="BFDF128A"/>
    <w:rsid w:val="BFE69838"/>
    <w:rsid w:val="BFEB1406"/>
    <w:rsid w:val="BFEB6222"/>
    <w:rsid w:val="BFEC842C"/>
    <w:rsid w:val="BFF75D04"/>
    <w:rsid w:val="BFF7FEFA"/>
    <w:rsid w:val="BFFB5244"/>
    <w:rsid w:val="BFFB95B1"/>
    <w:rsid w:val="BFFC87D6"/>
    <w:rsid w:val="BFFD003C"/>
    <w:rsid w:val="BFFD628E"/>
    <w:rsid w:val="BFFE1DC3"/>
    <w:rsid w:val="BFFF3D34"/>
    <w:rsid w:val="BFFF3DE7"/>
    <w:rsid w:val="BFFF4602"/>
    <w:rsid w:val="BFFF5D9E"/>
    <w:rsid w:val="BFFF9A0E"/>
    <w:rsid w:val="C1FDDCED"/>
    <w:rsid w:val="C2D61C8E"/>
    <w:rsid w:val="C7F348E3"/>
    <w:rsid w:val="C7F673A0"/>
    <w:rsid w:val="CABE3B79"/>
    <w:rsid w:val="CACBFB13"/>
    <w:rsid w:val="CBD7681E"/>
    <w:rsid w:val="CBFFA6C0"/>
    <w:rsid w:val="CCCB3F79"/>
    <w:rsid w:val="CD76382D"/>
    <w:rsid w:val="CD77949F"/>
    <w:rsid w:val="CD9F38C3"/>
    <w:rsid w:val="CD9FC1B1"/>
    <w:rsid w:val="CDFBB2F9"/>
    <w:rsid w:val="CDFE484B"/>
    <w:rsid w:val="CE7F8DAC"/>
    <w:rsid w:val="CEE9B6E8"/>
    <w:rsid w:val="CEFBD856"/>
    <w:rsid w:val="CEFE4DD5"/>
    <w:rsid w:val="CF2D8242"/>
    <w:rsid w:val="CF3C41B9"/>
    <w:rsid w:val="CF7FE0DB"/>
    <w:rsid w:val="CF9FD378"/>
    <w:rsid w:val="CFAB78E1"/>
    <w:rsid w:val="CFBD47D1"/>
    <w:rsid w:val="CFBF240E"/>
    <w:rsid w:val="CFBF241B"/>
    <w:rsid w:val="CFBFC5AD"/>
    <w:rsid w:val="CFDDC0C3"/>
    <w:rsid w:val="CFFDB0DA"/>
    <w:rsid w:val="CFFE5C3F"/>
    <w:rsid w:val="CFFF990A"/>
    <w:rsid w:val="D14957C5"/>
    <w:rsid w:val="D29F07A7"/>
    <w:rsid w:val="D2B62FD9"/>
    <w:rsid w:val="D33DB297"/>
    <w:rsid w:val="D3BD9059"/>
    <w:rsid w:val="D3D7C0B6"/>
    <w:rsid w:val="D3FE7A00"/>
    <w:rsid w:val="D3FF07EA"/>
    <w:rsid w:val="D577FB0F"/>
    <w:rsid w:val="D5D5F7B9"/>
    <w:rsid w:val="D5FD444B"/>
    <w:rsid w:val="D5FF96C0"/>
    <w:rsid w:val="D67F68C2"/>
    <w:rsid w:val="D68EAFD2"/>
    <w:rsid w:val="D6BFF820"/>
    <w:rsid w:val="D6DE8772"/>
    <w:rsid w:val="D6EDB63E"/>
    <w:rsid w:val="D6EFF168"/>
    <w:rsid w:val="D7151B87"/>
    <w:rsid w:val="D737AEA7"/>
    <w:rsid w:val="D7568C69"/>
    <w:rsid w:val="D7774C26"/>
    <w:rsid w:val="D7BBED87"/>
    <w:rsid w:val="D7BC3A46"/>
    <w:rsid w:val="D7BE6C15"/>
    <w:rsid w:val="D7BF1D10"/>
    <w:rsid w:val="D7BF2E5C"/>
    <w:rsid w:val="D7F6742D"/>
    <w:rsid w:val="D7F78304"/>
    <w:rsid w:val="D7FAC72F"/>
    <w:rsid w:val="D7FB93B9"/>
    <w:rsid w:val="D7FBF9F4"/>
    <w:rsid w:val="D7FDD849"/>
    <w:rsid w:val="D7FFC7DD"/>
    <w:rsid w:val="D8F31A0C"/>
    <w:rsid w:val="D8FF51B8"/>
    <w:rsid w:val="D99BA8E4"/>
    <w:rsid w:val="D9CA0939"/>
    <w:rsid w:val="DAF76CC6"/>
    <w:rsid w:val="DB3E44F7"/>
    <w:rsid w:val="DB7B75C8"/>
    <w:rsid w:val="DB9917E9"/>
    <w:rsid w:val="DBA74C59"/>
    <w:rsid w:val="DBD44BF9"/>
    <w:rsid w:val="DBDFB5AA"/>
    <w:rsid w:val="DBEE8D8D"/>
    <w:rsid w:val="DBF3B1C5"/>
    <w:rsid w:val="DBF9B08A"/>
    <w:rsid w:val="DBFF6768"/>
    <w:rsid w:val="DC6F15B8"/>
    <w:rsid w:val="DCAF69A4"/>
    <w:rsid w:val="DCBF5A46"/>
    <w:rsid w:val="DD38FE2E"/>
    <w:rsid w:val="DD6E6472"/>
    <w:rsid w:val="DD773CA8"/>
    <w:rsid w:val="DD7F37A1"/>
    <w:rsid w:val="DD96C39A"/>
    <w:rsid w:val="DDAFCF5D"/>
    <w:rsid w:val="DDDFC7C7"/>
    <w:rsid w:val="DDEFAC77"/>
    <w:rsid w:val="DDFD7B29"/>
    <w:rsid w:val="DDFF29C9"/>
    <w:rsid w:val="DDFF3748"/>
    <w:rsid w:val="DEBF4BDA"/>
    <w:rsid w:val="DEBFD350"/>
    <w:rsid w:val="DEE1F578"/>
    <w:rsid w:val="DEEDB7D6"/>
    <w:rsid w:val="DEEFA050"/>
    <w:rsid w:val="DEFF10D9"/>
    <w:rsid w:val="DEFFF806"/>
    <w:rsid w:val="DF091A36"/>
    <w:rsid w:val="DF2C64E5"/>
    <w:rsid w:val="DF3BC1B3"/>
    <w:rsid w:val="DF4CD5F7"/>
    <w:rsid w:val="DF4F1510"/>
    <w:rsid w:val="DF5BBF52"/>
    <w:rsid w:val="DF5FED3D"/>
    <w:rsid w:val="DF7F0A3B"/>
    <w:rsid w:val="DF7F7CA5"/>
    <w:rsid w:val="DF97D617"/>
    <w:rsid w:val="DF9C4FC7"/>
    <w:rsid w:val="DF9F54E7"/>
    <w:rsid w:val="DFAFD5BD"/>
    <w:rsid w:val="DFB620A0"/>
    <w:rsid w:val="DFCE3135"/>
    <w:rsid w:val="DFD65249"/>
    <w:rsid w:val="DFDB2F7E"/>
    <w:rsid w:val="DFDC92B3"/>
    <w:rsid w:val="DFDE17FD"/>
    <w:rsid w:val="DFDF9075"/>
    <w:rsid w:val="DFEF6398"/>
    <w:rsid w:val="DFEF85D9"/>
    <w:rsid w:val="DFF716FB"/>
    <w:rsid w:val="DFFE2C2D"/>
    <w:rsid w:val="DFFF221A"/>
    <w:rsid w:val="DFFF7E9D"/>
    <w:rsid w:val="DFFF826B"/>
    <w:rsid w:val="DFFFBC01"/>
    <w:rsid w:val="DFFFEFC9"/>
    <w:rsid w:val="E36FF4CB"/>
    <w:rsid w:val="E3BF6E26"/>
    <w:rsid w:val="E3EEFF9D"/>
    <w:rsid w:val="E3EF11E0"/>
    <w:rsid w:val="E57FEA39"/>
    <w:rsid w:val="E59B8BCA"/>
    <w:rsid w:val="E5EFE684"/>
    <w:rsid w:val="E5FD42D9"/>
    <w:rsid w:val="E6BF0A0A"/>
    <w:rsid w:val="E6DF70BF"/>
    <w:rsid w:val="E6F5FC86"/>
    <w:rsid w:val="E6FF2D71"/>
    <w:rsid w:val="E778E12D"/>
    <w:rsid w:val="E7CEB7B1"/>
    <w:rsid w:val="E7DF1B12"/>
    <w:rsid w:val="E7DF6CF0"/>
    <w:rsid w:val="E7DFDE51"/>
    <w:rsid w:val="E7EA8FF2"/>
    <w:rsid w:val="E7EF3466"/>
    <w:rsid w:val="E7FEB910"/>
    <w:rsid w:val="E7FFB292"/>
    <w:rsid w:val="E93D6D86"/>
    <w:rsid w:val="E99DA5DF"/>
    <w:rsid w:val="E9A53F61"/>
    <w:rsid w:val="E9EFEC0F"/>
    <w:rsid w:val="EA6520AA"/>
    <w:rsid w:val="EAEB78D1"/>
    <w:rsid w:val="EAFB3FFE"/>
    <w:rsid w:val="EB6B663F"/>
    <w:rsid w:val="EB6F6367"/>
    <w:rsid w:val="EB7751AC"/>
    <w:rsid w:val="EBBE73B5"/>
    <w:rsid w:val="EBBF7106"/>
    <w:rsid w:val="EBD6B08E"/>
    <w:rsid w:val="EBEDF141"/>
    <w:rsid w:val="EBF5B1E0"/>
    <w:rsid w:val="EBFE2440"/>
    <w:rsid w:val="EBFF327F"/>
    <w:rsid w:val="EBFF5834"/>
    <w:rsid w:val="EBFF6FD9"/>
    <w:rsid w:val="ED28CA45"/>
    <w:rsid w:val="ED757FAA"/>
    <w:rsid w:val="ED7A8C01"/>
    <w:rsid w:val="ED7ABB4B"/>
    <w:rsid w:val="ED7D0EA6"/>
    <w:rsid w:val="EDB535FB"/>
    <w:rsid w:val="EDBCFB60"/>
    <w:rsid w:val="EDBFDCF0"/>
    <w:rsid w:val="EDCA709A"/>
    <w:rsid w:val="EDCF0724"/>
    <w:rsid w:val="EDD3CC49"/>
    <w:rsid w:val="EDDF2327"/>
    <w:rsid w:val="EDEF2A4F"/>
    <w:rsid w:val="EDF9B3A0"/>
    <w:rsid w:val="EDFA6C54"/>
    <w:rsid w:val="EDFD8EB3"/>
    <w:rsid w:val="EDFF3761"/>
    <w:rsid w:val="EDFFDE2F"/>
    <w:rsid w:val="EE2B7531"/>
    <w:rsid w:val="EEAEC7BC"/>
    <w:rsid w:val="EEB7AFBF"/>
    <w:rsid w:val="EEDF1C38"/>
    <w:rsid w:val="EEEB3A3B"/>
    <w:rsid w:val="EEEF0223"/>
    <w:rsid w:val="EEFCE719"/>
    <w:rsid w:val="EEFDD084"/>
    <w:rsid w:val="EF3E5939"/>
    <w:rsid w:val="EF752388"/>
    <w:rsid w:val="EF7566F1"/>
    <w:rsid w:val="EF7993C8"/>
    <w:rsid w:val="EF7B2712"/>
    <w:rsid w:val="EF7B4130"/>
    <w:rsid w:val="EF7F6E0A"/>
    <w:rsid w:val="EF9BF3FE"/>
    <w:rsid w:val="EF9FDA4A"/>
    <w:rsid w:val="EFABAD48"/>
    <w:rsid w:val="EFB3CDC0"/>
    <w:rsid w:val="EFB79A05"/>
    <w:rsid w:val="EFB7D6AE"/>
    <w:rsid w:val="EFBFEB76"/>
    <w:rsid w:val="EFCB9A02"/>
    <w:rsid w:val="EFCE6E07"/>
    <w:rsid w:val="EFD1CCDC"/>
    <w:rsid w:val="EFD71DCF"/>
    <w:rsid w:val="EFD87D9D"/>
    <w:rsid w:val="EFEBA861"/>
    <w:rsid w:val="EFEBB494"/>
    <w:rsid w:val="EFEBD1C2"/>
    <w:rsid w:val="EFEDE126"/>
    <w:rsid w:val="EFEF23A9"/>
    <w:rsid w:val="EFEF46F5"/>
    <w:rsid w:val="EFF15B7C"/>
    <w:rsid w:val="EFF6CB5B"/>
    <w:rsid w:val="EFF76787"/>
    <w:rsid w:val="EFF77ACF"/>
    <w:rsid w:val="EFFB0B7B"/>
    <w:rsid w:val="EFFCF0EF"/>
    <w:rsid w:val="EFFD26FC"/>
    <w:rsid w:val="EFFDB782"/>
    <w:rsid w:val="EFFF1478"/>
    <w:rsid w:val="F0B32FE3"/>
    <w:rsid w:val="F1DFF27E"/>
    <w:rsid w:val="F1F25909"/>
    <w:rsid w:val="F2273173"/>
    <w:rsid w:val="F24FAB4E"/>
    <w:rsid w:val="F2DAFA23"/>
    <w:rsid w:val="F2DBFDD5"/>
    <w:rsid w:val="F2EF4E8C"/>
    <w:rsid w:val="F2FB8D0E"/>
    <w:rsid w:val="F31DBF83"/>
    <w:rsid w:val="F34ECC7E"/>
    <w:rsid w:val="F39F1DF5"/>
    <w:rsid w:val="F3A91AA3"/>
    <w:rsid w:val="F3E72F8A"/>
    <w:rsid w:val="F3E7C95C"/>
    <w:rsid w:val="F3FB8CC0"/>
    <w:rsid w:val="F3FBEEC3"/>
    <w:rsid w:val="F3FEAFA1"/>
    <w:rsid w:val="F3FFB4EA"/>
    <w:rsid w:val="F3FFD09A"/>
    <w:rsid w:val="F4B74447"/>
    <w:rsid w:val="F4EFAE6E"/>
    <w:rsid w:val="F52D3B2F"/>
    <w:rsid w:val="F53D4587"/>
    <w:rsid w:val="F55FC232"/>
    <w:rsid w:val="F57F42B0"/>
    <w:rsid w:val="F57FA2B1"/>
    <w:rsid w:val="F59718D3"/>
    <w:rsid w:val="F5AE1E6F"/>
    <w:rsid w:val="F5CD37CF"/>
    <w:rsid w:val="F5CDA49B"/>
    <w:rsid w:val="F5D50004"/>
    <w:rsid w:val="F5D7470A"/>
    <w:rsid w:val="F5DB4C0E"/>
    <w:rsid w:val="F5DF5743"/>
    <w:rsid w:val="F5DF86D2"/>
    <w:rsid w:val="F5E9B2C3"/>
    <w:rsid w:val="F5EE513A"/>
    <w:rsid w:val="F5FD92AB"/>
    <w:rsid w:val="F5FF0307"/>
    <w:rsid w:val="F5FFECA3"/>
    <w:rsid w:val="F6197CD8"/>
    <w:rsid w:val="F63DA6BE"/>
    <w:rsid w:val="F69B4509"/>
    <w:rsid w:val="F6B788BF"/>
    <w:rsid w:val="F6BF8B6E"/>
    <w:rsid w:val="F6D6FA20"/>
    <w:rsid w:val="F6D72721"/>
    <w:rsid w:val="F6DD57F2"/>
    <w:rsid w:val="F6F32479"/>
    <w:rsid w:val="F6F737D2"/>
    <w:rsid w:val="F6FF0536"/>
    <w:rsid w:val="F6FFEDD5"/>
    <w:rsid w:val="F71B791F"/>
    <w:rsid w:val="F7386736"/>
    <w:rsid w:val="F73AD121"/>
    <w:rsid w:val="F73F03C9"/>
    <w:rsid w:val="F7471687"/>
    <w:rsid w:val="F75D5B1B"/>
    <w:rsid w:val="F76EF5A1"/>
    <w:rsid w:val="F76F0CC3"/>
    <w:rsid w:val="F78747B3"/>
    <w:rsid w:val="F792EDAB"/>
    <w:rsid w:val="F79CBBFA"/>
    <w:rsid w:val="F7A50F50"/>
    <w:rsid w:val="F7B71BCE"/>
    <w:rsid w:val="F7BFD171"/>
    <w:rsid w:val="F7D73738"/>
    <w:rsid w:val="F7DB58DF"/>
    <w:rsid w:val="F7DEE8F0"/>
    <w:rsid w:val="F7DF5A42"/>
    <w:rsid w:val="F7EE0012"/>
    <w:rsid w:val="F7EF7414"/>
    <w:rsid w:val="F7EFB796"/>
    <w:rsid w:val="F7F3C93D"/>
    <w:rsid w:val="F7FC5F58"/>
    <w:rsid w:val="F7FE9DE3"/>
    <w:rsid w:val="F7FE9E08"/>
    <w:rsid w:val="F7FF66BC"/>
    <w:rsid w:val="F7FFE010"/>
    <w:rsid w:val="F87A716D"/>
    <w:rsid w:val="F8E4E042"/>
    <w:rsid w:val="F94F6D69"/>
    <w:rsid w:val="F97F6E49"/>
    <w:rsid w:val="F97FD69C"/>
    <w:rsid w:val="F9B13A19"/>
    <w:rsid w:val="F9BCFC74"/>
    <w:rsid w:val="F9CC8A04"/>
    <w:rsid w:val="F9DAEFC0"/>
    <w:rsid w:val="F9EEF72E"/>
    <w:rsid w:val="F9F6747A"/>
    <w:rsid w:val="F9FE4E28"/>
    <w:rsid w:val="F9FEC03D"/>
    <w:rsid w:val="F9FF5D2B"/>
    <w:rsid w:val="FA3FCCE5"/>
    <w:rsid w:val="FA47CC73"/>
    <w:rsid w:val="FA5B1424"/>
    <w:rsid w:val="FA778455"/>
    <w:rsid w:val="FA7B978B"/>
    <w:rsid w:val="FA7D2E5B"/>
    <w:rsid w:val="FA7F6709"/>
    <w:rsid w:val="FA7F94F9"/>
    <w:rsid w:val="FA7FCA7E"/>
    <w:rsid w:val="FA8F3877"/>
    <w:rsid w:val="FAA55146"/>
    <w:rsid w:val="FABFD8E6"/>
    <w:rsid w:val="FAD5BC93"/>
    <w:rsid w:val="FADE1325"/>
    <w:rsid w:val="FAEB1E9D"/>
    <w:rsid w:val="FAEF3FEA"/>
    <w:rsid w:val="FAEF9BCA"/>
    <w:rsid w:val="FAF39962"/>
    <w:rsid w:val="FAF6EDE4"/>
    <w:rsid w:val="FAFD0DD4"/>
    <w:rsid w:val="FAFD6FE0"/>
    <w:rsid w:val="FAFDA472"/>
    <w:rsid w:val="FAFF0456"/>
    <w:rsid w:val="FB2FE796"/>
    <w:rsid w:val="FB3842B2"/>
    <w:rsid w:val="FB3ECC24"/>
    <w:rsid w:val="FB3F2A36"/>
    <w:rsid w:val="FB41F7E4"/>
    <w:rsid w:val="FB6E0F28"/>
    <w:rsid w:val="FB6F27B4"/>
    <w:rsid w:val="FB6F4100"/>
    <w:rsid w:val="FB77853B"/>
    <w:rsid w:val="FB7D43B2"/>
    <w:rsid w:val="FB7F52ED"/>
    <w:rsid w:val="FB7FD476"/>
    <w:rsid w:val="FB9B8E79"/>
    <w:rsid w:val="FBABDCB1"/>
    <w:rsid w:val="FBB90DF1"/>
    <w:rsid w:val="FBBDB0F6"/>
    <w:rsid w:val="FBBDDC02"/>
    <w:rsid w:val="FBBE1313"/>
    <w:rsid w:val="FBBF8E64"/>
    <w:rsid w:val="FBDD2CA7"/>
    <w:rsid w:val="FBDF03A1"/>
    <w:rsid w:val="FBE642CC"/>
    <w:rsid w:val="FBE77118"/>
    <w:rsid w:val="FBEA5215"/>
    <w:rsid w:val="FBEF1423"/>
    <w:rsid w:val="FBF3C1BB"/>
    <w:rsid w:val="FBF58D23"/>
    <w:rsid w:val="FBF75141"/>
    <w:rsid w:val="FBFB8734"/>
    <w:rsid w:val="FBFCECCB"/>
    <w:rsid w:val="FBFFBE91"/>
    <w:rsid w:val="FC5F125F"/>
    <w:rsid w:val="FC5F7D97"/>
    <w:rsid w:val="FCB7D553"/>
    <w:rsid w:val="FCBF7F45"/>
    <w:rsid w:val="FCDD4787"/>
    <w:rsid w:val="FCED5BE0"/>
    <w:rsid w:val="FCF72F56"/>
    <w:rsid w:val="FCF7810B"/>
    <w:rsid w:val="FCFA05B9"/>
    <w:rsid w:val="FCFB3465"/>
    <w:rsid w:val="FCFDF9B7"/>
    <w:rsid w:val="FCFF1A65"/>
    <w:rsid w:val="FD2F9A90"/>
    <w:rsid w:val="FD69F7F8"/>
    <w:rsid w:val="FD6DB585"/>
    <w:rsid w:val="FD857C4B"/>
    <w:rsid w:val="FD9A9D3B"/>
    <w:rsid w:val="FD9FFA16"/>
    <w:rsid w:val="FDAB7128"/>
    <w:rsid w:val="FDB72E31"/>
    <w:rsid w:val="FDB7A646"/>
    <w:rsid w:val="FDDE0AB1"/>
    <w:rsid w:val="FDDFAB78"/>
    <w:rsid w:val="FDE153EF"/>
    <w:rsid w:val="FDE7DB78"/>
    <w:rsid w:val="FDEDE0CD"/>
    <w:rsid w:val="FDF76B5C"/>
    <w:rsid w:val="FDF7851C"/>
    <w:rsid w:val="FDFA5FBE"/>
    <w:rsid w:val="FDFB4236"/>
    <w:rsid w:val="FDFB458D"/>
    <w:rsid w:val="FDFBC0BD"/>
    <w:rsid w:val="FDFC6D37"/>
    <w:rsid w:val="FDFD6F19"/>
    <w:rsid w:val="FDFF0AF5"/>
    <w:rsid w:val="FDFF5830"/>
    <w:rsid w:val="FE3B52A7"/>
    <w:rsid w:val="FE6752C2"/>
    <w:rsid w:val="FE6F22A7"/>
    <w:rsid w:val="FE79AF43"/>
    <w:rsid w:val="FE7B0FBA"/>
    <w:rsid w:val="FE7F40ED"/>
    <w:rsid w:val="FE8F7821"/>
    <w:rsid w:val="FEA7F697"/>
    <w:rsid w:val="FEAD9866"/>
    <w:rsid w:val="FEAE962D"/>
    <w:rsid w:val="FEBFBFFE"/>
    <w:rsid w:val="FEDB2F64"/>
    <w:rsid w:val="FEDD9713"/>
    <w:rsid w:val="FEDFAAA3"/>
    <w:rsid w:val="FEE3606D"/>
    <w:rsid w:val="FEE9EE6A"/>
    <w:rsid w:val="FEEAE975"/>
    <w:rsid w:val="FEEF0FB2"/>
    <w:rsid w:val="FEEF50A5"/>
    <w:rsid w:val="FEEF6E72"/>
    <w:rsid w:val="FEF42847"/>
    <w:rsid w:val="FEF75ECD"/>
    <w:rsid w:val="FEF7B15E"/>
    <w:rsid w:val="FEF9A54A"/>
    <w:rsid w:val="FEFAB349"/>
    <w:rsid w:val="FEFB5ED6"/>
    <w:rsid w:val="FEFBC5BE"/>
    <w:rsid w:val="FEFD8509"/>
    <w:rsid w:val="FEFEAB5E"/>
    <w:rsid w:val="FEFF25C8"/>
    <w:rsid w:val="FEFF4BF4"/>
    <w:rsid w:val="FEFF7DEE"/>
    <w:rsid w:val="FEFFF558"/>
    <w:rsid w:val="FF2B74DE"/>
    <w:rsid w:val="FF2D5A5A"/>
    <w:rsid w:val="FF2F8E3F"/>
    <w:rsid w:val="FF3B8696"/>
    <w:rsid w:val="FF3F474B"/>
    <w:rsid w:val="FF3F5B79"/>
    <w:rsid w:val="FF4CEE93"/>
    <w:rsid w:val="FF4D981D"/>
    <w:rsid w:val="FF4F8D9D"/>
    <w:rsid w:val="FF514BE7"/>
    <w:rsid w:val="FF530B75"/>
    <w:rsid w:val="FF57F872"/>
    <w:rsid w:val="FF5B3D2F"/>
    <w:rsid w:val="FF6930D6"/>
    <w:rsid w:val="FF6BC179"/>
    <w:rsid w:val="FF6BD33E"/>
    <w:rsid w:val="FF752EF6"/>
    <w:rsid w:val="FF7D49C8"/>
    <w:rsid w:val="FF7E29EA"/>
    <w:rsid w:val="FF7ED915"/>
    <w:rsid w:val="FF7F0461"/>
    <w:rsid w:val="FF7F1E40"/>
    <w:rsid w:val="FF936E93"/>
    <w:rsid w:val="FF9D2DA9"/>
    <w:rsid w:val="FF9FA819"/>
    <w:rsid w:val="FFA57EF6"/>
    <w:rsid w:val="FFAB1E60"/>
    <w:rsid w:val="FFABF333"/>
    <w:rsid w:val="FFADB081"/>
    <w:rsid w:val="FFAF2316"/>
    <w:rsid w:val="FFAF7F28"/>
    <w:rsid w:val="FFAF9998"/>
    <w:rsid w:val="FFB7BA89"/>
    <w:rsid w:val="FFB7C2B5"/>
    <w:rsid w:val="FFB7C403"/>
    <w:rsid w:val="FFB8A5EE"/>
    <w:rsid w:val="FFBB8A08"/>
    <w:rsid w:val="FFBC920F"/>
    <w:rsid w:val="FFBD058D"/>
    <w:rsid w:val="FFBD1410"/>
    <w:rsid w:val="FFBD3992"/>
    <w:rsid w:val="FFBD84C1"/>
    <w:rsid w:val="FFBE2987"/>
    <w:rsid w:val="FFBEA824"/>
    <w:rsid w:val="FFBF09A5"/>
    <w:rsid w:val="FFBF12FC"/>
    <w:rsid w:val="FFBF41F7"/>
    <w:rsid w:val="FFBFA976"/>
    <w:rsid w:val="FFCF3CE4"/>
    <w:rsid w:val="FFCFE266"/>
    <w:rsid w:val="FFD4BBC3"/>
    <w:rsid w:val="FFD5E1E3"/>
    <w:rsid w:val="FFD70A2F"/>
    <w:rsid w:val="FFD7A507"/>
    <w:rsid w:val="FFD9087F"/>
    <w:rsid w:val="FFDBEE07"/>
    <w:rsid w:val="FFDBFAD7"/>
    <w:rsid w:val="FFDC1459"/>
    <w:rsid w:val="FFDE313C"/>
    <w:rsid w:val="FFDE4E96"/>
    <w:rsid w:val="FFDF1432"/>
    <w:rsid w:val="FFDF78F7"/>
    <w:rsid w:val="FFDF7F2E"/>
    <w:rsid w:val="FFDF80D9"/>
    <w:rsid w:val="FFDF93EE"/>
    <w:rsid w:val="FFE316BD"/>
    <w:rsid w:val="FFE5C17F"/>
    <w:rsid w:val="FFE94240"/>
    <w:rsid w:val="FFEBC8F5"/>
    <w:rsid w:val="FFECBF54"/>
    <w:rsid w:val="FFEF38B4"/>
    <w:rsid w:val="FFEF6565"/>
    <w:rsid w:val="FFEFC5EF"/>
    <w:rsid w:val="FFF36C99"/>
    <w:rsid w:val="FFF37EB2"/>
    <w:rsid w:val="FFF52D9F"/>
    <w:rsid w:val="FFF58A00"/>
    <w:rsid w:val="FFF6AC03"/>
    <w:rsid w:val="FFF6F94C"/>
    <w:rsid w:val="FFF754B8"/>
    <w:rsid w:val="FFF7D34D"/>
    <w:rsid w:val="FFF84B39"/>
    <w:rsid w:val="FFFB55E7"/>
    <w:rsid w:val="FFFCC810"/>
    <w:rsid w:val="FFFD2D2B"/>
    <w:rsid w:val="FFFD3447"/>
    <w:rsid w:val="FFFDA6B8"/>
    <w:rsid w:val="FFFE0E57"/>
    <w:rsid w:val="FFFE0F5A"/>
    <w:rsid w:val="FFFE54EC"/>
    <w:rsid w:val="FFFE944E"/>
    <w:rsid w:val="FFFEA990"/>
    <w:rsid w:val="FFFEB96A"/>
    <w:rsid w:val="FFFEEBE1"/>
    <w:rsid w:val="FFFF23D8"/>
    <w:rsid w:val="FFFF2FA9"/>
    <w:rsid w:val="FFFF37CB"/>
    <w:rsid w:val="FFFF3807"/>
    <w:rsid w:val="FFFF3F08"/>
    <w:rsid w:val="FFFF427F"/>
    <w:rsid w:val="FFFF5424"/>
    <w:rsid w:val="FFFF970D"/>
    <w:rsid w:val="FFFFAAF4"/>
    <w:rsid w:val="FFFFBFF9"/>
    <w:rsid w:val="FFFFF3B7"/>
    <w:rsid w:val="FFFFF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outlineLvl w:val="0"/>
    </w:pPr>
    <w:rPr>
      <w:rFonts w:eastAsia="黑体" w:cs="Times New Roman"/>
      <w:bCs/>
      <w:kern w:val="44"/>
      <w:szCs w:val="44"/>
    </w:rPr>
  </w:style>
  <w:style w:type="paragraph" w:styleId="4">
    <w:name w:val="heading 2"/>
    <w:basedOn w:val="1"/>
    <w:next w:val="1"/>
    <w:unhideWhenUsed/>
    <w:qFormat/>
    <w:uiPriority w:val="0"/>
    <w:pPr>
      <w:keepNext/>
      <w:keepLines/>
      <w:outlineLvl w:val="1"/>
    </w:pPr>
    <w:rPr>
      <w:rFonts w:ascii="Arial" w:hAnsi="Arial" w:eastAsia="楷体_GB2312" w:cs="Times New Roman"/>
    </w:rPr>
  </w:style>
  <w:style w:type="paragraph" w:styleId="5">
    <w:name w:val="heading 3"/>
    <w:basedOn w:val="1"/>
    <w:next w:val="1"/>
    <w:link w:val="33"/>
    <w:unhideWhenUsed/>
    <w:qFormat/>
    <w:uiPriority w:val="0"/>
    <w:pPr>
      <w:ind w:firstLine="640"/>
      <w:jc w:val="left"/>
      <w:outlineLvl w:val="2"/>
    </w:pPr>
    <w:rPr>
      <w:rFonts w:hint="eastAsia" w:cs="Times New Roman"/>
      <w:b/>
      <w:kern w:val="0"/>
      <w:szCs w:val="27"/>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jc w:val="center"/>
    </w:pPr>
    <w:rPr>
      <w:rFonts w:ascii="楷体_GB2312" w:eastAsia="华文中宋"/>
      <w:b/>
      <w:bCs/>
      <w:sz w:val="44"/>
      <w:szCs w:val="24"/>
    </w:rPr>
  </w:style>
  <w:style w:type="paragraph" w:styleId="6">
    <w:name w:val="Normal Indent"/>
    <w:basedOn w:val="1"/>
    <w:next w:val="1"/>
    <w:qFormat/>
    <w:uiPriority w:val="0"/>
    <w:pPr>
      <w:ind w:firstLine="420" w:firstLineChars="200"/>
    </w:pPr>
    <w:rPr>
      <w:rFonts w:eastAsia="仿宋"/>
      <w:sz w:val="32"/>
    </w:rPr>
  </w:style>
  <w:style w:type="paragraph" w:styleId="7">
    <w:name w:val="Salutation"/>
    <w:basedOn w:val="1"/>
    <w:next w:val="1"/>
    <w:qFormat/>
    <w:uiPriority w:val="0"/>
    <w:pPr>
      <w:suppressAutoHyphens/>
    </w:pPr>
    <w:rPr>
      <w:rFonts w:ascii="Calibri" w:hAnsi="Calibri"/>
    </w:rPr>
  </w:style>
  <w:style w:type="paragraph" w:styleId="8">
    <w:name w:val="Body Text Indent"/>
    <w:basedOn w:val="1"/>
    <w:next w:val="6"/>
    <w:qFormat/>
    <w:uiPriority w:val="0"/>
    <w:pPr>
      <w:ind w:firstLine="600"/>
    </w:pPr>
    <w:rPr>
      <w:rFonts w:ascii="仿宋_GB2312"/>
      <w:sz w:val="30"/>
      <w:szCs w:val="32"/>
    </w:rPr>
  </w:style>
  <w:style w:type="paragraph" w:styleId="9">
    <w:name w:val="Body Text Indent 2"/>
    <w:basedOn w:val="1"/>
    <w:next w:val="1"/>
    <w:unhideWhenUsed/>
    <w:qFormat/>
    <w:uiPriority w:val="99"/>
    <w:pPr>
      <w:spacing w:after="120" w:line="480" w:lineRule="auto"/>
      <w:ind w:left="420" w:leftChars="200"/>
    </w:pPr>
  </w:style>
  <w:style w:type="paragraph" w:styleId="10">
    <w:name w:val="footer"/>
    <w:basedOn w:val="1"/>
    <w:next w:val="1"/>
    <w:qFormat/>
    <w:uiPriority w:val="0"/>
    <w:pPr>
      <w:tabs>
        <w:tab w:val="center" w:pos="4153"/>
        <w:tab w:val="right" w:pos="8306"/>
      </w:tabs>
      <w:snapToGrid w:val="0"/>
      <w:jc w:val="left"/>
    </w:pPr>
    <w:rPr>
      <w:sz w:val="18"/>
    </w:rPr>
  </w:style>
  <w:style w:type="paragraph" w:styleId="11">
    <w:name w:val="header"/>
    <w:basedOn w:val="1"/>
    <w:next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Body Text First Indent 2"/>
    <w:basedOn w:val="8"/>
    <w:next w:val="1"/>
    <w:qFormat/>
    <w:uiPriority w:val="0"/>
    <w:pPr>
      <w:widowControl w:val="0"/>
      <w:spacing w:after="120" w:afterLines="0"/>
      <w:ind w:left="420" w:leftChars="200" w:firstLine="420" w:firstLineChars="200"/>
      <w:jc w:val="both"/>
    </w:pPr>
    <w:rPr>
      <w:rFonts w:ascii="Calibri" w:hAnsi="Calibri" w:eastAsia="宋体" w:cs="Times New Roman"/>
      <w:kern w:val="2"/>
      <w:sz w:val="21"/>
      <w:szCs w:val="24"/>
      <w:lang w:val="en-US" w:eastAsia="zh-CN" w:bidi="ar-SA"/>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qFormat/>
    <w:uiPriority w:val="0"/>
  </w:style>
  <w:style w:type="paragraph" w:customStyle="1" w:styleId="21">
    <w:name w:val="Heading2"/>
    <w:next w:val="1"/>
    <w:qFormat/>
    <w:uiPriority w:val="0"/>
    <w:pPr>
      <w:keepNext/>
      <w:keepLines/>
      <w:widowControl w:val="0"/>
      <w:spacing w:before="260" w:after="260" w:line="416" w:lineRule="auto"/>
      <w:jc w:val="both"/>
      <w:textAlignment w:val="baseline"/>
    </w:pPr>
    <w:rPr>
      <w:rFonts w:ascii="Cambria" w:hAnsi="Cambria" w:eastAsia="宋体" w:cs="Times New Roman"/>
      <w:b/>
      <w:bCs/>
      <w:kern w:val="2"/>
      <w:sz w:val="32"/>
      <w:szCs w:val="32"/>
      <w:lang w:val="en-US" w:eastAsia="zh-CN" w:bidi="ar-SA"/>
    </w:rPr>
  </w:style>
  <w:style w:type="paragraph" w:customStyle="1" w:styleId="22">
    <w:name w:val="图表目录1"/>
    <w:basedOn w:val="23"/>
    <w:next w:val="1"/>
    <w:qFormat/>
    <w:uiPriority w:val="0"/>
    <w:pPr>
      <w:widowControl w:val="0"/>
      <w:spacing w:line="240" w:lineRule="auto"/>
      <w:ind w:left="200" w:leftChars="200" w:hanging="200" w:hangingChars="200"/>
      <w:jc w:val="both"/>
    </w:pPr>
    <w:rPr>
      <w:rFonts w:hint="eastAsia" w:ascii="Calibri" w:hAnsi="Calibri" w:eastAsia="宋体" w:cs="Times New Roman"/>
      <w:kern w:val="2"/>
      <w:sz w:val="21"/>
      <w:szCs w:val="22"/>
      <w:lang w:val="en-US" w:eastAsia="zh-CN" w:bidi="ar-SA"/>
    </w:rPr>
  </w:style>
  <w:style w:type="paragraph" w:customStyle="1" w:styleId="23">
    <w:name w:val="Normal New"/>
    <w:qFormat/>
    <w:uiPriority w:val="0"/>
    <w:pPr>
      <w:widowControl w:val="0"/>
      <w:jc w:val="both"/>
    </w:pPr>
    <w:rPr>
      <w:rFonts w:hint="eastAsia" w:ascii="Calibri" w:hAnsi="Calibri" w:eastAsia="宋体" w:cs="Times New Roman"/>
      <w:kern w:val="2"/>
      <w:sz w:val="21"/>
      <w:szCs w:val="22"/>
      <w:lang w:val="en-US" w:eastAsia="zh-CN" w:bidi="ar-SA"/>
    </w:rPr>
  </w:style>
  <w:style w:type="table" w:customStyle="1" w:styleId="24">
    <w:name w:val="Table Normal"/>
    <w:semiHidden/>
    <w:unhideWhenUsed/>
    <w:qFormat/>
    <w:uiPriority w:val="0"/>
    <w:tblPr>
      <w:tblCellMar>
        <w:top w:w="0" w:type="dxa"/>
        <w:left w:w="0" w:type="dxa"/>
        <w:bottom w:w="0" w:type="dxa"/>
        <w:right w:w="0" w:type="dxa"/>
      </w:tblCellMar>
    </w:tblPr>
  </w:style>
  <w:style w:type="character" w:customStyle="1" w:styleId="25">
    <w:name w:val="font01"/>
    <w:basedOn w:val="19"/>
    <w:qFormat/>
    <w:uiPriority w:val="0"/>
    <w:rPr>
      <w:rFonts w:hint="default" w:ascii="Times New Roman" w:hAnsi="Times New Roman" w:cs="Times New Roman"/>
      <w:color w:val="000000"/>
      <w:sz w:val="20"/>
      <w:szCs w:val="20"/>
      <w:u w:val="none"/>
    </w:rPr>
  </w:style>
  <w:style w:type="character" w:customStyle="1" w:styleId="26">
    <w:name w:val="font21"/>
    <w:basedOn w:val="19"/>
    <w:qFormat/>
    <w:uiPriority w:val="0"/>
    <w:rPr>
      <w:rFonts w:hint="default" w:ascii="Times New Roman" w:hAnsi="Times New Roman" w:cs="Times New Roman"/>
      <w:color w:val="000000"/>
      <w:sz w:val="24"/>
      <w:szCs w:val="24"/>
      <w:u w:val="none"/>
    </w:rPr>
  </w:style>
  <w:style w:type="character" w:customStyle="1" w:styleId="27">
    <w:name w:val="NormalCharacter"/>
    <w:semiHidden/>
    <w:qFormat/>
    <w:uiPriority w:val="0"/>
    <w:rPr>
      <w:rFonts w:eastAsia="Times New Roman" w:cs="Arial"/>
      <w:sz w:val="22"/>
      <w:szCs w:val="22"/>
      <w:lang w:val="en-US" w:eastAsia="en-US" w:bidi="ar-SA"/>
    </w:rPr>
  </w:style>
  <w:style w:type="paragraph" w:customStyle="1" w:styleId="28">
    <w:name w:val="公文主体"/>
    <w:basedOn w:val="1"/>
    <w:qFormat/>
    <w:uiPriority w:val="0"/>
  </w:style>
  <w:style w:type="table" w:customStyle="1" w:styleId="29">
    <w:name w:val="网格表 4 - 着色 54"/>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0">
    <w:name w:val="网格表 6 彩色 - 着色 51"/>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paragraph" w:customStyle="1" w:styleId="31">
    <w:name w:val="正文2"/>
    <w:basedOn w:val="1"/>
    <w:next w:val="1"/>
    <w:qFormat/>
    <w:uiPriority w:val="0"/>
    <w:rPr>
      <w:rFonts w:ascii="Calibri" w:hAnsi="Calibri" w:eastAsia="宋体" w:cs="Times New Roman"/>
    </w:rPr>
  </w:style>
  <w:style w:type="paragraph" w:customStyle="1" w:styleId="32">
    <w:name w:val="表格文字"/>
    <w:qFormat/>
    <w:uiPriority w:val="0"/>
    <w:pPr>
      <w:widowControl w:val="0"/>
      <w:jc w:val="both"/>
    </w:pPr>
    <w:rPr>
      <w:rFonts w:ascii="宋体" w:hAnsi="宋体" w:eastAsia="宋体" w:cs="Times New Roman"/>
      <w:kern w:val="2"/>
      <w:sz w:val="24"/>
      <w:lang w:val="en-US" w:eastAsia="zh-CN" w:bidi="ar-SA"/>
    </w:rPr>
  </w:style>
  <w:style w:type="character" w:customStyle="1" w:styleId="33">
    <w:name w:val="标题 3 Char"/>
    <w:link w:val="5"/>
    <w:qFormat/>
    <w:uiPriority w:val="0"/>
    <w:rPr>
      <w:rFonts w:hint="eastAsia" w:cs="Times New Roman"/>
      <w:b/>
      <w:kern w:val="0"/>
      <w:szCs w:val="27"/>
    </w:rPr>
  </w:style>
  <w:style w:type="paragraph" w:customStyle="1" w:styleId="34">
    <w:name w:val="样式1"/>
    <w:basedOn w:val="1"/>
    <w:qFormat/>
    <w:uiPriority w:val="0"/>
    <w:pPr>
      <w:widowControl/>
      <w:spacing w:before="156" w:beforeLines="50" w:after="156" w:afterLines="50"/>
      <w:ind w:firstLine="0" w:firstLineChars="0"/>
      <w:jc w:val="center"/>
    </w:pPr>
    <w:rPr>
      <w:rFonts w:ascii="仿宋_GB2312"/>
      <w:b/>
      <w:bCs/>
      <w:color w:val="000000" w:themeColor="text1"/>
      <w:kern w:val="0"/>
      <w:sz w:val="30"/>
      <w:szCs w:val="30"/>
      <w14:textFill>
        <w14:solidFill>
          <w14:schemeClr w14:val="tx1"/>
        </w14:solidFill>
      </w14:textFill>
    </w:rPr>
  </w:style>
  <w:style w:type="paragraph" w:customStyle="1" w:styleId="35">
    <w:name w:val="样式2"/>
    <w:basedOn w:val="5"/>
    <w:qFormat/>
    <w:uiPriority w:val="0"/>
    <w:pPr>
      <w:spacing w:before="291" w:beforeLines="50" w:after="291" w:afterLines="50"/>
      <w:ind w:firstLine="634"/>
    </w:pPr>
    <w:rPr>
      <w:rFonts w:hint="default" w:eastAsia="楷体_GB2312"/>
    </w:rPr>
  </w:style>
  <w:style w:type="table" w:customStyle="1" w:styleId="36">
    <w:name w:val="网格型3"/>
    <w:basedOn w:val="1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正文-公1"/>
    <w:next w:val="11"/>
    <w:qFormat/>
    <w:uiPriority w:val="0"/>
    <w:pPr>
      <w:widowControl w:val="0"/>
      <w:spacing w:line="580" w:lineRule="exact"/>
      <w:ind w:firstLine="200" w:firstLineChars="200"/>
      <w:jc w:val="both"/>
    </w:pPr>
    <w:rPr>
      <w:rFonts w:ascii="Calibri" w:hAnsi="Calibri" w:eastAsia="宋体" w:cs="Calibri"/>
      <w:color w:val="000000"/>
      <w:kern w:val="2"/>
      <w:sz w:val="32"/>
      <w:szCs w:val="21"/>
      <w:lang w:val="en-US" w:eastAsia="zh-CN" w:bidi="ar-SA"/>
    </w:rPr>
  </w:style>
  <w:style w:type="character" w:customStyle="1" w:styleId="38">
    <w:name w:val="font11"/>
    <w:basedOn w:val="19"/>
    <w:qFormat/>
    <w:uiPriority w:val="0"/>
    <w:rPr>
      <w:rFonts w:hint="default" w:ascii="Arial" w:hAnsi="Arial" w:cs="Arial"/>
      <w:color w:val="000000"/>
      <w:sz w:val="20"/>
      <w:szCs w:val="20"/>
      <w:u w:val="none"/>
    </w:rPr>
  </w:style>
  <w:style w:type="character" w:customStyle="1" w:styleId="39">
    <w:name w:val="font31"/>
    <w:basedOn w:val="19"/>
    <w:qFormat/>
    <w:uiPriority w:val="0"/>
    <w:rPr>
      <w:rFonts w:hint="eastAsia" w:ascii="仿宋" w:hAnsi="仿宋" w:eastAsia="仿宋" w:cs="仿宋"/>
      <w:color w:val="000000"/>
      <w:sz w:val="22"/>
      <w:szCs w:val="22"/>
      <w:u w:val="none"/>
    </w:rPr>
  </w:style>
  <w:style w:type="character" w:customStyle="1" w:styleId="40">
    <w:name w:val="font81"/>
    <w:qFormat/>
    <w:uiPriority w:val="0"/>
    <w:rPr>
      <w:rFonts w:hint="eastAsia" w:ascii="宋体" w:hAnsi="宋体" w:eastAsia="宋体" w:cs="宋体"/>
      <w:color w:val="000000"/>
      <w:sz w:val="20"/>
      <w:szCs w:val="20"/>
      <w:u w:val="none"/>
    </w:rPr>
  </w:style>
  <w:style w:type="character" w:customStyle="1" w:styleId="41">
    <w:name w:val="font51"/>
    <w:basedOn w:val="19"/>
    <w:qFormat/>
    <w:uiPriority w:val="0"/>
    <w:rPr>
      <w:rFonts w:hint="default" w:ascii="方正小标宋简体" w:hAnsi="方正小标宋简体" w:eastAsia="方正小标宋简体" w:cs="方正小标宋简体"/>
      <w:color w:val="000000"/>
      <w:sz w:val="40"/>
      <w:szCs w:val="40"/>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32771</Words>
  <Characters>34620</Characters>
  <Lines>0</Lines>
  <Paragraphs>0</Paragraphs>
  <TotalTime>5</TotalTime>
  <ScaleCrop>false</ScaleCrop>
  <LinksUpToDate>false</LinksUpToDate>
  <CharactersWithSpaces>34887</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2022-09-09T12:36:00Z</dcterms:created>
  <dc:creator>WPS_1615036031</dc:creator>
  <cp:lastModifiedBy>user</cp:lastModifiedBy>
  <cp:lastPrinted>2023-02-23T11:40:00Z</cp:lastPrinted>
  <dcterms:modified xsi:type="dcterms:W3CDTF">2023-07-12T10:51:49Z</dcterms:modified>
  <dc:title>沙湾区重特大地震应急救援行动方案</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46972CF8B55F4BC3B387A9E2AE20223A</vt:lpwstr>
  </property>
</Properties>
</file>