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700" w:lineRule="exact"/>
        <w:ind w:right="0" w:firstLine="880" w:firstLineChars="200"/>
        <w:jc w:val="both"/>
        <w:textAlignment w:val="auto"/>
        <w:rPr>
          <w:rFonts w:hint="eastAsia" w:ascii="方正小标宋简体" w:hAnsi="方正小标宋简体" w:eastAsia="方正小标宋简体" w:cs="方正小标宋简体"/>
          <w:sz w:val="44"/>
          <w:szCs w:val="44"/>
          <w:lang w:val="en-US" w:eastAsia="zh-CN"/>
        </w:rPr>
      </w:pPr>
      <w:bookmarkStart w:id="0" w:name="_Hlk183703467"/>
      <w:r>
        <w:rPr>
          <w:rFonts w:hint="eastAsia" w:ascii="方正小标宋简体" w:hAnsi="方正小标宋简体" w:eastAsia="方正小标宋简体" w:cs="方正小标宋简体"/>
          <w:sz w:val="44"/>
          <w:szCs w:val="44"/>
          <w:lang w:val="en-US" w:eastAsia="zh-CN"/>
        </w:rPr>
        <w:t>金口河区城市建筑垃圾污染环境防治工作</w:t>
      </w:r>
    </w:p>
    <w:p>
      <w:pPr>
        <w:keepNext w:val="0"/>
        <w:keepLines w:val="0"/>
        <w:pageBreakBefore w:val="0"/>
        <w:widowControl w:val="0"/>
        <w:kinsoku/>
        <w:wordWrap/>
        <w:overflowPunct/>
        <w:topLinePunct w:val="0"/>
        <w:autoSpaceDE/>
        <w:autoSpaceDN/>
        <w:bidi w:val="0"/>
        <w:adjustRightInd/>
        <w:snapToGrid/>
        <w:spacing w:line="700" w:lineRule="exact"/>
        <w:ind w:right="0"/>
        <w:jc w:val="center"/>
        <w:textAlignment w:val="auto"/>
        <w:rPr>
          <w:rFonts w:hint="eastAsia" w:ascii="方正小标宋简体" w:hAnsi="方正小标宋简体" w:eastAsia="方正小标宋简体" w:cs="方正小标宋简体"/>
          <w:color w:val="000000"/>
          <w:kern w:val="0"/>
          <w:sz w:val="44"/>
          <w:szCs w:val="44"/>
          <w:shd w:val="clear" w:color="auto" w:fill="FFFFFF"/>
        </w:rPr>
      </w:pPr>
      <w:r>
        <w:rPr>
          <w:rFonts w:hint="eastAsia" w:ascii="方正小标宋简体" w:hAnsi="方正小标宋简体" w:eastAsia="方正小标宋简体" w:cs="方正小标宋简体"/>
          <w:sz w:val="44"/>
          <w:szCs w:val="44"/>
          <w:lang w:val="en-US" w:eastAsia="zh-CN"/>
        </w:rPr>
        <w:t>专项规划（2025-2035年）</w:t>
      </w:r>
    </w:p>
    <w:p>
      <w:pPr>
        <w:keepNext w:val="0"/>
        <w:keepLines w:val="0"/>
        <w:pageBreakBefore w:val="0"/>
        <w:widowControl w:val="0"/>
        <w:kinsoku/>
        <w:wordWrap/>
        <w:overflowPunct/>
        <w:topLinePunct w:val="0"/>
        <w:autoSpaceDE/>
        <w:autoSpaceDN/>
        <w:bidi w:val="0"/>
        <w:adjustRightInd/>
        <w:snapToGrid/>
        <w:spacing w:line="600" w:lineRule="exact"/>
        <w:ind w:right="0"/>
        <w:jc w:val="center"/>
        <w:textAlignment w:val="auto"/>
        <w:rPr>
          <w:rFonts w:hint="eastAsia" w:ascii="楷体_GB2312" w:hAnsi="楷体_GB2312" w:eastAsia="楷体_GB2312" w:cs="楷体_GB2312"/>
          <w:color w:val="000000"/>
          <w:kern w:val="0"/>
          <w:sz w:val="32"/>
          <w:szCs w:val="32"/>
          <w:shd w:val="clear" w:color="auto" w:fill="FFFFFF"/>
          <w:lang w:eastAsia="zh-CN"/>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pStyle w:val="4"/>
        <w:numPr>
          <w:ilvl w:val="1"/>
          <w:numId w:val="0"/>
        </w:numPr>
        <w:ind w:leftChars="0"/>
        <w:outlineLvl w:val="9"/>
        <w:rPr>
          <w:rFonts w:hint="eastAsia"/>
        </w:rPr>
      </w:pPr>
    </w:p>
    <w:p>
      <w:pPr>
        <w:pStyle w:val="26"/>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jc w:val="center"/>
        <w:textAlignment w:val="auto"/>
        <w:rPr>
          <w:rFonts w:hint="eastAsia" w:ascii="Times New Roman" w:hAnsi="Times New Roman" w:eastAsia="黑体" w:cs="黑体"/>
          <w:color w:val="auto"/>
          <w:sz w:val="32"/>
          <w:szCs w:val="40"/>
          <w:lang w:val="en-US" w:eastAsia="zh-CN"/>
        </w:rPr>
      </w:pPr>
    </w:p>
    <w:p>
      <w:pPr>
        <w:pStyle w:val="26"/>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jc w:val="center"/>
        <w:textAlignment w:val="auto"/>
        <w:rPr>
          <w:rFonts w:hint="eastAsia" w:ascii="Times New Roman" w:hAnsi="Times New Roman" w:eastAsia="黑体" w:cs="黑体"/>
          <w:color w:val="auto"/>
          <w:sz w:val="32"/>
          <w:szCs w:val="40"/>
          <w:lang w:val="en-US" w:eastAsia="zh-CN"/>
        </w:rPr>
      </w:pPr>
    </w:p>
    <w:p>
      <w:pPr>
        <w:pStyle w:val="26"/>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jc w:val="center"/>
        <w:textAlignment w:val="auto"/>
        <w:rPr>
          <w:rFonts w:hint="eastAsia" w:ascii="Times New Roman" w:hAnsi="Times New Roman" w:eastAsia="黑体" w:cs="黑体"/>
          <w:color w:val="auto"/>
          <w:sz w:val="32"/>
          <w:szCs w:val="40"/>
          <w:lang w:val="en-US" w:eastAsia="zh-CN"/>
        </w:rPr>
      </w:pPr>
    </w:p>
    <w:p>
      <w:pPr>
        <w:pStyle w:val="26"/>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jc w:val="center"/>
        <w:textAlignment w:val="auto"/>
        <w:rPr>
          <w:rFonts w:hint="eastAsia" w:ascii="Times New Roman" w:hAnsi="Times New Roman" w:eastAsia="黑体" w:cs="黑体"/>
          <w:color w:val="auto"/>
          <w:sz w:val="32"/>
          <w:szCs w:val="40"/>
          <w:lang w:val="en-US" w:eastAsia="zh-CN"/>
        </w:rPr>
      </w:pPr>
    </w:p>
    <w:p>
      <w:pPr>
        <w:pStyle w:val="26"/>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jc w:val="center"/>
        <w:textAlignment w:val="auto"/>
        <w:rPr>
          <w:rFonts w:hint="eastAsia" w:ascii="Times New Roman" w:hAnsi="Times New Roman" w:eastAsia="黑体" w:cs="黑体"/>
          <w:color w:val="auto"/>
          <w:sz w:val="32"/>
          <w:szCs w:val="40"/>
          <w:lang w:val="en-US" w:eastAsia="zh-CN"/>
        </w:rPr>
      </w:pPr>
      <w:r>
        <w:rPr>
          <w:rFonts w:hint="eastAsia" w:ascii="Times New Roman" w:hAnsi="Times New Roman" w:eastAsia="黑体" w:cs="黑体"/>
          <w:color w:val="auto"/>
          <w:sz w:val="32"/>
          <w:szCs w:val="40"/>
          <w:lang w:val="en-US" w:eastAsia="zh-CN"/>
        </w:rPr>
        <w:t>乐山市金口河区人民政府</w:t>
      </w:r>
    </w:p>
    <w:p>
      <w:pPr>
        <w:jc w:val="center"/>
        <w:rPr>
          <w:rFonts w:hint="eastAsia"/>
        </w:rPr>
      </w:pPr>
      <w:r>
        <w:rPr>
          <w:rFonts w:hint="eastAsia" w:ascii="Times New Roman" w:hAnsi="Times New Roman" w:eastAsia="黑体" w:cs="黑体"/>
          <w:color w:val="auto"/>
          <w:sz w:val="32"/>
          <w:szCs w:val="40"/>
          <w:lang w:val="en-US" w:eastAsia="zh-CN"/>
        </w:rPr>
        <w:t>二〇二五年十月</w:t>
      </w:r>
    </w:p>
    <w:p>
      <w:pPr>
        <w:rPr>
          <w:rFonts w:hint="eastAsia"/>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仿宋" w:hAnsi="仿宋" w:eastAsia="仿宋" w:cs="仿宋"/>
          <w:sz w:val="32"/>
          <w:szCs w:val="32"/>
          <w:lang w:val="en-US" w:eastAsia="zh-CN"/>
        </w:rPr>
        <w:sectPr>
          <w:footerReference r:id="rId3" w:type="default"/>
          <w:pgSz w:w="11906" w:h="16838"/>
          <w:pgMar w:top="2041" w:right="1468" w:bottom="1587" w:left="1468" w:header="851" w:footer="850" w:gutter="0"/>
          <w:pgNumType w:fmt="decimal" w:start="1"/>
          <w:cols w:space="720" w:num="1"/>
          <w:rtlGutter w:val="0"/>
          <w:docGrid w:type="lines" w:linePitch="321" w:charSpace="0"/>
        </w:sectPr>
      </w:pPr>
    </w:p>
    <w:bookmarkEnd w:id="0"/>
    <w:p>
      <w:pPr>
        <w:pStyle w:val="3"/>
        <w:numPr>
          <w:ilvl w:val="0"/>
          <w:numId w:val="7"/>
        </w:numPr>
        <w:bidi w:val="0"/>
        <w:ind w:leftChars="0"/>
        <w:jc w:val="center"/>
        <w:rPr>
          <w:rFonts w:hint="eastAsia" w:ascii="黑体" w:hAnsi="黑体" w:eastAsia="黑体" w:cs="黑体"/>
          <w:b w:val="0"/>
          <w:bCs w:val="0"/>
          <w:lang w:val="en-US" w:eastAsia="zh-CN"/>
        </w:rPr>
      </w:pPr>
      <w:bookmarkStart w:id="1" w:name="_Toc18998"/>
      <w:bookmarkStart w:id="2" w:name="_Toc31469"/>
      <w:r>
        <w:rPr>
          <w:rFonts w:hint="eastAsia" w:ascii="黑体" w:hAnsi="黑体" w:eastAsia="黑体" w:cs="黑体"/>
          <w:b w:val="0"/>
          <w:bCs w:val="0"/>
          <w:lang w:val="en-US" w:eastAsia="zh-CN"/>
        </w:rPr>
        <w:t>规划总则</w:t>
      </w:r>
      <w:bookmarkEnd w:id="1"/>
      <w:bookmarkEnd w:id="2"/>
      <w:bookmarkStart w:id="3" w:name="_Toc13028"/>
    </w:p>
    <w:p>
      <w:pPr>
        <w:rPr>
          <w:rFonts w:hint="eastAsia"/>
          <w:lang w:val="en-US" w:eastAsia="zh-CN"/>
        </w:rPr>
      </w:pPr>
    </w:p>
    <w:p>
      <w:pPr>
        <w:rPr>
          <w:rFonts w:hint="eastAsia"/>
          <w:lang w:val="en-US" w:eastAsia="zh-CN"/>
        </w:rPr>
      </w:pPr>
    </w:p>
    <w:p>
      <w:pPr>
        <w:pStyle w:val="3"/>
        <w:pageBreakBefore w:val="0"/>
        <w:widowControl w:val="0"/>
        <w:numPr>
          <w:ilvl w:val="0"/>
          <w:numId w:val="0"/>
        </w:numPr>
        <w:kinsoku/>
        <w:wordWrap/>
        <w:overflowPunct/>
        <w:topLinePunct w:val="0"/>
        <w:autoSpaceDE/>
        <w:autoSpaceDN/>
        <w:bidi w:val="0"/>
        <w:adjustRightInd/>
        <w:snapToGrid/>
        <w:spacing w:line="600" w:lineRule="exact"/>
        <w:ind w:leftChars="0"/>
        <w:jc w:val="both"/>
        <w:textAlignment w:val="auto"/>
        <w:rPr>
          <w:rFonts w:hint="eastAsia" w:ascii="楷体" w:hAnsi="楷体" w:eastAsia="楷体" w:cs="楷体"/>
          <w:b w:val="0"/>
          <w:bCs w:val="0"/>
          <w:color w:val="auto"/>
          <w:sz w:val="32"/>
          <w:szCs w:val="32"/>
        </w:rPr>
      </w:pPr>
      <w:bookmarkStart w:id="4" w:name="_Toc12820"/>
      <w:r>
        <w:rPr>
          <w:rFonts w:hint="eastAsia" w:ascii="楷体" w:hAnsi="楷体" w:eastAsia="楷体" w:cs="楷体"/>
          <w:b w:val="0"/>
          <w:bCs w:val="0"/>
          <w:color w:val="auto"/>
          <w:sz w:val="32"/>
          <w:szCs w:val="32"/>
          <w:lang w:val="en-US" w:eastAsia="zh-CN" w:bidi="ar-SA"/>
        </w:rPr>
        <w:t xml:space="preserve">1.1 </w:t>
      </w:r>
      <w:r>
        <w:rPr>
          <w:rFonts w:hint="eastAsia" w:ascii="楷体" w:hAnsi="楷体" w:eastAsia="楷体" w:cs="楷体"/>
          <w:b w:val="0"/>
          <w:bCs w:val="0"/>
          <w:color w:val="auto"/>
          <w:sz w:val="32"/>
          <w:szCs w:val="32"/>
          <w:lang w:val="en-US" w:eastAsia="zh-CN"/>
        </w:rPr>
        <w:t>规划背景</w:t>
      </w:r>
      <w:bookmarkEnd w:id="3"/>
      <w:bookmarkEnd w:id="4"/>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 w:cs="Times New Roman"/>
          <w:color w:val="auto"/>
          <w:spacing w:val="-2"/>
          <w:sz w:val="32"/>
          <w:szCs w:val="32"/>
          <w:lang w:val="en-US" w:eastAsia="zh-CN"/>
        </w:rPr>
      </w:pPr>
      <w:r>
        <w:rPr>
          <w:rFonts w:hint="eastAsia" w:ascii="仿宋" w:hAnsi="仿宋" w:eastAsia="仿宋" w:cs="仿宋"/>
          <w:color w:val="auto"/>
          <w:spacing w:val="-2"/>
          <w:sz w:val="32"/>
          <w:szCs w:val="32"/>
          <w:lang w:val="en-US" w:eastAsia="zh-CN"/>
        </w:rPr>
        <w:t>多年来，金口河区一直十分重视建筑垃圾管理，将建筑垃圾建设管理纳入区政府重点工作、城市品质提升以及生态环境保护重点任务清单。但随着金口河区城镇化的推进、污染防治攻坚战、“老城区”改造等项目的启动，建筑垃圾产生量日益增加，管理工作难度加大，面临许多新问题、新挑战。如：建筑垃圾处理能力不足、处理方式粗放、处理设施运营管理不规范、违法倾倒问题时有发生、资源化产品推广应用力度不够等。建筑垃圾的处理不当，不仅占用大量土地资源，还可能对生态环境造成严重影响，如土壤污染、水体污染等。同时建筑垃圾排放、运输、综合利用、消纳等过程中伴随的日益严重的环境污染，对金口河区生态环境、市容环境卫生以及交通运输带来巨大压力。</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highlight w:val="yellow"/>
          <w:lang w:val="en-US" w:eastAsia="zh-CN"/>
        </w:rPr>
      </w:pPr>
      <w:r>
        <w:rPr>
          <w:rFonts w:hint="default" w:ascii="仿宋" w:hAnsi="仿宋" w:eastAsia="仿宋" w:cs="仿宋"/>
          <w:color w:val="auto"/>
          <w:spacing w:val="-2"/>
          <w:sz w:val="32"/>
          <w:szCs w:val="32"/>
          <w:highlight w:val="none"/>
          <w:lang w:val="en-US" w:eastAsia="zh-CN"/>
        </w:rPr>
        <w:t>根据《全面加强生态环境保护坚决打好污染防治攻坚战的意见》《中华人民共和国国民经济和社会发展第十四个五年规划和2035年远景目标纲要》《四川省城市建筑垃圾管理办法》等文件要求，为扎实推进中央第三生态环境保护督察组反馈问题整改，切实解决金口河区城市建筑垃圾乱堆乱倒问题，全面提升我区建筑垃圾污染环境防治工作水平；同时，积极响应《四川省城市建筑垃圾处置及资源化利用行动方案》（川建行规〔2024〕12号）相关部署：</w:t>
      </w:r>
      <w:r>
        <w:rPr>
          <w:rFonts w:hint="eastAsia" w:ascii="仿宋" w:hAnsi="仿宋" w:eastAsia="仿宋" w:cs="仿宋"/>
          <w:color w:val="auto"/>
          <w:spacing w:val="-2"/>
          <w:sz w:val="32"/>
          <w:szCs w:val="32"/>
          <w:highlight w:val="none"/>
          <w:lang w:val="en-US" w:eastAsia="zh-CN"/>
        </w:rPr>
        <w:t>“</w:t>
      </w:r>
      <w:r>
        <w:rPr>
          <w:rFonts w:hint="default" w:ascii="仿宋" w:hAnsi="仿宋" w:eastAsia="仿宋" w:cs="仿宋"/>
          <w:color w:val="auto"/>
          <w:spacing w:val="-2"/>
          <w:sz w:val="32"/>
          <w:szCs w:val="32"/>
          <w:highlight w:val="none"/>
          <w:lang w:val="en-US" w:eastAsia="zh-CN"/>
        </w:rPr>
        <w:t>到2024年底，各市（州）完成制定或修订本地区城市建筑垃圾污染环境防治工作规划，进一步健全城市建筑垃圾全过程管理制度，规范产生、运输和处置核准</w:t>
      </w:r>
      <w:r>
        <w:rPr>
          <w:rFonts w:hint="eastAsia" w:ascii="仿宋" w:hAnsi="仿宋" w:eastAsia="仿宋" w:cs="仿宋"/>
          <w:color w:val="auto"/>
          <w:spacing w:val="-2"/>
          <w:sz w:val="32"/>
          <w:szCs w:val="32"/>
          <w:highlight w:val="none"/>
          <w:lang w:val="en-US" w:eastAsia="zh-CN"/>
        </w:rPr>
        <w:t>；</w:t>
      </w:r>
      <w:r>
        <w:rPr>
          <w:rFonts w:hint="default" w:ascii="仿宋" w:hAnsi="仿宋" w:eastAsia="仿宋" w:cs="仿宋"/>
          <w:color w:val="auto"/>
          <w:spacing w:val="-2"/>
          <w:sz w:val="32"/>
          <w:szCs w:val="32"/>
          <w:highlight w:val="none"/>
          <w:lang w:val="en-US" w:eastAsia="zh-CN"/>
        </w:rPr>
        <w:t>到2025年底，全省基本建立城市建筑垃圾治理体系，有效落实全过程管理制度，地级及以上城市建筑垃圾资源化处理能力满足实际需求，县级城市具备规范的建筑垃圾处置场所，综合利用率达到50%以上。</w:t>
      </w:r>
      <w:r>
        <w:rPr>
          <w:rFonts w:hint="eastAsia" w:ascii="仿宋" w:hAnsi="仿宋" w:eastAsia="仿宋" w:cs="仿宋"/>
          <w:color w:val="auto"/>
          <w:spacing w:val="-2"/>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在此基础上乐山市金口河区综合行政执法局特编制《金口河区城市建筑垃圾污染环境防治工作专项规划（2025—2035年）》。</w:t>
      </w:r>
    </w:p>
    <w:p>
      <w:pPr>
        <w:pStyle w:val="4"/>
        <w:pageBreakBefore w:val="0"/>
        <w:widowControl w:val="0"/>
        <w:numPr>
          <w:ilvl w:val="1"/>
          <w:numId w:val="0"/>
        </w:numPr>
        <w:kinsoku/>
        <w:wordWrap/>
        <w:overflowPunct/>
        <w:topLinePunct w:val="0"/>
        <w:autoSpaceDE/>
        <w:autoSpaceDN/>
        <w:bidi w:val="0"/>
        <w:adjustRightInd/>
        <w:snapToGrid/>
        <w:spacing w:line="600" w:lineRule="exact"/>
        <w:ind w:left="575" w:leftChars="0" w:hanging="575" w:firstLineChars="0"/>
        <w:textAlignment w:val="auto"/>
        <w:rPr>
          <w:rFonts w:hint="eastAsia" w:ascii="楷体" w:hAnsi="楷体" w:eastAsia="楷体" w:cs="楷体"/>
          <w:b w:val="0"/>
          <w:bCs w:val="0"/>
          <w:color w:val="auto"/>
          <w:sz w:val="32"/>
          <w:szCs w:val="32"/>
          <w:lang w:val="en-US" w:eastAsia="zh-CN"/>
        </w:rPr>
      </w:pPr>
      <w:bookmarkStart w:id="5" w:name="_Toc15847"/>
      <w:bookmarkStart w:id="6" w:name="_Toc30596"/>
      <w:r>
        <w:rPr>
          <w:rFonts w:hint="eastAsia" w:ascii="楷体" w:hAnsi="楷体" w:eastAsia="楷体" w:cs="楷体"/>
          <w:b w:val="0"/>
          <w:bCs w:val="0"/>
          <w:color w:val="auto"/>
          <w:sz w:val="32"/>
          <w:szCs w:val="32"/>
          <w:lang w:val="en-US" w:eastAsia="zh-CN" w:bidi="ar-SA"/>
        </w:rPr>
        <w:t xml:space="preserve">1.2 </w:t>
      </w:r>
      <w:r>
        <w:rPr>
          <w:rFonts w:hint="eastAsia" w:ascii="楷体" w:hAnsi="楷体" w:eastAsia="楷体" w:cs="楷体"/>
          <w:b w:val="0"/>
          <w:bCs w:val="0"/>
          <w:color w:val="auto"/>
          <w:sz w:val="32"/>
          <w:szCs w:val="32"/>
          <w:lang w:val="en-US" w:eastAsia="zh-CN"/>
        </w:rPr>
        <w:t>规划目的</w:t>
      </w:r>
      <w:bookmarkEnd w:id="5"/>
      <w:bookmarkEnd w:id="6"/>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 w:cs="Times New Roman"/>
          <w:color w:val="auto"/>
          <w:spacing w:val="-2"/>
          <w:sz w:val="32"/>
          <w:szCs w:val="32"/>
          <w:lang w:val="en-US" w:eastAsia="zh-CN"/>
        </w:rPr>
      </w:pPr>
      <w:r>
        <w:rPr>
          <w:rFonts w:hint="default" w:ascii="仿宋" w:hAnsi="仿宋" w:eastAsia="仿宋" w:cs="仿宋"/>
          <w:color w:val="auto"/>
          <w:spacing w:val="-2"/>
          <w:sz w:val="32"/>
          <w:szCs w:val="32"/>
          <w:lang w:val="en-US" w:eastAsia="zh-CN"/>
        </w:rPr>
        <w:t>本规划旨在调查金口河中心城区范围包括建筑垃圾源头减量、排放、贮存、运输、处理、管理体制等基本情况，通过以上基础资料的收集、整理和分析研究，合理预测建筑垃圾产量及处理需求，完善建筑垃圾收运系统，规划建筑垃圾处理处置方式，为集中处置设施选址布点，为建筑垃圾管理体制的调整、健全提出指导性建议，提高建筑垃圾资源化利用率，促进经济社会高质量发展和生态环境保护。</w:t>
      </w:r>
    </w:p>
    <w:p>
      <w:pPr>
        <w:pStyle w:val="4"/>
        <w:pageBreakBefore w:val="0"/>
        <w:widowControl w:val="0"/>
        <w:numPr>
          <w:ilvl w:val="1"/>
          <w:numId w:val="0"/>
        </w:numPr>
        <w:kinsoku/>
        <w:wordWrap/>
        <w:overflowPunct/>
        <w:topLinePunct w:val="0"/>
        <w:autoSpaceDE/>
        <w:autoSpaceDN/>
        <w:bidi w:val="0"/>
        <w:adjustRightInd/>
        <w:snapToGrid/>
        <w:spacing w:line="600" w:lineRule="exact"/>
        <w:ind w:left="575" w:leftChars="0" w:hanging="575" w:firstLineChars="0"/>
        <w:textAlignment w:val="auto"/>
        <w:rPr>
          <w:rFonts w:hint="eastAsia" w:ascii="楷体" w:hAnsi="楷体" w:eastAsia="楷体" w:cs="楷体"/>
          <w:b w:val="0"/>
          <w:bCs w:val="0"/>
          <w:color w:val="auto"/>
          <w:sz w:val="32"/>
          <w:szCs w:val="32"/>
          <w:lang w:val="en-US" w:eastAsia="zh-CN"/>
        </w:rPr>
      </w:pPr>
      <w:bookmarkStart w:id="7" w:name="_Toc9240"/>
      <w:bookmarkStart w:id="8" w:name="_Toc5831"/>
      <w:r>
        <w:rPr>
          <w:rFonts w:hint="eastAsia" w:ascii="楷体" w:hAnsi="楷体" w:eastAsia="楷体" w:cs="楷体"/>
          <w:b w:val="0"/>
          <w:bCs w:val="0"/>
          <w:color w:val="auto"/>
          <w:sz w:val="32"/>
          <w:szCs w:val="32"/>
          <w:lang w:val="en-US" w:eastAsia="zh-CN" w:bidi="ar-SA"/>
        </w:rPr>
        <w:t xml:space="preserve">1.3 </w:t>
      </w:r>
      <w:r>
        <w:rPr>
          <w:rFonts w:hint="eastAsia" w:ascii="楷体" w:hAnsi="楷体" w:eastAsia="楷体" w:cs="楷体"/>
          <w:b w:val="0"/>
          <w:bCs w:val="0"/>
          <w:color w:val="auto"/>
          <w:sz w:val="32"/>
          <w:szCs w:val="32"/>
          <w:lang w:val="en-US" w:eastAsia="zh-CN"/>
        </w:rPr>
        <w:t>指导思想</w:t>
      </w:r>
      <w:bookmarkEnd w:id="7"/>
      <w:bookmarkEnd w:id="8"/>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全面贯彻习近平生态文明思想，深入贯彻落实党的二十大关于“加快构建废弃物循环利用体系”的战略部署，遵循减量化、再利用、资源化的循环经济理念，以提高资源利用效率为目标，结合金口河区实际，以建筑垃圾减量化、资源化、无害化、产业化为导向，建立区域统筹、布局合理、技术先进、资源得到有效利用的建筑垃圾治理系统，加快完善建筑垃圾源头减量、分类收集、贮存运输、处置利用的全过程监管体系，改善市容市貌和环境卫生，保护生态环境，进一步提升城市环境，实现建筑垃圾处理经济效益、生态效益和社会效益的统一。</w:t>
      </w:r>
    </w:p>
    <w:p>
      <w:pPr>
        <w:pStyle w:val="4"/>
        <w:pageBreakBefore w:val="0"/>
        <w:widowControl w:val="0"/>
        <w:numPr>
          <w:ilvl w:val="1"/>
          <w:numId w:val="0"/>
        </w:numPr>
        <w:kinsoku/>
        <w:wordWrap/>
        <w:overflowPunct/>
        <w:topLinePunct w:val="0"/>
        <w:autoSpaceDE/>
        <w:autoSpaceDN/>
        <w:bidi w:val="0"/>
        <w:adjustRightInd/>
        <w:snapToGrid/>
        <w:spacing w:line="600" w:lineRule="exact"/>
        <w:ind w:left="575" w:leftChars="0" w:hanging="575" w:firstLineChars="0"/>
        <w:textAlignment w:val="auto"/>
        <w:rPr>
          <w:rFonts w:hint="default" w:ascii="楷体" w:hAnsi="楷体" w:eastAsia="楷体" w:cs="楷体"/>
          <w:b w:val="0"/>
          <w:bCs w:val="0"/>
          <w:color w:val="auto"/>
          <w:sz w:val="32"/>
          <w:szCs w:val="32"/>
          <w:lang w:val="en-US" w:eastAsia="zh-CN" w:bidi="ar-SA"/>
        </w:rPr>
      </w:pPr>
      <w:bookmarkStart w:id="9" w:name="_Toc15366"/>
      <w:bookmarkStart w:id="10" w:name="_Toc30264"/>
      <w:r>
        <w:rPr>
          <w:rFonts w:hint="default" w:ascii="楷体" w:hAnsi="楷体" w:eastAsia="楷体" w:cs="楷体"/>
          <w:b w:val="0"/>
          <w:bCs w:val="0"/>
          <w:color w:val="auto"/>
          <w:sz w:val="32"/>
          <w:szCs w:val="32"/>
          <w:lang w:val="en-US" w:eastAsia="zh-CN" w:bidi="ar-SA"/>
        </w:rPr>
        <w:t>1.4</w:t>
      </w:r>
      <w:r>
        <w:rPr>
          <w:rFonts w:hint="eastAsia" w:ascii="楷体" w:hAnsi="楷体" w:eastAsia="楷体" w:cs="楷体"/>
          <w:b w:val="0"/>
          <w:bCs w:val="0"/>
          <w:color w:val="auto"/>
          <w:sz w:val="32"/>
          <w:szCs w:val="32"/>
          <w:lang w:val="en-US" w:eastAsia="zh-CN" w:bidi="ar-SA"/>
        </w:rPr>
        <w:t xml:space="preserve"> </w:t>
      </w:r>
      <w:r>
        <w:rPr>
          <w:rFonts w:hint="default" w:ascii="楷体" w:hAnsi="楷体" w:eastAsia="楷体" w:cs="楷体"/>
          <w:b w:val="0"/>
          <w:bCs w:val="0"/>
          <w:color w:val="auto"/>
          <w:sz w:val="32"/>
          <w:szCs w:val="32"/>
          <w:lang w:val="en-US" w:eastAsia="zh-CN" w:bidi="ar-SA"/>
        </w:rPr>
        <w:t>规划范围</w:t>
      </w:r>
      <w:bookmarkEnd w:id="9"/>
      <w:bookmarkEnd w:id="10"/>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本次规划确定的规划范围为金口河区中心城区的城镇空间，金口河区中心城区范围包括永和镇、和平彝族乡部分城镇开发边界范围，总面积约2.26平方千米。</w:t>
      </w:r>
    </w:p>
    <w:p>
      <w:pPr>
        <w:pStyle w:val="4"/>
        <w:pageBreakBefore w:val="0"/>
        <w:widowControl w:val="0"/>
        <w:numPr>
          <w:ilvl w:val="1"/>
          <w:numId w:val="0"/>
        </w:numPr>
        <w:kinsoku/>
        <w:wordWrap/>
        <w:overflowPunct/>
        <w:topLinePunct w:val="0"/>
        <w:autoSpaceDE/>
        <w:autoSpaceDN/>
        <w:bidi w:val="0"/>
        <w:adjustRightInd/>
        <w:snapToGrid/>
        <w:spacing w:line="600" w:lineRule="exact"/>
        <w:ind w:left="575" w:leftChars="0" w:hanging="575" w:firstLineChars="0"/>
        <w:textAlignment w:val="auto"/>
        <w:rPr>
          <w:rFonts w:hint="default" w:ascii="楷体" w:hAnsi="楷体" w:eastAsia="楷体" w:cs="楷体"/>
          <w:b w:val="0"/>
          <w:bCs w:val="0"/>
          <w:color w:val="auto"/>
          <w:sz w:val="32"/>
          <w:szCs w:val="32"/>
          <w:lang w:val="en-US" w:eastAsia="zh-CN" w:bidi="ar-SA"/>
        </w:rPr>
      </w:pPr>
      <w:bookmarkStart w:id="11" w:name="_Toc13353"/>
      <w:bookmarkStart w:id="12" w:name="_Toc15463"/>
      <w:r>
        <w:rPr>
          <w:rFonts w:hint="default" w:ascii="楷体" w:hAnsi="楷体" w:eastAsia="楷体" w:cs="楷体"/>
          <w:b w:val="0"/>
          <w:bCs w:val="0"/>
          <w:color w:val="auto"/>
          <w:sz w:val="32"/>
          <w:szCs w:val="32"/>
          <w:lang w:val="en-US" w:eastAsia="zh-CN" w:bidi="ar-SA"/>
        </w:rPr>
        <w:t>1.5</w:t>
      </w:r>
      <w:r>
        <w:rPr>
          <w:rFonts w:hint="eastAsia" w:ascii="楷体" w:hAnsi="楷体" w:eastAsia="楷体" w:cs="楷体"/>
          <w:b w:val="0"/>
          <w:bCs w:val="0"/>
          <w:color w:val="auto"/>
          <w:sz w:val="32"/>
          <w:szCs w:val="32"/>
          <w:lang w:val="en-US" w:eastAsia="zh-CN" w:bidi="ar-SA"/>
        </w:rPr>
        <w:t xml:space="preserve"> </w:t>
      </w:r>
      <w:r>
        <w:rPr>
          <w:rFonts w:hint="default" w:ascii="楷体" w:hAnsi="楷体" w:eastAsia="楷体" w:cs="楷体"/>
          <w:b w:val="0"/>
          <w:bCs w:val="0"/>
          <w:color w:val="auto"/>
          <w:sz w:val="32"/>
          <w:szCs w:val="32"/>
          <w:lang w:val="en-US" w:eastAsia="zh-CN" w:bidi="ar-SA"/>
        </w:rPr>
        <w:t>规划年限</w:t>
      </w:r>
      <w:bookmarkEnd w:id="11"/>
      <w:bookmarkEnd w:id="12"/>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规划期限：2025—2035年。</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其中，近期规划2025—2030年，远期规划2031—2035年。</w:t>
      </w:r>
    </w:p>
    <w:p>
      <w:pPr>
        <w:pStyle w:val="4"/>
        <w:pageBreakBefore w:val="0"/>
        <w:widowControl w:val="0"/>
        <w:numPr>
          <w:ilvl w:val="1"/>
          <w:numId w:val="0"/>
        </w:numPr>
        <w:kinsoku/>
        <w:wordWrap/>
        <w:overflowPunct/>
        <w:topLinePunct w:val="0"/>
        <w:autoSpaceDE/>
        <w:autoSpaceDN/>
        <w:bidi w:val="0"/>
        <w:adjustRightInd/>
        <w:snapToGrid/>
        <w:spacing w:line="600" w:lineRule="exact"/>
        <w:ind w:left="575" w:leftChars="0" w:hanging="575" w:firstLineChars="0"/>
        <w:textAlignment w:val="auto"/>
        <w:rPr>
          <w:rFonts w:hint="default" w:ascii="楷体" w:hAnsi="楷体" w:eastAsia="楷体" w:cs="楷体"/>
          <w:b w:val="0"/>
          <w:bCs w:val="0"/>
          <w:color w:val="auto"/>
          <w:sz w:val="32"/>
          <w:szCs w:val="32"/>
          <w:lang w:val="en-US" w:eastAsia="zh-CN" w:bidi="ar-SA"/>
        </w:rPr>
      </w:pPr>
      <w:bookmarkStart w:id="13" w:name="_Toc10174"/>
      <w:bookmarkStart w:id="14" w:name="_Toc28074"/>
      <w:r>
        <w:rPr>
          <w:rFonts w:hint="default" w:ascii="楷体" w:hAnsi="楷体" w:eastAsia="楷体" w:cs="楷体"/>
          <w:b w:val="0"/>
          <w:bCs w:val="0"/>
          <w:color w:val="auto"/>
          <w:sz w:val="32"/>
          <w:szCs w:val="32"/>
          <w:lang w:val="en-US" w:eastAsia="zh-CN" w:bidi="ar-SA"/>
        </w:rPr>
        <w:t>1.6</w:t>
      </w:r>
      <w:r>
        <w:rPr>
          <w:rFonts w:hint="eastAsia" w:ascii="楷体" w:hAnsi="楷体" w:eastAsia="楷体" w:cs="楷体"/>
          <w:b w:val="0"/>
          <w:bCs w:val="0"/>
          <w:color w:val="auto"/>
          <w:sz w:val="32"/>
          <w:szCs w:val="32"/>
          <w:lang w:val="en-US" w:eastAsia="zh-CN" w:bidi="ar-SA"/>
        </w:rPr>
        <w:t xml:space="preserve"> </w:t>
      </w:r>
      <w:r>
        <w:rPr>
          <w:rFonts w:hint="default" w:ascii="楷体" w:hAnsi="楷体" w:eastAsia="楷体" w:cs="楷体"/>
          <w:b w:val="0"/>
          <w:bCs w:val="0"/>
          <w:color w:val="auto"/>
          <w:sz w:val="32"/>
          <w:szCs w:val="32"/>
          <w:lang w:val="en-US" w:eastAsia="zh-CN" w:bidi="ar-SA"/>
        </w:rPr>
        <w:t>规划依据</w:t>
      </w:r>
      <w:bookmarkEnd w:id="13"/>
      <w:bookmarkEnd w:id="14"/>
    </w:p>
    <w:p>
      <w:pPr>
        <w:pStyle w:val="4"/>
        <w:pageBreakBefore w:val="0"/>
        <w:widowControl w:val="0"/>
        <w:numPr>
          <w:ilvl w:val="1"/>
          <w:numId w:val="0"/>
        </w:numPr>
        <w:kinsoku/>
        <w:wordWrap/>
        <w:overflowPunct/>
        <w:topLinePunct w:val="0"/>
        <w:autoSpaceDE/>
        <w:autoSpaceDN/>
        <w:bidi w:val="0"/>
        <w:adjustRightInd/>
        <w:snapToGrid/>
        <w:spacing w:line="600" w:lineRule="exact"/>
        <w:ind w:left="575" w:leftChars="0" w:hanging="575" w:firstLineChars="0"/>
        <w:textAlignment w:val="auto"/>
        <w:rPr>
          <w:rFonts w:hint="eastAsia" w:ascii="仿宋" w:hAnsi="仿宋" w:eastAsia="仿宋" w:cs="仿宋"/>
          <w:b w:val="0"/>
          <w:bCs w:val="0"/>
          <w:color w:val="auto"/>
          <w:spacing w:val="-2"/>
          <w:sz w:val="32"/>
          <w:szCs w:val="32"/>
          <w:lang w:val="en-US" w:eastAsia="zh-CN" w:bidi="ar-SA"/>
        </w:rPr>
      </w:pPr>
      <w:bookmarkStart w:id="15" w:name="_Toc10687"/>
      <w:r>
        <w:rPr>
          <w:rFonts w:hint="eastAsia" w:ascii="仿宋" w:hAnsi="仿宋" w:eastAsia="仿宋" w:cs="仿宋"/>
          <w:b w:val="0"/>
          <w:bCs w:val="0"/>
          <w:color w:val="auto"/>
          <w:spacing w:val="-2"/>
          <w:sz w:val="32"/>
          <w:szCs w:val="32"/>
          <w:lang w:val="en-US" w:eastAsia="zh-CN" w:bidi="ar-SA"/>
        </w:rPr>
        <w:t>1.6.1 国家有关法律法规</w:t>
      </w:r>
      <w:bookmarkEnd w:id="15"/>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1.《城市建筑垃圾管理规定》（建设部﹝2005﹞第139号令）；</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2.《中华人民共和国环境保护法》（2014年修订）；</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3.《中共中央国务院关于进一步加强城市规划建设管理工作的若干意见》（中发〔2016〕6号）；</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 w:cs="Times New Roman"/>
          <w:color w:val="auto"/>
          <w:spacing w:val="-2"/>
          <w:sz w:val="32"/>
          <w:szCs w:val="32"/>
          <w:lang w:val="en-US" w:eastAsia="zh-CN"/>
        </w:rPr>
      </w:pPr>
      <w:r>
        <w:rPr>
          <w:rFonts w:hint="default" w:ascii="仿宋" w:hAnsi="仿宋" w:eastAsia="仿宋" w:cs="仿宋"/>
          <w:color w:val="auto"/>
          <w:spacing w:val="-2"/>
          <w:sz w:val="32"/>
          <w:szCs w:val="32"/>
          <w:lang w:val="en-US" w:eastAsia="zh-CN"/>
        </w:rPr>
        <w:t>4.《建筑垃圾资源化利用行业规范条件公告管理暂行办法》（工业和信息化部、住房城乡建设部公告2016年第71号）；</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5.《城市市容和环境卫生管理条例》（2017年修订）；</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6.《中华人民共和国大气污染防治法》（2018年修订）；</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7.《中华人民共和国环境影响评价法》（2018年修订）；</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8.《住房城乡建设部关于开展建筑垃圾治理试点工作的通知》（建城函〔2018〕65号）</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9.《国务院办公厅关于印发“无废城市”建设试点工作方案的通知》（国办发〔2018〕128号）</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10.《中华人民共和国城乡规划法》（2019年修订）；</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11.《中华人民共和国土地管理法》（2019年修正）；</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12.《中华人民共和国固体废物污染环境防治法》（2020年修订）；</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13.《关于推进建筑垃圾减量化的指导意见》（建质〔2022〕46号）；</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14.《关于“十四五”大宗固体废弃物综合利用的指导意见》（发改环资〔2021〕381号）；</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15.《“十四五”生态保护监管规划》（环生态〔2022〕15号）；</w:t>
      </w:r>
    </w:p>
    <w:p>
      <w:pPr>
        <w:pStyle w:val="4"/>
        <w:pageBreakBefore w:val="0"/>
        <w:widowControl w:val="0"/>
        <w:numPr>
          <w:ilvl w:val="1"/>
          <w:numId w:val="0"/>
        </w:numPr>
        <w:kinsoku/>
        <w:wordWrap/>
        <w:overflowPunct/>
        <w:topLinePunct w:val="0"/>
        <w:autoSpaceDE/>
        <w:autoSpaceDN/>
        <w:bidi w:val="0"/>
        <w:adjustRightInd/>
        <w:snapToGrid/>
        <w:spacing w:line="600" w:lineRule="exact"/>
        <w:ind w:left="575" w:leftChars="0" w:hanging="575" w:firstLineChars="0"/>
        <w:textAlignment w:val="auto"/>
        <w:rPr>
          <w:rFonts w:hint="default" w:ascii="仿宋" w:hAnsi="仿宋" w:eastAsia="仿宋" w:cs="仿宋"/>
          <w:b w:val="0"/>
          <w:bCs w:val="0"/>
          <w:color w:val="auto"/>
          <w:spacing w:val="-2"/>
          <w:sz w:val="32"/>
          <w:szCs w:val="32"/>
          <w:lang w:val="en-US" w:eastAsia="zh-CN" w:bidi="ar-SA"/>
        </w:rPr>
      </w:pPr>
      <w:bookmarkStart w:id="16" w:name="_Toc7839"/>
      <w:r>
        <w:rPr>
          <w:rFonts w:hint="default" w:ascii="仿宋" w:hAnsi="仿宋" w:eastAsia="仿宋" w:cs="仿宋"/>
          <w:b w:val="0"/>
          <w:bCs w:val="0"/>
          <w:color w:val="auto"/>
          <w:spacing w:val="-2"/>
          <w:sz w:val="32"/>
          <w:szCs w:val="32"/>
          <w:lang w:val="en-US" w:eastAsia="zh-CN" w:bidi="ar-SA"/>
        </w:rPr>
        <w:t>1.6.2</w:t>
      </w:r>
      <w:r>
        <w:rPr>
          <w:rFonts w:hint="eastAsia" w:ascii="仿宋" w:hAnsi="仿宋" w:eastAsia="仿宋" w:cs="仿宋"/>
          <w:b w:val="0"/>
          <w:bCs w:val="0"/>
          <w:color w:val="auto"/>
          <w:spacing w:val="-2"/>
          <w:sz w:val="32"/>
          <w:szCs w:val="32"/>
          <w:lang w:val="en-US" w:eastAsia="zh-CN" w:bidi="ar-SA"/>
        </w:rPr>
        <w:t xml:space="preserve"> 地方性有关法规规章</w:t>
      </w:r>
      <w:bookmarkEnd w:id="16"/>
      <w:r>
        <w:rPr>
          <w:rFonts w:hint="eastAsia" w:ascii="仿宋" w:hAnsi="仿宋" w:eastAsia="仿宋" w:cs="仿宋"/>
          <w:b w:val="0"/>
          <w:bCs w:val="0"/>
          <w:color w:val="auto"/>
          <w:spacing w:val="-2"/>
          <w:sz w:val="32"/>
          <w:szCs w:val="32"/>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1.《四川省环境保护条例》（2018年）；</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 w:cs="Times New Roman"/>
          <w:color w:val="auto"/>
          <w:spacing w:val="-2"/>
          <w:sz w:val="32"/>
          <w:szCs w:val="32"/>
          <w:lang w:val="en-US" w:eastAsia="zh-CN"/>
        </w:rPr>
      </w:pPr>
      <w:r>
        <w:rPr>
          <w:rFonts w:hint="default" w:ascii="仿宋" w:hAnsi="仿宋" w:eastAsia="仿宋" w:cs="仿宋"/>
          <w:color w:val="auto"/>
          <w:spacing w:val="-2"/>
          <w:sz w:val="32"/>
          <w:szCs w:val="32"/>
          <w:lang w:val="en-US" w:eastAsia="zh-CN"/>
        </w:rPr>
        <w:t>2.《四川省城乡环境综合治理条例》（2019年修订）；</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3.《四川省固体废物污染环境防治条例》（2022年修订）；</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4.《四川省城市建筑垃圾管理办法》（川办规〔2024〕4号）；</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5.《乐山市城市市容和环境卫生管理办法》（2022年）；</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6.《乐山市“无废城市”建设实施方案》（乐府发〔2022〕22号）；</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7.《关于加强乐山市主城区装修垃圾分类管理和处置工作的通知》（乐城管局通〔2022〕2号）；</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8.《乐山市贯彻落实〈四川省城市建筑垃圾处置及资源化利用行动方案〉任务清单》；</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9.《乐山市碳达峰实施方案》（乐府发〔2024〕9号）；</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10.《乐山市人民政府关于印发乐山市生态环境分区管控方案（2023年版）的通知》（乐府发〔2024〕10号）；</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11.《金口河区“无废城市”建设实施方案》（2023年）；</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17" w:name="_Toc14987"/>
      <w:r>
        <w:rPr>
          <w:rFonts w:hint="default" w:ascii="仿宋" w:hAnsi="仿宋" w:eastAsia="仿宋" w:cs="仿宋"/>
          <w:b w:val="0"/>
          <w:bCs w:val="0"/>
          <w:color w:val="auto"/>
          <w:spacing w:val="-2"/>
          <w:sz w:val="32"/>
          <w:szCs w:val="32"/>
          <w:lang w:val="en-US" w:eastAsia="zh-CN" w:bidi="ar-SA"/>
        </w:rPr>
        <w:t>1.6.3</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相关标准、规范</w:t>
      </w:r>
      <w:bookmarkEnd w:id="17"/>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1.《环境卫生设施设置标准》（CJJ27-2012）；</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2.《建筑垃圾处理技术标准》（CJJ/T134-2019）；</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3.《建筑垃圾处理技术标准》（CJJ/T 134-2019）；</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4.《建筑垃圾密闭运输车辆技术规范》（CJ035-2020）；</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5.《建筑垃圾处理技术规程》（CG058-2021）；</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6.《建筑垃圾处理场设施规范》（CG059-2021）；</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 xml:space="preserve">7.《建筑余泥渣土受纳场建设技术规范》（DBJ/T15-118-2016） </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8.《建筑用砂》（GB 14684-2011）；</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 w:cs="Times New Roman"/>
          <w:color w:val="auto"/>
          <w:spacing w:val="-2"/>
          <w:sz w:val="32"/>
          <w:szCs w:val="32"/>
          <w:lang w:val="en-US" w:eastAsia="zh-CN"/>
        </w:rPr>
      </w:pPr>
      <w:r>
        <w:rPr>
          <w:rFonts w:hint="default" w:ascii="仿宋" w:hAnsi="仿宋" w:eastAsia="仿宋" w:cs="仿宋"/>
          <w:color w:val="auto"/>
          <w:spacing w:val="-2"/>
          <w:sz w:val="32"/>
          <w:szCs w:val="32"/>
          <w:lang w:val="en-US" w:eastAsia="zh-CN"/>
        </w:rPr>
        <w:t>9.《再生骨料应用技术规程》（JGJ/T 240-2011）；</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10.《混凝土和砂浆用再生细骨料》（GB 25176-2010）；</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11.《混凝土用再生粗骨料》（GB 25177-2010）；</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12.《恶臭污染物排放标准》（GB 14554-1993）；</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13.《工业企业厂界环境噪声排放标准》（GB 12348-2008）；</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14.《大气环境质量标准》（GB 3095-2012）；</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15.《地表水环境质量标准》（GB 3838-2002）；</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16.《地下水质量标准》（GB/T 14848-2017）；</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18" w:name="_Toc30095"/>
      <w:r>
        <w:rPr>
          <w:rFonts w:hint="default" w:ascii="仿宋" w:hAnsi="仿宋" w:eastAsia="仿宋" w:cs="仿宋"/>
          <w:b w:val="0"/>
          <w:bCs w:val="0"/>
          <w:color w:val="auto"/>
          <w:spacing w:val="-2"/>
          <w:sz w:val="32"/>
          <w:szCs w:val="32"/>
          <w:lang w:val="en-US" w:eastAsia="zh-CN" w:bidi="ar-SA"/>
        </w:rPr>
        <w:t>1.6.4</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相关规划及其他相关文件</w:t>
      </w:r>
      <w:bookmarkEnd w:id="18"/>
      <w:r>
        <w:rPr>
          <w:rFonts w:hint="default" w:ascii="仿宋" w:hAnsi="仿宋" w:eastAsia="仿宋" w:cs="仿宋"/>
          <w:b w:val="0"/>
          <w:bCs w:val="0"/>
          <w:color w:val="auto"/>
          <w:spacing w:val="-2"/>
          <w:sz w:val="32"/>
          <w:szCs w:val="32"/>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1.《“十四五”循环经济发展规划》（2021）；</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2.《“十四五”全国城市基础设施建设规划》；</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3.《四川省“十四五”生态环境保护规划》（川府发〔2022〕2号）；</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4.《四川省城市建筑垃圾污染环境防治专项规划编制大纲》（川建城建发〔2024〕73号）；</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5.《乐山市金口河区国土空间总体规划（2021-2035年）》；</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6.《乐山市金口河区国民经济和社会发展第十四个五年规划和二〇三五年远景目标纲要》；</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7.乐山市金口河区各乡镇已批准实施总体规划；</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8.其他相关法律法规、标准及基础数据。</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楷体" w:hAnsi="楷体" w:eastAsia="楷体" w:cs="楷体"/>
          <w:b w:val="0"/>
          <w:bCs w:val="0"/>
          <w:color w:val="auto"/>
          <w:sz w:val="32"/>
          <w:szCs w:val="32"/>
          <w:lang w:val="en-US" w:eastAsia="zh-CN" w:bidi="ar-SA"/>
        </w:rPr>
      </w:pPr>
      <w:bookmarkStart w:id="19" w:name="_Toc30298"/>
      <w:bookmarkStart w:id="20" w:name="_Toc23767"/>
      <w:r>
        <w:rPr>
          <w:rFonts w:hint="default" w:ascii="楷体" w:hAnsi="楷体" w:eastAsia="楷体" w:cs="楷体"/>
          <w:b w:val="0"/>
          <w:bCs w:val="0"/>
          <w:color w:val="auto"/>
          <w:sz w:val="32"/>
          <w:szCs w:val="32"/>
          <w:lang w:val="en-US" w:eastAsia="zh-CN" w:bidi="ar-SA"/>
        </w:rPr>
        <w:t>1.7</w:t>
      </w:r>
      <w:r>
        <w:rPr>
          <w:rFonts w:hint="eastAsia" w:ascii="楷体" w:hAnsi="楷体" w:eastAsia="楷体" w:cs="楷体"/>
          <w:b w:val="0"/>
          <w:bCs w:val="0"/>
          <w:color w:val="auto"/>
          <w:sz w:val="32"/>
          <w:szCs w:val="32"/>
          <w:lang w:val="en-US" w:eastAsia="zh-CN" w:bidi="ar-SA"/>
        </w:rPr>
        <w:t xml:space="preserve"> </w:t>
      </w:r>
      <w:r>
        <w:rPr>
          <w:rFonts w:hint="default" w:ascii="楷体" w:hAnsi="楷体" w:eastAsia="楷体" w:cs="楷体"/>
          <w:b w:val="0"/>
          <w:bCs w:val="0"/>
          <w:color w:val="auto"/>
          <w:sz w:val="32"/>
          <w:szCs w:val="32"/>
          <w:lang w:val="en-US" w:eastAsia="zh-CN" w:bidi="ar-SA"/>
        </w:rPr>
        <w:t>规划原则</w:t>
      </w:r>
      <w:bookmarkEnd w:id="19"/>
      <w:bookmarkEnd w:id="20"/>
      <w:r>
        <w:rPr>
          <w:rFonts w:hint="default" w:ascii="楷体" w:hAnsi="楷体" w:eastAsia="楷体" w:cs="楷体"/>
          <w:b w:val="0"/>
          <w:bCs w:val="0"/>
          <w:color w:val="auto"/>
          <w:sz w:val="32"/>
          <w:szCs w:val="32"/>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（一）政府引导，市场推动</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坚持政府引导、市场推动、社会参与、循环利用，鼓励社会力量参与建筑垃圾倾倒、中转、运输、消纳、利用等处置过程，发挥市场在资源配置中的决定性作用，营造有利于建筑垃圾资源化利用的市场环境。</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（二）源头减量，分类处置</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统筹规划、建设、管理三个环节，加强竖向设计方案、优化建筑设计、改进施工工艺，实施绿色设计与绿色施工。遵循减量化、资源化、无害化原则，按照工程渣土、工程泥浆、工程垃圾、拆除垃圾和装修垃圾进行分类收集、分类运输、分类处置，提升建筑垃圾分类收集的水平，从源头推动建筑废弃物处置规范化。</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（三）控制增量，治理存量</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大力实施建筑垃圾增量控制，加强建筑垃圾日常巡查监管，严查擅自倾倒、堆放、运输过程中沿途丢弃、遗撒建筑垃圾等违法行为。开展存量治理工作，全面排查登记，并制定有针对性的专项治理计划，消除存量建筑垃圾。</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（四）资源利用，无害处理</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推进建筑垃圾资源化利用，鼓励企业开展建筑垃圾资源化利用新技术、新工艺、新材料、新设备研发，建立健全建筑垃圾开发和再利用体系。严格执行风险预防和安全管控，构建全过程安全监管体系，严格控制影响城市环境的大气污染源、水污染源，杜绝随意排放现象，实现建筑垃圾无害化处理，促进人与社会、自然协调发展。</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（五）合理布局，区域共享</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根据未来城市开发建设情况，与国土空间规划、相关专项规划等相协调，科学预测建筑垃圾产生量与处置量。根据各地建筑垃圾产生量、种类和分布，从区级层面合理安排建筑垃圾处理设施的结构、布局、用地和规模，统筹考虑建设计划，做到功能集中、成本降低、用地集约，实现资源共享与污染集中控制。</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 xml:space="preserve">（六）科学合理、实施性强 </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在详细调查现状情况的基础上，通过有针对性的分析评价，提出切实可行的规划方案和对策措施，体现环境效益、社会效益和经济效益的有效统一，保证规划既具有科学性、合理性，同时又具有较好的现实性和可实施性。</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eastAsia" w:ascii="仿宋" w:hAnsi="仿宋" w:eastAsia="仿宋" w:cs="仿宋"/>
          <w:color w:val="auto"/>
          <w:spacing w:val="-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eastAsia" w:ascii="仿宋" w:hAnsi="仿宋" w:eastAsia="仿宋" w:cs="仿宋"/>
          <w:color w:val="auto"/>
          <w:spacing w:val="-2"/>
          <w:sz w:val="32"/>
          <w:szCs w:val="32"/>
          <w:lang w:val="en-US" w:eastAsia="zh-CN"/>
        </w:rPr>
        <w:sectPr>
          <w:headerReference r:id="rId4" w:type="default"/>
          <w:footerReference r:id="rId5" w:type="default"/>
          <w:pgSz w:w="11905" w:h="16838"/>
          <w:pgMar w:top="2041" w:right="1468" w:bottom="1587" w:left="1468" w:header="850" w:footer="992" w:gutter="0"/>
          <w:pgBorders w:offsetFrom="page">
            <w:top w:val="none" w:sz="0" w:space="0"/>
            <w:left w:val="none" w:sz="0" w:space="0"/>
            <w:bottom w:val="none" w:sz="0" w:space="0"/>
            <w:right w:val="none" w:sz="0" w:space="0"/>
          </w:pgBorders>
          <w:pgNumType w:fmt="decimal" w:start="3"/>
          <w:cols w:space="0" w:num="1"/>
          <w:rtlGutter w:val="0"/>
          <w:docGrid w:type="lines" w:linePitch="330" w:charSpace="0"/>
        </w:sectPr>
      </w:pPr>
    </w:p>
    <w:p>
      <w:pPr>
        <w:pStyle w:val="3"/>
        <w:numPr>
          <w:ilvl w:val="0"/>
          <w:numId w:val="7"/>
        </w:numPr>
        <w:bidi w:val="0"/>
        <w:ind w:left="432" w:leftChars="0" w:hanging="432" w:firstLineChars="0"/>
        <w:jc w:val="center"/>
        <w:rPr>
          <w:rFonts w:hint="eastAsia" w:ascii="黑体" w:hAnsi="黑体" w:eastAsia="黑体" w:cs="黑体"/>
          <w:b w:val="0"/>
          <w:bCs w:val="0"/>
          <w:sz w:val="32"/>
          <w:szCs w:val="32"/>
          <w:lang w:val="en-US" w:eastAsia="zh-CN"/>
        </w:rPr>
      </w:pPr>
      <w:bookmarkStart w:id="21" w:name="_Toc11236"/>
      <w:bookmarkStart w:id="22" w:name="_Toc20470"/>
      <w:r>
        <w:rPr>
          <w:rFonts w:hint="eastAsia" w:ascii="黑体" w:hAnsi="黑体" w:eastAsia="黑体" w:cs="黑体"/>
          <w:b w:val="0"/>
          <w:bCs w:val="0"/>
          <w:sz w:val="32"/>
          <w:szCs w:val="32"/>
          <w:lang w:val="en-US" w:eastAsia="zh-CN"/>
        </w:rPr>
        <w:t>规划目标与指标</w:t>
      </w:r>
      <w:bookmarkEnd w:id="21"/>
      <w:bookmarkEnd w:id="22"/>
    </w:p>
    <w:p>
      <w:pPr>
        <w:numPr>
          <w:ilvl w:val="0"/>
          <w:numId w:val="0"/>
        </w:numPr>
        <w:ind w:leftChars="0"/>
        <w:rPr>
          <w:rFonts w:hint="eastAsia"/>
          <w:lang w:val="en-US" w:eastAsia="zh-CN"/>
        </w:rPr>
      </w:pP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outlineLvl w:val="1"/>
        <w:rPr>
          <w:rFonts w:hint="default" w:ascii="楷体" w:hAnsi="楷体" w:eastAsia="楷体" w:cs="楷体"/>
          <w:b w:val="0"/>
          <w:bCs w:val="0"/>
          <w:color w:val="auto"/>
          <w:sz w:val="32"/>
          <w:szCs w:val="32"/>
          <w:lang w:val="en-US" w:eastAsia="zh-CN" w:bidi="ar-SA"/>
        </w:rPr>
      </w:pPr>
      <w:bookmarkStart w:id="23" w:name="_Toc26090"/>
      <w:bookmarkStart w:id="24" w:name="_Toc3817"/>
      <w:r>
        <w:rPr>
          <w:rFonts w:hint="default" w:ascii="楷体" w:hAnsi="楷体" w:eastAsia="楷体" w:cs="楷体"/>
          <w:b w:val="0"/>
          <w:bCs w:val="0"/>
          <w:color w:val="auto"/>
          <w:sz w:val="32"/>
          <w:szCs w:val="32"/>
          <w:lang w:val="en-US" w:eastAsia="zh-CN" w:bidi="ar-SA"/>
        </w:rPr>
        <w:t>2.1</w:t>
      </w:r>
      <w:r>
        <w:rPr>
          <w:rFonts w:hint="eastAsia" w:ascii="楷体" w:hAnsi="楷体" w:eastAsia="楷体" w:cs="楷体"/>
          <w:b w:val="0"/>
          <w:bCs w:val="0"/>
          <w:color w:val="auto"/>
          <w:sz w:val="32"/>
          <w:szCs w:val="32"/>
          <w:lang w:val="en-US" w:eastAsia="zh-CN" w:bidi="ar-SA"/>
        </w:rPr>
        <w:t xml:space="preserve"> </w:t>
      </w:r>
      <w:r>
        <w:rPr>
          <w:rFonts w:hint="default" w:ascii="楷体" w:hAnsi="楷体" w:eastAsia="楷体" w:cs="楷体"/>
          <w:b w:val="0"/>
          <w:bCs w:val="0"/>
          <w:color w:val="auto"/>
          <w:sz w:val="32"/>
          <w:szCs w:val="32"/>
          <w:lang w:val="en-US" w:eastAsia="zh-CN" w:bidi="ar-SA"/>
        </w:rPr>
        <w:t>规划目标</w:t>
      </w:r>
      <w:bookmarkEnd w:id="23"/>
      <w:bookmarkEnd w:id="24"/>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以“无害化、减量化、资源化”为目标，以“绿色、低碳、循环”发展为抓手，建立有效的建筑垃圾治理体系，加强建筑垃圾全过程管理，实现建筑垃圾的综合利用。推动形成城乡绿色可持续发展方式，改善金口河区人居环境、提升城市品位、创造高品质生活，助力乐山市创建全国卫生城市。</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outlineLvl w:val="1"/>
        <w:rPr>
          <w:rFonts w:hint="default" w:ascii="楷体" w:hAnsi="楷体" w:eastAsia="楷体" w:cs="楷体"/>
          <w:b w:val="0"/>
          <w:bCs w:val="0"/>
          <w:color w:val="auto"/>
          <w:sz w:val="32"/>
          <w:szCs w:val="32"/>
          <w:lang w:val="en-US" w:eastAsia="zh-CN" w:bidi="ar-SA"/>
        </w:rPr>
      </w:pPr>
      <w:bookmarkStart w:id="25" w:name="_Toc22408"/>
      <w:bookmarkStart w:id="26" w:name="_Toc17314"/>
      <w:r>
        <w:rPr>
          <w:rFonts w:hint="default" w:ascii="楷体" w:hAnsi="楷体" w:eastAsia="楷体" w:cs="楷体"/>
          <w:b w:val="0"/>
          <w:bCs w:val="0"/>
          <w:color w:val="auto"/>
          <w:sz w:val="32"/>
          <w:szCs w:val="32"/>
          <w:lang w:val="en-US" w:eastAsia="zh-CN" w:bidi="ar-SA"/>
        </w:rPr>
        <w:t>2.2</w:t>
      </w:r>
      <w:r>
        <w:rPr>
          <w:rFonts w:hint="eastAsia" w:ascii="楷体" w:hAnsi="楷体" w:eastAsia="楷体" w:cs="楷体"/>
          <w:b w:val="0"/>
          <w:bCs w:val="0"/>
          <w:color w:val="auto"/>
          <w:sz w:val="32"/>
          <w:szCs w:val="32"/>
          <w:lang w:val="en-US" w:eastAsia="zh-CN" w:bidi="ar-SA"/>
        </w:rPr>
        <w:t xml:space="preserve"> </w:t>
      </w:r>
      <w:r>
        <w:rPr>
          <w:rFonts w:hint="default" w:ascii="楷体" w:hAnsi="楷体" w:eastAsia="楷体" w:cs="楷体"/>
          <w:b w:val="0"/>
          <w:bCs w:val="0"/>
          <w:color w:val="auto"/>
          <w:sz w:val="32"/>
          <w:szCs w:val="32"/>
          <w:lang w:val="en-US" w:eastAsia="zh-CN" w:bidi="ar-SA"/>
        </w:rPr>
        <w:t>规划对象</w:t>
      </w:r>
      <w:bookmarkEnd w:id="25"/>
      <w:bookmarkEnd w:id="26"/>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本规划所指的建筑垃圾是施工现场产生的工程泥浆、工程渣土、拆迁垃圾、工程垃圾和装修垃圾的总称。包括新建</w:t>
      </w:r>
      <w:r>
        <w:rPr>
          <w:rFonts w:hint="eastAsia" w:ascii="仿宋" w:hAnsi="仿宋" w:eastAsia="仿宋" w:cs="仿宋"/>
          <w:color w:val="auto"/>
          <w:spacing w:val="-2"/>
          <w:sz w:val="32"/>
          <w:szCs w:val="32"/>
          <w:lang w:val="en-US" w:eastAsia="zh-CN"/>
        </w:rPr>
        <w:t>、</w:t>
      </w:r>
      <w:r>
        <w:rPr>
          <w:rFonts w:hint="default" w:ascii="仿宋" w:hAnsi="仿宋" w:eastAsia="仿宋" w:cs="仿宋"/>
          <w:color w:val="auto"/>
          <w:spacing w:val="-2"/>
          <w:sz w:val="32"/>
          <w:szCs w:val="32"/>
          <w:lang w:val="en-US" w:eastAsia="zh-CN"/>
        </w:rPr>
        <w:t>改建、扩建和拆迁各类建筑物、构筑物等以及居民装饰装修房屋过程中产生的弃土、弃料及其它废弃物，不包括经检验、鉴定为危险废物的建筑垃圾。</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工程泥浆：各类建（构）筑物桩基础、基坑围护结构以及泥水盾构、管网暗挖等施工产生的废置和剩余泥浆。</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工程渣土：各类建筑物、构筑物、管网基础开挖过程中产生的弃土。</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拆除垃圾：指各类建筑物、构筑物等拆除过程中产生的金属、混凝土、沥青、砖瓦、陶瓷、玻璃、木材、塑料等弃料。</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工程垃圾：指各类建筑物、构筑物等建设过程中产生的金属、混凝土、沥青和模板等弃料。</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装修垃圾：指装饰房屋过程中产生的金属、混凝土、砖、陶瓷、玻璃、木材、塑料、石膏、涂料等废弃物。</w:t>
      </w:r>
    </w:p>
    <w:p>
      <w:pPr>
        <w:pStyle w:val="4"/>
        <w:pageBreakBefore w:val="0"/>
        <w:widowControl w:val="0"/>
        <w:numPr>
          <w:ilvl w:val="1"/>
          <w:numId w:val="0"/>
        </w:numPr>
        <w:kinsoku/>
        <w:wordWrap/>
        <w:overflowPunct/>
        <w:topLinePunct w:val="0"/>
        <w:autoSpaceDE/>
        <w:autoSpaceDN/>
        <w:bidi w:val="0"/>
        <w:adjustRightInd/>
        <w:snapToGrid/>
        <w:spacing w:line="600" w:lineRule="exact"/>
        <w:ind w:left="575" w:leftChars="0" w:hanging="575" w:firstLineChars="0"/>
        <w:textAlignment w:val="auto"/>
        <w:rPr>
          <w:rFonts w:hint="default" w:ascii="楷体" w:hAnsi="楷体" w:eastAsia="楷体" w:cs="楷体"/>
          <w:b w:val="0"/>
          <w:bCs w:val="0"/>
          <w:color w:val="auto"/>
          <w:sz w:val="32"/>
          <w:szCs w:val="32"/>
          <w:lang w:val="en-US" w:eastAsia="zh-CN" w:bidi="ar-SA"/>
        </w:rPr>
      </w:pPr>
      <w:bookmarkStart w:id="27" w:name="_Toc9197"/>
      <w:bookmarkStart w:id="28" w:name="_Toc4619"/>
      <w:r>
        <w:rPr>
          <w:rFonts w:hint="default" w:ascii="楷体" w:hAnsi="楷体" w:eastAsia="楷体" w:cs="楷体"/>
          <w:b w:val="0"/>
          <w:bCs w:val="0"/>
          <w:color w:val="auto"/>
          <w:sz w:val="32"/>
          <w:szCs w:val="32"/>
          <w:lang w:val="en-US" w:eastAsia="zh-CN" w:bidi="ar-SA"/>
        </w:rPr>
        <w:t>2.3</w:t>
      </w:r>
      <w:r>
        <w:rPr>
          <w:rFonts w:hint="eastAsia" w:ascii="楷体" w:hAnsi="楷体" w:eastAsia="楷体" w:cs="楷体"/>
          <w:b w:val="0"/>
          <w:bCs w:val="0"/>
          <w:color w:val="auto"/>
          <w:sz w:val="32"/>
          <w:szCs w:val="32"/>
          <w:lang w:val="en-US" w:eastAsia="zh-CN" w:bidi="ar-SA"/>
        </w:rPr>
        <w:t xml:space="preserve"> </w:t>
      </w:r>
      <w:r>
        <w:rPr>
          <w:rFonts w:hint="default" w:ascii="楷体" w:hAnsi="楷体" w:eastAsia="楷体" w:cs="楷体"/>
          <w:b w:val="0"/>
          <w:bCs w:val="0"/>
          <w:color w:val="auto"/>
          <w:sz w:val="32"/>
          <w:szCs w:val="32"/>
          <w:lang w:val="en-US" w:eastAsia="zh-CN" w:bidi="ar-SA"/>
        </w:rPr>
        <w:t>规划指标</w:t>
      </w:r>
      <w:bookmarkEnd w:id="27"/>
      <w:bookmarkEnd w:id="28"/>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根据《四川省城市建筑垃圾管理办法》《四川省城市建筑垃圾处置及资源化利用行动方案》《乐山市“无废城市”建设实施方案》，结合金口河区实际情况：</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到2030年，逐步建立建筑垃圾从源头到终端的全过程治理体系，源头减量措施得到有效落实，收集运输环节更加安全有序和绿色环保，建筑垃圾资源化利用水平显著提升，智能化全生命周期管理不断推进，建成“源头减量、综合利用、区域平衡、分散堆填、监管闭环、整体智治”的全过程分类治理体系。</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到2035年，建筑垃圾绿色低碳、循环利用、高效运行、智慧监管的治理体系全面建立，行业治理法治化、标准化、信息化建设得到全面加强，实现经济效益、生态效益和社会效益同步推进，为建设新时代美丽金口河提供坚实支撑和有力保障。</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相关指标如下表所示。</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eastAsia" w:ascii="仿宋" w:hAnsi="仿宋" w:eastAsia="仿宋" w:cs="仿宋"/>
          <w:color w:val="auto"/>
          <w:spacing w:val="-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eastAsia" w:ascii="仿宋" w:hAnsi="仿宋" w:eastAsia="仿宋" w:cs="仿宋"/>
          <w:color w:val="auto"/>
          <w:spacing w:val="-2"/>
          <w:sz w:val="32"/>
          <w:szCs w:val="32"/>
          <w:lang w:val="en-US" w:eastAsia="zh-CN"/>
        </w:rPr>
        <w:sectPr>
          <w:pgSz w:w="11905" w:h="16838"/>
          <w:pgMar w:top="2041" w:right="1468" w:bottom="1587" w:left="1468" w:header="850" w:footer="992" w:gutter="0"/>
          <w:pgBorders w:offsetFrom="page">
            <w:top w:val="none" w:sz="0" w:space="0"/>
            <w:left w:val="none" w:sz="0" w:space="0"/>
            <w:bottom w:val="none" w:sz="0" w:space="0"/>
            <w:right w:val="none" w:sz="0" w:space="0"/>
          </w:pgBorders>
          <w:pgNumType w:fmt="decimal"/>
          <w:cols w:space="0" w:num="1"/>
          <w:rtlGutter w:val="0"/>
          <w:docGrid w:type="lines" w:linePitch="330" w:charSpace="0"/>
        </w:sectPr>
      </w:pPr>
    </w:p>
    <w:p>
      <w:pPr>
        <w:keepNext w:val="0"/>
        <w:keepLines w:val="0"/>
        <w:pageBreakBefore w:val="0"/>
        <w:widowControl w:val="0"/>
        <w:kinsoku/>
        <w:wordWrap/>
        <w:overflowPunct/>
        <w:topLinePunct w:val="0"/>
        <w:autoSpaceDE/>
        <w:autoSpaceDN/>
        <w:bidi w:val="0"/>
        <w:adjustRightInd/>
        <w:snapToGrid/>
        <w:spacing w:before="10" w:line="363" w:lineRule="auto"/>
        <w:jc w:val="center"/>
        <w:textAlignment w:val="auto"/>
        <w:rPr>
          <w:rFonts w:hint="eastAsia" w:ascii="仿宋" w:hAnsi="仿宋" w:eastAsia="仿宋" w:cs="仿宋"/>
          <w:b/>
          <w:bCs/>
          <w:color w:val="auto"/>
          <w:spacing w:val="-2"/>
          <w:sz w:val="24"/>
          <w:szCs w:val="24"/>
          <w:lang w:val="en-US" w:eastAsia="zh-CN"/>
        </w:rPr>
      </w:pPr>
      <w:r>
        <w:rPr>
          <w:rFonts w:hint="eastAsia" w:ascii="仿宋" w:hAnsi="仿宋" w:eastAsia="仿宋" w:cs="仿宋"/>
          <w:b/>
          <w:bCs/>
          <w:color w:val="auto"/>
          <w:spacing w:val="-2"/>
          <w:sz w:val="24"/>
          <w:szCs w:val="24"/>
          <w:lang w:val="en-US" w:eastAsia="zh-CN"/>
        </w:rPr>
        <w:t>表2-1规划控制指标一览表</w:t>
      </w:r>
    </w:p>
    <w:tbl>
      <w:tblPr>
        <w:tblStyle w:val="41"/>
        <w:tblW w:w="128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81"/>
        <w:gridCol w:w="628"/>
        <w:gridCol w:w="5955"/>
        <w:gridCol w:w="1940"/>
        <w:gridCol w:w="1709"/>
        <w:gridCol w:w="16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jc w:val="center"/>
        </w:trPr>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序号</w:t>
            </w:r>
          </w:p>
        </w:tc>
        <w:tc>
          <w:tcPr>
            <w:tcW w:w="65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内容</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2030年</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2035年</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指标性质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jc w:val="center"/>
        </w:trPr>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65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建筑垃圾安全处置率(%)</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100%</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100%</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约束性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jc w:val="center"/>
        </w:trPr>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65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建筑垃圾资源化利用率(%)</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60%</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70%</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jc w:val="center"/>
        </w:trPr>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65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建筑垃圾综合利用率(%)</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80%</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90%</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1" w:hRule="atLeast"/>
          <w:jc w:val="center"/>
        </w:trPr>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65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建筑垃圾密闭化运输率(%)</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(建筑垃圾密闭化运输车辆占建筑垃圾运输车辆的比例)</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100%</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100%</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jc w:val="center"/>
        </w:trPr>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c>
          <w:tcPr>
            <w:tcW w:w="628"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源头减量</w:t>
            </w:r>
          </w:p>
        </w:tc>
        <w:tc>
          <w:tcPr>
            <w:tcW w:w="5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新建建筑施工现场建筑垃圾排放量</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≤300t/万m²</w:t>
            </w:r>
          </w:p>
        </w:tc>
        <w:tc>
          <w:tcPr>
            <w:tcW w:w="1709"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满足国家和地方政策要求</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jc w:val="center"/>
        </w:trPr>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62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5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装配式建筑施工现场建筑垃圾排放量</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≤200t/万m²</w:t>
            </w:r>
          </w:p>
        </w:tc>
        <w:tc>
          <w:tcPr>
            <w:tcW w:w="1709" w:type="dxa"/>
            <w:vMerge w:val="continue"/>
            <w:tcBorders>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jc w:val="center"/>
        </w:trPr>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62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5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绿色建筑占新建建筑的比例</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85</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100</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约束性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jc w:val="center"/>
        </w:trPr>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62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5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装配式建筑占新建建筑的比例</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35</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40</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jc w:val="center"/>
        </w:trPr>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w:t>
            </w:r>
          </w:p>
        </w:tc>
        <w:tc>
          <w:tcPr>
            <w:tcW w:w="628"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数字化</w:t>
            </w:r>
          </w:p>
        </w:tc>
        <w:tc>
          <w:tcPr>
            <w:tcW w:w="5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建筑垃圾运输车卫星定位装置接入率(%)</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100</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100</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约束性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jc w:val="center"/>
        </w:trPr>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w:t>
            </w:r>
          </w:p>
        </w:tc>
        <w:tc>
          <w:tcPr>
            <w:tcW w:w="62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5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工程项目视频监控接入率(%)</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100</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100</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约束性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62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5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建筑垃圾消纳场所视频监控接入率</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100</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100</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约束性</w:t>
            </w:r>
          </w:p>
        </w:tc>
      </w:tr>
    </w:tbl>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both"/>
        <w:textAlignment w:val="auto"/>
        <w:rPr>
          <w:rFonts w:hint="eastAsia"/>
        </w:rPr>
      </w:pPr>
      <w:r>
        <w:rPr>
          <w:rFonts w:hint="eastAsia" w:ascii="仿宋" w:hAnsi="仿宋" w:eastAsia="仿宋" w:cs="仿宋"/>
          <w:sz w:val="24"/>
          <w:szCs w:val="24"/>
        </w:rPr>
        <w:t>备注：1.约束性指标是为实现规划目标，在规划期内不得突破或必须实现的指标；</w:t>
      </w:r>
    </w:p>
    <w:p>
      <w:pPr>
        <w:keepNext w:val="0"/>
        <w:keepLines w:val="0"/>
        <w:pageBreakBefore w:val="0"/>
        <w:widowControl w:val="0"/>
        <w:kinsoku/>
        <w:wordWrap/>
        <w:overflowPunct/>
        <w:topLinePunct w:val="0"/>
        <w:autoSpaceDE/>
        <w:autoSpaceDN/>
        <w:bidi w:val="0"/>
        <w:adjustRightInd/>
        <w:snapToGrid/>
        <w:spacing w:line="240" w:lineRule="auto"/>
        <w:ind w:firstLine="960" w:firstLineChars="400"/>
        <w:jc w:val="both"/>
        <w:textAlignment w:val="auto"/>
        <w:rPr>
          <w:rFonts w:hint="eastAsia" w:ascii="仿宋" w:hAnsi="仿宋" w:eastAsia="仿宋" w:cs="仿宋"/>
          <w:sz w:val="24"/>
          <w:szCs w:val="24"/>
        </w:rPr>
      </w:pPr>
      <w:r>
        <w:rPr>
          <w:rFonts w:hint="eastAsia" w:ascii="仿宋" w:hAnsi="仿宋" w:eastAsia="仿宋" w:cs="仿宋"/>
          <w:sz w:val="24"/>
          <w:szCs w:val="24"/>
        </w:rPr>
        <w:t>2.预期性指标是指按照经济社会发展预期，规划期内努力实现或不突破的指标。</w:t>
      </w:r>
    </w:p>
    <w:p>
      <w:pPr>
        <w:pStyle w:val="19"/>
        <w:rPr>
          <w:rFonts w:hint="eastAsia" w:ascii="仿宋" w:hAnsi="仿宋" w:eastAsia="仿宋" w:cs="仿宋"/>
          <w:lang w:val="en-US" w:eastAsia="zh-CN"/>
        </w:rPr>
      </w:pPr>
    </w:p>
    <w:p>
      <w:pPr>
        <w:pStyle w:val="19"/>
        <w:rPr>
          <w:rFonts w:hint="eastAsia" w:ascii="仿宋" w:hAnsi="仿宋" w:eastAsia="仿宋" w:cs="仿宋"/>
          <w:color w:val="auto"/>
          <w:spacing w:val="-2"/>
          <w:sz w:val="30"/>
          <w:szCs w:val="30"/>
          <w:lang w:val="en-US" w:eastAsia="zh-CN"/>
        </w:rPr>
        <w:sectPr>
          <w:headerReference r:id="rId6" w:type="default"/>
          <w:pgSz w:w="16838" w:h="11905" w:orient="landscape"/>
          <w:pgMar w:top="2041" w:right="1468" w:bottom="1587" w:left="1468" w:header="850" w:footer="992" w:gutter="0"/>
          <w:pgBorders w:offsetFrom="page">
            <w:top w:val="none" w:sz="0" w:space="0"/>
            <w:left w:val="none" w:sz="0" w:space="0"/>
            <w:bottom w:val="none" w:sz="0" w:space="0"/>
            <w:right w:val="none" w:sz="0" w:space="0"/>
          </w:pgBorders>
          <w:pgNumType w:fmt="decimal"/>
          <w:cols w:space="0" w:num="1"/>
          <w:rtlGutter w:val="0"/>
          <w:docGrid w:type="lines" w:linePitch="330" w:charSpace="0"/>
        </w:sectPr>
      </w:pPr>
    </w:p>
    <w:p>
      <w:pPr>
        <w:pStyle w:val="3"/>
        <w:pageBreakBefore w:val="0"/>
        <w:widowControl w:val="0"/>
        <w:numPr>
          <w:ilvl w:val="0"/>
          <w:numId w:val="7"/>
        </w:numPr>
        <w:kinsoku/>
        <w:wordWrap/>
        <w:overflowPunct/>
        <w:topLinePunct w:val="0"/>
        <w:autoSpaceDE/>
        <w:autoSpaceDN/>
        <w:bidi w:val="0"/>
        <w:adjustRightInd/>
        <w:snapToGrid/>
        <w:spacing w:line="600" w:lineRule="exact"/>
        <w:ind w:left="432" w:leftChars="0" w:hanging="432" w:firstLineChars="0"/>
        <w:jc w:val="center"/>
        <w:textAlignment w:val="auto"/>
        <w:rPr>
          <w:rFonts w:hint="eastAsia" w:ascii="黑体" w:hAnsi="黑体" w:eastAsia="黑体" w:cs="黑体"/>
          <w:b w:val="0"/>
          <w:bCs w:val="0"/>
          <w:sz w:val="32"/>
          <w:szCs w:val="32"/>
          <w:lang w:val="en-US" w:eastAsia="zh-CN"/>
        </w:rPr>
      </w:pPr>
      <w:bookmarkStart w:id="29" w:name="_Toc3904"/>
      <w:bookmarkStart w:id="30" w:name="_Toc26611"/>
      <w:r>
        <w:rPr>
          <w:rFonts w:hint="eastAsia" w:ascii="黑体" w:hAnsi="黑体" w:eastAsia="黑体" w:cs="黑体"/>
          <w:b w:val="0"/>
          <w:bCs w:val="0"/>
          <w:sz w:val="32"/>
          <w:szCs w:val="32"/>
          <w:lang w:val="en-US" w:eastAsia="zh-CN"/>
        </w:rPr>
        <w:t>区域概况及相关规划</w:t>
      </w:r>
      <w:bookmarkEnd w:id="29"/>
      <w:bookmarkEnd w:id="30"/>
    </w:p>
    <w:p>
      <w:pPr>
        <w:numPr>
          <w:ilvl w:val="0"/>
          <w:numId w:val="0"/>
        </w:numPr>
        <w:ind w:leftChars="0"/>
        <w:rPr>
          <w:rFonts w:hint="eastAsia"/>
          <w:lang w:val="en-US" w:eastAsia="zh-CN"/>
        </w:rPr>
      </w:pP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outlineLvl w:val="1"/>
        <w:rPr>
          <w:rFonts w:hint="default" w:ascii="楷体" w:hAnsi="楷体" w:eastAsia="楷体" w:cs="楷体"/>
          <w:b w:val="0"/>
          <w:bCs w:val="0"/>
          <w:color w:val="auto"/>
          <w:sz w:val="32"/>
          <w:szCs w:val="32"/>
          <w:lang w:val="en-US" w:eastAsia="zh-CN" w:bidi="ar-SA"/>
        </w:rPr>
      </w:pPr>
      <w:bookmarkStart w:id="31" w:name="_Toc5062"/>
      <w:bookmarkStart w:id="32" w:name="_Toc14707"/>
      <w:r>
        <w:rPr>
          <w:rFonts w:hint="default" w:ascii="楷体" w:hAnsi="楷体" w:eastAsia="楷体" w:cs="楷体"/>
          <w:b w:val="0"/>
          <w:bCs w:val="0"/>
          <w:color w:val="auto"/>
          <w:sz w:val="32"/>
          <w:szCs w:val="32"/>
          <w:lang w:val="en-US" w:eastAsia="zh-CN" w:bidi="ar-SA"/>
        </w:rPr>
        <w:t>3.1</w:t>
      </w:r>
      <w:r>
        <w:rPr>
          <w:rFonts w:hint="eastAsia" w:ascii="楷体" w:hAnsi="楷体" w:eastAsia="楷体" w:cs="楷体"/>
          <w:b w:val="0"/>
          <w:bCs w:val="0"/>
          <w:color w:val="auto"/>
          <w:sz w:val="32"/>
          <w:szCs w:val="32"/>
          <w:lang w:val="en-US" w:eastAsia="zh-CN" w:bidi="ar-SA"/>
        </w:rPr>
        <w:t xml:space="preserve"> </w:t>
      </w:r>
      <w:r>
        <w:rPr>
          <w:rFonts w:hint="default" w:ascii="楷体" w:hAnsi="楷体" w:eastAsia="楷体" w:cs="楷体"/>
          <w:b w:val="0"/>
          <w:bCs w:val="0"/>
          <w:color w:val="auto"/>
          <w:sz w:val="32"/>
          <w:szCs w:val="32"/>
          <w:lang w:val="en-US" w:eastAsia="zh-CN" w:bidi="ar-SA"/>
        </w:rPr>
        <w:t>自然条件</w:t>
      </w:r>
      <w:bookmarkEnd w:id="31"/>
      <w:bookmarkEnd w:id="32"/>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33" w:name="_Toc24748"/>
      <w:r>
        <w:rPr>
          <w:rFonts w:hint="default" w:ascii="仿宋" w:hAnsi="仿宋" w:eastAsia="仿宋" w:cs="仿宋"/>
          <w:b w:val="0"/>
          <w:bCs w:val="0"/>
          <w:color w:val="auto"/>
          <w:spacing w:val="-2"/>
          <w:sz w:val="32"/>
          <w:szCs w:val="32"/>
          <w:lang w:val="en-US" w:eastAsia="zh-CN" w:bidi="ar-SA"/>
        </w:rPr>
        <w:t>3.1.1</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地理位置</w:t>
      </w:r>
      <w:bookmarkEnd w:id="33"/>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金口河区位于四川省南部、乐山市西部，坐落在眉山、乐山、雅安、凉山四地交界处。地理坐标介于东经102°50′24″至103°10′24″，北纬29°00′24″至29°00′46″之间，东南与峨边自治县相邻，西与甘洛县、汉源县交界、北与洪雅县接壤，东北和峨眉山市相连，南北长42公里，东西宽约20公里，大渡河呈“∽”状南北流向横贯其间，全区幅员面积59816.39公顷（其中山地占99%，最低海拔530米，最高海拔3321米，最大落差2700米）。</w:t>
      </w:r>
    </w:p>
    <w:p>
      <w:pPr>
        <w:pStyle w:val="4"/>
        <w:pageBreakBefore w:val="0"/>
        <w:widowControl w:val="0"/>
        <w:numPr>
          <w:ilvl w:val="1"/>
          <w:numId w:val="0"/>
        </w:numPr>
        <w:kinsoku/>
        <w:wordWrap/>
        <w:overflowPunct/>
        <w:topLinePunct w:val="0"/>
        <w:autoSpaceDE/>
        <w:autoSpaceDN/>
        <w:bidi w:val="0"/>
        <w:adjustRightInd/>
        <w:snapToGrid/>
        <w:spacing w:line="600" w:lineRule="exact"/>
        <w:ind w:left="575" w:leftChars="0" w:hanging="575" w:firstLineChars="0"/>
        <w:textAlignment w:val="auto"/>
        <w:outlineLvl w:val="2"/>
        <w:rPr>
          <w:rFonts w:hint="default" w:ascii="仿宋" w:hAnsi="仿宋" w:eastAsia="仿宋" w:cs="仿宋"/>
          <w:b w:val="0"/>
          <w:bCs w:val="0"/>
          <w:color w:val="auto"/>
          <w:spacing w:val="-2"/>
          <w:sz w:val="32"/>
          <w:szCs w:val="32"/>
          <w:lang w:val="en-US" w:eastAsia="zh-CN" w:bidi="ar-SA"/>
        </w:rPr>
      </w:pPr>
      <w:bookmarkStart w:id="34" w:name="_Toc31365"/>
      <w:r>
        <w:rPr>
          <w:rFonts w:hint="default" w:ascii="仿宋" w:hAnsi="仿宋" w:eastAsia="仿宋" w:cs="仿宋"/>
          <w:b w:val="0"/>
          <w:bCs w:val="0"/>
          <w:color w:val="auto"/>
          <w:spacing w:val="-2"/>
          <w:sz w:val="32"/>
          <w:szCs w:val="32"/>
          <w:lang w:val="en-US" w:eastAsia="zh-CN" w:bidi="ar-SA"/>
        </w:rPr>
        <w:t>3.1.2</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地形地貌</w:t>
      </w:r>
      <w:bookmarkEnd w:id="34"/>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金口河区地处于四川西南部，总体地势呈西南高，东北低的趋势。区内最高点为南部共安乡境内的老鹰嘴，地面标高3321m；最低为东部吉星乡斑鸠嘴处的大渡河河谷，地面标高约530m。一般相对高差1000</w:t>
      </w:r>
      <w:r>
        <w:rPr>
          <w:rFonts w:hint="eastAsia" w:ascii="仿宋" w:hAnsi="仿宋" w:eastAsia="仿宋" w:cs="仿宋"/>
          <w:color w:val="auto"/>
          <w:spacing w:val="-2"/>
          <w:sz w:val="32"/>
          <w:szCs w:val="32"/>
          <w:lang w:val="en-US" w:eastAsia="zh-CN"/>
        </w:rPr>
        <w:t>～</w:t>
      </w:r>
      <w:r>
        <w:rPr>
          <w:rFonts w:hint="default" w:ascii="仿宋" w:hAnsi="仿宋" w:eastAsia="仿宋" w:cs="仿宋"/>
          <w:color w:val="auto"/>
          <w:spacing w:val="-2"/>
          <w:sz w:val="32"/>
          <w:szCs w:val="32"/>
          <w:lang w:val="en-US" w:eastAsia="zh-CN"/>
        </w:rPr>
        <w:t>2000m，最大相对高差达2700m。</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35" w:name="_Toc5722"/>
      <w:r>
        <w:rPr>
          <w:rFonts w:hint="default" w:ascii="仿宋" w:hAnsi="仿宋" w:eastAsia="仿宋" w:cs="仿宋"/>
          <w:b w:val="0"/>
          <w:bCs w:val="0"/>
          <w:color w:val="auto"/>
          <w:spacing w:val="-2"/>
          <w:sz w:val="32"/>
          <w:szCs w:val="32"/>
          <w:lang w:val="en-US" w:eastAsia="zh-CN" w:bidi="ar-SA"/>
        </w:rPr>
        <w:t>3.1.3</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区域地质</w:t>
      </w:r>
      <w:bookmarkEnd w:id="35"/>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金口河区地质构造部位属扬子准地台（Ⅰ级）、上扬子台拗（Ⅱ级）西缘，分属峨眉山断拱（III）级的瓦山断穹（IV）级和峨边断褶断束（IV）级。由于多期构造运动影响，地质构造叠加、复合、相互干涉的现象比较普遍，断层、褶皱发育，地质构造复杂。区内杨村断裂带为两个IV级构造单元的分解断裂。上扬子台坳峨眉山断拱在地质历史时期曾长期处于沉陷的构造背景下，接受了自中元古代以来巨厚的沉积。地层发育较为完整。区内褶皱、断裂发育；变质褶皱基底形成于晋宁期，主要表现为近东西向和南北向两组构造形迹；加里东期</w:t>
      </w:r>
      <w:r>
        <w:rPr>
          <w:rFonts w:hint="eastAsia" w:ascii="仿宋" w:hAnsi="仿宋" w:eastAsia="仿宋" w:cs="仿宋"/>
          <w:color w:val="auto"/>
          <w:spacing w:val="-2"/>
          <w:sz w:val="32"/>
          <w:szCs w:val="32"/>
          <w:lang w:val="en-US" w:eastAsia="zh-CN"/>
        </w:rPr>
        <w:t>～</w:t>
      </w:r>
      <w:r>
        <w:rPr>
          <w:rFonts w:hint="default" w:ascii="仿宋" w:hAnsi="仿宋" w:eastAsia="仿宋" w:cs="仿宋"/>
          <w:color w:val="auto"/>
          <w:spacing w:val="-2"/>
          <w:sz w:val="32"/>
          <w:szCs w:val="32"/>
          <w:lang w:val="en-US" w:eastAsia="zh-CN"/>
        </w:rPr>
        <w:t>燕山期，主要表现为块断运动特征；盖层褶皱形成喜马拉雅期，断裂往往姻袭古老断裂，褶皱构造以线性构造为主要特征，构造叠加、复合、相互干涉的现象比较普遍，南北向和北西向构造多数具有多期活动的特征，并对测区的地层沉积，岩浆活动，成矿作用起着明显的控制作用。</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36" w:name="_Toc32492"/>
      <w:r>
        <w:rPr>
          <w:rFonts w:hint="default" w:ascii="仿宋" w:hAnsi="仿宋" w:eastAsia="仿宋" w:cs="仿宋"/>
          <w:b w:val="0"/>
          <w:bCs w:val="0"/>
          <w:color w:val="auto"/>
          <w:spacing w:val="-2"/>
          <w:sz w:val="32"/>
          <w:szCs w:val="32"/>
          <w:lang w:val="en-US" w:eastAsia="zh-CN" w:bidi="ar-SA"/>
        </w:rPr>
        <w:t>3.1.4</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水文</w:t>
      </w:r>
      <w:bookmarkEnd w:id="36"/>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金口河区境内主要有过境干流大渡河，一级支流小河、金口河，二级支流野牛河、顺水河以及少量的高山湖泊。南北两岸的降水地带径流形如叶脉，都汇入了大渡河。</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大渡河：干流全长1062</w:t>
      </w:r>
      <w:r>
        <w:rPr>
          <w:rFonts w:hint="eastAsia" w:ascii="仿宋" w:hAnsi="仿宋" w:eastAsia="仿宋" w:cs="仿宋"/>
          <w:color w:val="auto"/>
          <w:spacing w:val="-2"/>
          <w:sz w:val="32"/>
          <w:szCs w:val="32"/>
          <w:lang w:val="en-US" w:eastAsia="zh-CN"/>
        </w:rPr>
        <w:t>公里</w:t>
      </w:r>
      <w:r>
        <w:rPr>
          <w:rFonts w:hint="default" w:ascii="仿宋" w:hAnsi="仿宋" w:eastAsia="仿宋" w:cs="仿宋"/>
          <w:color w:val="auto"/>
          <w:spacing w:val="-2"/>
          <w:sz w:val="32"/>
          <w:szCs w:val="32"/>
          <w:lang w:val="en-US" w:eastAsia="zh-CN"/>
        </w:rPr>
        <w:t>，四川省境内长852</w:t>
      </w:r>
      <w:r>
        <w:rPr>
          <w:rFonts w:hint="eastAsia" w:ascii="仿宋" w:hAnsi="仿宋" w:eastAsia="仿宋" w:cs="仿宋"/>
          <w:color w:val="auto"/>
          <w:spacing w:val="-2"/>
          <w:sz w:val="32"/>
          <w:szCs w:val="32"/>
          <w:lang w:val="en-US" w:eastAsia="zh-CN"/>
        </w:rPr>
        <w:t>公里</w:t>
      </w:r>
      <w:r>
        <w:rPr>
          <w:rFonts w:hint="default" w:ascii="仿宋" w:hAnsi="仿宋" w:eastAsia="仿宋" w:cs="仿宋"/>
          <w:color w:val="auto"/>
          <w:spacing w:val="-2"/>
          <w:sz w:val="32"/>
          <w:szCs w:val="32"/>
          <w:lang w:val="en-US" w:eastAsia="zh-CN"/>
        </w:rPr>
        <w:t>，天然落差4175</w:t>
      </w:r>
      <w:r>
        <w:rPr>
          <w:rFonts w:hint="eastAsia" w:ascii="仿宋" w:hAnsi="仿宋" w:eastAsia="仿宋" w:cs="仿宋"/>
          <w:color w:val="auto"/>
          <w:spacing w:val="-2"/>
          <w:sz w:val="32"/>
          <w:szCs w:val="32"/>
          <w:lang w:val="en-US" w:eastAsia="zh-CN"/>
        </w:rPr>
        <w:t>米</w:t>
      </w:r>
      <w:r>
        <w:rPr>
          <w:rFonts w:hint="default" w:ascii="仿宋" w:hAnsi="仿宋" w:eastAsia="仿宋" w:cs="仿宋"/>
          <w:color w:val="auto"/>
          <w:spacing w:val="-2"/>
          <w:sz w:val="32"/>
          <w:szCs w:val="32"/>
          <w:lang w:val="en-US" w:eastAsia="zh-CN"/>
        </w:rPr>
        <w:t>，四川省境内2788</w:t>
      </w:r>
      <w:r>
        <w:rPr>
          <w:rFonts w:hint="eastAsia" w:ascii="仿宋" w:hAnsi="仿宋" w:eastAsia="仿宋" w:cs="仿宋"/>
          <w:color w:val="auto"/>
          <w:spacing w:val="-2"/>
          <w:sz w:val="32"/>
          <w:szCs w:val="32"/>
          <w:lang w:val="en-US" w:eastAsia="zh-CN"/>
        </w:rPr>
        <w:t>米</w:t>
      </w:r>
      <w:r>
        <w:rPr>
          <w:rFonts w:hint="default" w:ascii="仿宋" w:hAnsi="仿宋" w:eastAsia="仿宋" w:cs="仿宋"/>
          <w:color w:val="auto"/>
          <w:spacing w:val="-2"/>
          <w:sz w:val="32"/>
          <w:szCs w:val="32"/>
          <w:lang w:val="en-US" w:eastAsia="zh-CN"/>
        </w:rPr>
        <w:t>，流域面积90272</w:t>
      </w:r>
      <w:r>
        <w:rPr>
          <w:rFonts w:hint="eastAsia" w:ascii="仿宋" w:hAnsi="仿宋" w:eastAsia="仿宋" w:cs="仿宋"/>
          <w:color w:val="auto"/>
          <w:spacing w:val="-2"/>
          <w:sz w:val="32"/>
          <w:szCs w:val="32"/>
          <w:lang w:val="en-US" w:eastAsia="zh-CN"/>
        </w:rPr>
        <w:t>平方公里</w:t>
      </w:r>
      <w:r>
        <w:rPr>
          <w:rFonts w:hint="default" w:ascii="仿宋" w:hAnsi="仿宋" w:eastAsia="仿宋" w:cs="仿宋"/>
          <w:color w:val="auto"/>
          <w:spacing w:val="-2"/>
          <w:sz w:val="32"/>
          <w:szCs w:val="32"/>
          <w:lang w:val="en-US" w:eastAsia="zh-CN"/>
        </w:rPr>
        <w:t>，其中四川省境内6.80万</w:t>
      </w:r>
      <w:r>
        <w:rPr>
          <w:rFonts w:hint="eastAsia" w:ascii="仿宋" w:hAnsi="仿宋" w:eastAsia="仿宋" w:cs="仿宋"/>
          <w:color w:val="auto"/>
          <w:spacing w:val="-2"/>
          <w:sz w:val="32"/>
          <w:szCs w:val="32"/>
          <w:lang w:val="en-US" w:eastAsia="zh-CN"/>
        </w:rPr>
        <w:t>平方公里</w:t>
      </w:r>
      <w:r>
        <w:rPr>
          <w:rFonts w:hint="default" w:ascii="仿宋" w:hAnsi="仿宋" w:eastAsia="仿宋" w:cs="仿宋"/>
          <w:color w:val="auto"/>
          <w:spacing w:val="-2"/>
          <w:sz w:val="32"/>
          <w:szCs w:val="32"/>
          <w:lang w:val="en-US" w:eastAsia="zh-CN"/>
        </w:rPr>
        <w:t>，占全流域面积的91.5％，大渡河在金口河区的胜利乡白熊沟口流入乐山市境内，干流在乐山市境内河长172</w:t>
      </w:r>
      <w:r>
        <w:rPr>
          <w:rFonts w:hint="eastAsia" w:ascii="仿宋" w:hAnsi="仿宋" w:eastAsia="仿宋" w:cs="仿宋"/>
          <w:color w:val="auto"/>
          <w:spacing w:val="-2"/>
          <w:sz w:val="32"/>
          <w:szCs w:val="32"/>
          <w:lang w:val="en-US" w:eastAsia="zh-CN"/>
        </w:rPr>
        <w:t>公里</w:t>
      </w:r>
      <w:r>
        <w:rPr>
          <w:rFonts w:hint="default" w:ascii="仿宋" w:hAnsi="仿宋" w:eastAsia="仿宋" w:cs="仿宋"/>
          <w:color w:val="auto"/>
          <w:spacing w:val="-2"/>
          <w:sz w:val="32"/>
          <w:szCs w:val="32"/>
          <w:lang w:val="en-US" w:eastAsia="zh-CN"/>
        </w:rPr>
        <w:t>，落差253</w:t>
      </w:r>
      <w:r>
        <w:rPr>
          <w:rFonts w:hint="eastAsia" w:ascii="仿宋" w:hAnsi="仿宋" w:eastAsia="仿宋" w:cs="仿宋"/>
          <w:color w:val="auto"/>
          <w:spacing w:val="-2"/>
          <w:sz w:val="32"/>
          <w:szCs w:val="32"/>
          <w:lang w:val="en-US" w:eastAsia="zh-CN"/>
        </w:rPr>
        <w:t>米</w:t>
      </w:r>
      <w:r>
        <w:rPr>
          <w:rFonts w:hint="default" w:ascii="仿宋" w:hAnsi="仿宋" w:eastAsia="仿宋" w:cs="仿宋"/>
          <w:color w:val="auto"/>
          <w:spacing w:val="-2"/>
          <w:sz w:val="32"/>
          <w:szCs w:val="32"/>
          <w:lang w:val="en-US" w:eastAsia="zh-CN"/>
        </w:rPr>
        <w:t>，平均比降约1.31‰，境内流域面积4610</w:t>
      </w:r>
      <w:r>
        <w:rPr>
          <w:rFonts w:hint="eastAsia" w:ascii="仿宋" w:hAnsi="仿宋" w:eastAsia="仿宋" w:cs="仿宋"/>
          <w:color w:val="auto"/>
          <w:spacing w:val="-2"/>
          <w:sz w:val="32"/>
          <w:szCs w:val="32"/>
          <w:lang w:val="en-US" w:eastAsia="zh-CN"/>
        </w:rPr>
        <w:t>平方公里</w:t>
      </w:r>
      <w:r>
        <w:rPr>
          <w:rFonts w:hint="default" w:ascii="仿宋" w:hAnsi="仿宋" w:eastAsia="仿宋" w:cs="仿宋"/>
          <w:color w:val="auto"/>
          <w:spacing w:val="-2"/>
          <w:sz w:val="32"/>
          <w:szCs w:val="32"/>
          <w:lang w:val="en-US" w:eastAsia="zh-CN"/>
        </w:rPr>
        <w:t>，境内河段38.65公里。年平均流量为1047立方米每秒，枯水期最小流量为320立方米每秒。大渡河平均比降1.2‰，干流在金口河区境内河长38.65</w:t>
      </w:r>
      <w:r>
        <w:rPr>
          <w:rFonts w:hint="eastAsia" w:ascii="仿宋" w:hAnsi="仿宋" w:eastAsia="仿宋" w:cs="仿宋"/>
          <w:color w:val="auto"/>
          <w:spacing w:val="-2"/>
          <w:sz w:val="32"/>
          <w:szCs w:val="32"/>
          <w:lang w:val="en-US" w:eastAsia="zh-CN"/>
        </w:rPr>
        <w:t>公里</w:t>
      </w:r>
      <w:r>
        <w:rPr>
          <w:rFonts w:hint="default" w:ascii="仿宋" w:hAnsi="仿宋" w:eastAsia="仿宋" w:cs="仿宋"/>
          <w:color w:val="auto"/>
          <w:spacing w:val="-2"/>
          <w:sz w:val="32"/>
          <w:szCs w:val="32"/>
          <w:lang w:val="en-US" w:eastAsia="zh-CN"/>
        </w:rPr>
        <w:t>，河道平均比降3.8‰，境内集雨面积598</w:t>
      </w:r>
      <w:r>
        <w:rPr>
          <w:rFonts w:hint="eastAsia" w:ascii="仿宋" w:hAnsi="仿宋" w:eastAsia="仿宋" w:cs="仿宋"/>
          <w:color w:val="auto"/>
          <w:spacing w:val="-2"/>
          <w:sz w:val="32"/>
          <w:szCs w:val="32"/>
          <w:lang w:val="en-US" w:eastAsia="zh-CN"/>
        </w:rPr>
        <w:t>平方公里</w:t>
      </w:r>
      <w:r>
        <w:rPr>
          <w:rFonts w:hint="default" w:ascii="仿宋" w:hAnsi="仿宋" w:eastAsia="仿宋" w:cs="仿宋"/>
          <w:color w:val="auto"/>
          <w:spacing w:val="-2"/>
          <w:sz w:val="32"/>
          <w:szCs w:val="32"/>
          <w:lang w:val="en-US" w:eastAsia="zh-CN"/>
        </w:rPr>
        <w:t>，落差147</w:t>
      </w:r>
      <w:r>
        <w:rPr>
          <w:rFonts w:hint="eastAsia" w:ascii="仿宋" w:hAnsi="仿宋" w:eastAsia="仿宋" w:cs="仿宋"/>
          <w:color w:val="auto"/>
          <w:spacing w:val="-2"/>
          <w:sz w:val="32"/>
          <w:szCs w:val="32"/>
          <w:lang w:val="en-US" w:eastAsia="zh-CN"/>
        </w:rPr>
        <w:t>米</w:t>
      </w:r>
      <w:r>
        <w:rPr>
          <w:rFonts w:hint="default" w:ascii="仿宋" w:hAnsi="仿宋" w:eastAsia="仿宋" w:cs="仿宋"/>
          <w:color w:val="auto"/>
          <w:spacing w:val="-2"/>
          <w:sz w:val="32"/>
          <w:szCs w:val="32"/>
          <w:lang w:val="en-US" w:eastAsia="zh-CN"/>
        </w:rPr>
        <w:t>。流域位于青藏高原南缘至四川盆地西部的过渡地带，总的地势是西北高、东南低，四周被崇山峻岭所包围，周界高程一般均在3000</w:t>
      </w:r>
      <w:r>
        <w:rPr>
          <w:rFonts w:hint="eastAsia" w:ascii="仿宋" w:hAnsi="仿宋" w:eastAsia="仿宋" w:cs="仿宋"/>
          <w:color w:val="auto"/>
          <w:spacing w:val="-2"/>
          <w:sz w:val="32"/>
          <w:szCs w:val="32"/>
          <w:lang w:val="en-US" w:eastAsia="zh-CN"/>
        </w:rPr>
        <w:t>米</w:t>
      </w:r>
      <w:r>
        <w:rPr>
          <w:rFonts w:hint="default" w:ascii="仿宋" w:hAnsi="仿宋" w:eastAsia="仿宋" w:cs="仿宋"/>
          <w:color w:val="auto"/>
          <w:spacing w:val="-2"/>
          <w:sz w:val="32"/>
          <w:szCs w:val="32"/>
          <w:lang w:val="en-US" w:eastAsia="zh-CN"/>
        </w:rPr>
        <w:t>以上，西部的贡嘎山是大雪山山脉的主峰，海拔高程7556</w:t>
      </w:r>
      <w:r>
        <w:rPr>
          <w:rFonts w:hint="eastAsia" w:ascii="仿宋" w:hAnsi="仿宋" w:eastAsia="仿宋" w:cs="仿宋"/>
          <w:color w:val="auto"/>
          <w:spacing w:val="-2"/>
          <w:sz w:val="32"/>
          <w:szCs w:val="32"/>
          <w:lang w:val="en-US" w:eastAsia="zh-CN"/>
        </w:rPr>
        <w:t>米</w:t>
      </w:r>
      <w:r>
        <w:rPr>
          <w:rFonts w:hint="default" w:ascii="仿宋" w:hAnsi="仿宋" w:eastAsia="仿宋" w:cs="仿宋"/>
          <w:color w:val="auto"/>
          <w:spacing w:val="-2"/>
          <w:sz w:val="32"/>
          <w:szCs w:val="32"/>
          <w:lang w:val="en-US" w:eastAsia="zh-CN"/>
        </w:rPr>
        <w:t>，是全省的最高峰。</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顺水河：大渡河左岸二级支流，发源于雅老贡山，河源海拔3110</w:t>
      </w:r>
      <w:r>
        <w:rPr>
          <w:rFonts w:hint="eastAsia" w:ascii="仿宋" w:hAnsi="仿宋" w:eastAsia="仿宋" w:cs="仿宋"/>
          <w:color w:val="auto"/>
          <w:spacing w:val="-2"/>
          <w:sz w:val="32"/>
          <w:szCs w:val="32"/>
          <w:lang w:val="en-US" w:eastAsia="zh-CN"/>
        </w:rPr>
        <w:t>米</w:t>
      </w:r>
      <w:r>
        <w:rPr>
          <w:rFonts w:hint="default" w:ascii="仿宋" w:hAnsi="仿宋" w:eastAsia="仿宋" w:cs="仿宋"/>
          <w:color w:val="auto"/>
          <w:spacing w:val="-2"/>
          <w:sz w:val="32"/>
          <w:szCs w:val="32"/>
          <w:lang w:val="en-US" w:eastAsia="zh-CN"/>
        </w:rPr>
        <w:t>，上源为青衣江水系的花溪河分水岭为界，中、下油与茅杆河、乌斯河相邻，全流域面积127.33</w:t>
      </w:r>
      <w:r>
        <w:rPr>
          <w:rFonts w:hint="eastAsia" w:ascii="仿宋" w:hAnsi="仿宋" w:eastAsia="仿宋" w:cs="仿宋"/>
          <w:color w:val="auto"/>
          <w:spacing w:val="-2"/>
          <w:sz w:val="32"/>
          <w:szCs w:val="32"/>
          <w:lang w:val="en-US" w:eastAsia="zh-CN"/>
        </w:rPr>
        <w:t>平方公里</w:t>
      </w:r>
      <w:r>
        <w:rPr>
          <w:rFonts w:hint="default" w:ascii="仿宋" w:hAnsi="仿宋" w:eastAsia="仿宋" w:cs="仿宋"/>
          <w:color w:val="auto"/>
          <w:spacing w:val="-2"/>
          <w:sz w:val="32"/>
          <w:szCs w:val="32"/>
          <w:lang w:val="en-US" w:eastAsia="zh-CN"/>
        </w:rPr>
        <w:t>，自东北向南流经永胜乡、金口河镇汇入金口河。顺水河河道总长20.2</w:t>
      </w:r>
      <w:r>
        <w:rPr>
          <w:rFonts w:hint="eastAsia" w:ascii="仿宋" w:hAnsi="仿宋" w:eastAsia="仿宋" w:cs="仿宋"/>
          <w:color w:val="auto"/>
          <w:spacing w:val="-2"/>
          <w:sz w:val="32"/>
          <w:szCs w:val="32"/>
          <w:lang w:val="en-US" w:eastAsia="zh-CN"/>
        </w:rPr>
        <w:t>公里</w:t>
      </w:r>
      <w:r>
        <w:rPr>
          <w:rFonts w:hint="default" w:ascii="仿宋" w:hAnsi="仿宋" w:eastAsia="仿宋" w:cs="仿宋"/>
          <w:color w:val="auto"/>
          <w:spacing w:val="-2"/>
          <w:sz w:val="32"/>
          <w:szCs w:val="32"/>
          <w:lang w:val="en-US" w:eastAsia="zh-CN"/>
        </w:rPr>
        <w:t>，海拔高程750</w:t>
      </w:r>
      <w:r>
        <w:rPr>
          <w:rFonts w:hint="eastAsia" w:ascii="仿宋" w:hAnsi="仿宋" w:eastAsia="仿宋" w:cs="仿宋"/>
          <w:color w:val="auto"/>
          <w:spacing w:val="-2"/>
          <w:sz w:val="32"/>
          <w:szCs w:val="32"/>
          <w:lang w:val="en-US" w:eastAsia="zh-CN"/>
        </w:rPr>
        <w:t>～</w:t>
      </w:r>
      <w:r>
        <w:rPr>
          <w:rFonts w:hint="default" w:ascii="仿宋" w:hAnsi="仿宋" w:eastAsia="仿宋" w:cs="仿宋"/>
          <w:color w:val="auto"/>
          <w:spacing w:val="-2"/>
          <w:sz w:val="32"/>
          <w:szCs w:val="32"/>
          <w:lang w:val="en-US" w:eastAsia="zh-CN"/>
        </w:rPr>
        <w:t>3100</w:t>
      </w:r>
      <w:r>
        <w:rPr>
          <w:rFonts w:hint="eastAsia" w:ascii="仿宋" w:hAnsi="仿宋" w:eastAsia="仿宋" w:cs="仿宋"/>
          <w:color w:val="auto"/>
          <w:spacing w:val="-2"/>
          <w:sz w:val="32"/>
          <w:szCs w:val="32"/>
          <w:lang w:val="en-US" w:eastAsia="zh-CN"/>
        </w:rPr>
        <w:t>米</w:t>
      </w:r>
      <w:r>
        <w:rPr>
          <w:rFonts w:hint="default" w:ascii="仿宋" w:hAnsi="仿宋" w:eastAsia="仿宋" w:cs="仿宋"/>
          <w:color w:val="auto"/>
          <w:spacing w:val="-2"/>
          <w:sz w:val="32"/>
          <w:szCs w:val="32"/>
          <w:lang w:val="en-US" w:eastAsia="zh-CN"/>
        </w:rPr>
        <w:t>，相对高差达2360</w:t>
      </w:r>
      <w:r>
        <w:rPr>
          <w:rFonts w:hint="eastAsia" w:ascii="仿宋" w:hAnsi="仿宋" w:eastAsia="仿宋" w:cs="仿宋"/>
          <w:color w:val="auto"/>
          <w:spacing w:val="-2"/>
          <w:sz w:val="32"/>
          <w:szCs w:val="32"/>
          <w:lang w:val="en-US" w:eastAsia="zh-CN"/>
        </w:rPr>
        <w:t>米</w:t>
      </w:r>
      <w:r>
        <w:rPr>
          <w:rFonts w:hint="default" w:ascii="仿宋" w:hAnsi="仿宋" w:eastAsia="仿宋" w:cs="仿宋"/>
          <w:color w:val="auto"/>
          <w:spacing w:val="-2"/>
          <w:sz w:val="32"/>
          <w:szCs w:val="32"/>
          <w:lang w:val="en-US" w:eastAsia="zh-CN"/>
        </w:rPr>
        <w:t>，河流平均坡降88.2%。</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37" w:name="_Toc26743"/>
      <w:r>
        <w:rPr>
          <w:rFonts w:hint="default" w:ascii="仿宋" w:hAnsi="仿宋" w:eastAsia="仿宋" w:cs="仿宋"/>
          <w:b w:val="0"/>
          <w:bCs w:val="0"/>
          <w:color w:val="auto"/>
          <w:spacing w:val="-2"/>
          <w:sz w:val="32"/>
          <w:szCs w:val="32"/>
          <w:lang w:val="en-US" w:eastAsia="zh-CN" w:bidi="ar-SA"/>
        </w:rPr>
        <w:t>3.1.5</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气象气候</w:t>
      </w:r>
      <w:bookmarkEnd w:id="37"/>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金口河区属大渡河流域中下游地区，受山势地形的影响，属亚热带湿润季风气候区。冬季受西风带气流影响，寒冷少雨；夏季受东南暖湿所流控制，温湿多雨。在季节上具有春迟、夏短、秋早、冬长特点，并多低温、秋雨绵绵天气。降水较为丰沛，多年平均降水量1250mm</w:t>
      </w:r>
      <w:r>
        <w:rPr>
          <w:rFonts w:hint="eastAsia" w:ascii="仿宋" w:hAnsi="仿宋" w:eastAsia="仿宋" w:cs="仿宋"/>
          <w:color w:val="auto"/>
          <w:spacing w:val="-2"/>
          <w:sz w:val="32"/>
          <w:szCs w:val="32"/>
          <w:lang w:val="en-US" w:eastAsia="zh-CN"/>
        </w:rPr>
        <w:t>～</w:t>
      </w:r>
      <w:r>
        <w:rPr>
          <w:rFonts w:hint="default" w:ascii="仿宋" w:hAnsi="仿宋" w:eastAsia="仿宋" w:cs="仿宋"/>
          <w:color w:val="auto"/>
          <w:spacing w:val="-2"/>
          <w:sz w:val="32"/>
          <w:szCs w:val="32"/>
          <w:lang w:val="en-US" w:eastAsia="zh-CN"/>
        </w:rPr>
        <w:t>1500mm。境内高山林立，沟谷纵横，形成垂直立体气候，高中低山气温差异悬殊。在海拔1400米以下的地带，每上升100米，气温下降约0.6℃。高山山地亚冬带，海拔高度在1700米以上，年平均气温＜9.0℃，寒冷多雾多雪，结冰凌；中山山地暖湿带海拔在1200</w:t>
      </w:r>
      <w:r>
        <w:rPr>
          <w:rFonts w:hint="eastAsia" w:ascii="仿宋" w:hAnsi="仿宋" w:eastAsia="仿宋" w:cs="仿宋"/>
          <w:color w:val="auto"/>
          <w:spacing w:val="-2"/>
          <w:sz w:val="32"/>
          <w:szCs w:val="32"/>
          <w:lang w:val="en-US" w:eastAsia="zh-CN"/>
        </w:rPr>
        <w:t>～</w:t>
      </w:r>
      <w:r>
        <w:rPr>
          <w:rFonts w:hint="default" w:ascii="仿宋" w:hAnsi="仿宋" w:eastAsia="仿宋" w:cs="仿宋"/>
          <w:color w:val="auto"/>
          <w:spacing w:val="-2"/>
          <w:sz w:val="32"/>
          <w:szCs w:val="32"/>
          <w:lang w:val="en-US" w:eastAsia="zh-CN"/>
        </w:rPr>
        <w:t>1700米之间，年平均气温13.0℃</w:t>
      </w:r>
      <w:r>
        <w:rPr>
          <w:rFonts w:hint="eastAsia" w:ascii="仿宋" w:hAnsi="仿宋" w:eastAsia="仿宋" w:cs="仿宋"/>
          <w:color w:val="auto"/>
          <w:spacing w:val="-2"/>
          <w:sz w:val="32"/>
          <w:szCs w:val="32"/>
          <w:lang w:val="en-US" w:eastAsia="zh-CN"/>
        </w:rPr>
        <w:t>～</w:t>
      </w:r>
      <w:r>
        <w:rPr>
          <w:rFonts w:hint="default" w:ascii="仿宋" w:hAnsi="仿宋" w:eastAsia="仿宋" w:cs="仿宋"/>
          <w:color w:val="auto"/>
          <w:spacing w:val="-2"/>
          <w:sz w:val="32"/>
          <w:szCs w:val="32"/>
          <w:lang w:val="en-US" w:eastAsia="zh-CN"/>
        </w:rPr>
        <w:t>10.0℃，气温较低，雨水多，雾日较多，积雪日较短；低山河谷亚热带，海拔在1200米以下，为低热带区，年平均气温13.0℃，气候温暖，日照较足，雨量较少，无霜期长，干旱较为突出。</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38" w:name="_Toc31679"/>
      <w:r>
        <w:rPr>
          <w:rFonts w:hint="default" w:ascii="仿宋" w:hAnsi="仿宋" w:eastAsia="仿宋" w:cs="仿宋"/>
          <w:b w:val="0"/>
          <w:bCs w:val="0"/>
          <w:color w:val="auto"/>
          <w:spacing w:val="-2"/>
          <w:sz w:val="32"/>
          <w:szCs w:val="32"/>
          <w:lang w:val="en-US" w:eastAsia="zh-CN" w:bidi="ar-SA"/>
        </w:rPr>
        <w:t>3.1.6</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土地资源</w:t>
      </w:r>
      <w:bookmarkEnd w:id="38"/>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金口河区行政区域面积为59806.13公顷，其中，农用地56967.07公顷，占土地总面积的95.25%；建设用地840.95公顷，占土地总面积的1.41%；其他土地1998.11公顷，占土地总面积的3.34%。其中，耕地2545.13公顷，占土地总面积的4.26%，林地50945.20公顷，占土地总面积的85.18%</w:t>
      </w:r>
      <w:r>
        <w:rPr>
          <w:rFonts w:hint="eastAsia" w:ascii="仿宋" w:hAnsi="仿宋" w:eastAsia="仿宋" w:cs="仿宋"/>
          <w:color w:val="auto"/>
          <w:spacing w:val="-2"/>
          <w:sz w:val="32"/>
          <w:szCs w:val="32"/>
          <w:lang w:val="en-US" w:eastAsia="zh-CN"/>
        </w:rPr>
        <w:t>。</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39" w:name="_Toc25886"/>
      <w:r>
        <w:rPr>
          <w:rFonts w:hint="default" w:ascii="仿宋" w:hAnsi="仿宋" w:eastAsia="仿宋" w:cs="仿宋"/>
          <w:b w:val="0"/>
          <w:bCs w:val="0"/>
          <w:color w:val="auto"/>
          <w:spacing w:val="-2"/>
          <w:sz w:val="32"/>
          <w:szCs w:val="32"/>
          <w:lang w:val="en-US" w:eastAsia="zh-CN" w:bidi="ar-SA"/>
        </w:rPr>
        <w:t>3.1.7</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地震烈度</w:t>
      </w:r>
      <w:bookmarkEnd w:id="39"/>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根据《中国地震参数区划图》（GB 18306-2015），国家标准第1号修改单），乐山市金口河区抗震设防烈度为7度，设计基本地震加速度值为0.10g，属设计地震第二组。</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outlineLvl w:val="1"/>
        <w:rPr>
          <w:rFonts w:hint="default" w:ascii="楷体" w:hAnsi="楷体" w:eastAsia="楷体" w:cs="楷体"/>
          <w:b w:val="0"/>
          <w:bCs w:val="0"/>
          <w:color w:val="auto"/>
          <w:sz w:val="32"/>
          <w:szCs w:val="32"/>
          <w:lang w:val="en-US" w:eastAsia="zh-CN" w:bidi="ar-SA"/>
        </w:rPr>
      </w:pPr>
      <w:bookmarkStart w:id="40" w:name="_Toc18058"/>
      <w:bookmarkStart w:id="41" w:name="_Toc12662"/>
      <w:r>
        <w:rPr>
          <w:rFonts w:hint="default" w:ascii="楷体" w:hAnsi="楷体" w:eastAsia="楷体" w:cs="楷体"/>
          <w:b w:val="0"/>
          <w:bCs w:val="0"/>
          <w:color w:val="auto"/>
          <w:sz w:val="32"/>
          <w:szCs w:val="32"/>
          <w:lang w:val="en-US" w:eastAsia="zh-CN" w:bidi="ar-SA"/>
        </w:rPr>
        <w:t>3.2</w:t>
      </w:r>
      <w:r>
        <w:rPr>
          <w:rFonts w:hint="eastAsia" w:ascii="楷体" w:hAnsi="楷体" w:eastAsia="楷体" w:cs="楷体"/>
          <w:b w:val="0"/>
          <w:bCs w:val="0"/>
          <w:color w:val="auto"/>
          <w:sz w:val="32"/>
          <w:szCs w:val="32"/>
          <w:lang w:val="en-US" w:eastAsia="zh-CN" w:bidi="ar-SA"/>
        </w:rPr>
        <w:t xml:space="preserve"> </w:t>
      </w:r>
      <w:r>
        <w:rPr>
          <w:rFonts w:hint="default" w:ascii="楷体" w:hAnsi="楷体" w:eastAsia="楷体" w:cs="楷体"/>
          <w:b w:val="0"/>
          <w:bCs w:val="0"/>
          <w:color w:val="auto"/>
          <w:sz w:val="32"/>
          <w:szCs w:val="32"/>
          <w:lang w:val="en-US" w:eastAsia="zh-CN" w:bidi="ar-SA"/>
        </w:rPr>
        <w:t>经济发展</w:t>
      </w:r>
      <w:bookmarkEnd w:id="40"/>
      <w:bookmarkEnd w:id="41"/>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近年来，乐山市金口河区经济总量持续增长，稳步上升势头强劲。紧扣“产业发展年”经济工作主题，统筹推进稳增长、促改革、调结构、惠民生、防风险各项工作。经济运行总体平稳，稳中有进，经济社会发展取得新的成绩，产业结构呈现了“一稳、二降、三升”的变化趋势，转方式调结构初见成效。</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2023年，金口河区实现地区生产总值（GDP）38.47亿元，按可比价格计算，比上年增长4.3%。其中，第一产业增加值5.32亿元，增长3.1%；第二产业增加值18.60元，增长2.8%；第三产业增加值14.55亿元，增长7.0%。三次产业分别拉动GDP增长0.5、1.3和2.5个百分点，对经济增长的贡献率分别为10.9%、30.7%和58.5%。三次产业结构为：13.8:48.4:37.8。</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outlineLvl w:val="1"/>
        <w:rPr>
          <w:rFonts w:hint="default" w:ascii="楷体" w:hAnsi="楷体" w:eastAsia="楷体" w:cs="楷体"/>
          <w:b w:val="0"/>
          <w:bCs w:val="0"/>
          <w:color w:val="auto"/>
          <w:sz w:val="32"/>
          <w:szCs w:val="32"/>
          <w:lang w:val="en-US" w:eastAsia="zh-CN" w:bidi="ar-SA"/>
        </w:rPr>
      </w:pPr>
      <w:bookmarkStart w:id="42" w:name="_Toc14221"/>
      <w:bookmarkStart w:id="43" w:name="_Toc29727"/>
      <w:r>
        <w:rPr>
          <w:rFonts w:hint="default" w:ascii="楷体" w:hAnsi="楷体" w:eastAsia="楷体" w:cs="楷体"/>
          <w:b w:val="0"/>
          <w:bCs w:val="0"/>
          <w:color w:val="auto"/>
          <w:sz w:val="32"/>
          <w:szCs w:val="32"/>
          <w:lang w:val="en-US" w:eastAsia="zh-CN" w:bidi="ar-SA"/>
        </w:rPr>
        <w:t>3.3</w:t>
      </w:r>
      <w:r>
        <w:rPr>
          <w:rFonts w:hint="eastAsia" w:ascii="楷体" w:hAnsi="楷体" w:eastAsia="楷体" w:cs="楷体"/>
          <w:b w:val="0"/>
          <w:bCs w:val="0"/>
          <w:color w:val="auto"/>
          <w:sz w:val="32"/>
          <w:szCs w:val="32"/>
          <w:lang w:val="en-US" w:eastAsia="zh-CN" w:bidi="ar-SA"/>
        </w:rPr>
        <w:t xml:space="preserve"> </w:t>
      </w:r>
      <w:r>
        <w:rPr>
          <w:rFonts w:hint="default" w:ascii="楷体" w:hAnsi="楷体" w:eastAsia="楷体" w:cs="楷体"/>
          <w:b w:val="0"/>
          <w:bCs w:val="0"/>
          <w:color w:val="auto"/>
          <w:sz w:val="32"/>
          <w:szCs w:val="32"/>
          <w:lang w:val="en-US" w:eastAsia="zh-CN" w:bidi="ar-SA"/>
        </w:rPr>
        <w:t>人口数量</w:t>
      </w:r>
      <w:bookmarkEnd w:id="42"/>
      <w:bookmarkEnd w:id="43"/>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截至2023年末，金口河区总户数17594户，户籍人口46976人。出生人数487人，死亡人数448人，人口出生率10.4‰，死亡率9.5‰，自然增长率0.8‰。在总人口中，非农业人口14395人，农业人口32581人；男性人口24352人，女性人口22624人，人口性别比为107.6。年末常住人口3.8万人，城镇化率43.16%，比上年提高1个百分点</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outlineLvl w:val="1"/>
        <w:rPr>
          <w:rFonts w:hint="default" w:ascii="楷体" w:hAnsi="楷体" w:eastAsia="楷体" w:cs="楷体"/>
          <w:b w:val="0"/>
          <w:bCs w:val="0"/>
          <w:color w:val="auto"/>
          <w:sz w:val="32"/>
          <w:szCs w:val="32"/>
          <w:lang w:val="en-US" w:eastAsia="zh-CN" w:bidi="ar-SA"/>
        </w:rPr>
      </w:pPr>
      <w:bookmarkStart w:id="44" w:name="_Toc9480"/>
      <w:bookmarkStart w:id="45" w:name="_Toc13959"/>
      <w:r>
        <w:rPr>
          <w:rFonts w:hint="default" w:ascii="楷体" w:hAnsi="楷体" w:eastAsia="楷体" w:cs="楷体"/>
          <w:b w:val="0"/>
          <w:bCs w:val="0"/>
          <w:color w:val="auto"/>
          <w:sz w:val="32"/>
          <w:szCs w:val="32"/>
          <w:lang w:val="en-US" w:eastAsia="zh-CN" w:bidi="ar-SA"/>
        </w:rPr>
        <w:t>3.4</w:t>
      </w:r>
      <w:r>
        <w:rPr>
          <w:rFonts w:hint="eastAsia" w:ascii="楷体" w:hAnsi="楷体" w:eastAsia="楷体" w:cs="楷体"/>
          <w:b w:val="0"/>
          <w:bCs w:val="0"/>
          <w:color w:val="auto"/>
          <w:sz w:val="32"/>
          <w:szCs w:val="32"/>
          <w:lang w:val="en-US" w:eastAsia="zh-CN" w:bidi="ar-SA"/>
        </w:rPr>
        <w:t xml:space="preserve"> </w:t>
      </w:r>
      <w:r>
        <w:rPr>
          <w:rFonts w:hint="default" w:ascii="楷体" w:hAnsi="楷体" w:eastAsia="楷体" w:cs="楷体"/>
          <w:b w:val="0"/>
          <w:bCs w:val="0"/>
          <w:color w:val="auto"/>
          <w:sz w:val="32"/>
          <w:szCs w:val="32"/>
          <w:lang w:val="en-US" w:eastAsia="zh-CN" w:bidi="ar-SA"/>
        </w:rPr>
        <w:t>建筑业发展状况</w:t>
      </w:r>
      <w:bookmarkEnd w:id="44"/>
      <w:bookmarkEnd w:id="45"/>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根据《2023年乐山市统计年鉴》数据，2022年金口河区建筑业总产值4026万元，签订的合同额5603万元。全县2户营业的资质建筑企业，实现建筑业产值4026万元。全区2022年房屋建筑施工面积5179平方米。</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outlineLvl w:val="1"/>
        <w:rPr>
          <w:rFonts w:hint="default" w:ascii="楷体" w:hAnsi="楷体" w:eastAsia="楷体" w:cs="楷体"/>
          <w:b w:val="0"/>
          <w:bCs w:val="0"/>
          <w:color w:val="auto"/>
          <w:sz w:val="32"/>
          <w:szCs w:val="32"/>
          <w:lang w:val="en-US" w:eastAsia="zh-CN" w:bidi="ar-SA"/>
        </w:rPr>
      </w:pPr>
      <w:bookmarkStart w:id="46" w:name="_Toc3017"/>
      <w:bookmarkStart w:id="47" w:name="_Toc17865"/>
      <w:r>
        <w:rPr>
          <w:rFonts w:hint="default" w:ascii="楷体" w:hAnsi="楷体" w:eastAsia="楷体" w:cs="楷体"/>
          <w:b w:val="0"/>
          <w:bCs w:val="0"/>
          <w:color w:val="auto"/>
          <w:sz w:val="32"/>
          <w:szCs w:val="32"/>
          <w:lang w:val="en-US" w:eastAsia="zh-CN" w:bidi="ar-SA"/>
        </w:rPr>
        <w:t>3.5相关规划</w:t>
      </w:r>
      <w:bookmarkEnd w:id="46"/>
      <w:bookmarkEnd w:id="47"/>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48" w:name="_Toc31935"/>
      <w:r>
        <w:rPr>
          <w:rFonts w:hint="default" w:ascii="仿宋" w:hAnsi="仿宋" w:eastAsia="仿宋" w:cs="仿宋"/>
          <w:b w:val="0"/>
          <w:bCs w:val="0"/>
          <w:color w:val="auto"/>
          <w:spacing w:val="-2"/>
          <w:sz w:val="32"/>
          <w:szCs w:val="32"/>
          <w:lang w:val="en-US" w:eastAsia="zh-CN" w:bidi="ar-SA"/>
        </w:rPr>
        <w:t>3.5.1《乐山市金口河区国土空间总体规划（2021-2035年）》</w:t>
      </w:r>
      <w:bookmarkEnd w:id="48"/>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outlineLvl w:val="2"/>
        <w:rPr>
          <w:rFonts w:hint="default" w:ascii="仿宋" w:hAnsi="仿宋" w:eastAsia="仿宋" w:cs="仿宋"/>
          <w:color w:val="auto"/>
          <w:spacing w:val="-2"/>
          <w:sz w:val="32"/>
          <w:szCs w:val="32"/>
          <w:lang w:val="en-US" w:eastAsia="zh-CN"/>
        </w:rPr>
      </w:pPr>
      <w:bookmarkStart w:id="49" w:name="_Toc17689"/>
      <w:r>
        <w:rPr>
          <w:rFonts w:hint="default" w:ascii="仿宋" w:hAnsi="仿宋" w:eastAsia="仿宋" w:cs="仿宋"/>
          <w:color w:val="auto"/>
          <w:spacing w:val="-2"/>
          <w:sz w:val="32"/>
          <w:szCs w:val="32"/>
          <w:lang w:val="en-US" w:eastAsia="zh-CN"/>
        </w:rPr>
        <w:t>1</w:t>
      </w:r>
      <w:r>
        <w:rPr>
          <w:rFonts w:hint="eastAsia" w:ascii="仿宋" w:hAnsi="仿宋" w:eastAsia="仿宋" w:cs="仿宋"/>
          <w:color w:val="auto"/>
          <w:spacing w:val="-2"/>
          <w:sz w:val="32"/>
          <w:szCs w:val="32"/>
          <w:lang w:val="en-US" w:eastAsia="zh-CN"/>
        </w:rPr>
        <w:t>.</w:t>
      </w:r>
      <w:r>
        <w:rPr>
          <w:rFonts w:hint="default" w:ascii="仿宋" w:hAnsi="仿宋" w:eastAsia="仿宋" w:cs="仿宋"/>
          <w:color w:val="auto"/>
          <w:spacing w:val="-2"/>
          <w:sz w:val="32"/>
          <w:szCs w:val="32"/>
          <w:lang w:val="en-US" w:eastAsia="zh-CN"/>
        </w:rPr>
        <w:t>规划期限</w:t>
      </w:r>
      <w:bookmarkEnd w:id="49"/>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规划基期为2020年，规划期限为2021—2035年，近期到2025年，远期到2035年，展望到2050年。</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outlineLvl w:val="2"/>
        <w:rPr>
          <w:rFonts w:hint="default" w:ascii="仿宋" w:hAnsi="仿宋" w:eastAsia="仿宋" w:cs="仿宋"/>
          <w:color w:val="auto"/>
          <w:spacing w:val="-2"/>
          <w:sz w:val="32"/>
          <w:szCs w:val="32"/>
          <w:lang w:val="en-US" w:eastAsia="zh-CN"/>
        </w:rPr>
      </w:pPr>
      <w:bookmarkStart w:id="50" w:name="_Toc4620"/>
      <w:r>
        <w:rPr>
          <w:rFonts w:hint="default" w:ascii="仿宋" w:hAnsi="仿宋" w:eastAsia="仿宋" w:cs="仿宋"/>
          <w:color w:val="auto"/>
          <w:spacing w:val="-2"/>
          <w:sz w:val="32"/>
          <w:szCs w:val="32"/>
          <w:lang w:val="en-US" w:eastAsia="zh-CN"/>
        </w:rPr>
        <w:t>2</w:t>
      </w:r>
      <w:r>
        <w:rPr>
          <w:rFonts w:hint="eastAsia" w:ascii="仿宋" w:hAnsi="仿宋" w:eastAsia="仿宋" w:cs="仿宋"/>
          <w:color w:val="auto"/>
          <w:spacing w:val="-2"/>
          <w:sz w:val="32"/>
          <w:szCs w:val="32"/>
          <w:lang w:val="en-US" w:eastAsia="zh-CN"/>
        </w:rPr>
        <w:t>.</w:t>
      </w:r>
      <w:r>
        <w:rPr>
          <w:rFonts w:hint="default" w:ascii="仿宋" w:hAnsi="仿宋" w:eastAsia="仿宋" w:cs="仿宋"/>
          <w:color w:val="auto"/>
          <w:spacing w:val="-2"/>
          <w:sz w:val="32"/>
          <w:szCs w:val="32"/>
          <w:lang w:val="en-US" w:eastAsia="zh-CN"/>
        </w:rPr>
        <w:t>规划范围</w:t>
      </w:r>
      <w:bookmarkEnd w:id="50"/>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规划层次分为全域和中心城区。全域范围包括2个镇、3个乡，总面积约598.06平方千米。中心城区范围包括永和镇、和平彝族乡部分城镇开发边界范围，总面积约2.26平方千米。</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outlineLvl w:val="2"/>
        <w:rPr>
          <w:rFonts w:hint="default" w:ascii="仿宋" w:hAnsi="仿宋" w:eastAsia="仿宋" w:cs="仿宋"/>
          <w:color w:val="auto"/>
          <w:spacing w:val="-2"/>
          <w:sz w:val="32"/>
          <w:szCs w:val="32"/>
          <w:lang w:val="en-US" w:eastAsia="zh-CN"/>
        </w:rPr>
      </w:pPr>
      <w:bookmarkStart w:id="51" w:name="_Toc4639"/>
      <w:r>
        <w:rPr>
          <w:rFonts w:hint="eastAsia" w:ascii="仿宋" w:hAnsi="仿宋" w:eastAsia="仿宋" w:cs="仿宋"/>
          <w:color w:val="auto"/>
          <w:spacing w:val="-2"/>
          <w:sz w:val="32"/>
          <w:szCs w:val="32"/>
          <w:lang w:val="en-US" w:eastAsia="zh-CN"/>
        </w:rPr>
        <w:t>3.</w:t>
      </w:r>
      <w:r>
        <w:rPr>
          <w:rFonts w:hint="default" w:ascii="仿宋" w:hAnsi="仿宋" w:eastAsia="仿宋" w:cs="仿宋"/>
          <w:color w:val="auto"/>
          <w:spacing w:val="-2"/>
          <w:sz w:val="32"/>
          <w:szCs w:val="32"/>
          <w:lang w:val="en-US" w:eastAsia="zh-CN"/>
        </w:rPr>
        <w:t>总体格局</w:t>
      </w:r>
      <w:bookmarkEnd w:id="51"/>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立足区域发展态势，尊重自然地理特征，依据“三区三线”划定成果，结合资源环境承载能力评价和国土空间开发适应性评价，按照全域全要素思路，突出全域国土空间特征，构建“三廊三片、一谷两区、一心四点”的国土空间开发保护总体格局。</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outlineLvl w:val="2"/>
        <w:rPr>
          <w:rFonts w:hint="default" w:ascii="仿宋" w:hAnsi="仿宋" w:eastAsia="仿宋" w:cs="仿宋"/>
          <w:color w:val="auto"/>
          <w:spacing w:val="-2"/>
          <w:sz w:val="32"/>
          <w:szCs w:val="32"/>
          <w:lang w:val="en-US" w:eastAsia="zh-CN"/>
        </w:rPr>
      </w:pPr>
      <w:bookmarkStart w:id="52" w:name="_Toc4691"/>
      <w:r>
        <w:rPr>
          <w:rFonts w:hint="eastAsia" w:ascii="仿宋" w:hAnsi="仿宋" w:eastAsia="仿宋" w:cs="仿宋"/>
          <w:color w:val="auto"/>
          <w:spacing w:val="-2"/>
          <w:sz w:val="32"/>
          <w:szCs w:val="32"/>
          <w:lang w:val="en-US" w:eastAsia="zh-CN"/>
        </w:rPr>
        <w:t>4.</w:t>
      </w:r>
      <w:r>
        <w:rPr>
          <w:rFonts w:hint="default" w:ascii="仿宋" w:hAnsi="仿宋" w:eastAsia="仿宋" w:cs="仿宋"/>
          <w:color w:val="auto"/>
          <w:spacing w:val="-2"/>
          <w:sz w:val="32"/>
          <w:szCs w:val="32"/>
          <w:lang w:val="en-US" w:eastAsia="zh-CN"/>
        </w:rPr>
        <w:t>路网布局</w:t>
      </w:r>
      <w:bookmarkEnd w:id="52"/>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规划构建符合金口河城区滨江带状城市特点的城市道路网络，以大渡河两岸各一条纵向主干道为骨架，加强跨江通道和支路建设。</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规划城区内部以常规公交为主，结合路网和用地布局特点，规划城区公交环线。规划以金口河汽车站承担城市公交枢纽功能。规划滨江休闲慢行带，串联各个组团的公园绿地，与城市道路人行道共同形成完善的城市慢行系统，支撑打造山水精品城市。</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outlineLvl w:val="2"/>
        <w:rPr>
          <w:rFonts w:hint="default" w:ascii="仿宋" w:hAnsi="仿宋" w:eastAsia="仿宋" w:cs="仿宋"/>
          <w:color w:val="auto"/>
          <w:spacing w:val="-2"/>
          <w:sz w:val="32"/>
          <w:szCs w:val="32"/>
          <w:lang w:val="en-US" w:eastAsia="zh-CN"/>
        </w:rPr>
      </w:pPr>
      <w:bookmarkStart w:id="53" w:name="_Toc12511"/>
      <w:r>
        <w:rPr>
          <w:rFonts w:hint="eastAsia" w:ascii="仿宋" w:hAnsi="仿宋" w:eastAsia="仿宋" w:cs="仿宋"/>
          <w:color w:val="auto"/>
          <w:spacing w:val="-2"/>
          <w:sz w:val="32"/>
          <w:szCs w:val="32"/>
          <w:lang w:val="en-US" w:eastAsia="zh-CN"/>
        </w:rPr>
        <w:t>5.</w:t>
      </w:r>
      <w:r>
        <w:rPr>
          <w:rFonts w:hint="default" w:ascii="仿宋" w:hAnsi="仿宋" w:eastAsia="仿宋" w:cs="仿宋"/>
          <w:color w:val="auto"/>
          <w:spacing w:val="-2"/>
          <w:sz w:val="32"/>
          <w:szCs w:val="32"/>
          <w:lang w:val="en-US" w:eastAsia="zh-CN"/>
        </w:rPr>
        <w:t>环卫工程</w:t>
      </w:r>
      <w:bookmarkEnd w:id="53"/>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实行垃圾分类收集、运输和处理，设置2处小型垃圾中转站，收集城区生活垃圾，由区环卫部门从垃圾压缩转运站，送至乐山市垃圾焚烧发电厂集中处理。结合新建金口河区建筑垃圾处理场，增加建筑垃圾资源化利用场地，对城区建筑垃圾采用建材制造等方式进行回收利用。城区危险废物可集中运至犍为的区域危险废物处置中心处理。公共厕所、环境卫生车辆停车场、环卫工人作息场所等环境卫生设施规模按照国家标准设置，其中环境卫生车辆停车场与垃圾压缩转运站合建，环卫工人作息场所结合公共厕所、垃圾转运站等设施配置。</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楷体" w:hAnsi="楷体" w:eastAsia="楷体" w:cs="楷体"/>
          <w:b w:val="0"/>
          <w:bCs w:val="0"/>
          <w:color w:val="auto"/>
          <w:sz w:val="32"/>
          <w:szCs w:val="32"/>
          <w:lang w:val="en-US" w:eastAsia="zh-CN" w:bidi="ar-SA"/>
        </w:rPr>
      </w:pPr>
      <w:bookmarkStart w:id="54" w:name="_Toc22131"/>
      <w:r>
        <w:rPr>
          <w:rFonts w:hint="default" w:ascii="仿宋" w:hAnsi="仿宋" w:eastAsia="仿宋" w:cs="仿宋"/>
          <w:b w:val="0"/>
          <w:bCs w:val="0"/>
          <w:color w:val="auto"/>
          <w:spacing w:val="-2"/>
          <w:sz w:val="32"/>
          <w:szCs w:val="32"/>
          <w:lang w:val="en-US" w:eastAsia="zh-CN" w:bidi="ar-SA"/>
        </w:rPr>
        <w:t>3.5.2</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《金口河区“无废城市”建设实施方案》</w:t>
      </w:r>
      <w:bookmarkEnd w:id="54"/>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1</w:t>
      </w:r>
      <w:r>
        <w:rPr>
          <w:rFonts w:hint="eastAsia" w:ascii="仿宋" w:hAnsi="仿宋" w:eastAsia="仿宋" w:cs="仿宋"/>
          <w:color w:val="auto"/>
          <w:spacing w:val="-2"/>
          <w:sz w:val="32"/>
          <w:szCs w:val="32"/>
          <w:lang w:val="en-US" w:eastAsia="zh-CN"/>
        </w:rPr>
        <w:t>.</w:t>
      </w:r>
      <w:r>
        <w:rPr>
          <w:rFonts w:hint="default" w:ascii="仿宋" w:hAnsi="仿宋" w:eastAsia="仿宋" w:cs="仿宋"/>
          <w:color w:val="auto"/>
          <w:spacing w:val="-2"/>
          <w:sz w:val="32"/>
          <w:szCs w:val="32"/>
          <w:lang w:val="en-US" w:eastAsia="zh-CN"/>
        </w:rPr>
        <w:t>总体目标</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全面推进以“山水画廊大峡谷·清洁无废金口河”为引领的金口河区“无废城市”建设，加快推进固体废物领域的生产生活方式向绿色低碳转型，突出生态优先、绿色发展。</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到2025年，“无废城市”建设制度体系、监管体系、市场体系和技术体系基本完善，固体废物源头减量化、资源化、无害化处置能力全面提升，“十四五”时期“无废城市”建设相关指标全面达成，“无废城市”宣传教育成效显著，打造一批以“无废景区”“无废工厂”“无废彝区”为代表的“无废细胞”，为乐山市“无废城市”创建贡献金口河力量。</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2</w:t>
      </w:r>
      <w:r>
        <w:rPr>
          <w:rFonts w:hint="eastAsia" w:ascii="仿宋" w:hAnsi="仿宋" w:eastAsia="仿宋" w:cs="仿宋"/>
          <w:color w:val="auto"/>
          <w:spacing w:val="-2"/>
          <w:sz w:val="32"/>
          <w:szCs w:val="32"/>
          <w:lang w:val="en-US" w:eastAsia="zh-CN"/>
        </w:rPr>
        <w:t>.</w:t>
      </w:r>
      <w:r>
        <w:rPr>
          <w:rFonts w:hint="default" w:ascii="仿宋" w:hAnsi="仿宋" w:eastAsia="仿宋" w:cs="仿宋"/>
          <w:color w:val="auto"/>
          <w:spacing w:val="-2"/>
          <w:sz w:val="32"/>
          <w:szCs w:val="32"/>
          <w:lang w:val="en-US" w:eastAsia="zh-CN"/>
        </w:rPr>
        <w:t>强化全过程管理，推进建筑垃圾资源综合利用</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推动建筑垃圾源头减量。大力推动绿色设计、绿色施工、全装修交付等绿色建造，推广绿色建筑和绿色建材，大力发展装配式建筑和节能低碳建筑，提高装配式建筑占新建建筑比例，全面推进建筑垃圾源头减量。到2025年，绿色建筑占新建城镇建筑比例的100％，全区新开工装配式建筑占新建建筑的40％，装配式建筑单体建筑装配率不低于50％。</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完善建筑垃圾收运体系。积极谋划建筑垃圾堆放场建设，实施建筑垃圾分类，完善建筑垃圾收集体系，综合考虑建筑垃圾产生区域、产生量、运输距离等因素，合理规划布局建筑垃圾的收集、转运、临时处理、消纳处置、资源化利用等设施。</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提高建筑垃圾处置和资源化利用水平。积极引进建筑垃圾利用处置企业，推进拆除与综合利用一体化管理，加快推进建筑垃圾消纳场选址和建设。到2025年，完成建筑垃圾堆放场建设。</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强化建筑垃圾处理全过程监管。加强全区建筑垃圾收集、运输、中转、回填、消纳和利用等全过程监管，严厉打击乱倒乱埋等违法违规行为，建立建筑垃圾市场诚信体系，规范各类市场从业主体行为。</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eastAsia" w:ascii="仿宋" w:hAnsi="仿宋" w:eastAsia="仿宋" w:cs="仿宋"/>
          <w:color w:val="auto"/>
          <w:spacing w:val="-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eastAsia" w:ascii="仿宋" w:hAnsi="仿宋" w:eastAsia="仿宋" w:cs="仿宋"/>
          <w:color w:val="auto"/>
          <w:spacing w:val="-2"/>
          <w:sz w:val="32"/>
          <w:szCs w:val="32"/>
          <w:lang w:val="en-US" w:eastAsia="zh-CN"/>
        </w:rPr>
        <w:sectPr>
          <w:headerReference r:id="rId7" w:type="default"/>
          <w:pgSz w:w="11905" w:h="16838"/>
          <w:pgMar w:top="2041" w:right="1468" w:bottom="1587" w:left="1468" w:header="850" w:footer="992" w:gutter="0"/>
          <w:pgBorders w:offsetFrom="page">
            <w:top w:val="none" w:sz="0" w:space="0"/>
            <w:left w:val="none" w:sz="0" w:space="0"/>
            <w:bottom w:val="none" w:sz="0" w:space="0"/>
            <w:right w:val="none" w:sz="0" w:space="0"/>
          </w:pgBorders>
          <w:pgNumType w:fmt="decimal"/>
          <w:cols w:space="0" w:num="1"/>
          <w:rtlGutter w:val="0"/>
          <w:docGrid w:type="lines" w:linePitch="330" w:charSpace="0"/>
        </w:sectPr>
      </w:pPr>
    </w:p>
    <w:p>
      <w:pPr>
        <w:pStyle w:val="3"/>
        <w:numPr>
          <w:ilvl w:val="0"/>
          <w:numId w:val="8"/>
        </w:numPr>
        <w:bidi w:val="0"/>
        <w:ind w:leftChars="0"/>
        <w:jc w:val="center"/>
        <w:rPr>
          <w:rFonts w:hint="eastAsia" w:ascii="黑体" w:hAnsi="黑体" w:eastAsia="黑体" w:cs="黑体"/>
          <w:b w:val="0"/>
          <w:bCs w:val="0"/>
          <w:sz w:val="32"/>
          <w:szCs w:val="32"/>
          <w:lang w:val="en-US" w:eastAsia="zh-CN"/>
        </w:rPr>
      </w:pPr>
      <w:bookmarkStart w:id="55" w:name="_Toc11935"/>
      <w:bookmarkStart w:id="56" w:name="_Toc1534"/>
      <w:r>
        <w:rPr>
          <w:rFonts w:hint="eastAsia" w:ascii="黑体" w:hAnsi="黑体" w:eastAsia="黑体" w:cs="黑体"/>
          <w:b w:val="0"/>
          <w:bCs w:val="0"/>
          <w:sz w:val="32"/>
          <w:szCs w:val="32"/>
          <w:lang w:val="en-US" w:eastAsia="zh-CN"/>
        </w:rPr>
        <w:t>建筑垃圾治理现状概况及分析</w:t>
      </w:r>
      <w:bookmarkEnd w:id="55"/>
      <w:bookmarkEnd w:id="56"/>
    </w:p>
    <w:p>
      <w:pPr>
        <w:numPr>
          <w:ilvl w:val="0"/>
          <w:numId w:val="0"/>
        </w:numPr>
        <w:rPr>
          <w:rFonts w:hint="eastAsia"/>
          <w:lang w:val="en-US" w:eastAsia="zh-CN"/>
        </w:rPr>
      </w:pPr>
    </w:p>
    <w:p>
      <w:pPr>
        <w:pStyle w:val="4"/>
        <w:pageBreakBefore w:val="0"/>
        <w:widowControl w:val="0"/>
        <w:numPr>
          <w:ilvl w:val="1"/>
          <w:numId w:val="0"/>
        </w:numPr>
        <w:kinsoku/>
        <w:wordWrap/>
        <w:overflowPunct/>
        <w:topLinePunct w:val="0"/>
        <w:autoSpaceDE/>
        <w:autoSpaceDN/>
        <w:bidi w:val="0"/>
        <w:adjustRightInd/>
        <w:snapToGrid/>
        <w:spacing w:line="600" w:lineRule="exact"/>
        <w:ind w:left="575" w:leftChars="0" w:hanging="575" w:firstLineChars="0"/>
        <w:textAlignment w:val="auto"/>
        <w:rPr>
          <w:rFonts w:hint="default" w:ascii="楷体" w:hAnsi="楷体" w:eastAsia="楷体" w:cs="楷体"/>
          <w:b w:val="0"/>
          <w:bCs w:val="0"/>
          <w:color w:val="auto"/>
          <w:sz w:val="32"/>
          <w:szCs w:val="32"/>
          <w:lang w:val="en-US" w:eastAsia="zh-CN" w:bidi="ar-SA"/>
        </w:rPr>
      </w:pPr>
      <w:bookmarkStart w:id="57" w:name="_Toc16060"/>
      <w:bookmarkStart w:id="58" w:name="_Toc27318"/>
      <w:r>
        <w:rPr>
          <w:rFonts w:hint="default" w:ascii="楷体" w:hAnsi="楷体" w:eastAsia="楷体" w:cs="楷体"/>
          <w:b w:val="0"/>
          <w:bCs w:val="0"/>
          <w:color w:val="auto"/>
          <w:sz w:val="32"/>
          <w:szCs w:val="32"/>
          <w:lang w:val="en-US" w:eastAsia="zh-CN" w:bidi="ar-SA"/>
        </w:rPr>
        <w:t>4.1</w:t>
      </w:r>
      <w:r>
        <w:rPr>
          <w:rFonts w:hint="eastAsia" w:ascii="楷体" w:hAnsi="楷体" w:eastAsia="楷体" w:cs="楷体"/>
          <w:b w:val="0"/>
          <w:bCs w:val="0"/>
          <w:color w:val="auto"/>
          <w:sz w:val="32"/>
          <w:szCs w:val="32"/>
          <w:lang w:val="en-US" w:eastAsia="zh-CN" w:bidi="ar-SA"/>
        </w:rPr>
        <w:t xml:space="preserve"> </w:t>
      </w:r>
      <w:r>
        <w:rPr>
          <w:rFonts w:hint="default" w:ascii="楷体" w:hAnsi="楷体" w:eastAsia="楷体" w:cs="楷体"/>
          <w:b w:val="0"/>
          <w:bCs w:val="0"/>
          <w:color w:val="auto"/>
          <w:sz w:val="32"/>
          <w:szCs w:val="32"/>
          <w:lang w:val="en-US" w:eastAsia="zh-CN" w:bidi="ar-SA"/>
        </w:rPr>
        <w:t>产生量预测</w:t>
      </w:r>
      <w:bookmarkEnd w:id="57"/>
      <w:bookmarkEnd w:id="58"/>
    </w:p>
    <w:p>
      <w:pPr>
        <w:pStyle w:val="4"/>
        <w:pageBreakBefore w:val="0"/>
        <w:widowControl w:val="0"/>
        <w:numPr>
          <w:ilvl w:val="1"/>
          <w:numId w:val="0"/>
        </w:numPr>
        <w:kinsoku/>
        <w:wordWrap/>
        <w:overflowPunct/>
        <w:topLinePunct w:val="0"/>
        <w:autoSpaceDE/>
        <w:autoSpaceDN/>
        <w:bidi w:val="0"/>
        <w:adjustRightInd/>
        <w:snapToGrid/>
        <w:spacing w:line="600" w:lineRule="exact"/>
        <w:ind w:left="575" w:leftChars="0" w:hanging="575" w:firstLineChars="0"/>
        <w:textAlignment w:val="auto"/>
        <w:outlineLvl w:val="2"/>
        <w:rPr>
          <w:rFonts w:hint="default" w:ascii="仿宋" w:hAnsi="仿宋" w:eastAsia="仿宋" w:cs="仿宋"/>
          <w:b w:val="0"/>
          <w:bCs w:val="0"/>
          <w:color w:val="auto"/>
          <w:spacing w:val="-2"/>
          <w:sz w:val="32"/>
          <w:szCs w:val="32"/>
          <w:highlight w:val="none"/>
          <w:lang w:val="en-US" w:eastAsia="zh-CN" w:bidi="ar-SA"/>
        </w:rPr>
      </w:pPr>
      <w:bookmarkStart w:id="59" w:name="_Toc9713"/>
      <w:r>
        <w:rPr>
          <w:rFonts w:hint="default" w:ascii="仿宋" w:hAnsi="仿宋" w:eastAsia="仿宋" w:cs="仿宋"/>
          <w:b w:val="0"/>
          <w:bCs w:val="0"/>
          <w:color w:val="auto"/>
          <w:spacing w:val="-2"/>
          <w:sz w:val="32"/>
          <w:szCs w:val="32"/>
          <w:highlight w:val="none"/>
          <w:lang w:val="en-US" w:eastAsia="zh-CN" w:bidi="ar-SA"/>
        </w:rPr>
        <w:t>4.1.1</w:t>
      </w:r>
      <w:r>
        <w:rPr>
          <w:rFonts w:hint="eastAsia" w:ascii="仿宋" w:hAnsi="仿宋" w:eastAsia="仿宋" w:cs="仿宋"/>
          <w:b w:val="0"/>
          <w:bCs w:val="0"/>
          <w:color w:val="auto"/>
          <w:spacing w:val="-2"/>
          <w:sz w:val="32"/>
          <w:szCs w:val="32"/>
          <w:highlight w:val="none"/>
          <w:lang w:val="en-US" w:eastAsia="zh-CN" w:bidi="ar-SA"/>
        </w:rPr>
        <w:t xml:space="preserve"> </w:t>
      </w:r>
      <w:r>
        <w:rPr>
          <w:rFonts w:hint="default" w:ascii="仿宋" w:hAnsi="仿宋" w:eastAsia="仿宋" w:cs="仿宋"/>
          <w:b w:val="0"/>
          <w:bCs w:val="0"/>
          <w:color w:val="auto"/>
          <w:spacing w:val="-2"/>
          <w:sz w:val="32"/>
          <w:szCs w:val="32"/>
          <w:highlight w:val="none"/>
          <w:lang w:val="en-US" w:eastAsia="zh-CN" w:bidi="ar-SA"/>
        </w:rPr>
        <w:t>预测方法</w:t>
      </w:r>
      <w:bookmarkEnd w:id="59"/>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根据《建筑垃圾处理技术标准》（CJJ/T134-2019）对工程渣土和工程泥浆工程垃圾、装修垃圾和装修垃圾的产生量进行估算。</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（1）工程渣土和工程泥浆。</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工程渣土、工程泥浆可结合现场地形、设计资料及施工工艺等综合确定。因脱水后的工程泥浆多与工程渣土一同处置，故本次将工程泥浆产生量计入工程渣土的预测量中，不单独进行预测。结合四川省工程渣土产生量预测方法，确定本次预测计算方法如下：</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工程渣土产生量=新增建筑面积×单位面积工程渣土产生量基数</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参照多地工程渣土经验算法，结合四川省近年来单位面积工程渣土产生量基数及工程渣土减量化措施，本规划确定工程渣土计算指标为2000吨/公顷。</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（2）工程垃圾</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工程垃圾产生量可按下式进行计算：</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drawing>
          <wp:inline distT="0" distB="0" distL="114300" distR="114300">
            <wp:extent cx="1148715" cy="336550"/>
            <wp:effectExtent l="0" t="0" r="13335" b="635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9"/>
                    <a:stretch>
                      <a:fillRect/>
                    </a:stretch>
                  </pic:blipFill>
                  <pic:spPr>
                    <a:xfrm>
                      <a:off x="0" y="0"/>
                      <a:ext cx="1148715" cy="3365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式中：Mg——某城市或区域工程垃圾产生量（t/a）；</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Rg——城市或区域新增建筑面积（104m2/a）；</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mg——单位面积工程垃圾产生量基数（t/104m2），可取300t/104m2～800t/104m2。</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在推进建筑垃圾源头减量、加快推进绿色建筑高质量发展背景下，结合金口河城市空间规划和城市发展目标，本次规划近远期单位面积工程垃圾产生量基数（mg）取500t/104m2。</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（3）装修垃圾</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装修垃圾产生量可按下式进行计算：</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drawing>
          <wp:inline distT="0" distB="0" distL="114300" distR="114300">
            <wp:extent cx="965200" cy="296545"/>
            <wp:effectExtent l="0" t="0" r="6350" b="8255"/>
            <wp:docPr id="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true"/>
                    </pic:cNvPicPr>
                  </pic:nvPicPr>
                  <pic:blipFill>
                    <a:blip r:embed="rId10"/>
                    <a:stretch>
                      <a:fillRect/>
                    </a:stretch>
                  </pic:blipFill>
                  <pic:spPr>
                    <a:xfrm>
                      <a:off x="0" y="0"/>
                      <a:ext cx="965200" cy="2965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Rz——城市或区域居民户数（户）；</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mz——单位户数装修垃圾产生量基数[t/（户·a）]，可取0.5t/（户·a）～1.0t/（户·a）。</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结合历史经验、调研结果、城市发展等因素，规划期内装修频次按1次计，单位户数装修垃圾产生量基数（mz）取0.8t/（户·a）。</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（4）拆除垃圾</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拆除垃圾可按下列方式进行计算：</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drawing>
          <wp:inline distT="0" distB="0" distL="114300" distR="114300">
            <wp:extent cx="1069975" cy="288290"/>
            <wp:effectExtent l="0" t="0" r="15875" b="16510"/>
            <wp:docPr id="4"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true"/>
                    </pic:cNvPicPr>
                  </pic:nvPicPr>
                  <pic:blipFill>
                    <a:blip r:embed="rId11"/>
                    <a:stretch>
                      <a:fillRect/>
                    </a:stretch>
                  </pic:blipFill>
                  <pic:spPr>
                    <a:xfrm>
                      <a:off x="0" y="0"/>
                      <a:ext cx="1069975" cy="2882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式中：Mc——某城市或区域拆除垃圾产生量（t/a）；</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 xml:space="preserve">Rc——城市或区域拆除面积（104m2/a）； </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mc——单位面积拆除垃圾产生量基数（t/104m2），可取8000t/104m2～13000t/104m2。</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highlight w:val="none"/>
          <w:lang w:val="en-US" w:eastAsia="zh-CN"/>
        </w:rPr>
        <w:t>根据历史</w:t>
      </w:r>
      <w:r>
        <w:rPr>
          <w:rFonts w:hint="eastAsia" w:ascii="仿宋" w:hAnsi="仿宋" w:eastAsia="仿宋" w:cs="仿宋"/>
          <w:color w:val="auto"/>
          <w:spacing w:val="-2"/>
          <w:sz w:val="32"/>
          <w:szCs w:val="32"/>
          <w:highlight w:val="none"/>
          <w:lang w:val="en-US" w:eastAsia="zh-CN"/>
        </w:rPr>
        <w:t>数据</w:t>
      </w:r>
      <w:r>
        <w:rPr>
          <w:rFonts w:hint="default" w:ascii="仿宋" w:hAnsi="仿宋" w:eastAsia="仿宋" w:cs="仿宋"/>
          <w:color w:val="auto"/>
          <w:spacing w:val="-2"/>
          <w:sz w:val="32"/>
          <w:szCs w:val="32"/>
          <w:highlight w:val="none"/>
          <w:lang w:val="en-US" w:eastAsia="zh-CN"/>
        </w:rPr>
        <w:t>、近期年</w:t>
      </w:r>
      <w:r>
        <w:rPr>
          <w:rFonts w:hint="default" w:ascii="仿宋" w:hAnsi="仿宋" w:eastAsia="仿宋" w:cs="仿宋"/>
          <w:color w:val="auto"/>
          <w:spacing w:val="-2"/>
          <w:sz w:val="32"/>
          <w:szCs w:val="32"/>
          <w:lang w:val="en-US" w:eastAsia="zh-CN"/>
        </w:rPr>
        <w:t>均房屋拆迁面积等因素，单位面积拆除垃圾产生量基数（mc）取12000t/104m2。</w:t>
      </w:r>
    </w:p>
    <w:p>
      <w:pPr>
        <w:pStyle w:val="4"/>
        <w:pageBreakBefore w:val="0"/>
        <w:widowControl w:val="0"/>
        <w:numPr>
          <w:ilvl w:val="1"/>
          <w:numId w:val="0"/>
        </w:numPr>
        <w:kinsoku/>
        <w:wordWrap/>
        <w:overflowPunct/>
        <w:topLinePunct w:val="0"/>
        <w:autoSpaceDE/>
        <w:autoSpaceDN/>
        <w:bidi w:val="0"/>
        <w:adjustRightInd/>
        <w:snapToGrid/>
        <w:spacing w:line="600" w:lineRule="exact"/>
        <w:ind w:left="575" w:leftChars="0" w:hanging="575" w:firstLineChars="0"/>
        <w:textAlignment w:val="auto"/>
        <w:outlineLvl w:val="2"/>
        <w:rPr>
          <w:rFonts w:hint="eastAsia" w:ascii="仿宋" w:hAnsi="仿宋" w:eastAsia="仿宋" w:cs="仿宋"/>
          <w:b w:val="0"/>
          <w:bCs w:val="0"/>
          <w:color w:val="auto"/>
          <w:spacing w:val="-2"/>
          <w:sz w:val="32"/>
          <w:szCs w:val="32"/>
          <w:lang w:val="en-US" w:eastAsia="zh-CN" w:bidi="ar-SA"/>
        </w:rPr>
      </w:pPr>
      <w:bookmarkStart w:id="60" w:name="_Toc11724"/>
      <w:r>
        <w:rPr>
          <w:rFonts w:hint="eastAsia" w:ascii="仿宋" w:hAnsi="仿宋" w:eastAsia="仿宋" w:cs="仿宋"/>
          <w:b w:val="0"/>
          <w:bCs w:val="0"/>
          <w:color w:val="auto"/>
          <w:spacing w:val="-2"/>
          <w:sz w:val="32"/>
          <w:szCs w:val="32"/>
          <w:lang w:val="en-US" w:eastAsia="zh-CN" w:bidi="ar-SA"/>
        </w:rPr>
        <w:t>4.1.2 预测计算</w:t>
      </w:r>
      <w:bookmarkEnd w:id="60"/>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（1）工程渣土和工程泥浆。</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因脱水后的工程泥浆多与工程渣土一同处置，故本次将工程泥浆产生量计入工程渣土的预测量中，不单独进行预测。</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根据《乐山市金口河区国土空间总体规划（2021—2035年）》，金口河中心城区</w:t>
      </w:r>
      <w:bookmarkStart w:id="61" w:name="OLE_LINK1"/>
      <w:r>
        <w:rPr>
          <w:rFonts w:hint="default" w:ascii="仿宋" w:hAnsi="仿宋" w:eastAsia="仿宋" w:cs="仿宋"/>
          <w:color w:val="auto"/>
          <w:spacing w:val="-2"/>
          <w:sz w:val="32"/>
          <w:szCs w:val="32"/>
          <w:lang w:val="en-US" w:eastAsia="zh-CN"/>
        </w:rPr>
        <w:t>建设用地规模</w:t>
      </w:r>
      <w:bookmarkEnd w:id="61"/>
      <w:r>
        <w:rPr>
          <w:rFonts w:hint="eastAsia" w:ascii="仿宋" w:hAnsi="仿宋" w:eastAsia="仿宋" w:cs="仿宋"/>
          <w:color w:val="auto"/>
          <w:spacing w:val="-2"/>
          <w:sz w:val="32"/>
          <w:szCs w:val="32"/>
          <w:lang w:val="en-US" w:eastAsia="zh-CN"/>
        </w:rPr>
        <w:t>约</w:t>
      </w:r>
      <w:r>
        <w:rPr>
          <w:rFonts w:hint="default" w:ascii="仿宋" w:hAnsi="仿宋" w:eastAsia="仿宋" w:cs="仿宋"/>
          <w:color w:val="auto"/>
          <w:spacing w:val="-2"/>
          <w:sz w:val="32"/>
          <w:szCs w:val="32"/>
          <w:lang w:val="en-US" w:eastAsia="zh-CN"/>
        </w:rPr>
        <w:t>0.902平方千米，规划至2035年中心城区建设用地</w:t>
      </w:r>
      <w:r>
        <w:rPr>
          <w:rFonts w:hint="eastAsia" w:ascii="仿宋" w:hAnsi="仿宋" w:eastAsia="仿宋" w:cs="仿宋"/>
          <w:color w:val="auto"/>
          <w:spacing w:val="-2"/>
          <w:sz w:val="32"/>
          <w:szCs w:val="32"/>
          <w:lang w:val="en-US" w:eastAsia="zh-CN"/>
        </w:rPr>
        <w:t>约</w:t>
      </w:r>
      <w:r>
        <w:rPr>
          <w:rFonts w:hint="default" w:ascii="仿宋" w:hAnsi="仿宋" w:eastAsia="仿宋" w:cs="仿宋"/>
          <w:color w:val="auto"/>
          <w:spacing w:val="-2"/>
          <w:sz w:val="32"/>
          <w:szCs w:val="32"/>
          <w:lang w:val="en-US" w:eastAsia="zh-CN"/>
        </w:rPr>
        <w:t>2.26平方千米，新增中心城区建设用地</w:t>
      </w:r>
      <w:r>
        <w:rPr>
          <w:rFonts w:hint="eastAsia" w:ascii="仿宋" w:hAnsi="仿宋" w:eastAsia="仿宋" w:cs="仿宋"/>
          <w:color w:val="auto"/>
          <w:spacing w:val="-2"/>
          <w:sz w:val="32"/>
          <w:szCs w:val="32"/>
          <w:lang w:val="en-US" w:eastAsia="zh-CN"/>
        </w:rPr>
        <w:t>约</w:t>
      </w:r>
      <w:r>
        <w:rPr>
          <w:rFonts w:hint="default" w:ascii="仿宋" w:hAnsi="仿宋" w:eastAsia="仿宋" w:cs="仿宋"/>
          <w:color w:val="auto"/>
          <w:spacing w:val="-2"/>
          <w:sz w:val="32"/>
          <w:szCs w:val="32"/>
          <w:lang w:val="en-US" w:eastAsia="zh-CN"/>
        </w:rPr>
        <w:t>1.358平方千米。取容积率为2.0。按照理论模型预测，结合统计出的金口河区规划新开工建筑面积数据，综合预测得出规划期内新开工建筑面积。</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根据章节4.1.1计算得出，金口河中心城区规划期内工程渣土产生总量</w:t>
      </w:r>
      <w:r>
        <w:rPr>
          <w:rFonts w:hint="eastAsia" w:ascii="仿宋" w:hAnsi="仿宋" w:eastAsia="仿宋" w:cs="仿宋"/>
          <w:color w:val="auto"/>
          <w:spacing w:val="-2"/>
          <w:sz w:val="32"/>
          <w:szCs w:val="32"/>
          <w:lang w:val="en-US" w:eastAsia="zh-CN"/>
        </w:rPr>
        <w:t>约</w:t>
      </w:r>
      <w:r>
        <w:rPr>
          <w:rFonts w:hint="default" w:ascii="仿宋" w:hAnsi="仿宋" w:eastAsia="仿宋" w:cs="仿宋"/>
          <w:color w:val="auto"/>
          <w:spacing w:val="-2"/>
          <w:sz w:val="32"/>
          <w:szCs w:val="32"/>
          <w:lang w:val="en-US" w:eastAsia="zh-CN"/>
        </w:rPr>
        <w:t>0.54万吨。规划近期暂无新开楼盘，产生总量为0万吨，规划远期产生总量</w:t>
      </w:r>
      <w:r>
        <w:rPr>
          <w:rFonts w:hint="eastAsia" w:ascii="仿宋" w:hAnsi="仿宋" w:eastAsia="仿宋" w:cs="仿宋"/>
          <w:color w:val="auto"/>
          <w:spacing w:val="-2"/>
          <w:sz w:val="32"/>
          <w:szCs w:val="32"/>
          <w:lang w:val="en-US" w:eastAsia="zh-CN"/>
        </w:rPr>
        <w:t>约</w:t>
      </w:r>
      <w:r>
        <w:rPr>
          <w:rFonts w:hint="default" w:ascii="仿宋" w:hAnsi="仿宋" w:eastAsia="仿宋" w:cs="仿宋"/>
          <w:color w:val="auto"/>
          <w:spacing w:val="-2"/>
          <w:sz w:val="32"/>
          <w:szCs w:val="32"/>
          <w:lang w:val="en-US" w:eastAsia="zh-CN"/>
        </w:rPr>
        <w:t>0.54万吨。</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2）工程垃圾。根据《住房和城乡建设部关于推进建筑垃圾减量化的指导意见》（建质〔2020〕46号），2025年底新建建筑施工现场建筑垃圾（不包括工程渣土和工程泥浆）排放量每万平方米不高于300吨，装配式建筑施工现场建筑垃圾（不包括工程渣土和工程泥浆）排放量每万平方米不高于200吨；本规划近期单位面积工程垃圾产生量基数取280吨/万平方米，远期取260吨/万平方米。</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根据理论模型的预测，结合章节4.1.1公式计算得出，金口河中心城区规划期内工程垃圾产生总量</w:t>
      </w:r>
      <w:r>
        <w:rPr>
          <w:rFonts w:hint="eastAsia" w:ascii="仿宋" w:hAnsi="仿宋" w:eastAsia="仿宋" w:cs="仿宋"/>
          <w:color w:val="auto"/>
          <w:spacing w:val="-2"/>
          <w:sz w:val="32"/>
          <w:szCs w:val="32"/>
          <w:lang w:val="en-US" w:eastAsia="zh-CN"/>
        </w:rPr>
        <w:t>约</w:t>
      </w:r>
      <w:r>
        <w:rPr>
          <w:rFonts w:hint="default" w:ascii="仿宋" w:hAnsi="仿宋" w:eastAsia="仿宋" w:cs="仿宋"/>
          <w:color w:val="auto"/>
          <w:spacing w:val="-2"/>
          <w:sz w:val="32"/>
          <w:szCs w:val="32"/>
          <w:lang w:val="en-US" w:eastAsia="zh-CN"/>
        </w:rPr>
        <w:t>3.53万吨。规划近期产生总量为0万吨，规划远期产生总量</w:t>
      </w:r>
      <w:r>
        <w:rPr>
          <w:rFonts w:hint="eastAsia" w:ascii="仿宋" w:hAnsi="仿宋" w:eastAsia="仿宋" w:cs="仿宋"/>
          <w:color w:val="auto"/>
          <w:spacing w:val="-2"/>
          <w:sz w:val="32"/>
          <w:szCs w:val="32"/>
          <w:lang w:val="en-US" w:eastAsia="zh-CN"/>
        </w:rPr>
        <w:t>约</w:t>
      </w:r>
      <w:r>
        <w:rPr>
          <w:rFonts w:hint="default" w:ascii="仿宋" w:hAnsi="仿宋" w:eastAsia="仿宋" w:cs="仿宋"/>
          <w:color w:val="auto"/>
          <w:spacing w:val="-2"/>
          <w:sz w:val="32"/>
          <w:szCs w:val="32"/>
          <w:lang w:val="en-US" w:eastAsia="zh-CN"/>
        </w:rPr>
        <w:t>3.53万吨。</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（3）装修垃圾。参考《乐山市金口河区国土空间总体规划（2021—2035年）》规划至2030年，金口河中心城区常住人口</w:t>
      </w:r>
      <w:r>
        <w:rPr>
          <w:rFonts w:hint="eastAsia" w:ascii="仿宋" w:hAnsi="仿宋" w:eastAsia="仿宋" w:cs="仿宋"/>
          <w:color w:val="auto"/>
          <w:spacing w:val="-2"/>
          <w:sz w:val="32"/>
          <w:szCs w:val="32"/>
          <w:lang w:val="en-US" w:eastAsia="zh-CN"/>
        </w:rPr>
        <w:t>约</w:t>
      </w:r>
      <w:r>
        <w:rPr>
          <w:rFonts w:hint="default" w:ascii="仿宋" w:hAnsi="仿宋" w:eastAsia="仿宋" w:cs="仿宋"/>
          <w:color w:val="auto"/>
          <w:spacing w:val="-2"/>
          <w:sz w:val="32"/>
          <w:szCs w:val="32"/>
          <w:lang w:val="en-US" w:eastAsia="zh-CN"/>
        </w:rPr>
        <w:t>1.95万人；规划至2035年，金口河中心城区常住人口</w:t>
      </w:r>
      <w:r>
        <w:rPr>
          <w:rFonts w:hint="eastAsia" w:ascii="仿宋" w:hAnsi="仿宋" w:eastAsia="仿宋" w:cs="仿宋"/>
          <w:color w:val="auto"/>
          <w:spacing w:val="-2"/>
          <w:sz w:val="32"/>
          <w:szCs w:val="32"/>
          <w:lang w:val="en-US" w:eastAsia="zh-CN"/>
        </w:rPr>
        <w:t>约</w:t>
      </w:r>
      <w:r>
        <w:rPr>
          <w:rFonts w:hint="default" w:ascii="仿宋" w:hAnsi="仿宋" w:eastAsia="仿宋" w:cs="仿宋"/>
          <w:color w:val="auto"/>
          <w:spacing w:val="-2"/>
          <w:sz w:val="32"/>
          <w:szCs w:val="32"/>
          <w:lang w:val="en-US" w:eastAsia="zh-CN"/>
        </w:rPr>
        <w:t>2.65万人。按照3人/户计算。根据理论模型对人口变化的预测，结合章节4.1.1公式计算得出，金口河中心城区规划期内装修垃圾产生总量</w:t>
      </w:r>
      <w:r>
        <w:rPr>
          <w:rFonts w:hint="eastAsia" w:ascii="仿宋" w:hAnsi="仿宋" w:eastAsia="仿宋" w:cs="仿宋"/>
          <w:color w:val="auto"/>
          <w:spacing w:val="-2"/>
          <w:sz w:val="32"/>
          <w:szCs w:val="32"/>
          <w:lang w:val="en-US" w:eastAsia="zh-CN"/>
        </w:rPr>
        <w:t>约</w:t>
      </w:r>
      <w:r>
        <w:rPr>
          <w:rFonts w:hint="default" w:ascii="仿宋" w:hAnsi="仿宋" w:eastAsia="仿宋" w:cs="仿宋"/>
          <w:color w:val="auto"/>
          <w:spacing w:val="-2"/>
          <w:sz w:val="32"/>
          <w:szCs w:val="32"/>
          <w:lang w:val="en-US" w:eastAsia="zh-CN"/>
        </w:rPr>
        <w:t>2.12万吨。规划近期产生总量</w:t>
      </w:r>
      <w:r>
        <w:rPr>
          <w:rFonts w:hint="eastAsia" w:ascii="仿宋" w:hAnsi="仿宋" w:eastAsia="仿宋" w:cs="仿宋"/>
          <w:color w:val="auto"/>
          <w:spacing w:val="-2"/>
          <w:sz w:val="32"/>
          <w:szCs w:val="32"/>
          <w:lang w:val="en-US" w:eastAsia="zh-CN"/>
        </w:rPr>
        <w:t>约</w:t>
      </w:r>
      <w:r>
        <w:rPr>
          <w:rFonts w:hint="default" w:ascii="仿宋" w:hAnsi="仿宋" w:eastAsia="仿宋" w:cs="仿宋"/>
          <w:color w:val="auto"/>
          <w:spacing w:val="-2"/>
          <w:sz w:val="32"/>
          <w:szCs w:val="32"/>
          <w:lang w:val="en-US" w:eastAsia="zh-CN"/>
        </w:rPr>
        <w:t>1.56万吨，规划远期产生总量</w:t>
      </w:r>
      <w:r>
        <w:rPr>
          <w:rFonts w:hint="eastAsia" w:ascii="仿宋" w:hAnsi="仿宋" w:eastAsia="仿宋" w:cs="仿宋"/>
          <w:color w:val="auto"/>
          <w:spacing w:val="-2"/>
          <w:sz w:val="32"/>
          <w:szCs w:val="32"/>
          <w:lang w:val="en-US" w:eastAsia="zh-CN"/>
        </w:rPr>
        <w:t>约</w:t>
      </w:r>
      <w:r>
        <w:rPr>
          <w:rFonts w:hint="default" w:ascii="仿宋" w:hAnsi="仿宋" w:eastAsia="仿宋" w:cs="仿宋"/>
          <w:color w:val="auto"/>
          <w:spacing w:val="-2"/>
          <w:sz w:val="32"/>
          <w:szCs w:val="32"/>
          <w:lang w:val="en-US" w:eastAsia="zh-CN"/>
        </w:rPr>
        <w:t>0.56万吨。</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（4）拆除垃圾。考虑城市建设用地不断扩张、城市国土空间格局不断优化，根据历史经验、调研结果、近期年均房屋拆迁面积等因素，预测金口河中心城区2035年拆除总建筑面积</w:t>
      </w:r>
      <w:r>
        <w:rPr>
          <w:rFonts w:hint="eastAsia" w:ascii="仿宋" w:hAnsi="仿宋" w:eastAsia="仿宋" w:cs="仿宋"/>
          <w:color w:val="auto"/>
          <w:spacing w:val="-2"/>
          <w:sz w:val="32"/>
          <w:szCs w:val="32"/>
          <w:lang w:val="en-US" w:eastAsia="zh-CN"/>
        </w:rPr>
        <w:t>约</w:t>
      </w:r>
      <w:r>
        <w:rPr>
          <w:rFonts w:hint="default" w:ascii="仿宋" w:hAnsi="仿宋" w:eastAsia="仿宋" w:cs="仿宋"/>
          <w:color w:val="auto"/>
          <w:spacing w:val="-2"/>
          <w:sz w:val="32"/>
          <w:szCs w:val="32"/>
          <w:lang w:val="en-US" w:eastAsia="zh-CN"/>
        </w:rPr>
        <w:t>0.4平方千米。</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根据理论模型预测，结合章节4.1.1公式计算得出，金口河中心城区规划期内拆除垃圾产生总量</w:t>
      </w:r>
      <w:r>
        <w:rPr>
          <w:rFonts w:hint="eastAsia" w:ascii="仿宋" w:hAnsi="仿宋" w:eastAsia="仿宋" w:cs="仿宋"/>
          <w:color w:val="auto"/>
          <w:spacing w:val="-2"/>
          <w:sz w:val="32"/>
          <w:szCs w:val="32"/>
          <w:lang w:val="en-US" w:eastAsia="zh-CN"/>
        </w:rPr>
        <w:t>约</w:t>
      </w:r>
      <w:r>
        <w:rPr>
          <w:rFonts w:hint="default" w:ascii="仿宋" w:hAnsi="仿宋" w:eastAsia="仿宋" w:cs="仿宋"/>
          <w:color w:val="auto"/>
          <w:spacing w:val="-2"/>
          <w:sz w:val="32"/>
          <w:szCs w:val="32"/>
          <w:lang w:val="en-US" w:eastAsia="zh-CN"/>
        </w:rPr>
        <w:t>0.48万吨。规划近期产生总量</w:t>
      </w:r>
      <w:r>
        <w:rPr>
          <w:rFonts w:hint="eastAsia" w:ascii="仿宋" w:hAnsi="仿宋" w:eastAsia="仿宋" w:cs="仿宋"/>
          <w:color w:val="auto"/>
          <w:spacing w:val="-2"/>
          <w:sz w:val="32"/>
          <w:szCs w:val="32"/>
          <w:lang w:val="en-US" w:eastAsia="zh-CN"/>
        </w:rPr>
        <w:t>约</w:t>
      </w:r>
      <w:r>
        <w:rPr>
          <w:rFonts w:hint="default" w:ascii="仿宋" w:hAnsi="仿宋" w:eastAsia="仿宋" w:cs="仿宋"/>
          <w:color w:val="auto"/>
          <w:spacing w:val="-2"/>
          <w:sz w:val="32"/>
          <w:szCs w:val="32"/>
          <w:lang w:val="en-US" w:eastAsia="zh-CN"/>
        </w:rPr>
        <w:t>0.288万吨，规划远期产生总量</w:t>
      </w:r>
      <w:r>
        <w:rPr>
          <w:rFonts w:hint="eastAsia" w:ascii="仿宋" w:hAnsi="仿宋" w:eastAsia="仿宋" w:cs="仿宋"/>
          <w:color w:val="auto"/>
          <w:spacing w:val="-2"/>
          <w:sz w:val="32"/>
          <w:szCs w:val="32"/>
          <w:lang w:val="en-US" w:eastAsia="zh-CN"/>
        </w:rPr>
        <w:t>约</w:t>
      </w:r>
      <w:r>
        <w:rPr>
          <w:rFonts w:hint="default" w:ascii="仿宋" w:hAnsi="仿宋" w:eastAsia="仿宋" w:cs="仿宋"/>
          <w:color w:val="auto"/>
          <w:spacing w:val="-2"/>
          <w:sz w:val="32"/>
          <w:szCs w:val="32"/>
          <w:lang w:val="en-US" w:eastAsia="zh-CN"/>
        </w:rPr>
        <w:t>0.192万吨。</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62" w:name="_Toc18569"/>
      <w:r>
        <w:rPr>
          <w:rFonts w:hint="default" w:ascii="仿宋" w:hAnsi="仿宋" w:eastAsia="仿宋" w:cs="仿宋"/>
          <w:b w:val="0"/>
          <w:bCs w:val="0"/>
          <w:color w:val="auto"/>
          <w:spacing w:val="-2"/>
          <w:sz w:val="32"/>
          <w:szCs w:val="32"/>
          <w:lang w:val="en-US" w:eastAsia="zh-CN" w:bidi="ar-SA"/>
        </w:rPr>
        <w:t>4.1.3</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预测结果汇总</w:t>
      </w:r>
      <w:bookmarkEnd w:id="62"/>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同时结合其他城市工程经验，1立方米工程渣土、工程垃圾及拆除垃圾重量均约为1.6吨，1立方米装修垃圾重量约为0.9吨。</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综合上述预测结果，2030年金口河中心城区建筑垃圾产生量</w:t>
      </w:r>
      <w:r>
        <w:rPr>
          <w:rFonts w:hint="eastAsia" w:ascii="仿宋" w:hAnsi="仿宋" w:eastAsia="仿宋" w:cs="仿宋"/>
          <w:color w:val="auto"/>
          <w:spacing w:val="-2"/>
          <w:sz w:val="32"/>
          <w:szCs w:val="32"/>
          <w:lang w:val="en-US" w:eastAsia="zh-CN"/>
        </w:rPr>
        <w:t>约</w:t>
      </w:r>
      <w:r>
        <w:rPr>
          <w:rFonts w:hint="default" w:ascii="仿宋" w:hAnsi="仿宋" w:eastAsia="仿宋" w:cs="仿宋"/>
          <w:color w:val="auto"/>
          <w:spacing w:val="-2"/>
          <w:sz w:val="32"/>
          <w:szCs w:val="32"/>
          <w:lang w:val="en-US" w:eastAsia="zh-CN"/>
        </w:rPr>
        <w:t>1.848万吨（1.91万立方米），其中工程渣土、工程垃圾产生量为0，拆除垃圾产生量</w:t>
      </w:r>
      <w:r>
        <w:rPr>
          <w:rFonts w:hint="eastAsia" w:ascii="仿宋" w:hAnsi="仿宋" w:eastAsia="仿宋" w:cs="仿宋"/>
          <w:color w:val="auto"/>
          <w:spacing w:val="-2"/>
          <w:sz w:val="32"/>
          <w:szCs w:val="32"/>
          <w:lang w:val="en-US" w:eastAsia="zh-CN"/>
        </w:rPr>
        <w:t>约</w:t>
      </w:r>
      <w:r>
        <w:rPr>
          <w:rFonts w:hint="default" w:ascii="仿宋" w:hAnsi="仿宋" w:eastAsia="仿宋" w:cs="仿宋"/>
          <w:color w:val="auto"/>
          <w:spacing w:val="-2"/>
          <w:sz w:val="32"/>
          <w:szCs w:val="32"/>
          <w:lang w:val="en-US" w:eastAsia="zh-CN"/>
        </w:rPr>
        <w:t>0.288万吨（0.18万立方米），装修垃圾产生量</w:t>
      </w:r>
      <w:r>
        <w:rPr>
          <w:rFonts w:hint="eastAsia" w:ascii="仿宋" w:hAnsi="仿宋" w:eastAsia="仿宋" w:cs="仿宋"/>
          <w:color w:val="auto"/>
          <w:spacing w:val="-2"/>
          <w:sz w:val="32"/>
          <w:szCs w:val="32"/>
          <w:lang w:val="en-US" w:eastAsia="zh-CN"/>
        </w:rPr>
        <w:t>约</w:t>
      </w:r>
      <w:r>
        <w:rPr>
          <w:rFonts w:hint="default" w:ascii="仿宋" w:hAnsi="仿宋" w:eastAsia="仿宋" w:cs="仿宋"/>
          <w:color w:val="auto"/>
          <w:spacing w:val="-2"/>
          <w:sz w:val="32"/>
          <w:szCs w:val="32"/>
          <w:lang w:val="en-US" w:eastAsia="zh-CN"/>
        </w:rPr>
        <w:t>1.56万吨（1.73万立方米）</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2035年金口河中心城区建筑垃圾产生量</w:t>
      </w:r>
      <w:r>
        <w:rPr>
          <w:rFonts w:hint="eastAsia" w:ascii="仿宋" w:hAnsi="仿宋" w:eastAsia="仿宋" w:cs="仿宋"/>
          <w:color w:val="auto"/>
          <w:spacing w:val="-2"/>
          <w:sz w:val="32"/>
          <w:szCs w:val="32"/>
          <w:lang w:val="en-US" w:eastAsia="zh-CN"/>
        </w:rPr>
        <w:t>约</w:t>
      </w:r>
      <w:r>
        <w:rPr>
          <w:rFonts w:hint="default" w:ascii="仿宋" w:hAnsi="仿宋" w:eastAsia="仿宋" w:cs="仿宋"/>
          <w:color w:val="auto"/>
          <w:spacing w:val="-2"/>
          <w:sz w:val="32"/>
          <w:szCs w:val="32"/>
          <w:lang w:val="en-US" w:eastAsia="zh-CN"/>
        </w:rPr>
        <w:t>4.822万吨（3.28万立方米），其中工程渣土产生量</w:t>
      </w:r>
      <w:r>
        <w:rPr>
          <w:rFonts w:hint="eastAsia" w:ascii="仿宋" w:hAnsi="仿宋" w:eastAsia="仿宋" w:cs="仿宋"/>
          <w:color w:val="auto"/>
          <w:spacing w:val="-2"/>
          <w:sz w:val="32"/>
          <w:szCs w:val="32"/>
          <w:lang w:val="en-US" w:eastAsia="zh-CN"/>
        </w:rPr>
        <w:t>约</w:t>
      </w:r>
      <w:r>
        <w:rPr>
          <w:rFonts w:hint="default" w:ascii="仿宋" w:hAnsi="仿宋" w:eastAsia="仿宋" w:cs="仿宋"/>
          <w:color w:val="auto"/>
          <w:spacing w:val="-2"/>
          <w:sz w:val="32"/>
          <w:szCs w:val="32"/>
          <w:lang w:val="en-US" w:eastAsia="zh-CN"/>
        </w:rPr>
        <w:t>0.54万吨（0.33万立方米），工程垃圾产生量</w:t>
      </w:r>
      <w:r>
        <w:rPr>
          <w:rFonts w:hint="eastAsia" w:ascii="仿宋" w:hAnsi="仿宋" w:eastAsia="仿宋" w:cs="仿宋"/>
          <w:color w:val="auto"/>
          <w:spacing w:val="-2"/>
          <w:sz w:val="32"/>
          <w:szCs w:val="32"/>
          <w:lang w:val="en-US" w:eastAsia="zh-CN"/>
        </w:rPr>
        <w:t>约</w:t>
      </w:r>
      <w:r>
        <w:rPr>
          <w:rFonts w:hint="default" w:ascii="仿宋" w:hAnsi="仿宋" w:eastAsia="仿宋" w:cs="仿宋"/>
          <w:color w:val="auto"/>
          <w:spacing w:val="-2"/>
          <w:sz w:val="32"/>
          <w:szCs w:val="32"/>
          <w:lang w:val="en-US" w:eastAsia="zh-CN"/>
        </w:rPr>
        <w:t>3.53万吨（2.21万立方米），拆除垃圾产生量</w:t>
      </w:r>
      <w:r>
        <w:rPr>
          <w:rFonts w:hint="eastAsia" w:ascii="仿宋" w:hAnsi="仿宋" w:eastAsia="仿宋" w:cs="仿宋"/>
          <w:color w:val="auto"/>
          <w:spacing w:val="-2"/>
          <w:sz w:val="32"/>
          <w:szCs w:val="32"/>
          <w:lang w:val="en-US" w:eastAsia="zh-CN"/>
        </w:rPr>
        <w:t>约</w:t>
      </w:r>
      <w:r>
        <w:rPr>
          <w:rFonts w:hint="default" w:ascii="仿宋" w:hAnsi="仿宋" w:eastAsia="仿宋" w:cs="仿宋"/>
          <w:color w:val="auto"/>
          <w:spacing w:val="-2"/>
          <w:sz w:val="32"/>
          <w:szCs w:val="32"/>
          <w:lang w:val="en-US" w:eastAsia="zh-CN"/>
        </w:rPr>
        <w:t>0.192万吨（0.12万立方米），装修垃圾产生量</w:t>
      </w:r>
      <w:r>
        <w:rPr>
          <w:rFonts w:hint="eastAsia" w:ascii="仿宋" w:hAnsi="仿宋" w:eastAsia="仿宋" w:cs="仿宋"/>
          <w:color w:val="auto"/>
          <w:spacing w:val="-2"/>
          <w:sz w:val="32"/>
          <w:szCs w:val="32"/>
          <w:lang w:val="en-US" w:eastAsia="zh-CN"/>
        </w:rPr>
        <w:t>约</w:t>
      </w:r>
      <w:r>
        <w:rPr>
          <w:rFonts w:hint="default" w:ascii="仿宋" w:hAnsi="仿宋" w:eastAsia="仿宋" w:cs="仿宋"/>
          <w:color w:val="auto"/>
          <w:spacing w:val="-2"/>
          <w:sz w:val="32"/>
          <w:szCs w:val="32"/>
          <w:lang w:val="en-US" w:eastAsia="zh-CN"/>
        </w:rPr>
        <w:t>0.56万吨（0.62万立方米）</w:t>
      </w:r>
    </w:p>
    <w:p>
      <w:pPr>
        <w:keepNext w:val="0"/>
        <w:keepLines w:val="0"/>
        <w:pageBreakBefore w:val="0"/>
        <w:widowControl w:val="0"/>
        <w:kinsoku/>
        <w:wordWrap/>
        <w:overflowPunct/>
        <w:topLinePunct w:val="0"/>
        <w:autoSpaceDE/>
        <w:autoSpaceDN/>
        <w:bidi w:val="0"/>
        <w:adjustRightInd/>
        <w:snapToGrid/>
        <w:spacing w:line="600" w:lineRule="exact"/>
        <w:ind w:left="0" w:firstLine="632" w:firstLineChars="200"/>
        <w:jc w:val="both"/>
        <w:textAlignment w:val="auto"/>
        <w:rPr>
          <w:rFonts w:hint="default" w:ascii="Times New Roman" w:hAnsi="Times New Roman" w:eastAsia="仿宋" w:cs="Times New Roman"/>
          <w:sz w:val="32"/>
          <w:szCs w:val="32"/>
          <w:highlight w:val="none"/>
          <w:lang w:val="en-US" w:eastAsia="zh-CN"/>
        </w:rPr>
      </w:pPr>
      <w:r>
        <w:rPr>
          <w:rFonts w:hint="default" w:ascii="Times New Roman" w:hAnsi="Times New Roman" w:eastAsia="仿宋" w:cs="Times New Roman"/>
          <w:color w:val="auto"/>
          <w:spacing w:val="-2"/>
          <w:sz w:val="32"/>
          <w:szCs w:val="32"/>
          <w:highlight w:val="none"/>
          <w:lang w:val="en-US" w:eastAsia="zh-CN"/>
        </w:rPr>
        <w:t>具体结果如下表所示：</w:t>
      </w:r>
    </w:p>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auto"/>
        <w:rPr>
          <w:rFonts w:hint="default" w:ascii="Times New Roman" w:hAnsi="Times New Roman" w:eastAsia="仿宋" w:cs="Times New Roman"/>
          <w:b/>
          <w:bCs/>
          <w:color w:val="auto"/>
          <w:spacing w:val="-2"/>
          <w:sz w:val="30"/>
          <w:szCs w:val="30"/>
          <w:lang w:val="en-US" w:eastAsia="zh-CN"/>
        </w:rPr>
      </w:pPr>
      <w:r>
        <w:rPr>
          <w:rFonts w:hint="default" w:ascii="Times New Roman" w:hAnsi="Times New Roman" w:eastAsia="仿宋" w:cs="Times New Roman"/>
          <w:b/>
          <w:bCs/>
          <w:color w:val="auto"/>
          <w:spacing w:val="-2"/>
          <w:sz w:val="30"/>
          <w:szCs w:val="30"/>
          <w:lang w:val="en-US" w:eastAsia="zh-CN"/>
        </w:rPr>
        <w:t>表4-1金口河区中心城区建筑垃圾产生量测算（2025—2035）</w:t>
      </w:r>
    </w:p>
    <w:tbl>
      <w:tblPr>
        <w:tblStyle w:val="235"/>
        <w:tblW w:w="812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41"/>
        <w:gridCol w:w="1676"/>
        <w:gridCol w:w="1529"/>
        <w:gridCol w:w="1464"/>
        <w:gridCol w:w="15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4" w:hRule="atLeast"/>
          <w:jc w:val="center"/>
        </w:trPr>
        <w:tc>
          <w:tcPr>
            <w:tcW w:w="1941"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类别</w:t>
            </w:r>
          </w:p>
        </w:tc>
        <w:tc>
          <w:tcPr>
            <w:tcW w:w="1676"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近期产量（2030）</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（万吨/年）</w:t>
            </w:r>
          </w:p>
        </w:tc>
        <w:tc>
          <w:tcPr>
            <w:tcW w:w="1529"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近期产量（2030）</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（万m</w:t>
            </w:r>
            <w:r>
              <w:rPr>
                <w:rFonts w:hint="default" w:ascii="Times New Roman" w:hAnsi="Times New Roman" w:eastAsia="仿宋" w:cs="Times New Roman"/>
                <w:i w:val="0"/>
                <w:iCs w:val="0"/>
                <w:color w:val="auto"/>
                <w:kern w:val="0"/>
                <w:sz w:val="28"/>
                <w:szCs w:val="28"/>
                <w:u w:val="none"/>
                <w:vertAlign w:val="superscript"/>
                <w:lang w:val="en-US" w:eastAsia="zh-CN" w:bidi="ar"/>
              </w:rPr>
              <w:t>3</w:t>
            </w:r>
            <w:r>
              <w:rPr>
                <w:rFonts w:hint="default" w:ascii="Times New Roman" w:hAnsi="Times New Roman" w:eastAsia="仿宋" w:cs="Times New Roman"/>
                <w:i w:val="0"/>
                <w:iCs w:val="0"/>
                <w:color w:val="auto"/>
                <w:kern w:val="0"/>
                <w:sz w:val="28"/>
                <w:szCs w:val="28"/>
                <w:u w:val="none"/>
                <w:lang w:val="en-US" w:eastAsia="zh-CN" w:bidi="ar"/>
              </w:rPr>
              <w:t>/年）</w:t>
            </w:r>
          </w:p>
        </w:tc>
        <w:tc>
          <w:tcPr>
            <w:tcW w:w="146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远期产量（2035）</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（万吨/年）</w:t>
            </w:r>
          </w:p>
        </w:tc>
        <w:tc>
          <w:tcPr>
            <w:tcW w:w="1511"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远期产量</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（2035）</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（万m</w:t>
            </w:r>
            <w:r>
              <w:rPr>
                <w:rFonts w:hint="default" w:ascii="Times New Roman" w:hAnsi="Times New Roman" w:eastAsia="仿宋" w:cs="Times New Roman"/>
                <w:i w:val="0"/>
                <w:iCs w:val="0"/>
                <w:color w:val="auto"/>
                <w:kern w:val="0"/>
                <w:sz w:val="28"/>
                <w:szCs w:val="28"/>
                <w:u w:val="none"/>
                <w:vertAlign w:val="superscript"/>
                <w:lang w:val="en-US" w:eastAsia="zh-CN" w:bidi="ar"/>
              </w:rPr>
              <w:t>3</w:t>
            </w:r>
            <w:r>
              <w:rPr>
                <w:rFonts w:hint="default" w:ascii="Times New Roman" w:hAnsi="Times New Roman" w:eastAsia="仿宋" w:cs="Times New Roman"/>
                <w:i w:val="0"/>
                <w:iCs w:val="0"/>
                <w:color w:val="auto"/>
                <w:kern w:val="0"/>
                <w:sz w:val="28"/>
                <w:szCs w:val="28"/>
                <w:u w:val="none"/>
                <w:lang w:val="en-US" w:eastAsia="zh-CN" w:bidi="ar"/>
              </w:rPr>
              <w:t>/年）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jc w:val="center"/>
        </w:trPr>
        <w:tc>
          <w:tcPr>
            <w:tcW w:w="1941"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工程渣土</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（含工程泥浆）</w:t>
            </w:r>
          </w:p>
        </w:tc>
        <w:tc>
          <w:tcPr>
            <w:tcW w:w="1676"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0</w:t>
            </w:r>
          </w:p>
        </w:tc>
        <w:tc>
          <w:tcPr>
            <w:tcW w:w="1529"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0</w:t>
            </w:r>
          </w:p>
        </w:tc>
        <w:tc>
          <w:tcPr>
            <w:tcW w:w="146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0.54</w:t>
            </w:r>
          </w:p>
        </w:tc>
        <w:tc>
          <w:tcPr>
            <w:tcW w:w="1511"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0.33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jc w:val="center"/>
        </w:trPr>
        <w:tc>
          <w:tcPr>
            <w:tcW w:w="1941"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工程垃圾</w:t>
            </w:r>
          </w:p>
        </w:tc>
        <w:tc>
          <w:tcPr>
            <w:tcW w:w="1676"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0</w:t>
            </w:r>
          </w:p>
        </w:tc>
        <w:tc>
          <w:tcPr>
            <w:tcW w:w="1529"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0</w:t>
            </w:r>
          </w:p>
        </w:tc>
        <w:tc>
          <w:tcPr>
            <w:tcW w:w="146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3.53</w:t>
            </w:r>
          </w:p>
        </w:tc>
        <w:tc>
          <w:tcPr>
            <w:tcW w:w="1511"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2.21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jc w:val="center"/>
        </w:trPr>
        <w:tc>
          <w:tcPr>
            <w:tcW w:w="1941"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装修垃圾</w:t>
            </w:r>
          </w:p>
        </w:tc>
        <w:tc>
          <w:tcPr>
            <w:tcW w:w="1676"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1.56</w:t>
            </w:r>
          </w:p>
        </w:tc>
        <w:tc>
          <w:tcPr>
            <w:tcW w:w="1529"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1.73</w:t>
            </w:r>
          </w:p>
        </w:tc>
        <w:tc>
          <w:tcPr>
            <w:tcW w:w="146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0.56</w:t>
            </w:r>
          </w:p>
        </w:tc>
        <w:tc>
          <w:tcPr>
            <w:tcW w:w="1511"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0.62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jc w:val="center"/>
        </w:trPr>
        <w:tc>
          <w:tcPr>
            <w:tcW w:w="1941"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拆除垃圾</w:t>
            </w:r>
          </w:p>
        </w:tc>
        <w:tc>
          <w:tcPr>
            <w:tcW w:w="1676"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0.288</w:t>
            </w:r>
          </w:p>
        </w:tc>
        <w:tc>
          <w:tcPr>
            <w:tcW w:w="1529"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0.18</w:t>
            </w:r>
          </w:p>
        </w:tc>
        <w:tc>
          <w:tcPr>
            <w:tcW w:w="146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0.192</w:t>
            </w:r>
          </w:p>
        </w:tc>
        <w:tc>
          <w:tcPr>
            <w:tcW w:w="1511"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0.12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1941"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合计</w:t>
            </w:r>
          </w:p>
        </w:tc>
        <w:tc>
          <w:tcPr>
            <w:tcW w:w="1676"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1.848</w:t>
            </w:r>
          </w:p>
        </w:tc>
        <w:tc>
          <w:tcPr>
            <w:tcW w:w="1529"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1.91</w:t>
            </w:r>
          </w:p>
        </w:tc>
        <w:tc>
          <w:tcPr>
            <w:tcW w:w="146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4.822</w:t>
            </w:r>
          </w:p>
        </w:tc>
        <w:tc>
          <w:tcPr>
            <w:tcW w:w="1511"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3.28</w:t>
            </w:r>
          </w:p>
        </w:tc>
      </w:tr>
    </w:tbl>
    <w:p>
      <w:pPr>
        <w:pStyle w:val="4"/>
        <w:pageBreakBefore w:val="0"/>
        <w:widowControl w:val="0"/>
        <w:numPr>
          <w:ilvl w:val="1"/>
          <w:numId w:val="0"/>
        </w:numPr>
        <w:kinsoku/>
        <w:wordWrap/>
        <w:overflowPunct/>
        <w:topLinePunct w:val="0"/>
        <w:autoSpaceDE/>
        <w:autoSpaceDN/>
        <w:bidi w:val="0"/>
        <w:adjustRightInd/>
        <w:snapToGrid/>
        <w:spacing w:line="600" w:lineRule="exact"/>
        <w:ind w:left="575" w:leftChars="0" w:hanging="575" w:firstLineChars="0"/>
        <w:textAlignment w:val="auto"/>
        <w:rPr>
          <w:rFonts w:hint="default" w:ascii="楷体" w:hAnsi="楷体" w:eastAsia="楷体" w:cs="楷体"/>
          <w:b w:val="0"/>
          <w:bCs w:val="0"/>
          <w:color w:val="auto"/>
          <w:sz w:val="32"/>
          <w:szCs w:val="32"/>
          <w:lang w:val="en-US" w:eastAsia="zh-CN" w:bidi="ar-SA"/>
        </w:rPr>
      </w:pPr>
      <w:bookmarkStart w:id="63" w:name="_Toc1173"/>
      <w:r>
        <w:rPr>
          <w:rFonts w:hint="default" w:ascii="楷体" w:hAnsi="楷体" w:eastAsia="楷体" w:cs="楷体"/>
          <w:b w:val="0"/>
          <w:bCs w:val="0"/>
          <w:color w:val="auto"/>
          <w:sz w:val="32"/>
          <w:szCs w:val="32"/>
          <w:lang w:val="en-US" w:eastAsia="zh-CN" w:bidi="ar-SA"/>
        </w:rPr>
        <w:t>4.2</w:t>
      </w:r>
      <w:r>
        <w:rPr>
          <w:rFonts w:hint="eastAsia" w:ascii="楷体" w:hAnsi="楷体" w:eastAsia="楷体" w:cs="楷体"/>
          <w:b w:val="0"/>
          <w:bCs w:val="0"/>
          <w:color w:val="auto"/>
          <w:sz w:val="32"/>
          <w:szCs w:val="32"/>
          <w:lang w:val="en-US" w:eastAsia="zh-CN" w:bidi="ar-SA"/>
        </w:rPr>
        <w:t xml:space="preserve"> </w:t>
      </w:r>
      <w:r>
        <w:rPr>
          <w:rFonts w:hint="default" w:ascii="楷体" w:hAnsi="楷体" w:eastAsia="楷体" w:cs="楷体"/>
          <w:b w:val="0"/>
          <w:bCs w:val="0"/>
          <w:color w:val="auto"/>
          <w:sz w:val="32"/>
          <w:szCs w:val="32"/>
          <w:lang w:val="en-US" w:eastAsia="zh-CN" w:bidi="ar-SA"/>
        </w:rPr>
        <w:t>综合处置模式</w:t>
      </w:r>
      <w:bookmarkEnd w:id="63"/>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不同类型的建筑垃圾其组成、产生源和资源属性均不同，这决定其处置利用方式和优先次序不同。参考《建筑垃圾处理技术标准》（CJJT134-2019）对建筑垃圾的处理及利用优先次序如下：</w:t>
      </w:r>
    </w:p>
    <w:p>
      <w:pPr>
        <w:keepNext w:val="0"/>
        <w:keepLines w:val="0"/>
        <w:pageBreakBefore w:val="0"/>
        <w:widowControl/>
        <w:suppressLineNumbers w:val="0"/>
        <w:kinsoku/>
        <w:wordWrap/>
        <w:overflowPunct/>
        <w:topLinePunct w:val="0"/>
        <w:autoSpaceDE/>
        <w:autoSpaceDN/>
        <w:bidi w:val="0"/>
        <w:adjustRightInd w:val="0"/>
        <w:snapToGrid w:val="0"/>
        <w:spacing w:before="166" w:beforeLines="50"/>
        <w:jc w:val="center"/>
        <w:textAlignment w:val="auto"/>
        <w:rPr>
          <w:rFonts w:hint="eastAsia" w:ascii="Times New Roman" w:hAnsi="Times New Roman" w:eastAsia="仿宋" w:cs="Times New Roman"/>
          <w:b/>
          <w:bCs/>
          <w:color w:val="auto"/>
          <w:spacing w:val="-2"/>
          <w:sz w:val="30"/>
          <w:szCs w:val="30"/>
          <w:lang w:val="en-US" w:eastAsia="zh-CN"/>
        </w:rPr>
      </w:pPr>
      <w:r>
        <w:rPr>
          <w:rFonts w:hint="eastAsia" w:ascii="Times New Roman" w:hAnsi="Times New Roman" w:eastAsia="仿宋" w:cs="Times New Roman"/>
          <w:b/>
          <w:bCs/>
          <w:color w:val="auto"/>
          <w:spacing w:val="-2"/>
          <w:sz w:val="30"/>
          <w:szCs w:val="30"/>
          <w:lang w:val="en-US" w:eastAsia="zh-CN"/>
        </w:rPr>
        <w:t>表4-2建筑垃圾处理及利用优先次序</w:t>
      </w:r>
    </w:p>
    <w:tbl>
      <w:tblPr>
        <w:tblStyle w:val="41"/>
        <w:tblW w:w="826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70"/>
        <w:gridCol w:w="1773"/>
        <w:gridCol w:w="53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8" w:hRule="atLeast"/>
          <w:jc w:val="center"/>
        </w:trPr>
        <w:tc>
          <w:tcPr>
            <w:tcW w:w="29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b/>
                <w:bCs/>
                <w:i w:val="0"/>
                <w:iCs w:val="0"/>
                <w:color w:val="auto"/>
                <w:kern w:val="0"/>
                <w:sz w:val="28"/>
                <w:szCs w:val="28"/>
                <w:u w:val="none"/>
                <w:lang w:val="en-US" w:eastAsia="zh-CN" w:bidi="ar"/>
              </w:rPr>
            </w:pPr>
            <w:r>
              <w:rPr>
                <w:rFonts w:hint="eastAsia" w:ascii="仿宋" w:hAnsi="仿宋" w:eastAsia="仿宋" w:cs="仿宋"/>
                <w:b/>
                <w:bCs/>
                <w:i w:val="0"/>
                <w:iCs w:val="0"/>
                <w:color w:val="auto"/>
                <w:kern w:val="0"/>
                <w:sz w:val="28"/>
                <w:szCs w:val="28"/>
                <w:u w:val="none"/>
                <w:lang w:val="en-US" w:eastAsia="zh-CN" w:bidi="ar"/>
              </w:rPr>
              <w:t>类型</w:t>
            </w:r>
          </w:p>
        </w:tc>
        <w:tc>
          <w:tcPr>
            <w:tcW w:w="5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b/>
                <w:bCs/>
                <w:i w:val="0"/>
                <w:iCs w:val="0"/>
                <w:color w:val="auto"/>
                <w:kern w:val="0"/>
                <w:sz w:val="28"/>
                <w:szCs w:val="28"/>
                <w:u w:val="none"/>
                <w:lang w:val="en-US" w:eastAsia="zh-CN" w:bidi="ar"/>
              </w:rPr>
            </w:pPr>
            <w:r>
              <w:rPr>
                <w:rFonts w:hint="eastAsia" w:ascii="仿宋" w:hAnsi="仿宋" w:eastAsia="仿宋" w:cs="仿宋"/>
                <w:b/>
                <w:bCs/>
                <w:i w:val="0"/>
                <w:iCs w:val="0"/>
                <w:color w:val="auto"/>
                <w:kern w:val="0"/>
                <w:sz w:val="28"/>
                <w:szCs w:val="28"/>
                <w:u w:val="none"/>
                <w:lang w:val="en-US" w:eastAsia="zh-CN" w:bidi="ar"/>
              </w:rPr>
              <w:t>处理及利用优先次序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1" w:hRule="atLeast"/>
          <w:jc w:val="center"/>
        </w:trPr>
        <w:tc>
          <w:tcPr>
            <w:tcW w:w="11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8"/>
                <w:szCs w:val="28"/>
                <w:u w:val="none"/>
                <w:lang w:val="en-US" w:eastAsia="zh-CN" w:bidi="ar"/>
              </w:rPr>
            </w:pPr>
            <w:r>
              <w:rPr>
                <w:rFonts w:hint="eastAsia" w:ascii="仿宋" w:hAnsi="仿宋" w:eastAsia="仿宋" w:cs="仿宋"/>
                <w:i w:val="0"/>
                <w:iCs w:val="0"/>
                <w:color w:val="auto"/>
                <w:kern w:val="0"/>
                <w:sz w:val="28"/>
                <w:szCs w:val="28"/>
                <w:u w:val="none"/>
                <w:lang w:val="en-US" w:eastAsia="zh-CN" w:bidi="ar"/>
              </w:rPr>
              <w:t>建筑</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8"/>
                <w:szCs w:val="28"/>
                <w:u w:val="none"/>
                <w:lang w:val="en-US" w:eastAsia="zh-CN" w:bidi="ar"/>
              </w:rPr>
            </w:pPr>
            <w:r>
              <w:rPr>
                <w:rFonts w:hint="eastAsia" w:ascii="仿宋" w:hAnsi="仿宋" w:eastAsia="仿宋" w:cs="仿宋"/>
                <w:i w:val="0"/>
                <w:iCs w:val="0"/>
                <w:color w:val="auto"/>
                <w:kern w:val="0"/>
                <w:sz w:val="28"/>
                <w:szCs w:val="28"/>
                <w:u w:val="none"/>
                <w:lang w:val="en-US" w:eastAsia="zh-CN" w:bidi="ar"/>
              </w:rPr>
              <w:t>垃圾</w:t>
            </w:r>
          </w:p>
        </w:tc>
        <w:tc>
          <w:tcPr>
            <w:tcW w:w="1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8"/>
                <w:szCs w:val="28"/>
                <w:u w:val="none"/>
                <w:lang w:val="en-US" w:eastAsia="zh-CN" w:bidi="ar"/>
              </w:rPr>
            </w:pPr>
            <w:r>
              <w:rPr>
                <w:rFonts w:hint="eastAsia" w:ascii="仿宋" w:hAnsi="仿宋" w:eastAsia="仿宋" w:cs="仿宋"/>
                <w:i w:val="0"/>
                <w:iCs w:val="0"/>
                <w:color w:val="auto"/>
                <w:kern w:val="0"/>
                <w:sz w:val="28"/>
                <w:szCs w:val="28"/>
                <w:u w:val="none"/>
                <w:lang w:val="en-US" w:eastAsia="zh-CN" w:bidi="ar"/>
              </w:rPr>
              <w:t>工程渣土</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8"/>
                <w:szCs w:val="28"/>
                <w:u w:val="none"/>
                <w:lang w:val="en-US" w:eastAsia="zh-CN" w:bidi="ar"/>
              </w:rPr>
            </w:pPr>
            <w:r>
              <w:rPr>
                <w:rFonts w:hint="eastAsia" w:ascii="仿宋" w:hAnsi="仿宋" w:eastAsia="仿宋" w:cs="仿宋"/>
                <w:i w:val="0"/>
                <w:iCs w:val="0"/>
                <w:color w:val="auto"/>
                <w:kern w:val="0"/>
                <w:sz w:val="28"/>
                <w:szCs w:val="28"/>
                <w:u w:val="none"/>
                <w:lang w:val="en-US" w:eastAsia="zh-CN" w:bidi="ar"/>
              </w:rPr>
              <w:t>工程泥浆</w:t>
            </w:r>
          </w:p>
        </w:tc>
        <w:tc>
          <w:tcPr>
            <w:tcW w:w="5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8"/>
                <w:szCs w:val="28"/>
                <w:u w:val="none"/>
                <w:lang w:val="en-US" w:eastAsia="zh-CN" w:bidi="ar"/>
              </w:rPr>
            </w:pPr>
            <w:r>
              <w:rPr>
                <w:rFonts w:hint="eastAsia" w:ascii="仿宋" w:hAnsi="仿宋" w:eastAsia="仿宋" w:cs="仿宋"/>
                <w:i w:val="0"/>
                <w:iCs w:val="0"/>
                <w:color w:val="auto"/>
                <w:kern w:val="0"/>
                <w:sz w:val="28"/>
                <w:szCs w:val="28"/>
                <w:u w:val="none"/>
                <w:lang w:val="en-US" w:eastAsia="zh-CN" w:bidi="ar"/>
              </w:rPr>
              <w:t>资源化利用；堆填；</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8"/>
                <w:szCs w:val="28"/>
                <w:u w:val="none"/>
                <w:lang w:val="en-US" w:eastAsia="zh-CN" w:bidi="ar"/>
              </w:rPr>
            </w:pPr>
            <w:r>
              <w:rPr>
                <w:rFonts w:hint="eastAsia" w:ascii="仿宋" w:hAnsi="仿宋" w:eastAsia="仿宋" w:cs="仿宋"/>
                <w:i w:val="0"/>
                <w:iCs w:val="0"/>
                <w:color w:val="auto"/>
                <w:kern w:val="0"/>
                <w:sz w:val="28"/>
                <w:szCs w:val="28"/>
                <w:u w:val="none"/>
                <w:lang w:val="en-US" w:eastAsia="zh-CN" w:bidi="ar"/>
              </w:rPr>
              <w:t>作为生活垃圾填埋场覆盖用土；填埋处置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6" w:hRule="atLeast"/>
          <w:jc w:val="center"/>
        </w:trPr>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8"/>
                <w:szCs w:val="28"/>
                <w:u w:val="none"/>
                <w:lang w:val="en-US" w:eastAsia="zh-CN" w:bidi="ar"/>
              </w:rPr>
            </w:pPr>
          </w:p>
        </w:tc>
        <w:tc>
          <w:tcPr>
            <w:tcW w:w="1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8"/>
                <w:szCs w:val="28"/>
                <w:u w:val="none"/>
                <w:lang w:val="en-US" w:eastAsia="zh-CN" w:bidi="ar"/>
              </w:rPr>
            </w:pPr>
            <w:r>
              <w:rPr>
                <w:rFonts w:hint="eastAsia" w:ascii="仿宋" w:hAnsi="仿宋" w:eastAsia="仿宋" w:cs="仿宋"/>
                <w:i w:val="0"/>
                <w:iCs w:val="0"/>
                <w:color w:val="auto"/>
                <w:kern w:val="0"/>
                <w:sz w:val="28"/>
                <w:szCs w:val="28"/>
                <w:u w:val="none"/>
                <w:lang w:val="en-US" w:eastAsia="zh-CN" w:bidi="ar"/>
              </w:rPr>
              <w:t>工程垃圾</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8"/>
                <w:szCs w:val="28"/>
                <w:u w:val="none"/>
                <w:lang w:val="en-US" w:eastAsia="zh-CN" w:bidi="ar"/>
              </w:rPr>
            </w:pPr>
            <w:r>
              <w:rPr>
                <w:rFonts w:hint="eastAsia" w:ascii="仿宋" w:hAnsi="仿宋" w:eastAsia="仿宋" w:cs="仿宋"/>
                <w:i w:val="0"/>
                <w:iCs w:val="0"/>
                <w:color w:val="auto"/>
                <w:kern w:val="0"/>
                <w:sz w:val="28"/>
                <w:szCs w:val="28"/>
                <w:u w:val="none"/>
                <w:lang w:val="en-US" w:eastAsia="zh-CN" w:bidi="ar"/>
              </w:rPr>
              <w:t>拆除垃圾</w:t>
            </w:r>
          </w:p>
        </w:tc>
        <w:tc>
          <w:tcPr>
            <w:tcW w:w="5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8"/>
                <w:szCs w:val="28"/>
                <w:u w:val="none"/>
                <w:lang w:val="en-US" w:eastAsia="zh-CN" w:bidi="ar"/>
              </w:rPr>
            </w:pPr>
            <w:r>
              <w:rPr>
                <w:rFonts w:hint="eastAsia" w:ascii="仿宋" w:hAnsi="仿宋" w:eastAsia="仿宋" w:cs="仿宋"/>
                <w:i w:val="0"/>
                <w:iCs w:val="0"/>
                <w:color w:val="auto"/>
                <w:kern w:val="0"/>
                <w:sz w:val="28"/>
                <w:szCs w:val="28"/>
                <w:u w:val="none"/>
                <w:lang w:val="en-US" w:eastAsia="zh-CN" w:bidi="ar"/>
              </w:rPr>
              <w:t>资源化利用；堆填；填埋处置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jc w:val="center"/>
        </w:trPr>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8"/>
                <w:szCs w:val="28"/>
                <w:u w:val="none"/>
                <w:lang w:val="en-US" w:eastAsia="zh-CN" w:bidi="ar"/>
              </w:rPr>
            </w:pPr>
          </w:p>
        </w:tc>
        <w:tc>
          <w:tcPr>
            <w:tcW w:w="1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8"/>
                <w:szCs w:val="28"/>
                <w:u w:val="none"/>
                <w:lang w:val="en-US" w:eastAsia="zh-CN" w:bidi="ar"/>
              </w:rPr>
            </w:pPr>
            <w:r>
              <w:rPr>
                <w:rFonts w:hint="eastAsia" w:ascii="仿宋" w:hAnsi="仿宋" w:eastAsia="仿宋" w:cs="仿宋"/>
                <w:i w:val="0"/>
                <w:iCs w:val="0"/>
                <w:color w:val="auto"/>
                <w:kern w:val="0"/>
                <w:sz w:val="28"/>
                <w:szCs w:val="28"/>
                <w:u w:val="none"/>
                <w:lang w:val="en-US" w:eastAsia="zh-CN" w:bidi="ar"/>
              </w:rPr>
              <w:t>装修垃圾</w:t>
            </w:r>
          </w:p>
        </w:tc>
        <w:tc>
          <w:tcPr>
            <w:tcW w:w="5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8"/>
                <w:szCs w:val="28"/>
                <w:u w:val="none"/>
                <w:lang w:val="en-US" w:eastAsia="zh-CN" w:bidi="ar"/>
              </w:rPr>
            </w:pPr>
            <w:r>
              <w:rPr>
                <w:rFonts w:hint="eastAsia" w:ascii="仿宋" w:hAnsi="仿宋" w:eastAsia="仿宋" w:cs="仿宋"/>
                <w:i w:val="0"/>
                <w:iCs w:val="0"/>
                <w:color w:val="auto"/>
                <w:kern w:val="0"/>
                <w:sz w:val="28"/>
                <w:szCs w:val="28"/>
                <w:u w:val="none"/>
                <w:lang w:val="en-US" w:eastAsia="zh-CN" w:bidi="ar"/>
              </w:rPr>
              <w:t>资源化利用；填埋处置</w:t>
            </w:r>
          </w:p>
        </w:tc>
      </w:tr>
    </w:tbl>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64" w:name="_Toc537"/>
      <w:r>
        <w:rPr>
          <w:rFonts w:hint="default" w:ascii="仿宋" w:hAnsi="仿宋" w:eastAsia="仿宋" w:cs="仿宋"/>
          <w:b w:val="0"/>
          <w:bCs w:val="0"/>
          <w:color w:val="auto"/>
          <w:spacing w:val="-2"/>
          <w:sz w:val="32"/>
          <w:szCs w:val="32"/>
          <w:lang w:val="en-US" w:eastAsia="zh-CN" w:bidi="ar-SA"/>
        </w:rPr>
        <w:t>4.2.1</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工程渣土和工程泥浆处置模式</w:t>
      </w:r>
      <w:bookmarkEnd w:id="64"/>
      <w:r>
        <w:rPr>
          <w:rFonts w:hint="default" w:ascii="仿宋" w:hAnsi="仿宋" w:eastAsia="仿宋" w:cs="仿宋"/>
          <w:b w:val="0"/>
          <w:bCs w:val="0"/>
          <w:color w:val="auto"/>
          <w:spacing w:val="-2"/>
          <w:sz w:val="32"/>
          <w:szCs w:val="32"/>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工程渣土和工程泥浆统一进入临时弃土场进行存放处理，通过全市的统筹协调分配，将工程渣土和工程泥浆运送至各综合利用点位进行处理，减少对固定处理场库容的占用，实现工程渣土和工程泥浆的综合利用。</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 w:cs="Times New Roman"/>
          <w:color w:val="auto"/>
          <w:spacing w:val="-2"/>
          <w:sz w:val="32"/>
          <w:szCs w:val="32"/>
          <w:lang w:val="en-US" w:eastAsia="zh-CN"/>
        </w:rPr>
      </w:pPr>
      <w:r>
        <w:rPr>
          <w:rFonts w:hint="default" w:ascii="仿宋" w:hAnsi="仿宋" w:eastAsia="仿宋" w:cs="仿宋"/>
          <w:color w:val="auto"/>
          <w:spacing w:val="-2"/>
          <w:sz w:val="32"/>
          <w:szCs w:val="32"/>
          <w:lang w:val="en-US" w:eastAsia="zh-CN"/>
        </w:rPr>
        <w:t>依托建筑垃圾信息发布平台，加强工程渣土供应工地和需求工地之间的信息流通，推动建设项目间的工程渣土平衡利用。</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65" w:name="_Toc12613"/>
      <w:r>
        <w:rPr>
          <w:rFonts w:hint="default" w:ascii="仿宋" w:hAnsi="仿宋" w:eastAsia="仿宋" w:cs="仿宋"/>
          <w:b w:val="0"/>
          <w:bCs w:val="0"/>
          <w:color w:val="auto"/>
          <w:spacing w:val="-2"/>
          <w:sz w:val="32"/>
          <w:szCs w:val="32"/>
          <w:lang w:val="en-US" w:eastAsia="zh-CN" w:bidi="ar-SA"/>
        </w:rPr>
        <w:t>4.2.2</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工程垃圾、拆除垃圾和装修垃圾处置模式</w:t>
      </w:r>
      <w:bookmarkEnd w:id="65"/>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工程垃圾、拆除垃圾和装修垃圾需由处置单位进行分类后进入建筑垃圾资源化处理厂。进入资源化处理厂首先进行分选，将纸布、塑料、木材、钢筋、金属等轻物质和可回收物质分选出来，分别进入生活垃圾焚烧系统和可回收系统，之后将惰性物质送入资源化处理设备，将可资源化的建筑垃圾（如砼块、砖块、碎石、瓷砖等）进行破碎筛分，获得再生骨料等物质，剩余不可资源化的惰性物质送入固定消纳场进行处理。</w:t>
      </w:r>
    </w:p>
    <w:p>
      <w:pPr>
        <w:pStyle w:val="1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888" w:firstLineChars="300"/>
        <w:jc w:val="both"/>
        <w:textAlignment w:val="auto"/>
        <w:rPr>
          <w:rFonts w:hint="eastAsia" w:ascii="仿宋" w:hAnsi="仿宋" w:eastAsia="仿宋" w:cs="仿宋"/>
          <w:color w:val="auto"/>
          <w:spacing w:val="-2"/>
          <w:sz w:val="30"/>
          <w:szCs w:val="30"/>
          <w:lang w:val="en-US" w:eastAsia="zh-CN"/>
        </w:rPr>
        <w:sectPr>
          <w:pgSz w:w="11905" w:h="16838"/>
          <w:pgMar w:top="2041" w:right="1468" w:bottom="1587" w:left="1468" w:header="850" w:footer="992" w:gutter="0"/>
          <w:pgBorders w:offsetFrom="page">
            <w:top w:val="none" w:sz="0" w:space="0"/>
            <w:left w:val="none" w:sz="0" w:space="0"/>
            <w:bottom w:val="none" w:sz="0" w:space="0"/>
            <w:right w:val="none" w:sz="0" w:space="0"/>
          </w:pgBorders>
          <w:pgNumType w:fmt="decimal"/>
          <w:cols w:space="0" w:num="1"/>
          <w:rtlGutter w:val="0"/>
          <w:docGrid w:type="lines" w:linePitch="330" w:charSpace="0"/>
        </w:sectPr>
      </w:pPr>
    </w:p>
    <w:p>
      <w:pPr>
        <w:pStyle w:val="3"/>
        <w:numPr>
          <w:ilvl w:val="0"/>
          <w:numId w:val="9"/>
        </w:numPr>
        <w:bidi w:val="0"/>
        <w:ind w:leftChars="0"/>
        <w:jc w:val="center"/>
        <w:rPr>
          <w:rFonts w:hint="eastAsia" w:ascii="黑体" w:hAnsi="黑体" w:eastAsia="黑体" w:cs="黑体"/>
          <w:b w:val="0"/>
          <w:bCs w:val="0"/>
          <w:lang w:val="en-US" w:eastAsia="zh-CN"/>
        </w:rPr>
      </w:pPr>
      <w:bookmarkStart w:id="66" w:name="_Toc27313"/>
      <w:bookmarkStart w:id="67" w:name="_Toc13958"/>
      <w:r>
        <w:rPr>
          <w:rFonts w:hint="eastAsia" w:ascii="黑体" w:hAnsi="黑体" w:eastAsia="黑体" w:cs="黑体"/>
          <w:b w:val="0"/>
          <w:bCs w:val="0"/>
          <w:lang w:val="en-US" w:eastAsia="zh-CN"/>
        </w:rPr>
        <w:t>收集运输体系</w:t>
      </w:r>
      <w:bookmarkEnd w:id="66"/>
      <w:bookmarkEnd w:id="67"/>
    </w:p>
    <w:p>
      <w:pPr>
        <w:numPr>
          <w:ilvl w:val="0"/>
          <w:numId w:val="0"/>
        </w:numPr>
        <w:rPr>
          <w:rFonts w:hint="eastAsia"/>
          <w:lang w:val="en-US" w:eastAsia="zh-CN"/>
        </w:rPr>
      </w:pP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outlineLvl w:val="1"/>
        <w:rPr>
          <w:rFonts w:hint="default" w:ascii="楷体" w:hAnsi="楷体" w:eastAsia="楷体" w:cs="楷体"/>
          <w:b w:val="0"/>
          <w:bCs w:val="0"/>
          <w:color w:val="auto"/>
          <w:sz w:val="32"/>
          <w:szCs w:val="32"/>
          <w:lang w:val="en-US" w:eastAsia="zh-CN" w:bidi="ar-SA"/>
        </w:rPr>
      </w:pPr>
      <w:bookmarkStart w:id="68" w:name="_Toc23902"/>
      <w:bookmarkStart w:id="69" w:name="_Toc4267"/>
      <w:r>
        <w:rPr>
          <w:rFonts w:hint="default" w:ascii="楷体" w:hAnsi="楷体" w:eastAsia="楷体" w:cs="楷体"/>
          <w:b w:val="0"/>
          <w:bCs w:val="0"/>
          <w:color w:val="auto"/>
          <w:sz w:val="32"/>
          <w:szCs w:val="32"/>
          <w:lang w:val="en-US" w:eastAsia="zh-CN" w:bidi="ar-SA"/>
        </w:rPr>
        <w:t>5.1</w:t>
      </w:r>
      <w:r>
        <w:rPr>
          <w:rFonts w:hint="eastAsia" w:ascii="楷体" w:hAnsi="楷体" w:eastAsia="楷体" w:cs="楷体"/>
          <w:b w:val="0"/>
          <w:bCs w:val="0"/>
          <w:color w:val="auto"/>
          <w:sz w:val="32"/>
          <w:szCs w:val="32"/>
          <w:lang w:val="en-US" w:eastAsia="zh-CN" w:bidi="ar-SA"/>
        </w:rPr>
        <w:t xml:space="preserve"> </w:t>
      </w:r>
      <w:r>
        <w:rPr>
          <w:rFonts w:hint="default" w:ascii="楷体" w:hAnsi="楷体" w:eastAsia="楷体" w:cs="楷体"/>
          <w:b w:val="0"/>
          <w:bCs w:val="0"/>
          <w:color w:val="auto"/>
          <w:sz w:val="32"/>
          <w:szCs w:val="32"/>
          <w:lang w:val="en-US" w:eastAsia="zh-CN" w:bidi="ar-SA"/>
        </w:rPr>
        <w:t>分类收集规划</w:t>
      </w:r>
      <w:bookmarkEnd w:id="68"/>
      <w:bookmarkEnd w:id="69"/>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70" w:name="_Toc7668"/>
      <w:r>
        <w:rPr>
          <w:rFonts w:hint="default" w:ascii="仿宋" w:hAnsi="仿宋" w:eastAsia="仿宋" w:cs="仿宋"/>
          <w:b w:val="0"/>
          <w:bCs w:val="0"/>
          <w:color w:val="auto"/>
          <w:spacing w:val="-2"/>
          <w:sz w:val="32"/>
          <w:szCs w:val="32"/>
          <w:lang w:val="en-US" w:eastAsia="zh-CN" w:bidi="ar-SA"/>
        </w:rPr>
        <w:t>5.1.1</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体系规划</w:t>
      </w:r>
      <w:bookmarkEnd w:id="70"/>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根据不同建筑垃圾产生源的分布情况，结合建筑垃圾处置方式和服务范围，确定建筑垃圾收运方式和收运流程，明确转运设施布局，规范收运公司要求，因地制宜地推进建筑垃圾分类收集和运输。依托信息化管理技术与平台，建立覆盖建筑垃圾收运处置全过程的电子联单跟踪系统，实现闭环监管，构建收运体系。</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建筑垃圾的收运主体为建筑垃圾产生单位，由建筑垃圾产生单位委托有资质的收运公司进行运输。工程垃圾、拆除垃圾、工程渣土、工程泥浆的收运主体为施工单位，装修垃圾的收运主体为物业公司或居民。</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71" w:name="_Toc22173"/>
      <w:r>
        <w:rPr>
          <w:rFonts w:hint="default" w:ascii="仿宋" w:hAnsi="仿宋" w:eastAsia="仿宋" w:cs="仿宋"/>
          <w:b w:val="0"/>
          <w:bCs w:val="0"/>
          <w:color w:val="auto"/>
          <w:spacing w:val="-2"/>
          <w:sz w:val="32"/>
          <w:szCs w:val="32"/>
          <w:lang w:val="en-US" w:eastAsia="zh-CN" w:bidi="ar-SA"/>
        </w:rPr>
        <w:t>5.1.2</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分类收集</w:t>
      </w:r>
      <w:bookmarkEnd w:id="71"/>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eastAsia" w:ascii="仿宋" w:hAnsi="仿宋" w:eastAsia="仿宋" w:cs="仿宋"/>
          <w:b w:val="0"/>
          <w:bCs w:val="0"/>
          <w:color w:val="auto"/>
          <w:spacing w:val="-2"/>
          <w:sz w:val="32"/>
          <w:szCs w:val="32"/>
          <w:lang w:val="en-US" w:eastAsia="zh-CN"/>
        </w:rPr>
      </w:pPr>
      <w:r>
        <w:rPr>
          <w:rFonts w:hint="eastAsia" w:ascii="仿宋" w:hAnsi="仿宋" w:eastAsia="仿宋" w:cs="仿宋"/>
          <w:b w:val="0"/>
          <w:bCs w:val="0"/>
          <w:color w:val="auto"/>
          <w:spacing w:val="-2"/>
          <w:sz w:val="32"/>
          <w:szCs w:val="32"/>
          <w:lang w:val="en-US" w:eastAsia="zh-CN"/>
        </w:rPr>
        <w:t>1.工程渣土收集规划</w:t>
      </w:r>
    </w:p>
    <w:p>
      <w:pPr>
        <w:keepNext w:val="0"/>
        <w:keepLines w:val="0"/>
        <w:pageBreakBefore w:val="0"/>
        <w:widowControl w:val="0"/>
        <w:kinsoku/>
        <w:wordWrap/>
        <w:overflowPunct/>
        <w:topLinePunct w:val="0"/>
        <w:autoSpaceDE/>
        <w:autoSpaceDN/>
        <w:bidi w:val="0"/>
        <w:adjustRightInd/>
        <w:snapToGrid/>
        <w:spacing w:line="600" w:lineRule="exact"/>
        <w:ind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（1）收集规划</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①工程渣土应当随挖随运，因特殊原因确实需要临时存放的工程渣土应在施工现场安全区域集中堆放，堆放高度不应超出围挡（墙）高度，并与围挡（墙）及基坑周边保持安全距离，与现有的建筑物或构筑物保持安全距离。</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②堆放建筑垃圾时，堆放高度高出地坪不宜超过3米，当超过3米时，应进行堆体和地基稳定性验算，保证堆体和地基的稳定安全。当堆场场地附近有挖方工程时，应进行堆体和挖方边坡稳定性验算，保证挖方工程安全。</w:t>
      </w:r>
    </w:p>
    <w:p>
      <w:pPr>
        <w:keepNext w:val="0"/>
        <w:keepLines w:val="0"/>
        <w:pageBreakBefore w:val="0"/>
        <w:widowControl w:val="0"/>
        <w:kinsoku/>
        <w:wordWrap/>
        <w:overflowPunct/>
        <w:topLinePunct w:val="0"/>
        <w:autoSpaceDE/>
        <w:autoSpaceDN/>
        <w:bidi w:val="0"/>
        <w:adjustRightInd/>
        <w:snapToGrid/>
        <w:spacing w:line="600" w:lineRule="exact"/>
        <w:ind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（2）收集主体</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收集主体为施工单位。</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eastAsia" w:ascii="仿宋" w:hAnsi="仿宋" w:eastAsia="仿宋" w:cs="仿宋"/>
          <w:b w:val="0"/>
          <w:bCs w:val="0"/>
          <w:color w:val="auto"/>
          <w:spacing w:val="-2"/>
          <w:sz w:val="32"/>
          <w:szCs w:val="32"/>
          <w:lang w:val="en-US" w:eastAsia="zh-CN"/>
        </w:rPr>
      </w:pPr>
      <w:r>
        <w:rPr>
          <w:rFonts w:hint="eastAsia" w:ascii="仿宋" w:hAnsi="仿宋" w:eastAsia="仿宋" w:cs="仿宋"/>
          <w:b w:val="0"/>
          <w:bCs w:val="0"/>
          <w:color w:val="auto"/>
          <w:spacing w:val="-2"/>
          <w:sz w:val="32"/>
          <w:szCs w:val="32"/>
          <w:lang w:val="en-US" w:eastAsia="zh-CN"/>
        </w:rPr>
        <w:t>2.工程泥浆收集规划</w:t>
      </w:r>
    </w:p>
    <w:p>
      <w:pPr>
        <w:keepNext w:val="0"/>
        <w:keepLines w:val="0"/>
        <w:pageBreakBefore w:val="0"/>
        <w:widowControl w:val="0"/>
        <w:kinsoku/>
        <w:wordWrap/>
        <w:overflowPunct/>
        <w:topLinePunct w:val="0"/>
        <w:autoSpaceDE/>
        <w:autoSpaceDN/>
        <w:bidi w:val="0"/>
        <w:adjustRightInd/>
        <w:snapToGrid/>
        <w:spacing w:line="600" w:lineRule="exact"/>
        <w:ind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（1）收集规划</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有产生工程泥浆的施工现场应设置泥浆池，工程泥浆应通过泥浆池进行收集，泥浆池应设置防护栏，并挂设“泥浆池危险请勿靠近”安全警示牌。</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产生工程泥浆的施工场地，宜实施现场泥浆脱水处置。现场泥浆脱水处置，宜配备收集管网、沉淀池、泥饼堆场等设施。</w:t>
      </w:r>
    </w:p>
    <w:p>
      <w:pPr>
        <w:keepNext w:val="0"/>
        <w:keepLines w:val="0"/>
        <w:pageBreakBefore w:val="0"/>
        <w:widowControl w:val="0"/>
        <w:kinsoku/>
        <w:wordWrap/>
        <w:overflowPunct/>
        <w:topLinePunct w:val="0"/>
        <w:autoSpaceDE/>
        <w:autoSpaceDN/>
        <w:bidi w:val="0"/>
        <w:adjustRightInd/>
        <w:snapToGrid/>
        <w:spacing w:line="600" w:lineRule="exact"/>
        <w:ind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（2）收集主体</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收集主体为施工单位。</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eastAsia" w:ascii="仿宋" w:hAnsi="仿宋" w:eastAsia="仿宋" w:cs="仿宋"/>
          <w:b w:val="0"/>
          <w:bCs w:val="0"/>
          <w:color w:val="auto"/>
          <w:spacing w:val="-2"/>
          <w:sz w:val="32"/>
          <w:szCs w:val="32"/>
          <w:lang w:val="en-US" w:eastAsia="zh-CN"/>
        </w:rPr>
      </w:pPr>
      <w:r>
        <w:rPr>
          <w:rFonts w:hint="eastAsia" w:ascii="仿宋" w:hAnsi="仿宋" w:eastAsia="仿宋" w:cs="仿宋"/>
          <w:b w:val="0"/>
          <w:bCs w:val="0"/>
          <w:color w:val="auto"/>
          <w:spacing w:val="-2"/>
          <w:sz w:val="32"/>
          <w:szCs w:val="32"/>
          <w:lang w:val="en-US" w:eastAsia="zh-CN"/>
        </w:rPr>
        <w:t>3.工程垃圾收集规划</w:t>
      </w:r>
    </w:p>
    <w:p>
      <w:pPr>
        <w:keepNext w:val="0"/>
        <w:keepLines w:val="0"/>
        <w:pageBreakBefore w:val="0"/>
        <w:widowControl w:val="0"/>
        <w:kinsoku/>
        <w:wordWrap/>
        <w:overflowPunct/>
        <w:topLinePunct w:val="0"/>
        <w:autoSpaceDE/>
        <w:autoSpaceDN/>
        <w:bidi w:val="0"/>
        <w:adjustRightInd/>
        <w:snapToGrid/>
        <w:spacing w:line="600" w:lineRule="exact"/>
        <w:ind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（1）收集规划</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①柱基工程的工程桩桩头、基坑工程的混凝土支护构件可统一收集。现场破碎、分离混凝土和钢筋时，混凝土和钢筋应分类堆放。</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②道路混凝土或沥青混合料应单独收集。</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③其他工程垃圾不应与工程桩桩头、支撑或道路混凝土、沥青混合料混杂。</w:t>
      </w:r>
    </w:p>
    <w:p>
      <w:pPr>
        <w:keepNext w:val="0"/>
        <w:keepLines w:val="0"/>
        <w:pageBreakBefore w:val="0"/>
        <w:widowControl w:val="0"/>
        <w:kinsoku/>
        <w:wordWrap/>
        <w:overflowPunct/>
        <w:topLinePunct w:val="0"/>
        <w:autoSpaceDE/>
        <w:autoSpaceDN/>
        <w:bidi w:val="0"/>
        <w:adjustRightInd/>
        <w:snapToGrid/>
        <w:spacing w:line="600" w:lineRule="exact"/>
        <w:ind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（2）收集主体</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收集主体为施工单位。</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eastAsia" w:ascii="仿宋" w:hAnsi="仿宋" w:eastAsia="仿宋" w:cs="仿宋"/>
          <w:b w:val="0"/>
          <w:bCs w:val="0"/>
          <w:color w:val="auto"/>
          <w:spacing w:val="-2"/>
          <w:sz w:val="32"/>
          <w:szCs w:val="32"/>
          <w:lang w:val="en-US" w:eastAsia="zh-CN"/>
        </w:rPr>
      </w:pPr>
      <w:r>
        <w:rPr>
          <w:rFonts w:hint="eastAsia" w:ascii="仿宋" w:hAnsi="仿宋" w:eastAsia="仿宋" w:cs="仿宋"/>
          <w:b w:val="0"/>
          <w:bCs w:val="0"/>
          <w:color w:val="auto"/>
          <w:spacing w:val="-2"/>
          <w:sz w:val="32"/>
          <w:szCs w:val="32"/>
          <w:lang w:val="en-US" w:eastAsia="zh-CN"/>
        </w:rPr>
        <w:t>4.拆除垃圾收集规划</w:t>
      </w:r>
    </w:p>
    <w:p>
      <w:pPr>
        <w:keepNext w:val="0"/>
        <w:keepLines w:val="0"/>
        <w:pageBreakBefore w:val="0"/>
        <w:widowControl w:val="0"/>
        <w:kinsoku/>
        <w:wordWrap/>
        <w:overflowPunct/>
        <w:topLinePunct w:val="0"/>
        <w:autoSpaceDE/>
        <w:autoSpaceDN/>
        <w:bidi w:val="0"/>
        <w:adjustRightInd/>
        <w:snapToGrid/>
        <w:spacing w:line="600" w:lineRule="exact"/>
        <w:ind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（1）收集规划</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房屋等建（构）筑物拆除前应清除、腾空内部可移动设施、设备、家具等物品。附属构件（门、窗等）可先于主体结构拆除，分类堆放。</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拆除的混凝土梁、柱、楼板构件或其他预制件可统一破碎后收集。砖瓦宜分类堆放。</w:t>
      </w:r>
    </w:p>
    <w:p>
      <w:pPr>
        <w:keepNext w:val="0"/>
        <w:keepLines w:val="0"/>
        <w:pageBreakBefore w:val="0"/>
        <w:widowControl w:val="0"/>
        <w:kinsoku/>
        <w:wordWrap/>
        <w:overflowPunct/>
        <w:topLinePunct w:val="0"/>
        <w:autoSpaceDE/>
        <w:autoSpaceDN/>
        <w:bidi w:val="0"/>
        <w:adjustRightInd/>
        <w:snapToGrid/>
        <w:spacing w:line="600" w:lineRule="exact"/>
        <w:ind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（2）收集主体</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收集主体为施工单位。</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b w:val="0"/>
          <w:bCs w:val="0"/>
          <w:color w:val="auto"/>
          <w:spacing w:val="-2"/>
          <w:sz w:val="32"/>
          <w:szCs w:val="32"/>
          <w:lang w:val="en-US" w:eastAsia="zh-CN"/>
        </w:rPr>
      </w:pPr>
      <w:r>
        <w:rPr>
          <w:rFonts w:hint="default" w:ascii="仿宋" w:hAnsi="仿宋" w:eastAsia="仿宋" w:cs="仿宋"/>
          <w:b w:val="0"/>
          <w:bCs w:val="0"/>
          <w:color w:val="auto"/>
          <w:spacing w:val="-2"/>
          <w:sz w:val="32"/>
          <w:szCs w:val="32"/>
          <w:lang w:val="en-US" w:eastAsia="zh-CN"/>
        </w:rPr>
        <w:t>5.装修垃圾收集规划</w:t>
      </w:r>
    </w:p>
    <w:p>
      <w:pPr>
        <w:keepNext w:val="0"/>
        <w:keepLines w:val="0"/>
        <w:pageBreakBefore w:val="0"/>
        <w:widowControl w:val="0"/>
        <w:kinsoku/>
        <w:wordWrap/>
        <w:overflowPunct/>
        <w:topLinePunct w:val="0"/>
        <w:autoSpaceDE/>
        <w:autoSpaceDN/>
        <w:bidi w:val="0"/>
        <w:adjustRightInd/>
        <w:snapToGrid/>
        <w:spacing w:line="600" w:lineRule="exact"/>
        <w:ind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（1）收集规划</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①装修垃圾的收集实行袋装化，装修过程中产生的木料、砂浆砖石、塑料、玻璃、金属等废料分类装袋，由居民或物业公司委托收运单位收集和运输。</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②装修垃圾设置建筑垃圾分类收集点，并应符合下列要求：</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a.应能容纳场所范围内的装修垃圾，同时供收运车辆进出、回车。</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b.地面应硬化，宜与场地道路同高。</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c.应设置标识标牌、围挡等设施，宜设置视频监控设备。</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d.应与周围环境相协调。</w:t>
      </w:r>
    </w:p>
    <w:p>
      <w:pPr>
        <w:keepNext w:val="0"/>
        <w:keepLines w:val="0"/>
        <w:pageBreakBefore w:val="0"/>
        <w:widowControl w:val="0"/>
        <w:kinsoku/>
        <w:wordWrap/>
        <w:overflowPunct/>
        <w:topLinePunct w:val="0"/>
        <w:autoSpaceDE/>
        <w:autoSpaceDN/>
        <w:bidi w:val="0"/>
        <w:adjustRightInd/>
        <w:snapToGrid/>
        <w:spacing w:line="600" w:lineRule="exact"/>
        <w:ind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（2）收集主体</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收集主体为物业服务单位、装修施工单位、社区、居民或其他合法主体。</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eastAsia" w:ascii="仿宋" w:hAnsi="仿宋" w:eastAsia="仿宋" w:cs="仿宋"/>
          <w:b w:val="0"/>
          <w:bCs w:val="0"/>
          <w:color w:val="auto"/>
          <w:spacing w:val="-2"/>
          <w:sz w:val="32"/>
          <w:szCs w:val="32"/>
          <w:lang w:val="en-US" w:eastAsia="zh-CN" w:bidi="ar-SA"/>
        </w:rPr>
      </w:pPr>
      <w:bookmarkStart w:id="72" w:name="_Toc12291"/>
      <w:r>
        <w:rPr>
          <w:rFonts w:hint="eastAsia" w:ascii="仿宋" w:hAnsi="仿宋" w:eastAsia="仿宋" w:cs="仿宋"/>
          <w:b w:val="0"/>
          <w:bCs w:val="0"/>
          <w:color w:val="auto"/>
          <w:spacing w:val="-2"/>
          <w:sz w:val="32"/>
          <w:szCs w:val="32"/>
          <w:lang w:val="en-US" w:eastAsia="zh-CN" w:bidi="ar-SA"/>
        </w:rPr>
        <w:t>5.1.3 收集设施规划</w:t>
      </w:r>
      <w:bookmarkEnd w:id="72"/>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分类设置建筑垃圾暂存点，除各街道外不单独设置转运调配场，有转运调配需求的于就近的建筑垃圾消纳场临时中转、暂存。</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1.工程垃圾、拆除垃圾和工程渣土（含泥浆）暂存点</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工程渣土、工程泥浆、工程垃圾、拆除垃圾等建筑垃圾分类收集暂存点为施工现场，无法在施工现场暂存的建筑垃圾，运至建筑垃圾消纳场临时中转、暂存。</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2.装修垃圾暂存点</w:t>
      </w:r>
    </w:p>
    <w:p>
      <w:pPr>
        <w:keepNext w:val="0"/>
        <w:keepLines w:val="0"/>
        <w:pageBreakBefore w:val="0"/>
        <w:widowControl w:val="0"/>
        <w:kinsoku/>
        <w:wordWrap/>
        <w:overflowPunct/>
        <w:topLinePunct w:val="0"/>
        <w:autoSpaceDE/>
        <w:autoSpaceDN/>
        <w:bidi w:val="0"/>
        <w:adjustRightInd/>
        <w:snapToGrid/>
        <w:spacing w:line="600" w:lineRule="exact"/>
        <w:ind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（1）物业服务小区装修垃圾暂存点</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物业服务单位应当在物业管理区域内设置装修垃圾暂存点，收集小区业主倾倒的零星装修垃圾。物业服务小区应做到装修垃圾分类收集、定点处置、管理台账记录完整准确、采取有效抑尘措施等，不得随意倾倒抛洒、不得将生活垃圾及其他废弃物等倾倒在装修垃圾暂存点。</w:t>
      </w:r>
    </w:p>
    <w:p>
      <w:pPr>
        <w:keepNext w:val="0"/>
        <w:keepLines w:val="0"/>
        <w:pageBreakBefore w:val="0"/>
        <w:widowControl w:val="0"/>
        <w:kinsoku/>
        <w:wordWrap/>
        <w:overflowPunct/>
        <w:topLinePunct w:val="0"/>
        <w:autoSpaceDE/>
        <w:autoSpaceDN/>
        <w:bidi w:val="0"/>
        <w:adjustRightInd/>
        <w:snapToGrid/>
        <w:spacing w:line="600" w:lineRule="exact"/>
        <w:ind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（2）“自管小区”“三无小区”装修垃圾暂存点</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由所属管辖区域建立建筑垃圾分类收集与存放管理机制，会同</w:t>
      </w:r>
      <w:r>
        <w:rPr>
          <w:rFonts w:hint="eastAsia" w:ascii="仿宋" w:hAnsi="仿宋" w:eastAsia="仿宋" w:cs="仿宋"/>
          <w:color w:val="auto"/>
          <w:spacing w:val="-2"/>
          <w:sz w:val="32"/>
          <w:szCs w:val="32"/>
          <w:lang w:val="en-US" w:eastAsia="zh-CN"/>
        </w:rPr>
        <w:t>区</w:t>
      </w:r>
      <w:r>
        <w:rPr>
          <w:rFonts w:hint="default" w:ascii="仿宋" w:hAnsi="仿宋" w:eastAsia="仿宋" w:cs="仿宋"/>
          <w:color w:val="auto"/>
          <w:spacing w:val="-2"/>
          <w:sz w:val="32"/>
          <w:szCs w:val="32"/>
          <w:lang w:val="en-US" w:eastAsia="zh-CN"/>
        </w:rPr>
        <w:t>自然资源</w:t>
      </w:r>
      <w:r>
        <w:rPr>
          <w:rFonts w:hint="eastAsia" w:ascii="仿宋" w:hAnsi="仿宋" w:eastAsia="仿宋" w:cs="仿宋"/>
          <w:color w:val="auto"/>
          <w:spacing w:val="-2"/>
          <w:sz w:val="32"/>
          <w:szCs w:val="32"/>
          <w:lang w:val="en-US" w:eastAsia="zh-CN"/>
        </w:rPr>
        <w:t>局</w:t>
      </w:r>
      <w:r>
        <w:rPr>
          <w:rFonts w:hint="default" w:ascii="仿宋" w:hAnsi="仿宋" w:eastAsia="仿宋" w:cs="仿宋"/>
          <w:color w:val="auto"/>
          <w:spacing w:val="-2"/>
          <w:sz w:val="32"/>
          <w:szCs w:val="32"/>
          <w:lang w:val="en-US" w:eastAsia="zh-CN"/>
        </w:rPr>
        <w:t>、</w:t>
      </w:r>
      <w:r>
        <w:rPr>
          <w:rFonts w:hint="eastAsia" w:ascii="仿宋" w:hAnsi="仿宋" w:eastAsia="仿宋" w:cs="仿宋"/>
          <w:color w:val="auto"/>
          <w:spacing w:val="-2"/>
          <w:sz w:val="32"/>
          <w:szCs w:val="32"/>
          <w:lang w:val="en-US" w:eastAsia="zh-CN"/>
        </w:rPr>
        <w:t>区</w:t>
      </w:r>
      <w:r>
        <w:rPr>
          <w:rFonts w:hint="default" w:ascii="仿宋" w:hAnsi="仿宋" w:eastAsia="仿宋" w:cs="仿宋"/>
          <w:color w:val="auto"/>
          <w:spacing w:val="-2"/>
          <w:sz w:val="32"/>
          <w:szCs w:val="32"/>
          <w:lang w:val="en-US" w:eastAsia="zh-CN"/>
        </w:rPr>
        <w:t>住建</w:t>
      </w:r>
      <w:r>
        <w:rPr>
          <w:rFonts w:hint="eastAsia" w:ascii="仿宋" w:hAnsi="仿宋" w:eastAsia="仿宋" w:cs="仿宋"/>
          <w:color w:val="auto"/>
          <w:spacing w:val="-2"/>
          <w:sz w:val="32"/>
          <w:szCs w:val="32"/>
          <w:lang w:val="en-US" w:eastAsia="zh-CN"/>
        </w:rPr>
        <w:t>局</w:t>
      </w:r>
      <w:r>
        <w:rPr>
          <w:rFonts w:hint="default" w:ascii="仿宋" w:hAnsi="仿宋" w:eastAsia="仿宋" w:cs="仿宋"/>
          <w:color w:val="auto"/>
          <w:spacing w:val="-2"/>
          <w:sz w:val="32"/>
          <w:szCs w:val="32"/>
          <w:lang w:val="en-US" w:eastAsia="zh-CN"/>
        </w:rPr>
        <w:t>、</w:t>
      </w:r>
      <w:r>
        <w:rPr>
          <w:rFonts w:hint="eastAsia" w:ascii="仿宋" w:hAnsi="仿宋" w:eastAsia="仿宋" w:cs="仿宋"/>
          <w:color w:val="auto"/>
          <w:spacing w:val="-2"/>
          <w:sz w:val="32"/>
          <w:szCs w:val="32"/>
          <w:lang w:val="en-US" w:eastAsia="zh-CN"/>
        </w:rPr>
        <w:t>区</w:t>
      </w:r>
      <w:r>
        <w:rPr>
          <w:rFonts w:hint="default" w:ascii="仿宋" w:hAnsi="仿宋" w:eastAsia="仿宋" w:cs="仿宋"/>
          <w:color w:val="auto"/>
          <w:spacing w:val="-2"/>
          <w:sz w:val="32"/>
          <w:szCs w:val="32"/>
          <w:lang w:val="en-US" w:eastAsia="zh-CN"/>
        </w:rPr>
        <w:t>综合</w:t>
      </w:r>
      <w:r>
        <w:rPr>
          <w:rFonts w:hint="eastAsia" w:ascii="仿宋" w:hAnsi="仿宋" w:eastAsia="仿宋" w:cs="仿宋"/>
          <w:color w:val="auto"/>
          <w:spacing w:val="-2"/>
          <w:sz w:val="32"/>
          <w:szCs w:val="32"/>
          <w:lang w:val="en-US" w:eastAsia="zh-CN"/>
        </w:rPr>
        <w:t>行政</w:t>
      </w:r>
      <w:r>
        <w:rPr>
          <w:rFonts w:hint="default" w:ascii="仿宋" w:hAnsi="仿宋" w:eastAsia="仿宋" w:cs="仿宋"/>
          <w:color w:val="auto"/>
          <w:spacing w:val="-2"/>
          <w:sz w:val="32"/>
          <w:szCs w:val="32"/>
          <w:lang w:val="en-US" w:eastAsia="zh-CN"/>
        </w:rPr>
        <w:t>执法</w:t>
      </w:r>
      <w:r>
        <w:rPr>
          <w:rFonts w:hint="eastAsia" w:ascii="仿宋" w:hAnsi="仿宋" w:eastAsia="仿宋" w:cs="仿宋"/>
          <w:color w:val="auto"/>
          <w:spacing w:val="-2"/>
          <w:sz w:val="32"/>
          <w:szCs w:val="32"/>
          <w:lang w:val="en-US" w:eastAsia="zh-CN"/>
        </w:rPr>
        <w:t>局</w:t>
      </w:r>
      <w:r>
        <w:rPr>
          <w:rFonts w:hint="default" w:ascii="仿宋" w:hAnsi="仿宋" w:eastAsia="仿宋" w:cs="仿宋"/>
          <w:color w:val="auto"/>
          <w:spacing w:val="-2"/>
          <w:sz w:val="32"/>
          <w:szCs w:val="32"/>
          <w:lang w:val="en-US" w:eastAsia="zh-CN"/>
        </w:rPr>
        <w:t>等部门，在辖区内合理规划建筑垃圾暂存点，用于受纳、中转居民或个体工商户倾倒的零星装修垃圾，现场严格落实管理台账记录制度、防尘降尘措施、分类收集、贮存、运输管理等，严防安全生产和环境事故发生。</w:t>
      </w:r>
    </w:p>
    <w:p>
      <w:pPr>
        <w:keepNext w:val="0"/>
        <w:keepLines w:val="0"/>
        <w:pageBreakBefore w:val="0"/>
        <w:widowControl w:val="0"/>
        <w:kinsoku/>
        <w:wordWrap/>
        <w:overflowPunct/>
        <w:topLinePunct w:val="0"/>
        <w:autoSpaceDE/>
        <w:autoSpaceDN/>
        <w:bidi w:val="0"/>
        <w:adjustRightInd/>
        <w:snapToGrid/>
        <w:spacing w:line="600" w:lineRule="exact"/>
        <w:ind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（3）新建居住小区装修垃圾暂存点</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新建居住小区应在规划建设时同步配套设置场地作为分类暂存点，与小区一并投入使用。</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3.恢复和利用</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设置建筑垃圾暂存场所若依据临时用地划定，对于使用期限到期、完成转运后不再投入使用的场地应依法进行复垦、修复及土地重新利用等。</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outlineLvl w:val="1"/>
        <w:rPr>
          <w:rFonts w:hint="default" w:ascii="楷体" w:hAnsi="楷体" w:eastAsia="楷体" w:cs="楷体"/>
          <w:b w:val="0"/>
          <w:bCs w:val="0"/>
          <w:color w:val="auto"/>
          <w:sz w:val="32"/>
          <w:szCs w:val="32"/>
          <w:lang w:val="en-US" w:eastAsia="zh-CN"/>
        </w:rPr>
      </w:pPr>
      <w:bookmarkStart w:id="73" w:name="_Toc16229"/>
      <w:bookmarkStart w:id="74" w:name="_Toc27354"/>
      <w:r>
        <w:rPr>
          <w:rFonts w:hint="default" w:ascii="楷体" w:hAnsi="楷体" w:eastAsia="楷体" w:cs="楷体"/>
          <w:b w:val="0"/>
          <w:bCs w:val="0"/>
          <w:color w:val="auto"/>
          <w:sz w:val="32"/>
          <w:szCs w:val="32"/>
          <w:lang w:val="en-US" w:eastAsia="zh-CN"/>
        </w:rPr>
        <w:t>5.2</w:t>
      </w:r>
      <w:r>
        <w:rPr>
          <w:rFonts w:hint="eastAsia" w:ascii="楷体" w:hAnsi="楷体" w:eastAsia="楷体" w:cs="楷体"/>
          <w:b w:val="0"/>
          <w:bCs w:val="0"/>
          <w:color w:val="auto"/>
          <w:sz w:val="32"/>
          <w:szCs w:val="32"/>
          <w:lang w:val="en-US" w:eastAsia="zh-CN"/>
        </w:rPr>
        <w:t xml:space="preserve"> </w:t>
      </w:r>
      <w:r>
        <w:rPr>
          <w:rFonts w:hint="default" w:ascii="楷体" w:hAnsi="楷体" w:eastAsia="楷体" w:cs="楷体"/>
          <w:b w:val="0"/>
          <w:bCs w:val="0"/>
          <w:color w:val="auto"/>
          <w:sz w:val="32"/>
          <w:szCs w:val="32"/>
          <w:lang w:val="en-US" w:eastAsia="zh-CN"/>
        </w:rPr>
        <w:t>运输线路规划</w:t>
      </w:r>
      <w:bookmarkEnd w:id="73"/>
      <w:bookmarkEnd w:id="74"/>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75" w:name="_Toc12718"/>
      <w:r>
        <w:rPr>
          <w:rFonts w:hint="default" w:ascii="仿宋" w:hAnsi="仿宋" w:eastAsia="仿宋" w:cs="仿宋"/>
          <w:b w:val="0"/>
          <w:bCs w:val="0"/>
          <w:color w:val="auto"/>
          <w:spacing w:val="-2"/>
          <w:sz w:val="32"/>
          <w:szCs w:val="32"/>
          <w:lang w:val="en-US" w:eastAsia="zh-CN" w:bidi="ar-SA"/>
        </w:rPr>
        <w:t>5.2.1</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运输主体</w:t>
      </w:r>
      <w:bookmarkEnd w:id="75"/>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以核发《城市建筑垃圾处置核准》为依据，采用特许经营方式或者其他合法方式进行运输。根据《中华人民共和国固体废物污染环境防治法》《城市建筑垃圾管理规定》《四川省城乡环境综合治理条例》等法律法规规定的方式进行运输。</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76" w:name="_Toc20956"/>
      <w:r>
        <w:rPr>
          <w:rFonts w:hint="default" w:ascii="仿宋" w:hAnsi="仿宋" w:eastAsia="仿宋" w:cs="仿宋"/>
          <w:b w:val="0"/>
          <w:bCs w:val="0"/>
          <w:color w:val="auto"/>
          <w:spacing w:val="-2"/>
          <w:sz w:val="32"/>
          <w:szCs w:val="32"/>
          <w:lang w:val="en-US" w:eastAsia="zh-CN" w:bidi="ar-SA"/>
        </w:rPr>
        <w:t>5.2.2</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运输流程</w:t>
      </w:r>
      <w:bookmarkEnd w:id="76"/>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运输单位应采用装有卫星定位系统、符合建筑垃圾装载运输条件的载具，建立建筑垃圾运输管理台账，及时将建筑垃圾运输种类、运输量、垃圾流向等信息及时上报行业主管部门，需带齐建筑垃圾处置核准手续到区综合</w:t>
      </w:r>
      <w:r>
        <w:rPr>
          <w:rFonts w:hint="eastAsia" w:ascii="仿宋" w:hAnsi="仿宋" w:eastAsia="仿宋" w:cs="仿宋"/>
          <w:color w:val="auto"/>
          <w:spacing w:val="-2"/>
          <w:sz w:val="32"/>
          <w:szCs w:val="32"/>
          <w:lang w:val="en-US" w:eastAsia="zh-CN"/>
        </w:rPr>
        <w:t>行政</w:t>
      </w:r>
      <w:r>
        <w:rPr>
          <w:rFonts w:hint="default" w:ascii="仿宋" w:hAnsi="仿宋" w:eastAsia="仿宋" w:cs="仿宋"/>
          <w:color w:val="auto"/>
          <w:spacing w:val="-2"/>
          <w:sz w:val="32"/>
          <w:szCs w:val="32"/>
          <w:lang w:val="en-US" w:eastAsia="zh-CN"/>
        </w:rPr>
        <w:t>执法局备案。实行分类运输，并根据建筑垃圾种类采取针对性的安全、环保措施等。</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77" w:name="_Toc17216"/>
      <w:r>
        <w:rPr>
          <w:rFonts w:hint="default" w:ascii="仿宋" w:hAnsi="仿宋" w:eastAsia="仿宋" w:cs="仿宋"/>
          <w:b w:val="0"/>
          <w:bCs w:val="0"/>
          <w:color w:val="auto"/>
          <w:spacing w:val="-2"/>
          <w:sz w:val="32"/>
          <w:szCs w:val="32"/>
          <w:lang w:val="en-US" w:eastAsia="zh-CN" w:bidi="ar-SA"/>
        </w:rPr>
        <w:t>5.2.3</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运输车辆</w:t>
      </w:r>
      <w:bookmarkEnd w:id="77"/>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1.从事建筑渣土运输的车辆必须加装车辆密闭化设施，使车厢顶部全密闭（即自动平推式全密闭装置），在正常装载建筑渣土后，车厢顶部及后部无任何外露空隙，能够有效杜绝车辆冒载、抛撒滴漏等现象，车辆四周槽帮牢固可靠、无破损、挡板严密。</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2.建筑渣土运输车辆具有合法的道路运输经营证、车辆行驶证，相关车辆和驾驶员须纳入企业统一管理并落实工作职责、安全责任、保险及事故赔偿办法。</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3.从事建筑渣土运输车辆必须按照“统一喷涂颜色（可选择环保绿）、统一密闭运输、统一车辆标志、统一放大号牌”四统一原则进行规范管理。建筑渣土运输车辆必须在驾驶室车顶安装统一放大号牌反光立标，建议尺寸为：宽100厘米，侧面截面直角底边24厘米，直角竖边32厘米，斜边40厘米。</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4.《线运证》实行一车一证，随车携带。严禁涂改、转借、跨项目、逾期使用，到期后自动作废。未携带《线运证》的车辆严禁运输建筑渣土。</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5.各类建设工程项目要选用全封闭式环保建筑渣土运输车辆从事渣土运输。并严格落实“六个必须，六个不准、六个百分百”要求和“一不进，三不出”管理规定，确保车辆不带泥上路。另从事运输装修垃圾（包括农用车、小车等）的车辆也必须进行全密闭运输。</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78" w:name="_Toc10618"/>
      <w:r>
        <w:rPr>
          <w:rFonts w:hint="default" w:ascii="仿宋" w:hAnsi="仿宋" w:eastAsia="仿宋" w:cs="仿宋"/>
          <w:b w:val="0"/>
          <w:bCs w:val="0"/>
          <w:color w:val="auto"/>
          <w:spacing w:val="-2"/>
          <w:sz w:val="32"/>
          <w:szCs w:val="32"/>
          <w:lang w:val="en-US" w:eastAsia="zh-CN" w:bidi="ar-SA"/>
        </w:rPr>
        <w:t>5.2.4</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运输线路</w:t>
      </w:r>
      <w:bookmarkEnd w:id="78"/>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1.选线原则</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（1）运输路线应避开噪声敏感建筑物（医院、学校、机关、科研单位、住宅等需要保持安静的建筑物）集中区域、车流高峰期。</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（2）就近运输、减少成本。</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（3）允许相邻城区协同推进资源化利用的跨区收运。</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（4）建筑渣土运输车辆在运输过程中，必须严格按照规定的时间、线路行驶，不得超速，乱鸣汽笛。</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（5）非施工时间段建筑渣土运输车辆必须停放在施工区域内或大型车辆停车场，不得占用城区小型汽车临时停车位或占道停车。</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2.收运线路</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建筑垃圾运输车辆属于特殊行业运输车辆，在金口河中心城区范围内运输需要由具备道路运输经营资格的企业进行运输。</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根据各类建筑垃圾的产生来源、运输特点、处置设施布局，结合道路状况，按照高效率、低影响的原则，建筑垃圾收运线路主要利用国道、省道、快捷通道、交通性城市主干路等路况好、距离便捷的路线。</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金口河城区收运主要路线为：</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主城区—金乌路—G245—金口河建筑垃圾临时堆放场</w:t>
      </w:r>
      <w:r>
        <w:rPr>
          <w:rFonts w:hint="eastAsia" w:ascii="仿宋" w:hAnsi="仿宋" w:eastAsia="仿宋" w:cs="仿宋"/>
          <w:color w:val="auto"/>
          <w:spacing w:val="-2"/>
          <w:sz w:val="32"/>
          <w:szCs w:val="32"/>
          <w:lang w:val="en-US" w:eastAsia="zh-CN"/>
        </w:rPr>
        <w:t>。</w:t>
      </w:r>
    </w:p>
    <w:p>
      <w:pPr>
        <w:pStyle w:val="19"/>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仿宋" w:hAnsi="仿宋" w:eastAsia="仿宋" w:cs="仿宋"/>
        </w:rPr>
      </w:pPr>
      <w:r>
        <w:rPr>
          <w:rFonts w:hint="eastAsia" w:ascii="仿宋" w:hAnsi="仿宋" w:eastAsia="仿宋" w:cs="仿宋"/>
        </w:rPr>
        <w:drawing>
          <wp:inline distT="0" distB="0" distL="114300" distR="114300">
            <wp:extent cx="4387215" cy="3180715"/>
            <wp:effectExtent l="0" t="0" r="13335" b="635"/>
            <wp:docPr id="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true"/>
                    </pic:cNvPicPr>
                  </pic:nvPicPr>
                  <pic:blipFill>
                    <a:blip r:embed="rId12"/>
                    <a:stretch>
                      <a:fillRect/>
                    </a:stretch>
                  </pic:blipFill>
                  <pic:spPr>
                    <a:xfrm>
                      <a:off x="0" y="0"/>
                      <a:ext cx="4387215" cy="3180715"/>
                    </a:xfrm>
                    <a:prstGeom prst="rect">
                      <a:avLst/>
                    </a:prstGeom>
                    <a:noFill/>
                    <a:ln>
                      <a:noFill/>
                    </a:ln>
                  </pic:spPr>
                </pic:pic>
              </a:graphicData>
            </a:graphic>
          </wp:inline>
        </w:drawing>
      </w:r>
    </w:p>
    <w:p>
      <w:pPr>
        <w:pStyle w:val="19"/>
        <w:keepNext w:val="0"/>
        <w:keepLines w:val="0"/>
        <w:pageBreakBefore w:val="0"/>
        <w:widowControl w:val="0"/>
        <w:kinsoku/>
        <w:wordWrap/>
        <w:overflowPunct/>
        <w:topLinePunct w:val="0"/>
        <w:autoSpaceDE/>
        <w:autoSpaceDN/>
        <w:bidi w:val="0"/>
        <w:adjustRightInd/>
        <w:snapToGrid/>
        <w:spacing w:after="0"/>
        <w:jc w:val="center"/>
        <w:textAlignment w:val="auto"/>
        <w:outlineLvl w:val="1"/>
        <w:rPr>
          <w:rFonts w:hint="eastAsia" w:ascii="仿宋" w:hAnsi="仿宋" w:eastAsia="仿宋" w:cs="仿宋"/>
          <w:b/>
          <w:bCs/>
          <w:lang w:val="en-US" w:eastAsia="zh-CN"/>
        </w:rPr>
      </w:pPr>
      <w:bookmarkStart w:id="79" w:name="_Toc30477"/>
      <w:r>
        <w:rPr>
          <w:rFonts w:hint="eastAsia" w:ascii="仿宋" w:hAnsi="仿宋" w:eastAsia="仿宋" w:cs="仿宋"/>
          <w:b/>
          <w:bCs/>
          <w:lang w:val="en-US" w:eastAsia="zh-CN"/>
        </w:rPr>
        <w:t>运输路线</w:t>
      </w:r>
      <w:bookmarkEnd w:id="79"/>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80" w:name="_Toc16194"/>
      <w:r>
        <w:rPr>
          <w:rFonts w:hint="default" w:ascii="仿宋" w:hAnsi="仿宋" w:eastAsia="仿宋" w:cs="仿宋"/>
          <w:b w:val="0"/>
          <w:bCs w:val="0"/>
          <w:color w:val="auto"/>
          <w:spacing w:val="-2"/>
          <w:sz w:val="32"/>
          <w:szCs w:val="32"/>
          <w:lang w:val="en-US" w:eastAsia="zh-CN" w:bidi="ar-SA"/>
        </w:rPr>
        <w:t>5.2.5</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运输时段</w:t>
      </w:r>
      <w:bookmarkEnd w:id="80"/>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为缓解城市道路交通压力，净化交通环境，方便民众日常生活，实行建筑垃圾运输的时间限制和禁行区域管理。同时各街道可采取转运或直运的模式将建筑垃圾运输至建筑垃圾消纳场或资源化利用处理站，以便进行填埋或资源化利用处理。</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在重大活动或重污染天气预警响应期间，按有关要求执行。</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81" w:name="_Toc32457"/>
      <w:r>
        <w:rPr>
          <w:rFonts w:hint="default" w:ascii="仿宋" w:hAnsi="仿宋" w:eastAsia="仿宋" w:cs="仿宋"/>
          <w:b w:val="0"/>
          <w:bCs w:val="0"/>
          <w:color w:val="auto"/>
          <w:spacing w:val="-2"/>
          <w:sz w:val="32"/>
          <w:szCs w:val="32"/>
          <w:lang w:val="en-US" w:eastAsia="zh-CN" w:bidi="ar-SA"/>
        </w:rPr>
        <w:t>5.2.6</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运输监管</w:t>
      </w:r>
      <w:bookmarkEnd w:id="81"/>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eastAsia"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建筑垃圾运输单位应当对建筑垃圾分类清运，不得将生活垃圾、工业垃圾、有毒有害垃圾混入建筑垃圾，防止环境污染。加强运输环节新技术的推广应用，让运输变得更高效环保。建立建筑垃圾运输台账，如实记录运输的建筑垃圾来源、种类、数量、运输路线及时间等信息，不得伪造、篡改台账，应当在行业主管部门检查时如实提供台账。</w:t>
      </w:r>
    </w:p>
    <w:p>
      <w:pPr>
        <w:pStyle w:val="19"/>
        <w:rPr>
          <w:rFonts w:hint="eastAsia" w:ascii="仿宋" w:hAnsi="仿宋" w:eastAsia="仿宋" w:cs="仿宋"/>
          <w:lang w:val="en-US" w:eastAsia="zh-CN"/>
        </w:rPr>
      </w:pPr>
    </w:p>
    <w:p>
      <w:pPr>
        <w:spacing w:line="360" w:lineRule="auto"/>
        <w:ind w:firstLine="592" w:firstLineChars="200"/>
        <w:rPr>
          <w:rFonts w:hint="eastAsia" w:ascii="仿宋" w:hAnsi="仿宋" w:eastAsia="仿宋" w:cs="仿宋"/>
          <w:color w:val="auto"/>
          <w:spacing w:val="-2"/>
          <w:sz w:val="30"/>
          <w:szCs w:val="30"/>
          <w:lang w:val="en-US" w:eastAsia="zh-CN"/>
        </w:rPr>
        <w:sectPr>
          <w:pgSz w:w="11905" w:h="16838"/>
          <w:pgMar w:top="2041" w:right="1468" w:bottom="1587" w:left="1468" w:header="850" w:footer="992" w:gutter="0"/>
          <w:pgBorders w:offsetFrom="page">
            <w:top w:val="none" w:sz="0" w:space="0"/>
            <w:left w:val="none" w:sz="0" w:space="0"/>
            <w:bottom w:val="none" w:sz="0" w:space="0"/>
            <w:right w:val="none" w:sz="0" w:space="0"/>
          </w:pgBorders>
          <w:pgNumType w:fmt="decimal"/>
          <w:cols w:space="0" w:num="1"/>
          <w:rtlGutter w:val="0"/>
          <w:docGrid w:type="lines" w:linePitch="330" w:charSpace="0"/>
        </w:sectPr>
      </w:pPr>
    </w:p>
    <w:p>
      <w:pPr>
        <w:pStyle w:val="3"/>
        <w:numPr>
          <w:ilvl w:val="0"/>
          <w:numId w:val="10"/>
        </w:numPr>
        <w:bidi w:val="0"/>
        <w:ind w:leftChars="0"/>
        <w:jc w:val="center"/>
        <w:rPr>
          <w:rFonts w:hint="eastAsia" w:ascii="黑体" w:hAnsi="黑体" w:eastAsia="黑体" w:cs="黑体"/>
          <w:b w:val="0"/>
          <w:bCs w:val="0"/>
          <w:lang w:val="en-US" w:eastAsia="zh-CN"/>
        </w:rPr>
      </w:pPr>
      <w:bookmarkStart w:id="82" w:name="_Toc14065"/>
      <w:bookmarkStart w:id="83" w:name="_Toc21018"/>
      <w:r>
        <w:rPr>
          <w:rFonts w:hint="eastAsia" w:ascii="黑体" w:hAnsi="黑体" w:eastAsia="黑体" w:cs="黑体"/>
          <w:b w:val="0"/>
          <w:bCs w:val="0"/>
          <w:lang w:val="en-US" w:eastAsia="zh-CN"/>
        </w:rPr>
        <w:t>处置利用体系规划</w:t>
      </w:r>
      <w:bookmarkEnd w:id="82"/>
      <w:bookmarkEnd w:id="83"/>
    </w:p>
    <w:p>
      <w:pPr>
        <w:numPr>
          <w:ilvl w:val="0"/>
          <w:numId w:val="0"/>
        </w:numPr>
        <w:rPr>
          <w:rFonts w:hint="eastAsia"/>
          <w:lang w:val="en-US" w:eastAsia="zh-CN"/>
        </w:rPr>
      </w:pP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outlineLvl w:val="1"/>
        <w:rPr>
          <w:rFonts w:hint="default" w:ascii="楷体" w:hAnsi="楷体" w:eastAsia="楷体" w:cs="楷体"/>
          <w:b w:val="0"/>
          <w:bCs w:val="0"/>
          <w:color w:val="auto"/>
          <w:sz w:val="32"/>
          <w:szCs w:val="32"/>
          <w:lang w:val="en-US" w:eastAsia="zh-CN"/>
        </w:rPr>
      </w:pPr>
      <w:bookmarkStart w:id="84" w:name="_Toc31440"/>
      <w:bookmarkStart w:id="85" w:name="_Toc11441"/>
      <w:r>
        <w:rPr>
          <w:rFonts w:hint="default" w:ascii="楷体" w:hAnsi="楷体" w:eastAsia="楷体" w:cs="楷体"/>
          <w:b w:val="0"/>
          <w:bCs w:val="0"/>
          <w:color w:val="auto"/>
          <w:sz w:val="32"/>
          <w:szCs w:val="32"/>
          <w:lang w:val="en-US" w:eastAsia="zh-CN"/>
        </w:rPr>
        <w:t>6.1</w:t>
      </w:r>
      <w:r>
        <w:rPr>
          <w:rFonts w:hint="eastAsia" w:ascii="楷体" w:hAnsi="楷体" w:eastAsia="楷体" w:cs="楷体"/>
          <w:b w:val="0"/>
          <w:bCs w:val="0"/>
          <w:color w:val="auto"/>
          <w:sz w:val="32"/>
          <w:szCs w:val="32"/>
          <w:lang w:val="en-US" w:eastAsia="zh-CN"/>
        </w:rPr>
        <w:t xml:space="preserve"> </w:t>
      </w:r>
      <w:r>
        <w:rPr>
          <w:rFonts w:hint="default" w:ascii="楷体" w:hAnsi="楷体" w:eastAsia="楷体" w:cs="楷体"/>
          <w:b w:val="0"/>
          <w:bCs w:val="0"/>
          <w:color w:val="auto"/>
          <w:sz w:val="32"/>
          <w:szCs w:val="32"/>
          <w:lang w:val="en-US" w:eastAsia="zh-CN"/>
        </w:rPr>
        <w:t>处置规划原则</w:t>
      </w:r>
      <w:bookmarkEnd w:id="84"/>
      <w:bookmarkEnd w:id="85"/>
    </w:p>
    <w:p>
      <w:pPr>
        <w:keepNext w:val="0"/>
        <w:keepLines w:val="0"/>
        <w:pageBreakBefore w:val="0"/>
        <w:widowControl w:val="0"/>
        <w:kinsoku/>
        <w:wordWrap/>
        <w:overflowPunct/>
        <w:topLinePunct w:val="0"/>
        <w:autoSpaceDE/>
        <w:autoSpaceDN/>
        <w:bidi w:val="0"/>
        <w:adjustRightInd/>
        <w:snapToGrid/>
        <w:spacing w:line="600" w:lineRule="exact"/>
        <w:ind w:left="0" w:firstLine="505" w:firstLineChars="160"/>
        <w:jc w:val="both"/>
        <w:textAlignment w:val="auto"/>
        <w:rPr>
          <w:rFonts w:hint="eastAsia" w:ascii="仿宋" w:hAnsi="仿宋" w:eastAsia="仿宋" w:cs="仿宋"/>
          <w:color w:val="auto"/>
          <w:spacing w:val="-2"/>
          <w:sz w:val="32"/>
          <w:szCs w:val="32"/>
          <w:lang w:val="en-US" w:eastAsia="zh-CN"/>
        </w:rPr>
      </w:pPr>
      <w:r>
        <w:rPr>
          <w:rFonts w:hint="eastAsia" w:ascii="仿宋" w:hAnsi="仿宋" w:eastAsia="仿宋" w:cs="仿宋"/>
          <w:color w:val="auto"/>
          <w:spacing w:val="-2"/>
          <w:sz w:val="32"/>
          <w:szCs w:val="32"/>
          <w:lang w:val="en-US" w:eastAsia="zh-CN"/>
        </w:rPr>
        <w:t>（1）用地选址必须符合《金口河区国土空间总体规划（2021—2035年）》中“三区三线”的管控要求和乐山市生态环境分区管控方案要求。</w:t>
      </w:r>
    </w:p>
    <w:p>
      <w:pPr>
        <w:keepNext w:val="0"/>
        <w:keepLines w:val="0"/>
        <w:pageBreakBefore w:val="0"/>
        <w:widowControl w:val="0"/>
        <w:kinsoku/>
        <w:wordWrap/>
        <w:overflowPunct/>
        <w:topLinePunct w:val="0"/>
        <w:autoSpaceDE/>
        <w:autoSpaceDN/>
        <w:bidi w:val="0"/>
        <w:adjustRightInd/>
        <w:snapToGrid/>
        <w:spacing w:line="600" w:lineRule="exact"/>
        <w:ind w:left="0" w:firstLine="505" w:firstLineChars="160"/>
        <w:jc w:val="both"/>
        <w:textAlignment w:val="auto"/>
        <w:rPr>
          <w:rFonts w:hint="eastAsia" w:ascii="仿宋" w:hAnsi="仿宋" w:eastAsia="仿宋" w:cs="仿宋"/>
          <w:color w:val="auto"/>
          <w:spacing w:val="-2"/>
          <w:sz w:val="32"/>
          <w:szCs w:val="32"/>
          <w:lang w:val="en-US" w:eastAsia="zh-CN"/>
        </w:rPr>
      </w:pPr>
      <w:r>
        <w:rPr>
          <w:rFonts w:hint="eastAsia" w:ascii="仿宋" w:hAnsi="仿宋" w:eastAsia="仿宋" w:cs="仿宋"/>
          <w:color w:val="auto"/>
          <w:spacing w:val="-2"/>
          <w:sz w:val="32"/>
          <w:szCs w:val="32"/>
          <w:lang w:val="en-US" w:eastAsia="zh-CN"/>
        </w:rPr>
        <w:t>（2）应符合环境卫生专项规划以及国家现行有关标准的规定。</w:t>
      </w:r>
    </w:p>
    <w:p>
      <w:pPr>
        <w:keepNext w:val="0"/>
        <w:keepLines w:val="0"/>
        <w:pageBreakBefore w:val="0"/>
        <w:widowControl w:val="0"/>
        <w:kinsoku/>
        <w:wordWrap/>
        <w:overflowPunct/>
        <w:topLinePunct w:val="0"/>
        <w:autoSpaceDE/>
        <w:autoSpaceDN/>
        <w:bidi w:val="0"/>
        <w:adjustRightInd/>
        <w:snapToGrid/>
        <w:spacing w:line="600" w:lineRule="exact"/>
        <w:ind w:left="0" w:firstLine="505" w:firstLineChars="160"/>
        <w:jc w:val="both"/>
        <w:textAlignment w:val="auto"/>
        <w:rPr>
          <w:rFonts w:hint="eastAsia" w:ascii="仿宋" w:hAnsi="仿宋" w:eastAsia="仿宋" w:cs="仿宋"/>
          <w:color w:val="auto"/>
          <w:spacing w:val="-2"/>
          <w:sz w:val="32"/>
          <w:szCs w:val="32"/>
          <w:lang w:val="en-US" w:eastAsia="zh-CN"/>
        </w:rPr>
      </w:pPr>
      <w:r>
        <w:rPr>
          <w:rFonts w:hint="eastAsia" w:ascii="仿宋" w:hAnsi="仿宋" w:eastAsia="仿宋" w:cs="仿宋"/>
          <w:color w:val="auto"/>
          <w:spacing w:val="-2"/>
          <w:sz w:val="32"/>
          <w:szCs w:val="32"/>
          <w:lang w:val="en-US" w:eastAsia="zh-CN"/>
        </w:rPr>
        <w:t>（3）需落实分类治理，实现全过程覆盖，按照工程渣土、工程泥浆、工程垃圾、装修垃圾和拆除垃圾分类治理，实现分类和协同相结合处置。</w:t>
      </w:r>
    </w:p>
    <w:p>
      <w:pPr>
        <w:keepNext w:val="0"/>
        <w:keepLines w:val="0"/>
        <w:pageBreakBefore w:val="0"/>
        <w:widowControl w:val="0"/>
        <w:kinsoku/>
        <w:wordWrap/>
        <w:overflowPunct/>
        <w:topLinePunct w:val="0"/>
        <w:autoSpaceDE/>
        <w:autoSpaceDN/>
        <w:bidi w:val="0"/>
        <w:adjustRightInd/>
        <w:snapToGrid/>
        <w:spacing w:line="600" w:lineRule="exact"/>
        <w:ind w:left="0" w:firstLine="505" w:firstLineChars="160"/>
        <w:jc w:val="both"/>
        <w:textAlignment w:val="auto"/>
        <w:rPr>
          <w:rFonts w:hint="eastAsia" w:ascii="仿宋" w:hAnsi="仿宋" w:eastAsia="仿宋" w:cs="仿宋"/>
          <w:color w:val="auto"/>
          <w:spacing w:val="-2"/>
          <w:sz w:val="32"/>
          <w:szCs w:val="32"/>
          <w:lang w:val="en-US" w:eastAsia="zh-CN"/>
        </w:rPr>
      </w:pPr>
      <w:r>
        <w:rPr>
          <w:rFonts w:hint="eastAsia" w:ascii="仿宋" w:hAnsi="仿宋" w:eastAsia="仿宋" w:cs="仿宋"/>
          <w:color w:val="auto"/>
          <w:spacing w:val="-2"/>
          <w:sz w:val="32"/>
          <w:szCs w:val="32"/>
          <w:lang w:val="en-US" w:eastAsia="zh-CN"/>
        </w:rPr>
        <w:t>（4）在合理布局的前提下缩短运距以减少建筑垃圾运输成本，并优先考虑资源化处理设施与消纳场相结合的布局模式。</w:t>
      </w:r>
    </w:p>
    <w:p>
      <w:pPr>
        <w:keepNext w:val="0"/>
        <w:keepLines w:val="0"/>
        <w:pageBreakBefore w:val="0"/>
        <w:widowControl w:val="0"/>
        <w:kinsoku/>
        <w:wordWrap/>
        <w:overflowPunct/>
        <w:topLinePunct w:val="0"/>
        <w:autoSpaceDE/>
        <w:autoSpaceDN/>
        <w:bidi w:val="0"/>
        <w:adjustRightInd/>
        <w:snapToGrid/>
        <w:spacing w:line="600" w:lineRule="exact"/>
        <w:ind w:left="0" w:firstLine="505" w:firstLineChars="160"/>
        <w:jc w:val="both"/>
        <w:textAlignment w:val="auto"/>
        <w:rPr>
          <w:rFonts w:hint="eastAsia" w:ascii="仿宋" w:hAnsi="仿宋" w:eastAsia="仿宋" w:cs="仿宋"/>
          <w:color w:val="auto"/>
          <w:spacing w:val="-2"/>
          <w:sz w:val="32"/>
          <w:szCs w:val="32"/>
          <w:lang w:val="en-US" w:eastAsia="zh-CN"/>
        </w:rPr>
      </w:pPr>
      <w:r>
        <w:rPr>
          <w:rFonts w:hint="eastAsia" w:ascii="仿宋" w:hAnsi="仿宋" w:eastAsia="仿宋" w:cs="仿宋"/>
          <w:color w:val="auto"/>
          <w:spacing w:val="-2"/>
          <w:sz w:val="32"/>
          <w:szCs w:val="32"/>
          <w:lang w:val="en-US" w:eastAsia="zh-CN"/>
        </w:rPr>
        <w:t>（5）按不同建筑垃圾的特点，因地制宜布局填埋场，工程渣土（含工程泥浆）的填埋场按绿林地、生态间隔带、矿山修复等布局，工程垃圾、装修垃圾和拆除垃圾在考虑运距的前提下均衡布局。</w:t>
      </w:r>
    </w:p>
    <w:p>
      <w:pPr>
        <w:keepNext w:val="0"/>
        <w:keepLines w:val="0"/>
        <w:pageBreakBefore w:val="0"/>
        <w:widowControl w:val="0"/>
        <w:kinsoku/>
        <w:wordWrap/>
        <w:overflowPunct/>
        <w:topLinePunct w:val="0"/>
        <w:autoSpaceDE/>
        <w:autoSpaceDN/>
        <w:bidi w:val="0"/>
        <w:adjustRightInd/>
        <w:snapToGrid/>
        <w:spacing w:line="600" w:lineRule="exact"/>
        <w:ind w:left="0" w:firstLine="505" w:firstLineChars="160"/>
        <w:jc w:val="both"/>
        <w:textAlignment w:val="auto"/>
        <w:rPr>
          <w:rFonts w:hint="eastAsia" w:ascii="仿宋" w:hAnsi="仿宋" w:eastAsia="仿宋" w:cs="仿宋"/>
          <w:color w:val="auto"/>
          <w:spacing w:val="-2"/>
          <w:sz w:val="32"/>
          <w:szCs w:val="32"/>
          <w:lang w:val="en-US" w:eastAsia="zh-CN"/>
        </w:rPr>
      </w:pPr>
      <w:r>
        <w:rPr>
          <w:rFonts w:hint="eastAsia" w:ascii="仿宋" w:hAnsi="仿宋" w:eastAsia="仿宋" w:cs="仿宋"/>
          <w:color w:val="auto"/>
          <w:spacing w:val="-2"/>
          <w:sz w:val="32"/>
          <w:szCs w:val="32"/>
          <w:lang w:val="en-US" w:eastAsia="zh-CN"/>
        </w:rPr>
        <w:t>（6）场址不应受洪水、潮水或内涝的威胁。当必须建在该类地区时，应有可靠的防洪、排涝措施，其防洪标准应符合现行国家标准《防洪标准》（GB50201-2014）的有关规定。</w:t>
      </w:r>
    </w:p>
    <w:p>
      <w:pPr>
        <w:keepNext w:val="0"/>
        <w:keepLines w:val="0"/>
        <w:pageBreakBefore w:val="0"/>
        <w:widowControl w:val="0"/>
        <w:kinsoku/>
        <w:wordWrap/>
        <w:overflowPunct/>
        <w:topLinePunct w:val="0"/>
        <w:autoSpaceDE/>
        <w:autoSpaceDN/>
        <w:bidi w:val="0"/>
        <w:adjustRightInd/>
        <w:snapToGrid/>
        <w:spacing w:line="600" w:lineRule="exact"/>
        <w:ind w:left="0" w:firstLine="505" w:firstLineChars="160"/>
        <w:jc w:val="both"/>
        <w:textAlignment w:val="auto"/>
        <w:rPr>
          <w:rFonts w:hint="eastAsia" w:ascii="仿宋" w:hAnsi="仿宋" w:eastAsia="仿宋" w:cs="仿宋"/>
          <w:color w:val="auto"/>
          <w:spacing w:val="-2"/>
          <w:sz w:val="32"/>
          <w:szCs w:val="32"/>
          <w:lang w:val="en-US" w:eastAsia="zh-CN"/>
        </w:rPr>
      </w:pPr>
      <w:r>
        <w:rPr>
          <w:rFonts w:hint="eastAsia" w:ascii="仿宋" w:hAnsi="仿宋" w:eastAsia="仿宋" w:cs="仿宋"/>
          <w:color w:val="auto"/>
          <w:spacing w:val="-2"/>
          <w:sz w:val="32"/>
          <w:szCs w:val="32"/>
          <w:lang w:val="en-US" w:eastAsia="zh-CN"/>
        </w:rPr>
        <w:t>（7）宜在城市规划建成区边缘或以外设置，应选符合防洪要求、具备运输条件的具有自然低洼地势的山坳、采石场废坑或土地及地下水利用价值低的地区。不得设置在风景名胜区、自然保护区、饮用水源保护地、水系河流沿线、重要生态廊道带、各类生态保护区等其他需要特别保护的区域。</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outlineLvl w:val="1"/>
        <w:rPr>
          <w:rFonts w:hint="default" w:ascii="楷体" w:hAnsi="楷体" w:eastAsia="楷体" w:cs="楷体"/>
          <w:b w:val="0"/>
          <w:bCs w:val="0"/>
          <w:color w:val="auto"/>
          <w:sz w:val="32"/>
          <w:szCs w:val="32"/>
          <w:lang w:val="en-US" w:eastAsia="zh-CN"/>
        </w:rPr>
      </w:pPr>
      <w:bookmarkStart w:id="86" w:name="_Toc10621"/>
      <w:bookmarkStart w:id="87" w:name="_Toc31904"/>
      <w:r>
        <w:rPr>
          <w:rFonts w:hint="default" w:ascii="楷体" w:hAnsi="楷体" w:eastAsia="楷体" w:cs="楷体"/>
          <w:b w:val="0"/>
          <w:bCs w:val="0"/>
          <w:color w:val="auto"/>
          <w:sz w:val="32"/>
          <w:szCs w:val="32"/>
          <w:lang w:val="en-US" w:eastAsia="zh-CN"/>
        </w:rPr>
        <w:t>6.2</w:t>
      </w:r>
      <w:r>
        <w:rPr>
          <w:rFonts w:hint="eastAsia" w:ascii="楷体" w:hAnsi="楷体" w:eastAsia="楷体" w:cs="楷体"/>
          <w:b w:val="0"/>
          <w:bCs w:val="0"/>
          <w:color w:val="auto"/>
          <w:sz w:val="32"/>
          <w:szCs w:val="32"/>
          <w:lang w:val="en-US" w:eastAsia="zh-CN"/>
        </w:rPr>
        <w:t xml:space="preserve"> </w:t>
      </w:r>
      <w:r>
        <w:rPr>
          <w:rFonts w:hint="default" w:ascii="楷体" w:hAnsi="楷体" w:eastAsia="楷体" w:cs="楷体"/>
          <w:b w:val="0"/>
          <w:bCs w:val="0"/>
          <w:color w:val="auto"/>
          <w:sz w:val="32"/>
          <w:szCs w:val="32"/>
          <w:lang w:val="en-US" w:eastAsia="zh-CN"/>
        </w:rPr>
        <w:t>处置设施规划</w:t>
      </w:r>
      <w:bookmarkEnd w:id="86"/>
      <w:bookmarkEnd w:id="87"/>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88" w:name="_Toc12003"/>
      <w:r>
        <w:rPr>
          <w:rFonts w:hint="default" w:ascii="仿宋" w:hAnsi="仿宋" w:eastAsia="仿宋" w:cs="仿宋"/>
          <w:b w:val="0"/>
          <w:bCs w:val="0"/>
          <w:color w:val="auto"/>
          <w:spacing w:val="-2"/>
          <w:sz w:val="32"/>
          <w:szCs w:val="32"/>
          <w:lang w:val="en-US" w:eastAsia="zh-CN" w:bidi="ar-SA"/>
        </w:rPr>
        <w:t>6.2.1</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处置设施布局规划</w:t>
      </w:r>
      <w:bookmarkEnd w:id="88"/>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按照“就地处理，就近回用，最大限度地降低运输成本”的原则，综合考虑建筑垃圾产生量及其分布、运输半径、环境保护等因素，合理规划全县建筑垃圾消纳场布点。</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根据《建筑垃圾处理技术标准》（CJJ/T134-2019）规定，建筑垃圾消纳场每平方米填埋库区建筑垃圾填埋量不宜低于10立方米，综合考虑节约用地、提升土地资源利用效率及拟选址消纳场位置高程等因素，规划每平方米填埋库区建筑垃圾填埋量为10—30立方米。</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目前金口河区已有1座建筑垃圾临时堆放场（装修垃圾场）。</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89" w:name="_Toc10627"/>
      <w:r>
        <w:rPr>
          <w:rFonts w:hint="default" w:ascii="仿宋" w:hAnsi="仿宋" w:eastAsia="仿宋" w:cs="仿宋"/>
          <w:b w:val="0"/>
          <w:bCs w:val="0"/>
          <w:color w:val="auto"/>
          <w:spacing w:val="-2"/>
          <w:sz w:val="32"/>
          <w:szCs w:val="32"/>
          <w:lang w:val="en-US" w:eastAsia="zh-CN" w:bidi="ar-SA"/>
        </w:rPr>
        <w:t>6.2.2</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处置基本要求</w:t>
      </w:r>
      <w:bookmarkEnd w:id="89"/>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1.处置核准</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以核发《城市建筑垃圾处置核准》为依据，采用特许经营方式或其他方式进行处置（含倾倒、收集、中转、运输、消纳、资源化利用等所有处置活动）。</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2.处置标准</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建筑垃圾处理设施应满足《建筑垃圾处理技术标准》（CJJ/T134-2019）等相关标准，严格执行分区作业、堆填高度等要求；规范作业管理，严格控制废气、废水、粉尘、噪音污染，符合环境保护要求。以无害化为基本要求，以资源化为科学途径，按照标准的技术要求进行科学处理，生产合格的再生建材产品，最大程度实现建筑固废资源循环利用，并使建筑垃圾中掺和的不可再生废弃物得到无害化处置。</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3.分类处置方式</w:t>
      </w:r>
    </w:p>
    <w:p>
      <w:pPr>
        <w:keepNext w:val="0"/>
        <w:keepLines w:val="0"/>
        <w:pageBreakBefore w:val="0"/>
        <w:widowControl w:val="0"/>
        <w:kinsoku/>
        <w:wordWrap/>
        <w:overflowPunct/>
        <w:topLinePunct w:val="0"/>
        <w:autoSpaceDE/>
        <w:autoSpaceDN/>
        <w:bidi w:val="0"/>
        <w:adjustRightInd/>
        <w:snapToGrid/>
        <w:spacing w:line="600" w:lineRule="exact"/>
        <w:ind w:left="0"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（1）源头减量</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应从源头减少建筑垃圾的产生，秉承“谁产生谁负责”的基本原则，建设单位要做好建筑垃圾减量化工作，并明确工程施工、监理单位的建筑垃圾减量责任。在规划设计时须把建筑垃圾（工程渣土）产生量与项目场内自平衡相结合，减少建筑垃圾（工程渣土）外运量。</w:t>
      </w:r>
    </w:p>
    <w:p>
      <w:pPr>
        <w:keepNext w:val="0"/>
        <w:keepLines w:val="0"/>
        <w:pageBreakBefore w:val="0"/>
        <w:widowControl w:val="0"/>
        <w:kinsoku/>
        <w:wordWrap/>
        <w:overflowPunct/>
        <w:topLinePunct w:val="0"/>
        <w:autoSpaceDE/>
        <w:autoSpaceDN/>
        <w:bidi w:val="0"/>
        <w:adjustRightInd/>
        <w:snapToGrid/>
        <w:spacing w:line="600" w:lineRule="exact"/>
        <w:ind w:left="0"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（2）无害化处置</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①工程回填</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工程渣土、工程泥浆直接利用方式主要为堆土造景、矿坑回填、山体复绿、复耕回填、道路工程回填、工程项目回填等。工程垃圾、拆除垃圾的直接利用方式主要有用作渣土桩填料，用作夯扩桩填料，建筑物拆除垃圾中完整尺寸的砖块经收集整理一般用于建筑施工工地的围墙、公路防护墙建设等，在城市兴建大型建筑、广场、市政设施时，将其作为回填材料来使用。</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②固定消纳</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由于建筑垃圾属于惰性无机物，因此可采用陆域安全堆填方式进行无害化处置，主要处置超出资源化利用水平和能力的其他建筑垃圾和通过再生资源化利用后的少部分生产废料。</w:t>
      </w:r>
    </w:p>
    <w:p>
      <w:pPr>
        <w:keepNext w:val="0"/>
        <w:keepLines w:val="0"/>
        <w:pageBreakBefore w:val="0"/>
        <w:widowControl w:val="0"/>
        <w:kinsoku/>
        <w:wordWrap/>
        <w:overflowPunct/>
        <w:topLinePunct w:val="0"/>
        <w:autoSpaceDE/>
        <w:autoSpaceDN/>
        <w:bidi w:val="0"/>
        <w:adjustRightInd/>
        <w:snapToGrid/>
        <w:spacing w:line="600" w:lineRule="exact"/>
        <w:ind w:left="0"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（3）资源化利用</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建筑垃圾的资源化再生利用主要分为回收利用和再生利用，其中回收利用主要回收可回收金属类、轻物质料（木料、塑料、布料等）、砖块瓦类等建筑垃圾，再生利用主要可用于生产再生材料（如再生粉料、再生骨料、路基材料等）和再生制品（如再生骨料混凝土及其构件、再生骨料砂浆、再生混合料、再生混凝土砖、再生混凝土砌块、再生混凝土墙板、再生装配式建材、环保砖、烧结砖和烧结砌块等）。</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outlineLvl w:val="1"/>
        <w:rPr>
          <w:rFonts w:hint="default" w:ascii="楷体" w:hAnsi="楷体" w:eastAsia="楷体" w:cs="楷体"/>
          <w:b w:val="0"/>
          <w:bCs w:val="0"/>
          <w:color w:val="auto"/>
          <w:sz w:val="32"/>
          <w:szCs w:val="32"/>
          <w:lang w:val="en-US" w:eastAsia="zh-CN"/>
        </w:rPr>
      </w:pPr>
      <w:bookmarkStart w:id="90" w:name="_Toc24218"/>
      <w:bookmarkStart w:id="91" w:name="_Toc26634"/>
      <w:r>
        <w:rPr>
          <w:rFonts w:hint="default" w:ascii="楷体" w:hAnsi="楷体" w:eastAsia="楷体" w:cs="楷体"/>
          <w:b w:val="0"/>
          <w:bCs w:val="0"/>
          <w:color w:val="auto"/>
          <w:sz w:val="32"/>
          <w:szCs w:val="32"/>
          <w:lang w:val="en-US" w:eastAsia="zh-CN"/>
        </w:rPr>
        <w:t>6.3</w:t>
      </w:r>
      <w:r>
        <w:rPr>
          <w:rFonts w:hint="eastAsia" w:ascii="楷体" w:hAnsi="楷体" w:eastAsia="楷体" w:cs="楷体"/>
          <w:b w:val="0"/>
          <w:bCs w:val="0"/>
          <w:color w:val="auto"/>
          <w:sz w:val="32"/>
          <w:szCs w:val="32"/>
          <w:lang w:val="en-US" w:eastAsia="zh-CN"/>
        </w:rPr>
        <w:t xml:space="preserve"> </w:t>
      </w:r>
      <w:r>
        <w:rPr>
          <w:rFonts w:hint="default" w:ascii="楷体" w:hAnsi="楷体" w:eastAsia="楷体" w:cs="楷体"/>
          <w:b w:val="0"/>
          <w:bCs w:val="0"/>
          <w:color w:val="auto"/>
          <w:sz w:val="32"/>
          <w:szCs w:val="32"/>
          <w:lang w:val="en-US" w:eastAsia="zh-CN"/>
        </w:rPr>
        <w:t>资源化利用设施规划</w:t>
      </w:r>
      <w:bookmarkEnd w:id="90"/>
      <w:bookmarkEnd w:id="91"/>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92" w:name="_Toc16415"/>
      <w:r>
        <w:rPr>
          <w:rFonts w:hint="default" w:ascii="仿宋" w:hAnsi="仿宋" w:eastAsia="仿宋" w:cs="仿宋"/>
          <w:b w:val="0"/>
          <w:bCs w:val="0"/>
          <w:color w:val="auto"/>
          <w:spacing w:val="-2"/>
          <w:sz w:val="32"/>
          <w:szCs w:val="32"/>
          <w:lang w:val="en-US" w:eastAsia="zh-CN" w:bidi="ar-SA"/>
        </w:rPr>
        <w:t>6.3.1</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资源化利用基本要求</w:t>
      </w:r>
      <w:bookmarkEnd w:id="92"/>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1.处置核准</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遵循项目推进实施方案要求，以核发《城市建筑垃圾处置核准》为依据，采用特许经营方式或其他方式进行处置（含倾倒、收集、中转、运输、消纳、资源化利用等所有处置活动）。</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2.规划原则</w:t>
      </w:r>
    </w:p>
    <w:p>
      <w:pPr>
        <w:keepNext w:val="0"/>
        <w:keepLines w:val="0"/>
        <w:pageBreakBefore w:val="0"/>
        <w:widowControl w:val="0"/>
        <w:kinsoku/>
        <w:wordWrap/>
        <w:overflowPunct/>
        <w:topLinePunct w:val="0"/>
        <w:autoSpaceDE/>
        <w:autoSpaceDN/>
        <w:bidi w:val="0"/>
        <w:adjustRightInd/>
        <w:snapToGrid/>
        <w:spacing w:line="600" w:lineRule="exact"/>
        <w:ind w:left="0"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（1）资源化利用的原则</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实现再生资源由“垃圾→源头分类→回收→运输→资源化利用前分拣整理→加工→利用→消费”的循环利用一体化原则。</w:t>
      </w:r>
    </w:p>
    <w:p>
      <w:pPr>
        <w:keepNext w:val="0"/>
        <w:keepLines w:val="0"/>
        <w:pageBreakBefore w:val="0"/>
        <w:widowControl w:val="0"/>
        <w:kinsoku/>
        <w:wordWrap/>
        <w:overflowPunct/>
        <w:topLinePunct w:val="0"/>
        <w:autoSpaceDE/>
        <w:autoSpaceDN/>
        <w:bidi w:val="0"/>
        <w:adjustRightInd/>
        <w:snapToGrid/>
        <w:spacing w:line="600" w:lineRule="exact"/>
        <w:ind w:left="0"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（2）绿色环保原则</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项目规划以绿色环保为主题，消灭二次污染，改善城市自然环境。</w:t>
      </w:r>
    </w:p>
    <w:p>
      <w:pPr>
        <w:keepNext w:val="0"/>
        <w:keepLines w:val="0"/>
        <w:pageBreakBefore w:val="0"/>
        <w:widowControl w:val="0"/>
        <w:kinsoku/>
        <w:wordWrap/>
        <w:overflowPunct/>
        <w:topLinePunct w:val="0"/>
        <w:autoSpaceDE/>
        <w:autoSpaceDN/>
        <w:bidi w:val="0"/>
        <w:adjustRightInd/>
        <w:snapToGrid/>
        <w:spacing w:line="600" w:lineRule="exact"/>
        <w:ind w:left="0"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（3）协调性原则</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网络体系的设置符合《金口河区国土空间总体规划（2021—2035年）》，统一规划，合理布局。</w:t>
      </w:r>
    </w:p>
    <w:p>
      <w:pPr>
        <w:keepNext w:val="0"/>
        <w:keepLines w:val="0"/>
        <w:pageBreakBefore w:val="0"/>
        <w:widowControl w:val="0"/>
        <w:kinsoku/>
        <w:wordWrap/>
        <w:overflowPunct/>
        <w:topLinePunct w:val="0"/>
        <w:autoSpaceDE/>
        <w:autoSpaceDN/>
        <w:bidi w:val="0"/>
        <w:adjustRightInd/>
        <w:snapToGrid/>
        <w:spacing w:line="600" w:lineRule="exact"/>
        <w:ind w:left="0"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（4）服务性原则</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项目规划以金口河区的实际为出发点，服从和服务于金口河区的经济社会发展总体目标。</w:t>
      </w:r>
    </w:p>
    <w:p>
      <w:pPr>
        <w:keepNext w:val="0"/>
        <w:keepLines w:val="0"/>
        <w:pageBreakBefore w:val="0"/>
        <w:widowControl w:val="0"/>
        <w:kinsoku/>
        <w:wordWrap/>
        <w:overflowPunct/>
        <w:topLinePunct w:val="0"/>
        <w:autoSpaceDE/>
        <w:autoSpaceDN/>
        <w:bidi w:val="0"/>
        <w:adjustRightInd/>
        <w:snapToGrid/>
        <w:spacing w:line="600" w:lineRule="exact"/>
        <w:ind w:left="0"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（5）可操作性原则</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项目规划应具有较强操作性，以保证其能得到有效实施。</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93" w:name="_Toc2601"/>
      <w:r>
        <w:rPr>
          <w:rFonts w:hint="default" w:ascii="仿宋" w:hAnsi="仿宋" w:eastAsia="仿宋" w:cs="仿宋"/>
          <w:b w:val="0"/>
          <w:bCs w:val="0"/>
          <w:color w:val="auto"/>
          <w:spacing w:val="-2"/>
          <w:sz w:val="32"/>
          <w:szCs w:val="32"/>
          <w:lang w:val="en-US" w:eastAsia="zh-CN" w:bidi="ar-SA"/>
        </w:rPr>
        <w:t>6.3.2</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综合处理方案选择原则</w:t>
      </w:r>
      <w:bookmarkEnd w:id="93"/>
    </w:p>
    <w:p>
      <w:pPr>
        <w:keepNext w:val="0"/>
        <w:keepLines w:val="0"/>
        <w:pageBreakBefore w:val="0"/>
        <w:widowControl w:val="0"/>
        <w:kinsoku/>
        <w:wordWrap/>
        <w:overflowPunct/>
        <w:topLinePunct w:val="0"/>
        <w:autoSpaceDE/>
        <w:autoSpaceDN/>
        <w:bidi w:val="0"/>
        <w:adjustRightInd/>
        <w:snapToGrid/>
        <w:spacing w:line="600" w:lineRule="exact"/>
        <w:ind w:left="0"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（1）建筑废弃物的类别</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建筑废弃物的类别直接决定着建筑废弃物在综合利用时，所采用的工艺及方式，应对不同类别的建筑废弃物分类收集、储存、处理和资源化利用。如建筑拆除渣土在源头就应该考虑直接回填使用，而不能考虑终端资源化利用；砖混结构建筑废弃物资源化产品价值不高，可考虑做成无机结合料作为道路垫层使用。</w:t>
      </w:r>
    </w:p>
    <w:p>
      <w:pPr>
        <w:keepNext w:val="0"/>
        <w:keepLines w:val="0"/>
        <w:pageBreakBefore w:val="0"/>
        <w:widowControl w:val="0"/>
        <w:kinsoku/>
        <w:wordWrap/>
        <w:overflowPunct/>
        <w:topLinePunct w:val="0"/>
        <w:autoSpaceDE/>
        <w:autoSpaceDN/>
        <w:bidi w:val="0"/>
        <w:adjustRightInd/>
        <w:snapToGrid/>
        <w:spacing w:line="600" w:lineRule="exact"/>
        <w:ind w:left="0"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（2）建筑废弃物的成分</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建筑废弃物的成分也在一定程度上决定了工艺，为实现资源化利用目的，需在工艺环节上充分去除建筑废弃物中的杂物，分离不同成分的物质。不同的来源所产生的建筑废弃物成分是不一样的，而且存在着明显的区别，需要根据建筑废弃物的来源及成分针对性考虑主导的综合利用工艺及产品方案。</w:t>
      </w:r>
    </w:p>
    <w:p>
      <w:pPr>
        <w:keepNext w:val="0"/>
        <w:keepLines w:val="0"/>
        <w:pageBreakBefore w:val="0"/>
        <w:widowControl w:val="0"/>
        <w:kinsoku/>
        <w:wordWrap/>
        <w:overflowPunct/>
        <w:topLinePunct w:val="0"/>
        <w:autoSpaceDE/>
        <w:autoSpaceDN/>
        <w:bidi w:val="0"/>
        <w:adjustRightInd/>
        <w:snapToGrid/>
        <w:spacing w:line="600" w:lineRule="exact"/>
        <w:ind w:left="0"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（3）市场对产品的需要</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建筑废弃物资源化利用项目采用市场化运作模式，就要求建筑废弃物综合利用产品方案不仅要能够适应市场的需求，还要满足国家标准和实际使用过程中的产品质量要求，使建筑废弃物资源化产品销路畅通，促进建筑废弃物处理和资源化利用可持续发展。</w:t>
      </w:r>
    </w:p>
    <w:p>
      <w:pPr>
        <w:keepNext w:val="0"/>
        <w:keepLines w:val="0"/>
        <w:pageBreakBefore w:val="0"/>
        <w:widowControl w:val="0"/>
        <w:kinsoku/>
        <w:wordWrap/>
        <w:overflowPunct/>
        <w:topLinePunct w:val="0"/>
        <w:autoSpaceDE/>
        <w:autoSpaceDN/>
        <w:bidi w:val="0"/>
        <w:adjustRightInd/>
        <w:snapToGrid/>
        <w:spacing w:line="600" w:lineRule="exact"/>
        <w:ind w:left="0"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（4）符合国家相关产业政策</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建筑废弃物资源化利用产品方案应符合国家、地方的产业政策，并具有较高的技术含量和较强的市场竞争力。同时，还应考虑到相关的环保要求等因素。</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此外，在实际推进过程中</w:t>
      </w:r>
      <w:r>
        <w:rPr>
          <w:rFonts w:hint="eastAsia" w:ascii="仿宋" w:hAnsi="仿宋" w:eastAsia="仿宋" w:cs="仿宋"/>
          <w:color w:val="auto"/>
          <w:spacing w:val="-2"/>
          <w:sz w:val="32"/>
          <w:szCs w:val="32"/>
          <w:lang w:val="en-US" w:eastAsia="zh-CN"/>
        </w:rPr>
        <w:t>，</w:t>
      </w:r>
      <w:r>
        <w:rPr>
          <w:rFonts w:hint="default" w:ascii="仿宋" w:hAnsi="仿宋" w:eastAsia="仿宋" w:cs="仿宋"/>
          <w:color w:val="auto"/>
          <w:spacing w:val="-2"/>
          <w:sz w:val="32"/>
          <w:szCs w:val="32"/>
          <w:lang w:val="en-US" w:eastAsia="zh-CN"/>
        </w:rPr>
        <w:t>应考虑所采用的主要原辅料的配套，另外，产品方案应与可能获得技术装备水平相适应，有利于环境污染控制。</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94" w:name="_Toc19820"/>
      <w:r>
        <w:rPr>
          <w:rFonts w:hint="default" w:ascii="仿宋" w:hAnsi="仿宋" w:eastAsia="仿宋" w:cs="仿宋"/>
          <w:b w:val="0"/>
          <w:bCs w:val="0"/>
          <w:color w:val="auto"/>
          <w:spacing w:val="-2"/>
          <w:sz w:val="32"/>
          <w:szCs w:val="32"/>
          <w:lang w:val="en-US" w:eastAsia="zh-CN" w:bidi="ar-SA"/>
        </w:rPr>
        <w:t>6.3.3</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资源化利用总体思路</w:t>
      </w:r>
      <w:bookmarkEnd w:id="94"/>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建筑废弃物、装修垃圾，根据不同的来源放置于不同的储存区内，在储存区内进行预处理，供后续生产使用。建筑垃圾经预处理、分选分离、破碎筛分处理后制成再生骨料后外售。装修垃圾经过破碎、分选等工艺处理后骨料外售、金属外售、其余的运往焚烧厂进行焚烧处理。</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95" w:name="_Toc6122"/>
      <w:r>
        <w:rPr>
          <w:rFonts w:hint="default" w:ascii="仿宋" w:hAnsi="仿宋" w:eastAsia="仿宋" w:cs="仿宋"/>
          <w:b w:val="0"/>
          <w:bCs w:val="0"/>
          <w:color w:val="auto"/>
          <w:spacing w:val="-2"/>
          <w:sz w:val="32"/>
          <w:szCs w:val="32"/>
          <w:lang w:val="en-US" w:eastAsia="zh-CN" w:bidi="ar-SA"/>
        </w:rPr>
        <w:t>6.3.4</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资源化利用产出标准</w:t>
      </w:r>
      <w:bookmarkEnd w:id="95"/>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按《建筑废弃物再生工厂设计标准》（GB51322-2018）中的资源化水平进行建设。将建筑垃圾、装修垃圾制成再生骨料后外售处理。</w:t>
      </w:r>
    </w:p>
    <w:p>
      <w:pPr>
        <w:keepNext w:val="0"/>
        <w:keepLines w:val="0"/>
        <w:pageBreakBefore w:val="0"/>
        <w:widowControl w:val="0"/>
        <w:kinsoku/>
        <w:wordWrap/>
        <w:overflowPunct/>
        <w:topLinePunct w:val="0"/>
        <w:autoSpaceDE/>
        <w:autoSpaceDN/>
        <w:bidi w:val="0"/>
        <w:adjustRightInd/>
        <w:snapToGrid/>
        <w:spacing w:before="10" w:line="363" w:lineRule="auto"/>
        <w:jc w:val="center"/>
        <w:textAlignment w:val="auto"/>
        <w:rPr>
          <w:rFonts w:hint="default" w:ascii="Times New Roman" w:hAnsi="Times New Roman" w:eastAsia="仿宋" w:cs="Times New Roman"/>
          <w:b/>
          <w:bCs/>
          <w:color w:val="auto"/>
          <w:spacing w:val="-2"/>
          <w:sz w:val="30"/>
          <w:szCs w:val="30"/>
          <w:lang w:val="en-US" w:eastAsia="zh-CN"/>
        </w:rPr>
      </w:pPr>
      <w:r>
        <w:rPr>
          <w:rFonts w:hint="default" w:ascii="Times New Roman" w:hAnsi="Times New Roman" w:eastAsia="仿宋" w:cs="Times New Roman"/>
          <w:b/>
          <w:bCs/>
          <w:color w:val="auto"/>
          <w:spacing w:val="-2"/>
          <w:sz w:val="30"/>
          <w:szCs w:val="30"/>
          <w:lang w:val="en-US" w:eastAsia="zh-CN"/>
        </w:rPr>
        <w:t>表6-1 建筑废弃物再生工厂资源化水平分类</w:t>
      </w:r>
    </w:p>
    <w:tbl>
      <w:tblPr>
        <w:tblStyle w:val="41"/>
        <w:tblW w:w="8109" w:type="dxa"/>
        <w:jc w:val="center"/>
        <w:tblBorders>
          <w:top w:val="single" w:color="000000" w:sz="12" w:space="0"/>
          <w:left w:val="single" w:color="000000" w:sz="2" w:space="0"/>
          <w:bottom w:val="single" w:color="000000" w:sz="12" w:space="0"/>
          <w:right w:val="single" w:color="000000" w:sz="2" w:space="0"/>
          <w:insideH w:val="single" w:color="000000" w:sz="2" w:space="0"/>
          <w:insideV w:val="single" w:color="000000" w:sz="2" w:space="0"/>
        </w:tblBorders>
        <w:shd w:val="clear" w:color="auto" w:fill="auto"/>
        <w:tblLayout w:type="autofit"/>
        <w:tblCellMar>
          <w:top w:w="0" w:type="dxa"/>
          <w:left w:w="108" w:type="dxa"/>
          <w:bottom w:w="0" w:type="dxa"/>
          <w:right w:w="108" w:type="dxa"/>
        </w:tblCellMar>
      </w:tblPr>
      <w:tblGrid>
        <w:gridCol w:w="3474"/>
        <w:gridCol w:w="1487"/>
        <w:gridCol w:w="1527"/>
        <w:gridCol w:w="1621"/>
      </w:tblGrid>
      <w:tr>
        <w:tblPrEx>
          <w:tblBorders>
            <w:top w:val="single" w:color="000000" w:sz="12" w:space="0"/>
            <w:left w:val="single" w:color="000000" w:sz="2" w:space="0"/>
            <w:bottom w:val="single" w:color="000000" w:sz="1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39" w:hRule="atLeast"/>
          <w:jc w:val="center"/>
        </w:trPr>
        <w:tc>
          <w:tcPr>
            <w:tcW w:w="34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工艺系统配置</w:t>
            </w:r>
          </w:p>
        </w:tc>
        <w:tc>
          <w:tcPr>
            <w:tcW w:w="14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Ⅰ类</w:t>
            </w:r>
          </w:p>
        </w:tc>
        <w:tc>
          <w:tcPr>
            <w:tcW w:w="152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Ⅱ类</w:t>
            </w:r>
          </w:p>
        </w:tc>
        <w:tc>
          <w:tcPr>
            <w:tcW w:w="162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b/>
                <w:bCs/>
                <w:i w:val="0"/>
                <w:iCs w:val="0"/>
                <w:color w:val="000000"/>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Ⅲ类</w:t>
            </w:r>
          </w:p>
        </w:tc>
      </w:tr>
      <w:tr>
        <w:tblPrEx>
          <w:tblBorders>
            <w:top w:val="single" w:color="000000" w:sz="12" w:space="0"/>
            <w:left w:val="single" w:color="000000" w:sz="2" w:space="0"/>
            <w:bottom w:val="single" w:color="000000" w:sz="1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39" w:hRule="atLeast"/>
          <w:jc w:val="center"/>
        </w:trPr>
        <w:tc>
          <w:tcPr>
            <w:tcW w:w="34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预处理系统</w:t>
            </w:r>
          </w:p>
        </w:tc>
        <w:tc>
          <w:tcPr>
            <w:tcW w:w="14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sz w:val="28"/>
                <w:szCs w:val="28"/>
                <w:u w:val="none"/>
                <w:lang w:eastAsia="zh-CN"/>
              </w:rPr>
            </w:pPr>
            <w:r>
              <w:rPr>
                <w:rFonts w:hint="eastAsia" w:ascii="仿宋" w:hAnsi="仿宋" w:eastAsia="仿宋" w:cs="仿宋"/>
                <w:i w:val="0"/>
                <w:iCs w:val="0"/>
                <w:color w:val="000000"/>
                <w:sz w:val="28"/>
                <w:szCs w:val="28"/>
                <w:u w:val="none"/>
                <w:lang w:eastAsia="zh-CN"/>
              </w:rPr>
              <w:t>●</w:t>
            </w:r>
          </w:p>
        </w:tc>
        <w:tc>
          <w:tcPr>
            <w:tcW w:w="152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sz w:val="28"/>
                <w:szCs w:val="28"/>
                <w:u w:val="none"/>
                <w:lang w:eastAsia="zh-CN"/>
              </w:rPr>
              <w:t>●</w:t>
            </w:r>
          </w:p>
        </w:tc>
        <w:tc>
          <w:tcPr>
            <w:tcW w:w="162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sz w:val="28"/>
                <w:szCs w:val="28"/>
                <w:u w:val="none"/>
                <w:lang w:eastAsia="zh-CN"/>
              </w:rPr>
              <w:t>●</w:t>
            </w:r>
          </w:p>
        </w:tc>
      </w:tr>
      <w:tr>
        <w:tblPrEx>
          <w:tblBorders>
            <w:top w:val="single" w:color="000000" w:sz="12" w:space="0"/>
            <w:left w:val="single" w:color="000000" w:sz="2" w:space="0"/>
            <w:bottom w:val="single" w:color="000000" w:sz="1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39" w:hRule="atLeast"/>
          <w:jc w:val="center"/>
        </w:trPr>
        <w:tc>
          <w:tcPr>
            <w:tcW w:w="34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sz w:val="28"/>
                <w:szCs w:val="28"/>
                <w:u w:val="none"/>
                <w:lang w:eastAsia="zh-CN"/>
              </w:rPr>
            </w:pPr>
            <w:r>
              <w:rPr>
                <w:rFonts w:hint="eastAsia" w:ascii="仿宋" w:hAnsi="仿宋" w:eastAsia="仿宋" w:cs="仿宋"/>
                <w:i w:val="0"/>
                <w:iCs w:val="0"/>
                <w:color w:val="000000"/>
                <w:sz w:val="28"/>
                <w:szCs w:val="28"/>
                <w:u w:val="none"/>
                <w:lang w:eastAsia="zh-CN"/>
              </w:rPr>
              <w:t>分选分离系统</w:t>
            </w:r>
          </w:p>
        </w:tc>
        <w:tc>
          <w:tcPr>
            <w:tcW w:w="14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sz w:val="28"/>
                <w:szCs w:val="28"/>
                <w:u w:val="none"/>
                <w:lang w:eastAsia="zh-CN"/>
              </w:rPr>
              <w:t>●</w:t>
            </w:r>
          </w:p>
        </w:tc>
        <w:tc>
          <w:tcPr>
            <w:tcW w:w="152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sz w:val="28"/>
                <w:szCs w:val="28"/>
                <w:u w:val="none"/>
                <w:lang w:eastAsia="zh-CN"/>
              </w:rPr>
              <w:t>●</w:t>
            </w:r>
          </w:p>
        </w:tc>
        <w:tc>
          <w:tcPr>
            <w:tcW w:w="162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sz w:val="28"/>
                <w:szCs w:val="28"/>
                <w:u w:val="none"/>
                <w:lang w:eastAsia="zh-CN"/>
              </w:rPr>
              <w:t>●</w:t>
            </w:r>
          </w:p>
        </w:tc>
      </w:tr>
      <w:tr>
        <w:tblPrEx>
          <w:tblBorders>
            <w:top w:val="single" w:color="000000" w:sz="12" w:space="0"/>
            <w:left w:val="single" w:color="000000" w:sz="2" w:space="0"/>
            <w:bottom w:val="single" w:color="000000" w:sz="1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48" w:hRule="atLeast"/>
          <w:jc w:val="center"/>
        </w:trPr>
        <w:tc>
          <w:tcPr>
            <w:tcW w:w="34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sz w:val="28"/>
                <w:szCs w:val="28"/>
                <w:u w:val="none"/>
                <w:lang w:eastAsia="zh-CN"/>
              </w:rPr>
            </w:pPr>
            <w:r>
              <w:rPr>
                <w:rFonts w:hint="eastAsia" w:ascii="仿宋" w:hAnsi="仿宋" w:eastAsia="仿宋" w:cs="仿宋"/>
                <w:i w:val="0"/>
                <w:iCs w:val="0"/>
                <w:color w:val="000000"/>
                <w:sz w:val="28"/>
                <w:szCs w:val="28"/>
                <w:u w:val="none"/>
                <w:lang w:eastAsia="zh-CN"/>
              </w:rPr>
              <w:t>破碎筛分系统</w:t>
            </w:r>
          </w:p>
        </w:tc>
        <w:tc>
          <w:tcPr>
            <w:tcW w:w="14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sz w:val="28"/>
                <w:szCs w:val="28"/>
                <w:u w:val="none"/>
                <w:lang w:eastAsia="zh-CN"/>
              </w:rPr>
              <w:t>●</w:t>
            </w:r>
          </w:p>
        </w:tc>
        <w:tc>
          <w:tcPr>
            <w:tcW w:w="152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sz w:val="28"/>
                <w:szCs w:val="28"/>
                <w:u w:val="none"/>
                <w:lang w:eastAsia="zh-CN"/>
              </w:rPr>
              <w:t>●</w:t>
            </w:r>
          </w:p>
        </w:tc>
        <w:tc>
          <w:tcPr>
            <w:tcW w:w="162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sz w:val="28"/>
                <w:szCs w:val="28"/>
                <w:u w:val="none"/>
                <w:lang w:eastAsia="zh-CN"/>
              </w:rPr>
              <w:t>●</w:t>
            </w:r>
          </w:p>
        </w:tc>
      </w:tr>
      <w:tr>
        <w:tblPrEx>
          <w:tblBorders>
            <w:top w:val="single" w:color="000000" w:sz="12" w:space="0"/>
            <w:left w:val="single" w:color="000000" w:sz="2" w:space="0"/>
            <w:bottom w:val="single" w:color="000000" w:sz="1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48" w:hRule="atLeast"/>
          <w:jc w:val="center"/>
        </w:trPr>
        <w:tc>
          <w:tcPr>
            <w:tcW w:w="34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再生道路无机混合料生产系统</w:t>
            </w:r>
          </w:p>
        </w:tc>
        <w:tc>
          <w:tcPr>
            <w:tcW w:w="1487"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sz w:val="28"/>
                <w:szCs w:val="28"/>
                <w:u w:val="none"/>
                <w:lang w:eastAsia="zh-CN"/>
              </w:rPr>
              <w:t>◎</w:t>
            </w:r>
          </w:p>
        </w:tc>
        <w:tc>
          <w:tcPr>
            <w:tcW w:w="1527"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sz w:val="28"/>
                <w:szCs w:val="28"/>
                <w:u w:val="none"/>
                <w:lang w:eastAsia="zh-CN"/>
              </w:rPr>
              <w:t>◎</w:t>
            </w:r>
          </w:p>
        </w:tc>
        <w:tc>
          <w:tcPr>
            <w:tcW w:w="162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sz w:val="28"/>
                <w:szCs w:val="28"/>
                <w:u w:val="none"/>
                <w:lang w:eastAsia="zh-CN"/>
              </w:rPr>
              <w:t>○</w:t>
            </w:r>
          </w:p>
        </w:tc>
      </w:tr>
      <w:tr>
        <w:tblPrEx>
          <w:tblBorders>
            <w:top w:val="single" w:color="000000" w:sz="12" w:space="0"/>
            <w:left w:val="single" w:color="000000" w:sz="2" w:space="0"/>
            <w:bottom w:val="single" w:color="000000" w:sz="1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48" w:hRule="atLeast"/>
          <w:jc w:val="center"/>
        </w:trPr>
        <w:tc>
          <w:tcPr>
            <w:tcW w:w="34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再生干混砂浆系统</w:t>
            </w:r>
          </w:p>
        </w:tc>
        <w:tc>
          <w:tcPr>
            <w:tcW w:w="1487"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p>
        </w:tc>
        <w:tc>
          <w:tcPr>
            <w:tcW w:w="1527"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p>
        </w:tc>
        <w:tc>
          <w:tcPr>
            <w:tcW w:w="162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sz w:val="28"/>
                <w:szCs w:val="28"/>
                <w:u w:val="none"/>
                <w:lang w:eastAsia="zh-CN"/>
              </w:rPr>
              <w:t>○</w:t>
            </w:r>
          </w:p>
        </w:tc>
      </w:tr>
      <w:tr>
        <w:tblPrEx>
          <w:tblBorders>
            <w:top w:val="single" w:color="000000" w:sz="12" w:space="0"/>
            <w:left w:val="single" w:color="000000" w:sz="2" w:space="0"/>
            <w:bottom w:val="single" w:color="000000" w:sz="1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48" w:hRule="atLeast"/>
          <w:jc w:val="center"/>
        </w:trPr>
        <w:tc>
          <w:tcPr>
            <w:tcW w:w="34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再生砌块生产系统</w:t>
            </w:r>
          </w:p>
        </w:tc>
        <w:tc>
          <w:tcPr>
            <w:tcW w:w="1487"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p>
        </w:tc>
        <w:tc>
          <w:tcPr>
            <w:tcW w:w="1527"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p>
        </w:tc>
        <w:tc>
          <w:tcPr>
            <w:tcW w:w="162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sz w:val="28"/>
                <w:szCs w:val="28"/>
                <w:u w:val="none"/>
                <w:lang w:eastAsia="zh-CN"/>
              </w:rPr>
              <w:t>○</w:t>
            </w:r>
          </w:p>
        </w:tc>
      </w:tr>
      <w:tr>
        <w:tblPrEx>
          <w:tblBorders>
            <w:top w:val="single" w:color="000000" w:sz="12" w:space="0"/>
            <w:left w:val="single" w:color="000000" w:sz="2" w:space="0"/>
            <w:bottom w:val="single" w:color="000000" w:sz="1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48" w:hRule="atLeast"/>
          <w:jc w:val="center"/>
        </w:trPr>
        <w:tc>
          <w:tcPr>
            <w:tcW w:w="34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再生无机混合料系统</w:t>
            </w:r>
          </w:p>
        </w:tc>
        <w:tc>
          <w:tcPr>
            <w:tcW w:w="14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sz w:val="28"/>
                <w:szCs w:val="28"/>
                <w:u w:val="none"/>
                <w:lang w:eastAsia="zh-CN"/>
              </w:rPr>
              <w:t>●</w:t>
            </w:r>
          </w:p>
        </w:tc>
        <w:tc>
          <w:tcPr>
            <w:tcW w:w="152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sz w:val="28"/>
                <w:szCs w:val="28"/>
                <w:u w:val="none"/>
                <w:lang w:eastAsia="zh-CN"/>
              </w:rPr>
              <w:t>●</w:t>
            </w:r>
          </w:p>
        </w:tc>
        <w:tc>
          <w:tcPr>
            <w:tcW w:w="162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sz w:val="28"/>
                <w:szCs w:val="28"/>
                <w:u w:val="none"/>
                <w:lang w:eastAsia="zh-CN"/>
              </w:rPr>
              <w:t>○</w:t>
            </w:r>
          </w:p>
        </w:tc>
      </w:tr>
      <w:tr>
        <w:tblPrEx>
          <w:tblBorders>
            <w:top w:val="single" w:color="000000" w:sz="12" w:space="0"/>
            <w:left w:val="single" w:color="000000" w:sz="2" w:space="0"/>
            <w:bottom w:val="single" w:color="000000" w:sz="1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48" w:hRule="atLeast"/>
          <w:jc w:val="center"/>
        </w:trPr>
        <w:tc>
          <w:tcPr>
            <w:tcW w:w="34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信息化与自动化</w:t>
            </w:r>
          </w:p>
        </w:tc>
        <w:tc>
          <w:tcPr>
            <w:tcW w:w="14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sz w:val="28"/>
                <w:szCs w:val="28"/>
                <w:u w:val="none"/>
                <w:lang w:eastAsia="zh-CN"/>
              </w:rPr>
              <w:t>●</w:t>
            </w:r>
          </w:p>
        </w:tc>
        <w:tc>
          <w:tcPr>
            <w:tcW w:w="152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sz w:val="28"/>
                <w:szCs w:val="28"/>
                <w:u w:val="none"/>
                <w:lang w:eastAsia="zh-CN"/>
              </w:rPr>
              <w:t>●</w:t>
            </w:r>
          </w:p>
        </w:tc>
        <w:tc>
          <w:tcPr>
            <w:tcW w:w="162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sz w:val="28"/>
                <w:szCs w:val="28"/>
                <w:u w:val="none"/>
                <w:lang w:eastAsia="zh-CN"/>
              </w:rPr>
              <w:t>○</w:t>
            </w:r>
          </w:p>
        </w:tc>
      </w:tr>
      <w:tr>
        <w:tblPrEx>
          <w:tblBorders>
            <w:top w:val="single" w:color="000000" w:sz="12" w:space="0"/>
            <w:left w:val="single" w:color="000000" w:sz="2" w:space="0"/>
            <w:bottom w:val="single" w:color="000000" w:sz="1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48" w:hRule="atLeast"/>
          <w:jc w:val="center"/>
        </w:trPr>
        <w:tc>
          <w:tcPr>
            <w:tcW w:w="34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骨料整形系统</w:t>
            </w:r>
          </w:p>
        </w:tc>
        <w:tc>
          <w:tcPr>
            <w:tcW w:w="14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sz w:val="28"/>
                <w:szCs w:val="28"/>
                <w:u w:val="none"/>
                <w:lang w:eastAsia="zh-CN"/>
              </w:rPr>
              <w:t>●</w:t>
            </w:r>
          </w:p>
        </w:tc>
        <w:tc>
          <w:tcPr>
            <w:tcW w:w="152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sz w:val="28"/>
                <w:szCs w:val="28"/>
                <w:u w:val="none"/>
                <w:lang w:eastAsia="zh-CN"/>
              </w:rPr>
              <w:t>○</w:t>
            </w:r>
          </w:p>
        </w:tc>
        <w:tc>
          <w:tcPr>
            <w:tcW w:w="162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sz w:val="28"/>
                <w:szCs w:val="28"/>
                <w:u w:val="none"/>
                <w:lang w:eastAsia="zh-CN"/>
              </w:rPr>
              <w:t>○</w:t>
            </w:r>
          </w:p>
        </w:tc>
      </w:tr>
      <w:tr>
        <w:tblPrEx>
          <w:tblBorders>
            <w:top w:val="single" w:color="000000" w:sz="12" w:space="0"/>
            <w:left w:val="single" w:color="000000" w:sz="2" w:space="0"/>
            <w:bottom w:val="single" w:color="000000" w:sz="1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48" w:hRule="atLeast"/>
          <w:jc w:val="center"/>
        </w:trPr>
        <w:tc>
          <w:tcPr>
            <w:tcW w:w="34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再生建筑微粉系统</w:t>
            </w:r>
          </w:p>
        </w:tc>
        <w:tc>
          <w:tcPr>
            <w:tcW w:w="14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sz w:val="28"/>
                <w:szCs w:val="28"/>
                <w:u w:val="none"/>
                <w:lang w:eastAsia="zh-CN"/>
              </w:rPr>
              <w:t>●</w:t>
            </w:r>
          </w:p>
        </w:tc>
        <w:tc>
          <w:tcPr>
            <w:tcW w:w="152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sz w:val="28"/>
                <w:szCs w:val="28"/>
                <w:u w:val="none"/>
                <w:lang w:eastAsia="zh-CN"/>
              </w:rPr>
              <w:t>○</w:t>
            </w:r>
          </w:p>
        </w:tc>
        <w:tc>
          <w:tcPr>
            <w:tcW w:w="162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sz w:val="28"/>
                <w:szCs w:val="28"/>
                <w:u w:val="none"/>
                <w:lang w:eastAsia="zh-CN"/>
              </w:rPr>
              <w:t>○</w:t>
            </w:r>
          </w:p>
        </w:tc>
      </w:tr>
      <w:tr>
        <w:tblPrEx>
          <w:tblBorders>
            <w:top w:val="single" w:color="000000" w:sz="12" w:space="0"/>
            <w:left w:val="single" w:color="000000" w:sz="2" w:space="0"/>
            <w:bottom w:val="single" w:color="000000" w:sz="1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48" w:hRule="atLeast"/>
          <w:jc w:val="center"/>
        </w:trPr>
        <w:tc>
          <w:tcPr>
            <w:tcW w:w="34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原料与中间产品输送系统</w:t>
            </w:r>
          </w:p>
        </w:tc>
        <w:tc>
          <w:tcPr>
            <w:tcW w:w="14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sz w:val="28"/>
                <w:szCs w:val="28"/>
                <w:u w:val="none"/>
                <w:lang w:eastAsia="zh-CN"/>
              </w:rPr>
              <w:t>●</w:t>
            </w:r>
          </w:p>
        </w:tc>
        <w:tc>
          <w:tcPr>
            <w:tcW w:w="152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sz w:val="28"/>
                <w:szCs w:val="28"/>
                <w:u w:val="none"/>
                <w:lang w:eastAsia="zh-CN"/>
              </w:rPr>
              <w:t>○</w:t>
            </w:r>
          </w:p>
        </w:tc>
        <w:tc>
          <w:tcPr>
            <w:tcW w:w="162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sz w:val="28"/>
                <w:szCs w:val="28"/>
                <w:u w:val="none"/>
                <w:lang w:eastAsia="zh-CN"/>
              </w:rPr>
              <w:t>○</w:t>
            </w:r>
          </w:p>
        </w:tc>
      </w:tr>
    </w:tbl>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eastAsia" w:ascii="仿宋" w:hAnsi="仿宋" w:eastAsia="仿宋" w:cs="仿宋"/>
          <w:color w:val="auto"/>
          <w:spacing w:val="-2"/>
          <w:sz w:val="28"/>
          <w:szCs w:val="28"/>
          <w:lang w:val="en-US" w:eastAsia="zh-CN"/>
        </w:rPr>
      </w:pPr>
      <w:r>
        <w:rPr>
          <w:rFonts w:hint="eastAsia" w:ascii="仿宋" w:hAnsi="仿宋" w:eastAsia="仿宋" w:cs="仿宋"/>
          <w:color w:val="auto"/>
          <w:spacing w:val="-2"/>
          <w:sz w:val="28"/>
          <w:szCs w:val="28"/>
          <w:lang w:val="en-US" w:eastAsia="zh-CN"/>
        </w:rPr>
        <w:t>注：</w:t>
      </w:r>
      <w:r>
        <w:rPr>
          <w:rFonts w:hint="eastAsia" w:ascii="仿宋" w:hAnsi="仿宋" w:eastAsia="仿宋" w:cs="仿宋"/>
          <w:i w:val="0"/>
          <w:iCs w:val="0"/>
          <w:color w:val="000000"/>
          <w:sz w:val="24"/>
          <w:szCs w:val="24"/>
          <w:u w:val="none"/>
          <w:lang w:eastAsia="zh-CN"/>
        </w:rPr>
        <w:t>●</w:t>
      </w:r>
      <w:r>
        <w:rPr>
          <w:rFonts w:hint="eastAsia" w:ascii="仿宋" w:hAnsi="仿宋" w:eastAsia="仿宋" w:cs="仿宋"/>
          <w:color w:val="auto"/>
          <w:spacing w:val="-2"/>
          <w:sz w:val="28"/>
          <w:szCs w:val="28"/>
          <w:lang w:val="en-US" w:eastAsia="zh-CN"/>
        </w:rPr>
        <w:t>表示必备；</w:t>
      </w:r>
      <w:r>
        <w:rPr>
          <w:rFonts w:hint="eastAsia" w:ascii="仿宋" w:hAnsi="仿宋" w:eastAsia="仿宋" w:cs="仿宋"/>
          <w:i w:val="0"/>
          <w:iCs w:val="0"/>
          <w:color w:val="000000"/>
          <w:sz w:val="24"/>
          <w:szCs w:val="24"/>
          <w:u w:val="none"/>
          <w:lang w:eastAsia="zh-CN"/>
        </w:rPr>
        <w:t>○</w:t>
      </w:r>
      <w:r>
        <w:rPr>
          <w:rFonts w:hint="eastAsia" w:ascii="仿宋" w:hAnsi="仿宋" w:eastAsia="仿宋" w:cs="仿宋"/>
          <w:color w:val="auto"/>
          <w:spacing w:val="-2"/>
          <w:sz w:val="28"/>
          <w:szCs w:val="28"/>
          <w:lang w:val="en-US" w:eastAsia="zh-CN"/>
        </w:rPr>
        <w:t>表示可选；</w:t>
      </w:r>
      <w:r>
        <w:rPr>
          <w:rFonts w:hint="eastAsia" w:ascii="仿宋" w:hAnsi="仿宋" w:eastAsia="仿宋" w:cs="仿宋"/>
          <w:i w:val="0"/>
          <w:iCs w:val="0"/>
          <w:color w:val="000000"/>
          <w:sz w:val="24"/>
          <w:szCs w:val="24"/>
          <w:u w:val="none"/>
          <w:lang w:eastAsia="zh-CN"/>
        </w:rPr>
        <w:t>◎</w:t>
      </w:r>
      <w:r>
        <w:rPr>
          <w:rFonts w:hint="eastAsia" w:ascii="仿宋" w:hAnsi="仿宋" w:eastAsia="仿宋" w:cs="仿宋"/>
          <w:color w:val="auto"/>
          <w:spacing w:val="-2"/>
          <w:sz w:val="28"/>
          <w:szCs w:val="28"/>
          <w:lang w:val="en-US" w:eastAsia="zh-CN"/>
        </w:rPr>
        <w:t>表示至少三选一</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96" w:name="_Toc21070"/>
      <w:r>
        <w:rPr>
          <w:rFonts w:hint="default" w:ascii="仿宋" w:hAnsi="仿宋" w:eastAsia="仿宋" w:cs="仿宋"/>
          <w:b w:val="0"/>
          <w:bCs w:val="0"/>
          <w:color w:val="auto"/>
          <w:spacing w:val="-2"/>
          <w:sz w:val="32"/>
          <w:szCs w:val="32"/>
          <w:lang w:val="en-US" w:eastAsia="zh-CN" w:bidi="ar-SA"/>
        </w:rPr>
        <w:t>6.3.5</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资源化利用设施布局要求</w:t>
      </w:r>
      <w:bookmarkEnd w:id="96"/>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依据《建筑废弃物再生工厂设计标准》（GB51322-2018），明确建筑垃圾资源化利用设施选址要求。</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eastAsia" w:ascii="仿宋" w:hAnsi="仿宋" w:eastAsia="仿宋" w:cs="仿宋"/>
          <w:color w:val="auto"/>
          <w:spacing w:val="-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eastAsia" w:ascii="仿宋" w:hAnsi="仿宋" w:eastAsia="仿宋" w:cs="仿宋"/>
          <w:color w:val="auto"/>
          <w:spacing w:val="-2"/>
          <w:sz w:val="32"/>
          <w:szCs w:val="32"/>
          <w:lang w:val="en-US" w:eastAsia="zh-CN"/>
        </w:rPr>
        <w:sectPr>
          <w:pgSz w:w="11905" w:h="16838"/>
          <w:pgMar w:top="2041" w:right="1468" w:bottom="1587" w:left="1468" w:header="850" w:footer="992" w:gutter="0"/>
          <w:pgBorders w:offsetFrom="page">
            <w:top w:val="none" w:sz="0" w:space="0"/>
            <w:left w:val="none" w:sz="0" w:space="0"/>
            <w:bottom w:val="none" w:sz="0" w:space="0"/>
            <w:right w:val="none" w:sz="0" w:space="0"/>
          </w:pgBorders>
          <w:pgNumType w:fmt="decimal"/>
          <w:cols w:space="0" w:num="1"/>
          <w:rtlGutter w:val="0"/>
          <w:docGrid w:type="lines" w:linePitch="330" w:charSpace="0"/>
        </w:sectPr>
      </w:pPr>
    </w:p>
    <w:p>
      <w:pPr>
        <w:pStyle w:val="3"/>
        <w:numPr>
          <w:ilvl w:val="0"/>
          <w:numId w:val="11"/>
        </w:numPr>
        <w:bidi w:val="0"/>
        <w:ind w:leftChars="0"/>
        <w:jc w:val="center"/>
        <w:rPr>
          <w:rFonts w:hint="default" w:ascii="黑体" w:hAnsi="黑体" w:eastAsia="黑体" w:cs="黑体"/>
          <w:b w:val="0"/>
          <w:bCs w:val="0"/>
          <w:lang w:val="en-US" w:eastAsia="zh-CN"/>
        </w:rPr>
      </w:pPr>
      <w:bookmarkStart w:id="97" w:name="_Toc4471"/>
      <w:bookmarkStart w:id="98" w:name="_Toc25898"/>
      <w:r>
        <w:rPr>
          <w:rFonts w:hint="default" w:ascii="黑体" w:hAnsi="黑体" w:eastAsia="黑体" w:cs="黑体"/>
          <w:b w:val="0"/>
          <w:bCs w:val="0"/>
          <w:lang w:val="en-US" w:eastAsia="zh-CN"/>
        </w:rPr>
        <w:t>污染环境防治管控规划</w:t>
      </w:r>
      <w:bookmarkEnd w:id="97"/>
      <w:bookmarkEnd w:id="98"/>
    </w:p>
    <w:p>
      <w:pPr>
        <w:numPr>
          <w:ilvl w:val="0"/>
          <w:numId w:val="0"/>
        </w:numPr>
        <w:rPr>
          <w:rFonts w:hint="default"/>
          <w:lang w:val="en-US" w:eastAsia="zh-CN"/>
        </w:rPr>
      </w:pP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outlineLvl w:val="1"/>
        <w:rPr>
          <w:rFonts w:hint="default" w:ascii="楷体" w:hAnsi="楷体" w:eastAsia="楷体" w:cs="楷体"/>
          <w:b w:val="0"/>
          <w:bCs w:val="0"/>
          <w:color w:val="auto"/>
          <w:sz w:val="32"/>
          <w:szCs w:val="32"/>
          <w:lang w:val="en-US" w:eastAsia="zh-CN"/>
        </w:rPr>
      </w:pPr>
      <w:bookmarkStart w:id="99" w:name="_Toc14820"/>
      <w:bookmarkStart w:id="100" w:name="_Toc5420"/>
      <w:r>
        <w:rPr>
          <w:rFonts w:hint="default" w:ascii="楷体" w:hAnsi="楷体" w:eastAsia="楷体" w:cs="楷体"/>
          <w:b w:val="0"/>
          <w:bCs w:val="0"/>
          <w:color w:val="auto"/>
          <w:sz w:val="32"/>
          <w:szCs w:val="32"/>
          <w:lang w:val="en-US" w:eastAsia="zh-CN"/>
        </w:rPr>
        <w:t>7.1</w:t>
      </w:r>
      <w:r>
        <w:rPr>
          <w:rFonts w:hint="eastAsia" w:ascii="楷体" w:hAnsi="楷体" w:eastAsia="楷体" w:cs="楷体"/>
          <w:b w:val="0"/>
          <w:bCs w:val="0"/>
          <w:color w:val="auto"/>
          <w:sz w:val="32"/>
          <w:szCs w:val="32"/>
          <w:lang w:val="en-US" w:eastAsia="zh-CN"/>
        </w:rPr>
        <w:t xml:space="preserve"> </w:t>
      </w:r>
      <w:r>
        <w:rPr>
          <w:rFonts w:hint="default" w:ascii="楷体" w:hAnsi="楷体" w:eastAsia="楷体" w:cs="楷体"/>
          <w:b w:val="0"/>
          <w:bCs w:val="0"/>
          <w:color w:val="auto"/>
          <w:sz w:val="32"/>
          <w:szCs w:val="32"/>
          <w:lang w:val="en-US" w:eastAsia="zh-CN"/>
        </w:rPr>
        <w:t>管控重点空间</w:t>
      </w:r>
      <w:bookmarkEnd w:id="99"/>
      <w:bookmarkEnd w:id="100"/>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建筑垃圾污染环境防治应针对重点产生建筑垃圾的源头（如城市新区建设、旧城改造等建设区域等）、建筑垃圾的运输路途以及建筑垃圾的资源化场所和消纳处置场所。同时应充分考虑受环境污染影响较大的人口、水资源、生态资源等分布情况，分区分类开展污染防治管控。</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污染环境防治管控重点场所主要分为三类。一是公共服务中心、商业中心、历史文化保护、风景名胜区等城市重要节点；二是生态保护红线，流域生态环境保护、生态屏障、重要生态板块、重要江河湿地湖库等重要生态资源；三是建筑垃圾消纳场及资源化利用中心。</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outlineLvl w:val="1"/>
        <w:rPr>
          <w:rFonts w:hint="default" w:ascii="楷体" w:hAnsi="楷体" w:eastAsia="楷体" w:cs="楷体"/>
          <w:b w:val="0"/>
          <w:bCs w:val="0"/>
          <w:color w:val="auto"/>
          <w:sz w:val="32"/>
          <w:szCs w:val="32"/>
          <w:lang w:val="en-US" w:eastAsia="zh-CN"/>
        </w:rPr>
      </w:pPr>
      <w:bookmarkStart w:id="101" w:name="_Toc25068"/>
      <w:bookmarkStart w:id="102" w:name="_Toc30935"/>
      <w:r>
        <w:rPr>
          <w:rFonts w:hint="default" w:ascii="楷体" w:hAnsi="楷体" w:eastAsia="楷体" w:cs="楷体"/>
          <w:b w:val="0"/>
          <w:bCs w:val="0"/>
          <w:color w:val="auto"/>
          <w:sz w:val="32"/>
          <w:szCs w:val="32"/>
          <w:lang w:val="en-US" w:eastAsia="zh-CN"/>
        </w:rPr>
        <w:t>7.2</w:t>
      </w:r>
      <w:r>
        <w:rPr>
          <w:rFonts w:hint="eastAsia" w:ascii="楷体" w:hAnsi="楷体" w:eastAsia="楷体" w:cs="楷体"/>
          <w:b w:val="0"/>
          <w:bCs w:val="0"/>
          <w:color w:val="auto"/>
          <w:sz w:val="32"/>
          <w:szCs w:val="32"/>
          <w:lang w:val="en-US" w:eastAsia="zh-CN"/>
        </w:rPr>
        <w:t xml:space="preserve"> </w:t>
      </w:r>
      <w:r>
        <w:rPr>
          <w:rFonts w:hint="default" w:ascii="楷体" w:hAnsi="楷体" w:eastAsia="楷体" w:cs="楷体"/>
          <w:b w:val="0"/>
          <w:bCs w:val="0"/>
          <w:color w:val="auto"/>
          <w:sz w:val="32"/>
          <w:szCs w:val="32"/>
          <w:lang w:val="en-US" w:eastAsia="zh-CN"/>
        </w:rPr>
        <w:t>环境污染源及风险分析</w:t>
      </w:r>
      <w:bookmarkEnd w:id="101"/>
      <w:bookmarkEnd w:id="102"/>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103" w:name="_Toc25021"/>
      <w:r>
        <w:rPr>
          <w:rFonts w:hint="default" w:ascii="仿宋" w:hAnsi="仿宋" w:eastAsia="仿宋" w:cs="仿宋"/>
          <w:b w:val="0"/>
          <w:bCs w:val="0"/>
          <w:color w:val="auto"/>
          <w:spacing w:val="-2"/>
          <w:sz w:val="32"/>
          <w:szCs w:val="32"/>
          <w:lang w:val="en-US" w:eastAsia="zh-CN" w:bidi="ar-SA"/>
        </w:rPr>
        <w:t>7.2.1</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收运环节分析</w:t>
      </w:r>
      <w:bookmarkEnd w:id="103"/>
    </w:p>
    <w:p>
      <w:pPr>
        <w:keepNext w:val="0"/>
        <w:keepLines w:val="0"/>
        <w:pageBreakBefore w:val="0"/>
        <w:widowControl w:val="0"/>
        <w:kinsoku/>
        <w:wordWrap/>
        <w:overflowPunct/>
        <w:topLinePunct w:val="0"/>
        <w:autoSpaceDE/>
        <w:autoSpaceDN/>
        <w:bidi w:val="0"/>
        <w:adjustRightInd/>
        <w:snapToGrid/>
        <w:spacing w:line="600" w:lineRule="exact"/>
        <w:ind w:left="0"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1）扬尘污染。建筑垃圾收运过程中的扬尘既包括运输车辆行驶时因车轮滚动、车身颠簸等动作所激起的路面尘土，也涵盖了运输过程中因建筑垃圾未妥善固定或遮盖而散落导致的扬尘现象，其污染的程度深受车辆行驶速度、道路维护保养状况及季节性气候湿润度等多重因素的共同影响。</w:t>
      </w:r>
    </w:p>
    <w:p>
      <w:pPr>
        <w:keepNext w:val="0"/>
        <w:keepLines w:val="0"/>
        <w:pageBreakBefore w:val="0"/>
        <w:widowControl w:val="0"/>
        <w:kinsoku/>
        <w:wordWrap/>
        <w:overflowPunct/>
        <w:topLinePunct w:val="0"/>
        <w:autoSpaceDE/>
        <w:autoSpaceDN/>
        <w:bidi w:val="0"/>
        <w:adjustRightInd/>
        <w:snapToGrid/>
        <w:spacing w:line="600" w:lineRule="exact"/>
        <w:ind w:left="0"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2）尾气排放。汽车尾气排放对环境造成显著影响，具体有以下几个表现：一是排放的有害成分导致空气质量恶化，严重降低空气质量，影响人类健康；二是释放的二氧化碳等温室气体加剧温室效应，加剧全球气候变暖；三是促进酸雨形成，酸性物质随降水落到地面，对土壤、水体和建筑物造成破坏。</w:t>
      </w:r>
    </w:p>
    <w:p>
      <w:pPr>
        <w:keepNext w:val="0"/>
        <w:keepLines w:val="0"/>
        <w:pageBreakBefore w:val="0"/>
        <w:widowControl w:val="0"/>
        <w:kinsoku/>
        <w:wordWrap/>
        <w:overflowPunct/>
        <w:topLinePunct w:val="0"/>
        <w:autoSpaceDE/>
        <w:autoSpaceDN/>
        <w:bidi w:val="0"/>
        <w:adjustRightInd/>
        <w:snapToGrid/>
        <w:spacing w:line="600" w:lineRule="exact"/>
        <w:ind w:left="0"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3）噪声污染。建筑垃圾处置设施项目建成投产后，建筑垃圾运输车辆行驶时的交通噪声将对距离公路较近的环境敏感目标产生影响。为了减少建筑垃圾运输途中产生的扬尘及噪声对道路两侧村民的影响，运输车辆采用封闭式运输车，在经过紧邻路边的民房时，要做到减速慢行，严禁鸣笛；且将建筑垃圾运输安排在白天进行，将运输引发的扬尘、噪声对环境的影响降至最低程度。</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104" w:name="_Toc9991"/>
      <w:r>
        <w:rPr>
          <w:rFonts w:hint="default" w:ascii="仿宋" w:hAnsi="仿宋" w:eastAsia="仿宋" w:cs="仿宋"/>
          <w:b w:val="0"/>
          <w:bCs w:val="0"/>
          <w:color w:val="auto"/>
          <w:spacing w:val="-2"/>
          <w:sz w:val="32"/>
          <w:szCs w:val="32"/>
          <w:lang w:val="en-US" w:eastAsia="zh-CN" w:bidi="ar-SA"/>
        </w:rPr>
        <w:t>7.2.2</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处置环节分析</w:t>
      </w:r>
      <w:bookmarkEnd w:id="104"/>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建筑垃圾处置设施产生的环境影响分为两个方面，设施建设施工期的环境影响以及设施运营期的环境影响。</w:t>
      </w:r>
    </w:p>
    <w:p>
      <w:pPr>
        <w:keepNext w:val="0"/>
        <w:keepLines w:val="0"/>
        <w:pageBreakBefore w:val="0"/>
        <w:widowControl w:val="0"/>
        <w:kinsoku/>
        <w:wordWrap/>
        <w:overflowPunct/>
        <w:topLinePunct w:val="0"/>
        <w:autoSpaceDE/>
        <w:autoSpaceDN/>
        <w:bidi w:val="0"/>
        <w:adjustRightInd/>
        <w:snapToGrid/>
        <w:spacing w:line="600" w:lineRule="exact"/>
        <w:ind w:left="0"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1）施工期环境。在建设期间的各项施工活动不可避免地对周围环境产生不同程度的影响，主要包括水土流失、废气、粉尘、噪声、固体废弃物、废水等对周围环境的影响，而且以粉尘和施工噪声的影响尤为突出。</w:t>
      </w:r>
    </w:p>
    <w:p>
      <w:pPr>
        <w:keepNext w:val="0"/>
        <w:keepLines w:val="0"/>
        <w:pageBreakBefore w:val="0"/>
        <w:widowControl w:val="0"/>
        <w:kinsoku/>
        <w:wordWrap/>
        <w:overflowPunct/>
        <w:topLinePunct w:val="0"/>
        <w:autoSpaceDE/>
        <w:autoSpaceDN/>
        <w:bidi w:val="0"/>
        <w:adjustRightInd/>
        <w:snapToGrid/>
        <w:spacing w:line="600" w:lineRule="exact"/>
        <w:ind w:left="0"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2）运营期环境。运营期的环境影响因素主要包括以下几个方面：废气（建筑垃圾预处理和再生产品生产环节中产生的颗粒物、锅炉燃烧废气、食堂油烟及污水处理站产生的少量恶臭）、废水（建筑垃圾项目运营期废水为生活污水、研发和质检废水、食堂废水）、固废（主要来自各生产处理工段产生的固体废弃物）和噪声（主要来自厂区生产设备产生的噪声）。规划鼓励建筑垃圾采用封闭的储存车间储存，结合建筑垃圾块大、细粉量成分少的特点，卸车和下料时进行洒水降尘，避免粉尘外溢到储存车间外。生产过程中产生的颗粒物经袋式除尘器净化处理后，其排放浓度和排放速率满足环境评价规定的标准限值，再经各生产车间排气筒进行排放。</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outlineLvl w:val="1"/>
        <w:rPr>
          <w:rFonts w:hint="default" w:ascii="楷体" w:hAnsi="楷体" w:eastAsia="楷体" w:cs="楷体"/>
          <w:b w:val="0"/>
          <w:bCs w:val="0"/>
          <w:color w:val="auto"/>
          <w:sz w:val="32"/>
          <w:szCs w:val="32"/>
          <w:lang w:val="en-US" w:eastAsia="zh-CN"/>
        </w:rPr>
      </w:pPr>
      <w:bookmarkStart w:id="105" w:name="_Toc25635"/>
      <w:bookmarkStart w:id="106" w:name="_Toc24645"/>
      <w:r>
        <w:rPr>
          <w:rFonts w:hint="default" w:ascii="楷体" w:hAnsi="楷体" w:eastAsia="楷体" w:cs="楷体"/>
          <w:b w:val="0"/>
          <w:bCs w:val="0"/>
          <w:color w:val="auto"/>
          <w:sz w:val="32"/>
          <w:szCs w:val="32"/>
          <w:lang w:val="en-US" w:eastAsia="zh-CN"/>
        </w:rPr>
        <w:t>7.3</w:t>
      </w:r>
      <w:r>
        <w:rPr>
          <w:rFonts w:hint="eastAsia" w:ascii="楷体" w:hAnsi="楷体" w:eastAsia="楷体" w:cs="楷体"/>
          <w:b w:val="0"/>
          <w:bCs w:val="0"/>
          <w:color w:val="auto"/>
          <w:sz w:val="32"/>
          <w:szCs w:val="32"/>
          <w:lang w:val="en-US" w:eastAsia="zh-CN"/>
        </w:rPr>
        <w:t xml:space="preserve"> </w:t>
      </w:r>
      <w:r>
        <w:rPr>
          <w:rFonts w:hint="default" w:ascii="楷体" w:hAnsi="楷体" w:eastAsia="楷体" w:cs="楷体"/>
          <w:b w:val="0"/>
          <w:bCs w:val="0"/>
          <w:color w:val="auto"/>
          <w:sz w:val="32"/>
          <w:szCs w:val="32"/>
          <w:lang w:val="en-US" w:eastAsia="zh-CN"/>
        </w:rPr>
        <w:t>管控措施</w:t>
      </w:r>
      <w:bookmarkEnd w:id="105"/>
      <w:bookmarkEnd w:id="106"/>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107" w:name="_Toc13398"/>
      <w:r>
        <w:rPr>
          <w:rFonts w:hint="default" w:ascii="仿宋" w:hAnsi="仿宋" w:eastAsia="仿宋" w:cs="仿宋"/>
          <w:b w:val="0"/>
          <w:bCs w:val="0"/>
          <w:color w:val="auto"/>
          <w:spacing w:val="-2"/>
          <w:sz w:val="32"/>
          <w:szCs w:val="32"/>
          <w:lang w:val="en-US" w:eastAsia="zh-CN" w:bidi="ar-SA"/>
        </w:rPr>
        <w:t>7.3.1</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空气环境</w:t>
      </w:r>
      <w:bookmarkEnd w:id="107"/>
    </w:p>
    <w:p>
      <w:pPr>
        <w:keepNext w:val="0"/>
        <w:keepLines w:val="0"/>
        <w:pageBreakBefore w:val="0"/>
        <w:widowControl w:val="0"/>
        <w:kinsoku/>
        <w:wordWrap/>
        <w:overflowPunct/>
        <w:topLinePunct w:val="0"/>
        <w:autoSpaceDE/>
        <w:autoSpaceDN/>
        <w:bidi w:val="0"/>
        <w:adjustRightInd/>
        <w:snapToGrid/>
        <w:spacing w:line="600" w:lineRule="exact"/>
        <w:ind w:left="0"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（1）资源化处理工程应通过洒水降尘、封闭设备、局部抽吸等措施控制粉尘污染。局部抽吸换气次数不宜低于6次/h，含尘气体经过除尘装置处理后，排放应按相关标准执行。</w:t>
      </w:r>
    </w:p>
    <w:p>
      <w:pPr>
        <w:keepNext w:val="0"/>
        <w:keepLines w:val="0"/>
        <w:pageBreakBefore w:val="0"/>
        <w:widowControl w:val="0"/>
        <w:kinsoku/>
        <w:wordWrap/>
        <w:overflowPunct/>
        <w:topLinePunct w:val="0"/>
        <w:autoSpaceDE/>
        <w:autoSpaceDN/>
        <w:bidi w:val="0"/>
        <w:adjustRightInd/>
        <w:snapToGrid/>
        <w:spacing w:line="600" w:lineRule="exact"/>
        <w:ind w:left="0"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（2）在施工和运营过程中，采用湿法作业、覆盖物、围挡等措施控制扬尘的产生和扩散。</w:t>
      </w:r>
    </w:p>
    <w:p>
      <w:pPr>
        <w:keepNext w:val="0"/>
        <w:keepLines w:val="0"/>
        <w:pageBreakBefore w:val="0"/>
        <w:widowControl w:val="0"/>
        <w:kinsoku/>
        <w:wordWrap/>
        <w:overflowPunct/>
        <w:topLinePunct w:val="0"/>
        <w:autoSpaceDE/>
        <w:autoSpaceDN/>
        <w:bidi w:val="0"/>
        <w:adjustRightInd/>
        <w:snapToGrid/>
        <w:spacing w:line="600" w:lineRule="exact"/>
        <w:ind w:left="0"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（3）加强运输道路沿线的扬尘治理，例如定期洒水、铺设抑尘剂等措施，减少运输车辆尾气和扬尘对周边环境的影响。</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108" w:name="_Toc25052"/>
      <w:r>
        <w:rPr>
          <w:rFonts w:hint="default" w:ascii="仿宋" w:hAnsi="仿宋" w:eastAsia="仿宋" w:cs="仿宋"/>
          <w:b w:val="0"/>
          <w:bCs w:val="0"/>
          <w:color w:val="auto"/>
          <w:spacing w:val="-2"/>
          <w:sz w:val="32"/>
          <w:szCs w:val="32"/>
          <w:lang w:val="en-US" w:eastAsia="zh-CN" w:bidi="ar-SA"/>
        </w:rPr>
        <w:t>7.3.2</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水环境</w:t>
      </w:r>
      <w:bookmarkEnd w:id="108"/>
    </w:p>
    <w:p>
      <w:pPr>
        <w:keepNext w:val="0"/>
        <w:keepLines w:val="0"/>
        <w:pageBreakBefore w:val="0"/>
        <w:widowControl w:val="0"/>
        <w:kinsoku/>
        <w:wordWrap/>
        <w:overflowPunct/>
        <w:topLinePunct w:val="0"/>
        <w:autoSpaceDE/>
        <w:autoSpaceDN/>
        <w:bidi w:val="0"/>
        <w:adjustRightInd/>
        <w:snapToGrid/>
        <w:spacing w:line="600" w:lineRule="exact"/>
        <w:ind w:left="0"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（1）实施严格的废水收集、处理和排放标准，建设合规的废水处理设施，确保排放水质符合相关的环保标准。</w:t>
      </w:r>
    </w:p>
    <w:p>
      <w:pPr>
        <w:keepNext w:val="0"/>
        <w:keepLines w:val="0"/>
        <w:pageBreakBefore w:val="0"/>
        <w:widowControl w:val="0"/>
        <w:kinsoku/>
        <w:wordWrap/>
        <w:overflowPunct/>
        <w:topLinePunct w:val="0"/>
        <w:autoSpaceDE/>
        <w:autoSpaceDN/>
        <w:bidi w:val="0"/>
        <w:adjustRightInd/>
        <w:snapToGrid/>
        <w:spacing w:line="600" w:lineRule="exact"/>
        <w:ind w:left="0"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（2）推广废水的回收和再利用技术，尤其是适用于清洗和冲洗过程中产生的废水。</w:t>
      </w:r>
    </w:p>
    <w:p>
      <w:pPr>
        <w:keepNext w:val="0"/>
        <w:keepLines w:val="0"/>
        <w:pageBreakBefore w:val="0"/>
        <w:widowControl w:val="0"/>
        <w:kinsoku/>
        <w:wordWrap/>
        <w:overflowPunct/>
        <w:topLinePunct w:val="0"/>
        <w:autoSpaceDE/>
        <w:autoSpaceDN/>
        <w:bidi w:val="0"/>
        <w:adjustRightInd/>
        <w:snapToGrid/>
        <w:spacing w:line="600" w:lineRule="exact"/>
        <w:ind w:left="0"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（3）对地基荷载的要求应大于15kPa/m2，防止填满垃圾后由于重力作用造成沉陷、塌方而破坏防渗衬层，造成垃圾渗滤液渗漏污染地下水。</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109" w:name="_Toc8410"/>
      <w:r>
        <w:rPr>
          <w:rFonts w:hint="default" w:ascii="仿宋" w:hAnsi="仿宋" w:eastAsia="仿宋" w:cs="仿宋"/>
          <w:b w:val="0"/>
          <w:bCs w:val="0"/>
          <w:color w:val="auto"/>
          <w:spacing w:val="-2"/>
          <w:sz w:val="32"/>
          <w:szCs w:val="32"/>
          <w:lang w:val="en-US" w:eastAsia="zh-CN" w:bidi="ar-SA"/>
        </w:rPr>
        <w:t>7.3.3</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声环境</w:t>
      </w:r>
      <w:bookmarkEnd w:id="109"/>
    </w:p>
    <w:p>
      <w:pPr>
        <w:keepNext w:val="0"/>
        <w:keepLines w:val="0"/>
        <w:pageBreakBefore w:val="0"/>
        <w:widowControl w:val="0"/>
        <w:kinsoku/>
        <w:wordWrap/>
        <w:overflowPunct/>
        <w:topLinePunct w:val="0"/>
        <w:autoSpaceDE/>
        <w:autoSpaceDN/>
        <w:bidi w:val="0"/>
        <w:adjustRightInd/>
        <w:snapToGrid/>
        <w:spacing w:line="600" w:lineRule="exact"/>
        <w:ind w:left="0"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（1）在施工期间，选择低噪声的施工设备，并采用有效的减振、隔声等技术措施。合理布置施工总平，将主要的高噪声作业点安排在场地中央区域及南侧，利用施工场地的距离衰减效应来减缓噪声的扩散。</w:t>
      </w:r>
    </w:p>
    <w:p>
      <w:pPr>
        <w:keepNext w:val="0"/>
        <w:keepLines w:val="0"/>
        <w:pageBreakBefore w:val="0"/>
        <w:widowControl w:val="0"/>
        <w:kinsoku/>
        <w:wordWrap/>
        <w:overflowPunct/>
        <w:topLinePunct w:val="0"/>
        <w:autoSpaceDE/>
        <w:autoSpaceDN/>
        <w:bidi w:val="0"/>
        <w:adjustRightInd/>
        <w:snapToGrid/>
        <w:spacing w:line="600" w:lineRule="exact"/>
        <w:ind w:left="0"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（2）建筑垃圾收集、运输、处理系统应选取低噪声运输车辆，车辆在车厢开启、关闭、卸料时产生的噪声应满足相应规范要求。</w:t>
      </w:r>
    </w:p>
    <w:p>
      <w:pPr>
        <w:keepNext w:val="0"/>
        <w:keepLines w:val="0"/>
        <w:pageBreakBefore w:val="0"/>
        <w:widowControl w:val="0"/>
        <w:kinsoku/>
        <w:wordWrap/>
        <w:overflowPunct/>
        <w:topLinePunct w:val="0"/>
        <w:autoSpaceDE/>
        <w:autoSpaceDN/>
        <w:bidi w:val="0"/>
        <w:adjustRightInd/>
        <w:snapToGrid/>
        <w:spacing w:line="600" w:lineRule="exact"/>
        <w:ind w:left="0"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（3）宜通过建立缓冲带、设置噪声屏障或封闭车间控制处理工程噪声。</w:t>
      </w:r>
    </w:p>
    <w:p>
      <w:pPr>
        <w:keepNext w:val="0"/>
        <w:keepLines w:val="0"/>
        <w:pageBreakBefore w:val="0"/>
        <w:widowControl w:val="0"/>
        <w:kinsoku/>
        <w:wordWrap/>
        <w:overflowPunct/>
        <w:topLinePunct w:val="0"/>
        <w:autoSpaceDE/>
        <w:autoSpaceDN/>
        <w:bidi w:val="0"/>
        <w:adjustRightInd/>
        <w:snapToGrid/>
        <w:spacing w:line="600" w:lineRule="exact"/>
        <w:ind w:left="0"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（4）资源化处理车间，宜采取隔声罩、隔声间或者在车间建筑内墙附加吸声材料等方式降低噪。</w:t>
      </w:r>
    </w:p>
    <w:p>
      <w:pPr>
        <w:keepNext w:val="0"/>
        <w:keepLines w:val="0"/>
        <w:pageBreakBefore w:val="0"/>
        <w:widowControl w:val="0"/>
        <w:kinsoku/>
        <w:wordWrap/>
        <w:overflowPunct/>
        <w:topLinePunct w:val="0"/>
        <w:autoSpaceDE/>
        <w:autoSpaceDN/>
        <w:bidi w:val="0"/>
        <w:adjustRightInd/>
        <w:snapToGrid/>
        <w:spacing w:line="600" w:lineRule="exact"/>
        <w:ind w:left="0"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（5）场（厂）界噪声应符合现行国家标准《工业企业厂界环境噪声排放标准》（GB12348）的规定。</w:t>
      </w:r>
    </w:p>
    <w:p>
      <w:pPr>
        <w:keepNext w:val="0"/>
        <w:keepLines w:val="0"/>
        <w:pageBreakBefore w:val="0"/>
        <w:widowControl w:val="0"/>
        <w:kinsoku/>
        <w:wordWrap/>
        <w:overflowPunct/>
        <w:topLinePunct w:val="0"/>
        <w:autoSpaceDE/>
        <w:autoSpaceDN/>
        <w:bidi w:val="0"/>
        <w:adjustRightInd/>
        <w:snapToGrid/>
        <w:spacing w:line="600" w:lineRule="exact"/>
        <w:ind w:left="0"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（6）建筑垃圾运输应将运输活动限制在22:00之前结束，避免夜间作业对居民生活造成干扰。</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110" w:name="_Toc26461"/>
      <w:r>
        <w:rPr>
          <w:rFonts w:hint="default" w:ascii="仿宋" w:hAnsi="仿宋" w:eastAsia="仿宋" w:cs="仿宋"/>
          <w:b w:val="0"/>
          <w:bCs w:val="0"/>
          <w:color w:val="auto"/>
          <w:spacing w:val="-2"/>
          <w:sz w:val="32"/>
          <w:szCs w:val="32"/>
          <w:lang w:val="en-US" w:eastAsia="zh-CN" w:bidi="ar-SA"/>
        </w:rPr>
        <w:t>7.3.4</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生态环境</w:t>
      </w:r>
      <w:bookmarkEnd w:id="110"/>
      <w:r>
        <w:rPr>
          <w:rFonts w:hint="default" w:ascii="仿宋" w:hAnsi="仿宋" w:eastAsia="仿宋" w:cs="仿宋"/>
          <w:b w:val="0"/>
          <w:bCs w:val="0"/>
          <w:color w:val="auto"/>
          <w:spacing w:val="-2"/>
          <w:sz w:val="32"/>
          <w:szCs w:val="32"/>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600" w:lineRule="exact"/>
        <w:ind w:left="0"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（1）尽量减少开挖面积，采用沙袋或草席等暂时性防护措施，以防止路面径流直接冲刷坡面导致水土流失。根据实际场地的地形地貌，修筑挡土坝，提升边坡的稳定性。</w:t>
      </w:r>
    </w:p>
    <w:p>
      <w:pPr>
        <w:keepNext w:val="0"/>
        <w:keepLines w:val="0"/>
        <w:pageBreakBefore w:val="0"/>
        <w:widowControl w:val="0"/>
        <w:kinsoku/>
        <w:wordWrap/>
        <w:overflowPunct/>
        <w:topLinePunct w:val="0"/>
        <w:autoSpaceDE/>
        <w:autoSpaceDN/>
        <w:bidi w:val="0"/>
        <w:adjustRightInd/>
        <w:snapToGrid/>
        <w:spacing w:line="600" w:lineRule="exact"/>
        <w:ind w:left="0"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（2）工程完工30日内，进行必要的绿化建设，逐步恢复植被，以弥补因垃圾填埋而损失的植物种类多样性，取代原先灌木野草分布的荒山植被景观，确保不会对现有山坡和山顶的植被造成负面影响。</w:t>
      </w:r>
    </w:p>
    <w:p>
      <w:pPr>
        <w:keepNext w:val="0"/>
        <w:keepLines w:val="0"/>
        <w:pageBreakBefore w:val="0"/>
        <w:widowControl w:val="0"/>
        <w:kinsoku/>
        <w:wordWrap/>
        <w:overflowPunct/>
        <w:topLinePunct w:val="0"/>
        <w:autoSpaceDE/>
        <w:autoSpaceDN/>
        <w:bidi w:val="0"/>
        <w:adjustRightInd/>
        <w:snapToGrid/>
        <w:spacing w:line="600" w:lineRule="exact"/>
        <w:ind w:left="0" w:firstLine="505" w:firstLineChars="160"/>
        <w:jc w:val="both"/>
        <w:textAlignment w:val="auto"/>
        <w:rPr>
          <w:rFonts w:hint="eastAsia" w:ascii="仿宋" w:hAnsi="仿宋" w:eastAsia="仿宋" w:cs="仿宋"/>
          <w:color w:val="auto"/>
          <w:spacing w:val="-2"/>
          <w:sz w:val="32"/>
          <w:szCs w:val="32"/>
          <w:lang w:val="en-US" w:eastAsia="zh-CN"/>
        </w:rPr>
        <w:sectPr>
          <w:pgSz w:w="11905" w:h="16838"/>
          <w:pgMar w:top="2041" w:right="1468" w:bottom="1587" w:left="1468" w:header="850" w:footer="992" w:gutter="0"/>
          <w:pgBorders w:offsetFrom="page">
            <w:top w:val="none" w:sz="0" w:space="0"/>
            <w:left w:val="none" w:sz="0" w:space="0"/>
            <w:bottom w:val="none" w:sz="0" w:space="0"/>
            <w:right w:val="none" w:sz="0" w:space="0"/>
          </w:pgBorders>
          <w:pgNumType w:fmt="decimal"/>
          <w:cols w:space="0" w:num="1"/>
          <w:rtlGutter w:val="0"/>
          <w:docGrid w:type="lines" w:linePitch="330" w:charSpace="0"/>
        </w:sectPr>
      </w:pPr>
      <w:r>
        <w:rPr>
          <w:rFonts w:hint="default" w:ascii="仿宋" w:hAnsi="仿宋" w:eastAsia="仿宋" w:cs="仿宋"/>
          <w:color w:val="auto"/>
          <w:spacing w:val="-2"/>
          <w:sz w:val="32"/>
          <w:szCs w:val="32"/>
          <w:lang w:val="en-US" w:eastAsia="zh-CN"/>
        </w:rPr>
        <w:t>（3）提高建筑垃圾处置设施绿化面积，鼓励采用柔性化设计与周边环境协调统一；加强建筑垃圾消纳场封场后的生态修复工作，鼓励将其打造为生态公园和环保教育基地</w:t>
      </w:r>
      <w:r>
        <w:rPr>
          <w:rFonts w:hint="eastAsia" w:ascii="仿宋" w:hAnsi="仿宋" w:eastAsia="仿宋" w:cs="仿宋"/>
          <w:color w:val="auto"/>
          <w:spacing w:val="-2"/>
          <w:sz w:val="32"/>
          <w:szCs w:val="32"/>
          <w:lang w:val="en-US" w:eastAsia="zh-CN"/>
        </w:rPr>
        <w:t>。</w:t>
      </w:r>
    </w:p>
    <w:p>
      <w:pPr>
        <w:pStyle w:val="3"/>
        <w:numPr>
          <w:ilvl w:val="0"/>
          <w:numId w:val="0"/>
        </w:numPr>
        <w:bidi w:val="0"/>
        <w:ind w:leftChars="0"/>
        <w:jc w:val="center"/>
        <w:rPr>
          <w:rFonts w:hint="eastAsia" w:ascii="黑体" w:hAnsi="黑体" w:eastAsia="黑体" w:cs="黑体"/>
          <w:b w:val="0"/>
          <w:bCs w:val="0"/>
          <w:lang w:val="en-US" w:eastAsia="zh-CN"/>
        </w:rPr>
      </w:pPr>
      <w:bookmarkStart w:id="111" w:name="_Toc27161"/>
      <w:bookmarkStart w:id="112" w:name="_Toc15051"/>
      <w:r>
        <w:rPr>
          <w:rFonts w:hint="eastAsia" w:ascii="黑体" w:hAnsi="黑体" w:eastAsia="黑体" w:cs="黑体"/>
          <w:b w:val="0"/>
          <w:bCs w:val="0"/>
          <w:lang w:val="en-US" w:eastAsia="zh-CN"/>
        </w:rPr>
        <w:t>第八章 管理体系规划</w:t>
      </w:r>
      <w:bookmarkEnd w:id="111"/>
      <w:bookmarkEnd w:id="112"/>
    </w:p>
    <w:p>
      <w:pPr>
        <w:rPr>
          <w:rFonts w:hint="eastAsia"/>
          <w:lang w:val="en-US" w:eastAsia="zh-CN"/>
        </w:rPr>
      </w:pP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outlineLvl w:val="1"/>
        <w:rPr>
          <w:rFonts w:hint="default" w:ascii="楷体" w:hAnsi="楷体" w:eastAsia="楷体" w:cs="楷体"/>
          <w:b w:val="0"/>
          <w:bCs w:val="0"/>
          <w:color w:val="auto"/>
          <w:sz w:val="32"/>
          <w:szCs w:val="32"/>
          <w:lang w:val="en-US" w:eastAsia="zh-CN"/>
        </w:rPr>
      </w:pPr>
      <w:bookmarkStart w:id="113" w:name="_Toc30540"/>
      <w:bookmarkStart w:id="114" w:name="_Toc17782"/>
      <w:r>
        <w:rPr>
          <w:rFonts w:hint="default" w:ascii="楷体" w:hAnsi="楷体" w:eastAsia="楷体" w:cs="楷体"/>
          <w:b w:val="0"/>
          <w:bCs w:val="0"/>
          <w:color w:val="auto"/>
          <w:sz w:val="32"/>
          <w:szCs w:val="32"/>
          <w:lang w:val="en-US" w:eastAsia="zh-CN"/>
        </w:rPr>
        <w:t>8.1</w:t>
      </w:r>
      <w:r>
        <w:rPr>
          <w:rFonts w:hint="eastAsia" w:ascii="楷体" w:hAnsi="楷体" w:eastAsia="楷体" w:cs="楷体"/>
          <w:b w:val="0"/>
          <w:bCs w:val="0"/>
          <w:color w:val="auto"/>
          <w:sz w:val="32"/>
          <w:szCs w:val="32"/>
          <w:lang w:val="en-US" w:eastAsia="zh-CN"/>
        </w:rPr>
        <w:t xml:space="preserve"> </w:t>
      </w:r>
      <w:r>
        <w:rPr>
          <w:rFonts w:hint="default" w:ascii="楷体" w:hAnsi="楷体" w:eastAsia="楷体" w:cs="楷体"/>
          <w:b w:val="0"/>
          <w:bCs w:val="0"/>
          <w:color w:val="auto"/>
          <w:sz w:val="32"/>
          <w:szCs w:val="32"/>
          <w:lang w:val="en-US" w:eastAsia="zh-CN"/>
        </w:rPr>
        <w:t>建筑垃圾全过程监管制度</w:t>
      </w:r>
      <w:bookmarkEnd w:id="113"/>
      <w:bookmarkEnd w:id="114"/>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建设项目在规划设计阶段应同步编制建筑垃圾减量、分类和资源化利用等专项方案。</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outlineLvl w:val="1"/>
        <w:rPr>
          <w:rFonts w:hint="default" w:ascii="楷体" w:hAnsi="楷体" w:eastAsia="楷体" w:cs="楷体"/>
          <w:b w:val="0"/>
          <w:bCs w:val="0"/>
          <w:color w:val="auto"/>
          <w:sz w:val="32"/>
          <w:szCs w:val="32"/>
          <w:lang w:val="en-US" w:eastAsia="zh-CN"/>
        </w:rPr>
      </w:pPr>
      <w:bookmarkStart w:id="115" w:name="_Toc23130"/>
      <w:bookmarkStart w:id="116" w:name="_Toc23871"/>
      <w:r>
        <w:rPr>
          <w:rFonts w:hint="default" w:ascii="楷体" w:hAnsi="楷体" w:eastAsia="楷体" w:cs="楷体"/>
          <w:b w:val="0"/>
          <w:bCs w:val="0"/>
          <w:color w:val="auto"/>
          <w:sz w:val="32"/>
          <w:szCs w:val="32"/>
          <w:lang w:val="en-US" w:eastAsia="zh-CN"/>
        </w:rPr>
        <w:t>8.2</w:t>
      </w:r>
      <w:r>
        <w:rPr>
          <w:rFonts w:hint="eastAsia" w:ascii="楷体" w:hAnsi="楷体" w:eastAsia="楷体" w:cs="楷体"/>
          <w:b w:val="0"/>
          <w:bCs w:val="0"/>
          <w:color w:val="auto"/>
          <w:sz w:val="32"/>
          <w:szCs w:val="32"/>
          <w:lang w:val="en-US" w:eastAsia="zh-CN"/>
        </w:rPr>
        <w:t xml:space="preserve"> </w:t>
      </w:r>
      <w:r>
        <w:rPr>
          <w:rFonts w:hint="default" w:ascii="楷体" w:hAnsi="楷体" w:eastAsia="楷体" w:cs="楷体"/>
          <w:b w:val="0"/>
          <w:bCs w:val="0"/>
          <w:color w:val="auto"/>
          <w:sz w:val="32"/>
          <w:szCs w:val="32"/>
          <w:lang w:val="en-US" w:eastAsia="zh-CN"/>
        </w:rPr>
        <w:t>运营模式</w:t>
      </w:r>
      <w:bookmarkEnd w:id="115"/>
      <w:bookmarkEnd w:id="116"/>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金口河区建筑垃圾资源化处置推行市场化运作、鼓励采用特许经营模式，对建筑垃圾倾倒、收集、中转、运输、消纳、资源化利用等所有处置活动实行一体化特许经营。</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outlineLvl w:val="1"/>
        <w:rPr>
          <w:rFonts w:hint="default" w:ascii="楷体" w:hAnsi="楷体" w:eastAsia="楷体" w:cs="楷体"/>
          <w:b w:val="0"/>
          <w:bCs w:val="0"/>
          <w:color w:val="auto"/>
          <w:sz w:val="32"/>
          <w:szCs w:val="32"/>
          <w:lang w:val="en-US" w:eastAsia="zh-CN"/>
        </w:rPr>
      </w:pPr>
      <w:bookmarkStart w:id="117" w:name="_Toc28847"/>
      <w:bookmarkStart w:id="118" w:name="_Toc6898"/>
      <w:r>
        <w:rPr>
          <w:rFonts w:hint="default" w:ascii="楷体" w:hAnsi="楷体" w:eastAsia="楷体" w:cs="楷体"/>
          <w:b w:val="0"/>
          <w:bCs w:val="0"/>
          <w:color w:val="auto"/>
          <w:sz w:val="32"/>
          <w:szCs w:val="32"/>
          <w:lang w:val="en-US" w:eastAsia="zh-CN"/>
        </w:rPr>
        <w:t>8.3</w:t>
      </w:r>
      <w:r>
        <w:rPr>
          <w:rFonts w:hint="eastAsia" w:ascii="楷体" w:hAnsi="楷体" w:eastAsia="楷体" w:cs="楷体"/>
          <w:b w:val="0"/>
          <w:bCs w:val="0"/>
          <w:color w:val="auto"/>
          <w:sz w:val="32"/>
          <w:szCs w:val="32"/>
          <w:lang w:val="en-US" w:eastAsia="zh-CN"/>
        </w:rPr>
        <w:t xml:space="preserve"> </w:t>
      </w:r>
      <w:r>
        <w:rPr>
          <w:rFonts w:hint="default" w:ascii="楷体" w:hAnsi="楷体" w:eastAsia="楷体" w:cs="楷体"/>
          <w:b w:val="0"/>
          <w:bCs w:val="0"/>
          <w:color w:val="auto"/>
          <w:sz w:val="32"/>
          <w:szCs w:val="32"/>
          <w:lang w:val="en-US" w:eastAsia="zh-CN"/>
        </w:rPr>
        <w:t>全过程管理体系建设</w:t>
      </w:r>
      <w:bookmarkEnd w:id="117"/>
      <w:bookmarkEnd w:id="118"/>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119" w:name="_Toc5028"/>
      <w:r>
        <w:rPr>
          <w:rFonts w:hint="default" w:ascii="仿宋" w:hAnsi="仿宋" w:eastAsia="仿宋" w:cs="仿宋"/>
          <w:b w:val="0"/>
          <w:bCs w:val="0"/>
          <w:color w:val="auto"/>
          <w:spacing w:val="-2"/>
          <w:sz w:val="32"/>
          <w:szCs w:val="32"/>
          <w:lang w:val="en-US" w:eastAsia="zh-CN" w:bidi="ar-SA"/>
        </w:rPr>
        <w:t>8.3.1</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健全源头控制管理体系</w:t>
      </w:r>
      <w:bookmarkEnd w:id="119"/>
    </w:p>
    <w:p>
      <w:pPr>
        <w:keepNext w:val="0"/>
        <w:keepLines w:val="0"/>
        <w:pageBreakBefore w:val="0"/>
        <w:widowControl w:val="0"/>
        <w:kinsoku/>
        <w:wordWrap/>
        <w:overflowPunct/>
        <w:topLinePunct w:val="0"/>
        <w:autoSpaceDE/>
        <w:autoSpaceDN/>
        <w:bidi w:val="0"/>
        <w:adjustRightInd/>
        <w:snapToGrid/>
        <w:spacing w:line="600" w:lineRule="exact"/>
        <w:ind w:firstLine="505" w:firstLineChars="160"/>
        <w:jc w:val="both"/>
        <w:textAlignment w:val="auto"/>
        <w:rPr>
          <w:rFonts w:hint="default" w:ascii="仿宋" w:hAnsi="仿宋" w:eastAsia="仿宋" w:cs="仿宋"/>
          <w:color w:val="auto"/>
          <w:spacing w:val="-2"/>
          <w:sz w:val="32"/>
          <w:szCs w:val="32"/>
          <w:highlight w:val="yellow"/>
          <w:lang w:val="en-US" w:eastAsia="zh-CN"/>
        </w:rPr>
      </w:pPr>
      <w:r>
        <w:rPr>
          <w:rFonts w:hint="default" w:ascii="仿宋" w:hAnsi="仿宋" w:eastAsia="仿宋" w:cs="仿宋"/>
          <w:color w:val="auto"/>
          <w:spacing w:val="-2"/>
          <w:sz w:val="32"/>
          <w:szCs w:val="32"/>
          <w:lang w:val="en-US" w:eastAsia="zh-CN"/>
        </w:rPr>
        <w:t>（1）强化分类管理。按照工程渣土、工程泥浆、工程垃圾、拆除垃圾和装修垃圾五类，建立针对性管理制度并出台配套管理政策，杜绝分类模糊问题，实现精准有效管理，为建筑垃圾处置与利用筑牢源头制度保障。在此基础上，进一步制定施工现场建筑垃圾分类收集与存放专项制度：对照前述五类分类标准细化现场分类要求，明确分时段、分部位的收集存放操作规范，划定各单位、各区域的建筑垃圾管理责任边界，同步制定台账登记与动态更新要求，确保现场管理全流程可追溯。</w:t>
      </w:r>
    </w:p>
    <w:p>
      <w:pPr>
        <w:keepNext w:val="0"/>
        <w:keepLines w:val="0"/>
        <w:pageBreakBefore w:val="0"/>
        <w:widowControl w:val="0"/>
        <w:kinsoku/>
        <w:wordWrap/>
        <w:overflowPunct/>
        <w:topLinePunct w:val="0"/>
        <w:autoSpaceDE/>
        <w:autoSpaceDN/>
        <w:bidi w:val="0"/>
        <w:adjustRightInd/>
        <w:snapToGrid/>
        <w:spacing w:line="600" w:lineRule="exact"/>
        <w:ind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2）实行处置付费。建筑垃圾产生者负有建筑垃圾处置义务，应当承担建筑垃圾运输、处置的费用。建筑垃圾的运输费、处置费由产生者与运输单位和处置单位协商确定，并在运输合同、处置合同中予以明确，双方另有约定的除外。</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使用政府财政性资金以及国有投资占控股或者主导地位的建设工程，建设单位在设计阶段要优化竖向方案和建筑设计方案，将建筑垃圾相关费用列入工程概算并纳入初步设计审查，将建筑垃圾减量化目标和措施纳入招标文件和合同文本。</w:t>
      </w:r>
    </w:p>
    <w:p>
      <w:pPr>
        <w:keepNext w:val="0"/>
        <w:keepLines w:val="0"/>
        <w:pageBreakBefore w:val="0"/>
        <w:widowControl w:val="0"/>
        <w:kinsoku/>
        <w:wordWrap/>
        <w:overflowPunct/>
        <w:topLinePunct w:val="0"/>
        <w:autoSpaceDE/>
        <w:autoSpaceDN/>
        <w:bidi w:val="0"/>
        <w:adjustRightInd/>
        <w:snapToGrid/>
        <w:spacing w:line="600" w:lineRule="exact"/>
        <w:ind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3）出台激励政策。全面推广建筑垃圾新能源和智能运输车辆，研究出台建筑垃圾新能源和智能运输车辆应用推广和补贴政策。加快研究建筑垃圾资源化利用的有关补贴措施，将建筑垃圾资源化利用项目纳入政府相关资金扶持政策范围，对符合国家扶持政策的企业，实行税收优惠政策。</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120" w:name="_Toc19350"/>
      <w:r>
        <w:rPr>
          <w:rFonts w:hint="default" w:ascii="仿宋" w:hAnsi="仿宋" w:eastAsia="仿宋" w:cs="仿宋"/>
          <w:b w:val="0"/>
          <w:bCs w:val="0"/>
          <w:color w:val="auto"/>
          <w:spacing w:val="-2"/>
          <w:sz w:val="32"/>
          <w:szCs w:val="32"/>
          <w:lang w:val="en-US" w:eastAsia="zh-CN" w:bidi="ar-SA"/>
        </w:rPr>
        <w:t>8.3.2</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完善过程监督管理体系</w:t>
      </w:r>
      <w:bookmarkEnd w:id="120"/>
    </w:p>
    <w:p>
      <w:pPr>
        <w:keepNext w:val="0"/>
        <w:keepLines w:val="0"/>
        <w:pageBreakBefore w:val="0"/>
        <w:widowControl w:val="0"/>
        <w:kinsoku/>
        <w:wordWrap/>
        <w:overflowPunct/>
        <w:topLinePunct w:val="0"/>
        <w:autoSpaceDE/>
        <w:autoSpaceDN/>
        <w:bidi w:val="0"/>
        <w:adjustRightInd/>
        <w:snapToGrid/>
        <w:spacing w:line="600" w:lineRule="exact"/>
        <w:ind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1）加强核准管理。加强建筑垃圾管理，对城市建成区内建筑垃圾的产生、运输、处置等活动进行严格核准。建设工程垃圾、拆除垃圾的产生单位应办理产生核准；从事建筑垃圾运输的单位应办理运输核准；转运调配场、堆填场、填埋场、资源化利用厂等处置和资源化利用企业（单位）应办理处置核准。参与处置活动（含产生、运输、处置）的相关单位，应在获取城市建筑垃圾处置相应核准证后，方可开展处置活动。建设工程产生核准证在开工前应当完成办理。工程施工单位应当编制建筑垃圾处理方案，采取污染防治措施，并报主管部门备案。</w:t>
      </w:r>
    </w:p>
    <w:p>
      <w:pPr>
        <w:keepNext w:val="0"/>
        <w:keepLines w:val="0"/>
        <w:pageBreakBefore w:val="0"/>
        <w:widowControl w:val="0"/>
        <w:kinsoku/>
        <w:wordWrap/>
        <w:overflowPunct/>
        <w:topLinePunct w:val="0"/>
        <w:autoSpaceDE/>
        <w:autoSpaceDN/>
        <w:bidi w:val="0"/>
        <w:adjustRightInd/>
        <w:snapToGrid/>
        <w:spacing w:line="600" w:lineRule="exact"/>
        <w:ind w:left="0"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（2）开展联合执法。</w:t>
      </w:r>
      <w:r>
        <w:rPr>
          <w:rFonts w:hint="eastAsia" w:ascii="仿宋" w:hAnsi="仿宋" w:eastAsia="仿宋" w:cs="仿宋"/>
          <w:color w:val="auto"/>
          <w:spacing w:val="-2"/>
          <w:sz w:val="32"/>
          <w:szCs w:val="32"/>
          <w:lang w:val="en-US" w:eastAsia="zh-CN"/>
        </w:rPr>
        <w:t>区综合行政执法局</w:t>
      </w:r>
      <w:r>
        <w:rPr>
          <w:rFonts w:hint="default" w:ascii="仿宋" w:hAnsi="仿宋" w:eastAsia="仿宋" w:cs="仿宋"/>
          <w:color w:val="auto"/>
          <w:spacing w:val="-2"/>
          <w:sz w:val="32"/>
          <w:szCs w:val="32"/>
          <w:lang w:val="en-US" w:eastAsia="zh-CN"/>
        </w:rPr>
        <w:t>应会同</w:t>
      </w:r>
      <w:r>
        <w:rPr>
          <w:rFonts w:hint="eastAsia" w:ascii="仿宋" w:hAnsi="仿宋" w:eastAsia="仿宋" w:cs="仿宋"/>
          <w:color w:val="auto"/>
          <w:spacing w:val="-2"/>
          <w:sz w:val="32"/>
          <w:szCs w:val="32"/>
          <w:lang w:val="en-US" w:eastAsia="zh-CN"/>
        </w:rPr>
        <w:t>区</w:t>
      </w:r>
      <w:r>
        <w:rPr>
          <w:rFonts w:hint="default" w:ascii="仿宋" w:hAnsi="仿宋" w:eastAsia="仿宋" w:cs="仿宋"/>
          <w:color w:val="auto"/>
          <w:spacing w:val="-2"/>
          <w:sz w:val="32"/>
          <w:szCs w:val="32"/>
          <w:lang w:val="en-US" w:eastAsia="zh-CN"/>
        </w:rPr>
        <w:t>住建</w:t>
      </w:r>
      <w:r>
        <w:rPr>
          <w:rFonts w:hint="eastAsia" w:ascii="仿宋" w:hAnsi="仿宋" w:eastAsia="仿宋" w:cs="仿宋"/>
          <w:color w:val="auto"/>
          <w:spacing w:val="-2"/>
          <w:sz w:val="32"/>
          <w:szCs w:val="32"/>
          <w:lang w:val="en-US" w:eastAsia="zh-CN"/>
        </w:rPr>
        <w:t>局</w:t>
      </w:r>
      <w:r>
        <w:rPr>
          <w:rFonts w:hint="default" w:ascii="仿宋" w:hAnsi="仿宋" w:eastAsia="仿宋" w:cs="仿宋"/>
          <w:color w:val="auto"/>
          <w:spacing w:val="-2"/>
          <w:sz w:val="32"/>
          <w:szCs w:val="32"/>
          <w:lang w:val="en-US" w:eastAsia="zh-CN"/>
        </w:rPr>
        <w:t>、</w:t>
      </w:r>
      <w:r>
        <w:rPr>
          <w:rFonts w:hint="eastAsia" w:ascii="仿宋" w:hAnsi="仿宋" w:eastAsia="仿宋" w:cs="仿宋"/>
          <w:color w:val="auto"/>
          <w:spacing w:val="-2"/>
          <w:sz w:val="32"/>
          <w:szCs w:val="32"/>
          <w:lang w:val="en-US" w:eastAsia="zh-CN"/>
        </w:rPr>
        <w:t>区公安分局</w:t>
      </w:r>
      <w:r>
        <w:rPr>
          <w:rFonts w:hint="default" w:ascii="仿宋" w:hAnsi="仿宋" w:eastAsia="仿宋" w:cs="仿宋"/>
          <w:color w:val="auto"/>
          <w:spacing w:val="-2"/>
          <w:sz w:val="32"/>
          <w:szCs w:val="32"/>
          <w:lang w:val="en-US" w:eastAsia="zh-CN"/>
        </w:rPr>
        <w:t>、</w:t>
      </w:r>
      <w:r>
        <w:rPr>
          <w:rFonts w:hint="eastAsia" w:ascii="仿宋" w:hAnsi="仿宋" w:eastAsia="仿宋" w:cs="仿宋"/>
          <w:color w:val="auto"/>
          <w:spacing w:val="-2"/>
          <w:sz w:val="32"/>
          <w:szCs w:val="32"/>
          <w:lang w:val="en-US" w:eastAsia="zh-CN"/>
        </w:rPr>
        <w:t>区</w:t>
      </w:r>
      <w:r>
        <w:rPr>
          <w:rFonts w:hint="default" w:ascii="仿宋" w:hAnsi="仿宋" w:eastAsia="仿宋" w:cs="仿宋"/>
          <w:color w:val="auto"/>
          <w:spacing w:val="-2"/>
          <w:sz w:val="32"/>
          <w:szCs w:val="32"/>
          <w:lang w:val="en-US" w:eastAsia="zh-CN"/>
        </w:rPr>
        <w:t>自然资源</w:t>
      </w:r>
      <w:r>
        <w:rPr>
          <w:rFonts w:hint="eastAsia" w:ascii="仿宋" w:hAnsi="仿宋" w:eastAsia="仿宋" w:cs="仿宋"/>
          <w:color w:val="auto"/>
          <w:spacing w:val="-2"/>
          <w:sz w:val="32"/>
          <w:szCs w:val="32"/>
          <w:lang w:val="en-US" w:eastAsia="zh-CN"/>
        </w:rPr>
        <w:t>局</w:t>
      </w:r>
      <w:r>
        <w:rPr>
          <w:rFonts w:hint="default" w:ascii="仿宋" w:hAnsi="仿宋" w:eastAsia="仿宋" w:cs="仿宋"/>
          <w:color w:val="auto"/>
          <w:spacing w:val="-2"/>
          <w:sz w:val="32"/>
          <w:szCs w:val="32"/>
          <w:lang w:val="en-US" w:eastAsia="zh-CN"/>
        </w:rPr>
        <w:t>、</w:t>
      </w:r>
      <w:r>
        <w:rPr>
          <w:rFonts w:hint="eastAsia" w:ascii="仿宋" w:hAnsi="仿宋" w:eastAsia="仿宋" w:cs="仿宋"/>
          <w:color w:val="auto"/>
          <w:spacing w:val="-2"/>
          <w:sz w:val="32"/>
          <w:szCs w:val="32"/>
          <w:lang w:val="en-US" w:eastAsia="zh-CN"/>
        </w:rPr>
        <w:t>金口河</w:t>
      </w:r>
      <w:r>
        <w:rPr>
          <w:rFonts w:hint="default" w:ascii="仿宋" w:hAnsi="仿宋" w:eastAsia="仿宋" w:cs="仿宋"/>
          <w:color w:val="auto"/>
          <w:spacing w:val="-2"/>
          <w:sz w:val="32"/>
          <w:szCs w:val="32"/>
          <w:lang w:val="en-US" w:eastAsia="zh-CN"/>
        </w:rPr>
        <w:t>生态环境</w:t>
      </w:r>
      <w:r>
        <w:rPr>
          <w:rFonts w:hint="eastAsia" w:ascii="仿宋" w:hAnsi="仿宋" w:eastAsia="仿宋" w:cs="仿宋"/>
          <w:color w:val="auto"/>
          <w:spacing w:val="-2"/>
          <w:sz w:val="32"/>
          <w:szCs w:val="32"/>
          <w:lang w:val="en-US" w:eastAsia="zh-CN"/>
        </w:rPr>
        <w:t>局</w:t>
      </w:r>
      <w:r>
        <w:rPr>
          <w:rFonts w:hint="default" w:ascii="仿宋" w:hAnsi="仿宋" w:eastAsia="仿宋" w:cs="仿宋"/>
          <w:color w:val="auto"/>
          <w:spacing w:val="-2"/>
          <w:sz w:val="32"/>
          <w:szCs w:val="32"/>
          <w:lang w:val="en-US" w:eastAsia="zh-CN"/>
        </w:rPr>
        <w:t>、</w:t>
      </w:r>
      <w:r>
        <w:rPr>
          <w:rFonts w:hint="eastAsia" w:ascii="仿宋" w:hAnsi="仿宋" w:eastAsia="仿宋" w:cs="仿宋"/>
          <w:color w:val="auto"/>
          <w:spacing w:val="-2"/>
          <w:sz w:val="32"/>
          <w:szCs w:val="32"/>
          <w:lang w:val="en-US" w:eastAsia="zh-CN"/>
        </w:rPr>
        <w:t>区</w:t>
      </w:r>
      <w:r>
        <w:rPr>
          <w:rFonts w:hint="default" w:ascii="仿宋" w:hAnsi="仿宋" w:eastAsia="仿宋" w:cs="仿宋"/>
          <w:color w:val="auto"/>
          <w:spacing w:val="-2"/>
          <w:sz w:val="32"/>
          <w:szCs w:val="32"/>
          <w:lang w:val="en-US" w:eastAsia="zh-CN"/>
        </w:rPr>
        <w:t>交通运输</w:t>
      </w:r>
      <w:r>
        <w:rPr>
          <w:rFonts w:hint="eastAsia" w:ascii="仿宋" w:hAnsi="仿宋" w:eastAsia="仿宋" w:cs="仿宋"/>
          <w:color w:val="auto"/>
          <w:spacing w:val="-2"/>
          <w:sz w:val="32"/>
          <w:szCs w:val="32"/>
          <w:lang w:val="en-US" w:eastAsia="zh-CN"/>
        </w:rPr>
        <w:t>局</w:t>
      </w:r>
      <w:r>
        <w:rPr>
          <w:rFonts w:hint="default" w:ascii="仿宋" w:hAnsi="仿宋" w:eastAsia="仿宋" w:cs="仿宋"/>
          <w:color w:val="auto"/>
          <w:spacing w:val="-2"/>
          <w:sz w:val="32"/>
          <w:szCs w:val="32"/>
          <w:lang w:val="en-US" w:eastAsia="zh-CN"/>
        </w:rPr>
        <w:t>、</w:t>
      </w:r>
      <w:r>
        <w:rPr>
          <w:rFonts w:hint="eastAsia" w:ascii="仿宋" w:hAnsi="仿宋" w:eastAsia="仿宋" w:cs="仿宋"/>
          <w:color w:val="auto"/>
          <w:spacing w:val="-2"/>
          <w:sz w:val="32"/>
          <w:szCs w:val="32"/>
          <w:highlight w:val="none"/>
          <w:lang w:val="en-US" w:eastAsia="zh-CN"/>
        </w:rPr>
        <w:t>区</w:t>
      </w:r>
      <w:r>
        <w:rPr>
          <w:rFonts w:hint="default" w:ascii="仿宋" w:hAnsi="仿宋" w:eastAsia="仿宋" w:cs="仿宋"/>
          <w:color w:val="auto"/>
          <w:spacing w:val="-2"/>
          <w:sz w:val="32"/>
          <w:szCs w:val="32"/>
          <w:highlight w:val="none"/>
          <w:lang w:val="en-US" w:eastAsia="zh-CN"/>
        </w:rPr>
        <w:t>水</w:t>
      </w:r>
      <w:r>
        <w:rPr>
          <w:rFonts w:hint="eastAsia" w:ascii="仿宋" w:hAnsi="仿宋" w:eastAsia="仿宋" w:cs="仿宋"/>
          <w:color w:val="auto"/>
          <w:spacing w:val="-2"/>
          <w:sz w:val="32"/>
          <w:szCs w:val="32"/>
          <w:highlight w:val="none"/>
          <w:lang w:val="en-US" w:eastAsia="zh-CN"/>
        </w:rPr>
        <w:t>务局</w:t>
      </w:r>
      <w:r>
        <w:rPr>
          <w:rFonts w:hint="default" w:ascii="仿宋" w:hAnsi="仿宋" w:eastAsia="仿宋" w:cs="仿宋"/>
          <w:color w:val="auto"/>
          <w:spacing w:val="-2"/>
          <w:sz w:val="32"/>
          <w:szCs w:val="32"/>
          <w:highlight w:val="none"/>
          <w:lang w:val="en-US" w:eastAsia="zh-CN"/>
        </w:rPr>
        <w:t>、</w:t>
      </w:r>
      <w:r>
        <w:rPr>
          <w:rFonts w:hint="eastAsia" w:ascii="仿宋" w:hAnsi="仿宋" w:eastAsia="仿宋" w:cs="仿宋"/>
          <w:color w:val="auto"/>
          <w:spacing w:val="-2"/>
          <w:sz w:val="32"/>
          <w:szCs w:val="32"/>
          <w:highlight w:val="none"/>
          <w:lang w:val="en-US" w:eastAsia="zh-CN"/>
        </w:rPr>
        <w:t>区</w:t>
      </w:r>
      <w:r>
        <w:rPr>
          <w:rFonts w:hint="default" w:ascii="仿宋" w:hAnsi="仿宋" w:eastAsia="仿宋" w:cs="仿宋"/>
          <w:color w:val="auto"/>
          <w:spacing w:val="-2"/>
          <w:sz w:val="32"/>
          <w:szCs w:val="32"/>
          <w:highlight w:val="none"/>
          <w:lang w:val="en-US" w:eastAsia="zh-CN"/>
        </w:rPr>
        <w:t>农业农村</w:t>
      </w:r>
      <w:r>
        <w:rPr>
          <w:rFonts w:hint="eastAsia" w:ascii="仿宋" w:hAnsi="仿宋" w:eastAsia="仿宋" w:cs="仿宋"/>
          <w:color w:val="auto"/>
          <w:spacing w:val="-2"/>
          <w:sz w:val="32"/>
          <w:szCs w:val="32"/>
          <w:highlight w:val="none"/>
          <w:lang w:val="en-US" w:eastAsia="zh-CN"/>
        </w:rPr>
        <w:t>局</w:t>
      </w:r>
      <w:r>
        <w:rPr>
          <w:rFonts w:hint="default" w:ascii="仿宋" w:hAnsi="仿宋" w:eastAsia="仿宋" w:cs="仿宋"/>
          <w:color w:val="auto"/>
          <w:spacing w:val="-2"/>
          <w:sz w:val="32"/>
          <w:szCs w:val="32"/>
          <w:highlight w:val="none"/>
          <w:lang w:val="en-US" w:eastAsia="zh-CN"/>
        </w:rPr>
        <w:t>等执法监管部门建立健全多部门协同监管和联合</w:t>
      </w:r>
      <w:r>
        <w:rPr>
          <w:rFonts w:hint="default" w:ascii="仿宋" w:hAnsi="仿宋" w:eastAsia="仿宋" w:cs="仿宋"/>
          <w:color w:val="auto"/>
          <w:spacing w:val="-2"/>
          <w:sz w:val="32"/>
          <w:szCs w:val="32"/>
          <w:lang w:val="en-US" w:eastAsia="zh-CN"/>
        </w:rPr>
        <w:t>执法工作机制，明确职责、细化分工、定期会商、协作联动、信息共享，依法查处建筑垃圾产生、收集、运输、处置、利用等过程中的违法行为，情节严重构成犯罪的应当依法移送司法机关。</w:t>
      </w:r>
    </w:p>
    <w:p>
      <w:pPr>
        <w:keepNext w:val="0"/>
        <w:keepLines w:val="0"/>
        <w:pageBreakBefore w:val="0"/>
        <w:widowControl w:val="0"/>
        <w:kinsoku/>
        <w:wordWrap/>
        <w:overflowPunct/>
        <w:topLinePunct w:val="0"/>
        <w:autoSpaceDE/>
        <w:autoSpaceDN/>
        <w:bidi w:val="0"/>
        <w:adjustRightInd/>
        <w:snapToGrid/>
        <w:spacing w:line="600" w:lineRule="exact"/>
        <w:ind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3）提升信息水平。及时汇集建筑垃圾产生位置、种类、数量、运输、处置等信息，按就近原则调度区域内建筑垃圾产生与处置的平衡，逐步建立全动态、全链条、闭合的建筑垃圾全过程监管制度。建立建筑垃圾利用和再生产品的供求信息定期公布制度，实现信息共享与高效利用，为建设项目就近消纳渣土提供供需平台。</w:t>
      </w:r>
    </w:p>
    <w:p>
      <w:pPr>
        <w:keepNext w:val="0"/>
        <w:keepLines w:val="0"/>
        <w:pageBreakBefore w:val="0"/>
        <w:widowControl w:val="0"/>
        <w:kinsoku/>
        <w:wordWrap/>
        <w:overflowPunct/>
        <w:topLinePunct w:val="0"/>
        <w:autoSpaceDE/>
        <w:autoSpaceDN/>
        <w:bidi w:val="0"/>
        <w:adjustRightInd/>
        <w:snapToGrid/>
        <w:spacing w:line="600" w:lineRule="exact"/>
        <w:ind w:firstLine="505" w:firstLineChars="160"/>
        <w:jc w:val="both"/>
        <w:textAlignment w:val="auto"/>
        <w:rPr>
          <w:rFonts w:hint="default" w:ascii="Times New Roman" w:hAnsi="Times New Roman" w:eastAsia="仿宋" w:cs="Times New Roman"/>
          <w:color w:val="auto"/>
          <w:spacing w:val="-2"/>
          <w:sz w:val="32"/>
          <w:szCs w:val="32"/>
          <w:lang w:val="en-US" w:eastAsia="zh-CN"/>
        </w:rPr>
      </w:pPr>
      <w:r>
        <w:rPr>
          <w:rFonts w:hint="default" w:ascii="仿宋" w:hAnsi="仿宋" w:eastAsia="仿宋" w:cs="仿宋"/>
          <w:color w:val="auto"/>
          <w:spacing w:val="-2"/>
          <w:sz w:val="32"/>
          <w:szCs w:val="32"/>
          <w:lang w:val="en-US" w:eastAsia="zh-CN"/>
        </w:rPr>
        <w:t>（4）建立应急机制。完善建筑垃圾运输应急机制，明确工程渣土、工程垃圾、拆除垃圾的运输由企业负责；装修垃圾的运输由委托的运输单位负责。在运输过程中如遇突发情况，主要由责任单位自行解决，管理部门提供协助；特别重大问题则上报上级主管部门协调解决，确保建筑垃圾运输的顺畅与安全。</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121" w:name="_Toc2365"/>
      <w:r>
        <w:rPr>
          <w:rFonts w:hint="default" w:ascii="仿宋" w:hAnsi="仿宋" w:eastAsia="仿宋" w:cs="仿宋"/>
          <w:b w:val="0"/>
          <w:bCs w:val="0"/>
          <w:color w:val="auto"/>
          <w:spacing w:val="-2"/>
          <w:sz w:val="32"/>
          <w:szCs w:val="32"/>
          <w:lang w:val="en-US" w:eastAsia="zh-CN" w:bidi="ar-SA"/>
        </w:rPr>
        <w:t>8.3.3</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建立评估评价管理体系</w:t>
      </w:r>
      <w:bookmarkEnd w:id="121"/>
    </w:p>
    <w:p>
      <w:pPr>
        <w:keepNext w:val="0"/>
        <w:keepLines w:val="0"/>
        <w:pageBreakBefore w:val="0"/>
        <w:widowControl w:val="0"/>
        <w:kinsoku/>
        <w:wordWrap/>
        <w:overflowPunct/>
        <w:topLinePunct w:val="0"/>
        <w:autoSpaceDE/>
        <w:autoSpaceDN/>
        <w:bidi w:val="0"/>
        <w:adjustRightInd/>
        <w:snapToGrid/>
        <w:spacing w:line="600" w:lineRule="exact"/>
        <w:ind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（1）开展综合评价。区住</w:t>
      </w:r>
      <w:r>
        <w:rPr>
          <w:rFonts w:hint="eastAsia" w:ascii="仿宋" w:hAnsi="仿宋" w:eastAsia="仿宋" w:cs="仿宋"/>
          <w:color w:val="auto"/>
          <w:spacing w:val="-2"/>
          <w:sz w:val="32"/>
          <w:szCs w:val="32"/>
          <w:lang w:val="en-US" w:eastAsia="zh-CN"/>
        </w:rPr>
        <w:t>建</w:t>
      </w:r>
      <w:r>
        <w:rPr>
          <w:rFonts w:hint="default" w:ascii="仿宋" w:hAnsi="仿宋" w:eastAsia="仿宋" w:cs="仿宋"/>
          <w:color w:val="auto"/>
          <w:spacing w:val="-2"/>
          <w:sz w:val="32"/>
          <w:szCs w:val="32"/>
          <w:lang w:val="en-US" w:eastAsia="zh-CN"/>
        </w:rPr>
        <w:t>局应定期会同有关部门对各建筑垃圾处置和资源化利用工作进行综合评价。适时对全区建筑垃圾管理情况进行评估，及时发现解决重大问题，不断健全完善常态长效机制。</w:t>
      </w:r>
    </w:p>
    <w:p>
      <w:pPr>
        <w:keepNext w:val="0"/>
        <w:keepLines w:val="0"/>
        <w:pageBreakBefore w:val="0"/>
        <w:widowControl w:val="0"/>
        <w:kinsoku/>
        <w:wordWrap/>
        <w:overflowPunct/>
        <w:topLinePunct w:val="0"/>
        <w:autoSpaceDE/>
        <w:autoSpaceDN/>
        <w:bidi w:val="0"/>
        <w:adjustRightInd/>
        <w:snapToGrid/>
        <w:spacing w:line="600" w:lineRule="exact"/>
        <w:ind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2）实行信用评价。健全对建设单位、运输、处置企业等对象的考评体系，完善现有建设（施工）企业和运输企业信用管理制度，充分利用市场主体信用考核体系和诚信系统，对建筑垃圾管理工作不到位的建设（施工）、运输企业及相关责任人实施信用惩戒，提高违法成本，及时向社会公布相关企业和人员不良行为信息。</w:t>
      </w:r>
    </w:p>
    <w:p>
      <w:pPr>
        <w:keepNext w:val="0"/>
        <w:keepLines w:val="0"/>
        <w:pageBreakBefore w:val="0"/>
        <w:widowControl w:val="0"/>
        <w:kinsoku/>
        <w:wordWrap/>
        <w:overflowPunct/>
        <w:topLinePunct w:val="0"/>
        <w:autoSpaceDE/>
        <w:autoSpaceDN/>
        <w:bidi w:val="0"/>
        <w:adjustRightInd/>
        <w:snapToGrid/>
        <w:spacing w:line="600" w:lineRule="exact"/>
        <w:ind w:firstLine="505" w:firstLineChars="160"/>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（3）引导社会监督。</w:t>
      </w:r>
      <w:r>
        <w:rPr>
          <w:rFonts w:hint="eastAsia" w:ascii="仿宋" w:hAnsi="仿宋" w:eastAsia="仿宋" w:cs="仿宋"/>
          <w:color w:val="auto"/>
          <w:spacing w:val="-2"/>
          <w:sz w:val="32"/>
          <w:szCs w:val="32"/>
          <w:lang w:val="en-US" w:eastAsia="zh-CN"/>
        </w:rPr>
        <w:t>区</w:t>
      </w:r>
      <w:r>
        <w:rPr>
          <w:rFonts w:hint="default" w:ascii="仿宋" w:hAnsi="仿宋" w:eastAsia="仿宋" w:cs="仿宋"/>
          <w:color w:val="auto"/>
          <w:spacing w:val="-2"/>
          <w:sz w:val="32"/>
          <w:szCs w:val="32"/>
          <w:lang w:val="en-US" w:eastAsia="zh-CN"/>
        </w:rPr>
        <w:t>政府及有关部门应通过广播、电视、报刊、网络等媒体，加强建筑垃圾管理相关法律法规宣传，增强公众法治意识，鼓励群众对建筑垃圾偷倒乱倒、超重运输等违法行为进行投诉举报，共同防止建筑垃圾污染环境。</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eastAsia" w:ascii="仿宋" w:hAnsi="仿宋" w:eastAsia="仿宋" w:cs="仿宋"/>
          <w:color w:val="auto"/>
          <w:spacing w:val="-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eastAsia" w:ascii="仿宋" w:hAnsi="仿宋" w:eastAsia="仿宋" w:cs="仿宋"/>
          <w:color w:val="auto"/>
          <w:spacing w:val="-2"/>
          <w:sz w:val="32"/>
          <w:szCs w:val="32"/>
          <w:lang w:val="en-US" w:eastAsia="zh-CN"/>
        </w:rPr>
        <w:sectPr>
          <w:pgSz w:w="11905" w:h="16838"/>
          <w:pgMar w:top="2041" w:right="1468" w:bottom="1587" w:left="1468" w:header="850" w:footer="992" w:gutter="0"/>
          <w:pgBorders w:offsetFrom="page">
            <w:top w:val="none" w:sz="0" w:space="0"/>
            <w:left w:val="none" w:sz="0" w:space="0"/>
            <w:bottom w:val="none" w:sz="0" w:space="0"/>
            <w:right w:val="none" w:sz="0" w:space="0"/>
          </w:pgBorders>
          <w:pgNumType w:fmt="decimal"/>
          <w:cols w:space="0" w:num="1"/>
          <w:rtlGutter w:val="0"/>
          <w:docGrid w:type="lines" w:linePitch="330" w:charSpace="0"/>
        </w:sectPr>
      </w:pPr>
    </w:p>
    <w:p>
      <w:pPr>
        <w:pStyle w:val="3"/>
        <w:numPr>
          <w:ilvl w:val="0"/>
          <w:numId w:val="12"/>
        </w:numPr>
        <w:bidi w:val="0"/>
        <w:ind w:leftChars="0"/>
        <w:jc w:val="center"/>
        <w:rPr>
          <w:rFonts w:hint="eastAsia"/>
          <w:lang w:val="en-US" w:eastAsia="zh-CN"/>
        </w:rPr>
      </w:pPr>
      <w:bookmarkStart w:id="122" w:name="_Toc2723"/>
      <w:bookmarkStart w:id="123" w:name="_Toc2051"/>
      <w:r>
        <w:rPr>
          <w:rFonts w:hint="eastAsia" w:ascii="黑体" w:hAnsi="黑体" w:eastAsia="黑体" w:cs="黑体"/>
          <w:b w:val="0"/>
          <w:bCs w:val="0"/>
          <w:lang w:val="en-US" w:eastAsia="zh-CN"/>
        </w:rPr>
        <w:t>近期建设规划</w:t>
      </w:r>
      <w:bookmarkEnd w:id="122"/>
      <w:bookmarkEnd w:id="123"/>
    </w:p>
    <w:p>
      <w:pPr>
        <w:rPr>
          <w:rFonts w:hint="eastAsia"/>
          <w:lang w:val="en-US" w:eastAsia="zh-CN"/>
        </w:rPr>
      </w:pP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outlineLvl w:val="1"/>
        <w:rPr>
          <w:rFonts w:hint="default" w:ascii="楷体" w:hAnsi="楷体" w:eastAsia="楷体" w:cs="楷体"/>
          <w:b w:val="0"/>
          <w:bCs w:val="0"/>
          <w:color w:val="auto"/>
          <w:sz w:val="32"/>
          <w:szCs w:val="32"/>
          <w:lang w:val="en-US" w:eastAsia="zh-CN"/>
        </w:rPr>
      </w:pPr>
      <w:bookmarkStart w:id="124" w:name="_Toc27632"/>
      <w:bookmarkStart w:id="125" w:name="_Toc22885"/>
      <w:r>
        <w:rPr>
          <w:rFonts w:hint="default" w:ascii="楷体" w:hAnsi="楷体" w:eastAsia="楷体" w:cs="楷体"/>
          <w:b w:val="0"/>
          <w:bCs w:val="0"/>
          <w:color w:val="auto"/>
          <w:sz w:val="32"/>
          <w:szCs w:val="32"/>
          <w:lang w:val="en-US" w:eastAsia="zh-CN"/>
        </w:rPr>
        <w:t>9.1</w:t>
      </w:r>
      <w:r>
        <w:rPr>
          <w:rFonts w:hint="eastAsia" w:ascii="楷体" w:hAnsi="楷体" w:eastAsia="楷体" w:cs="楷体"/>
          <w:b w:val="0"/>
          <w:bCs w:val="0"/>
          <w:color w:val="auto"/>
          <w:sz w:val="32"/>
          <w:szCs w:val="32"/>
          <w:lang w:val="en-US" w:eastAsia="zh-CN"/>
        </w:rPr>
        <w:t xml:space="preserve"> </w:t>
      </w:r>
      <w:r>
        <w:rPr>
          <w:rFonts w:hint="default" w:ascii="楷体" w:hAnsi="楷体" w:eastAsia="楷体" w:cs="楷体"/>
          <w:b w:val="0"/>
          <w:bCs w:val="0"/>
          <w:color w:val="auto"/>
          <w:sz w:val="32"/>
          <w:szCs w:val="32"/>
          <w:lang w:val="en-US" w:eastAsia="zh-CN"/>
        </w:rPr>
        <w:t>近期建设目标</w:t>
      </w:r>
      <w:bookmarkEnd w:id="124"/>
      <w:bookmarkEnd w:id="125"/>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126" w:name="_Toc18716"/>
      <w:r>
        <w:rPr>
          <w:rFonts w:hint="default" w:ascii="仿宋" w:hAnsi="仿宋" w:eastAsia="仿宋" w:cs="仿宋"/>
          <w:b w:val="0"/>
          <w:bCs w:val="0"/>
          <w:color w:val="auto"/>
          <w:spacing w:val="-2"/>
          <w:sz w:val="32"/>
          <w:szCs w:val="32"/>
          <w:lang w:val="en-US" w:eastAsia="zh-CN" w:bidi="ar-SA"/>
        </w:rPr>
        <w:t>9.1.1</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保障约束性指标达到相应要求</w:t>
      </w:r>
      <w:bookmarkEnd w:id="126"/>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约束性指标是指在规划期内制定必须达到的指标，这些指标具有强制性，是政府和相关部门必须履行的责任和义务。本规划中的约束性指标包括：</w:t>
      </w:r>
      <w:r>
        <w:rPr>
          <w:rFonts w:hint="eastAsia" w:ascii="仿宋" w:hAnsi="仿宋" w:eastAsia="仿宋" w:cs="仿宋"/>
          <w:color w:val="auto"/>
          <w:spacing w:val="-2"/>
          <w:sz w:val="32"/>
          <w:szCs w:val="32"/>
          <w:lang w:val="en-US" w:eastAsia="zh-CN"/>
        </w:rPr>
        <w:t>建筑垃圾安全处置率</w:t>
      </w:r>
      <w:r>
        <w:rPr>
          <w:rFonts w:hint="default" w:ascii="仿宋" w:hAnsi="仿宋" w:eastAsia="仿宋" w:cs="仿宋"/>
          <w:color w:val="auto"/>
          <w:spacing w:val="-2"/>
          <w:sz w:val="32"/>
          <w:szCs w:val="32"/>
          <w:lang w:val="en-US" w:eastAsia="zh-CN"/>
        </w:rPr>
        <w:t>≥</w:t>
      </w:r>
      <w:r>
        <w:rPr>
          <w:rFonts w:hint="eastAsia" w:ascii="仿宋" w:hAnsi="仿宋" w:eastAsia="仿宋" w:cs="仿宋"/>
          <w:color w:val="auto"/>
          <w:spacing w:val="-2"/>
          <w:sz w:val="32"/>
          <w:szCs w:val="32"/>
          <w:lang w:val="en-US" w:eastAsia="zh-CN"/>
        </w:rPr>
        <w:t>100</w:t>
      </w:r>
      <w:r>
        <w:rPr>
          <w:rFonts w:hint="default" w:ascii="仿宋" w:hAnsi="仿宋" w:eastAsia="仿宋" w:cs="仿宋"/>
          <w:color w:val="auto"/>
          <w:spacing w:val="-2"/>
          <w:sz w:val="32"/>
          <w:szCs w:val="32"/>
          <w:lang w:val="en-US" w:eastAsia="zh-CN"/>
        </w:rPr>
        <w:t>%</w:t>
      </w:r>
      <w:r>
        <w:rPr>
          <w:rFonts w:hint="eastAsia" w:ascii="仿宋" w:hAnsi="仿宋" w:eastAsia="仿宋" w:cs="仿宋"/>
          <w:color w:val="auto"/>
          <w:spacing w:val="-2"/>
          <w:sz w:val="32"/>
          <w:szCs w:val="32"/>
          <w:lang w:val="en-US" w:eastAsia="zh-CN"/>
        </w:rPr>
        <w:t>；绿色建筑占新建建筑的比例</w:t>
      </w:r>
      <w:r>
        <w:rPr>
          <w:rFonts w:hint="default" w:ascii="仿宋" w:hAnsi="仿宋" w:eastAsia="仿宋" w:cs="仿宋"/>
          <w:color w:val="auto"/>
          <w:spacing w:val="-2"/>
          <w:sz w:val="32"/>
          <w:szCs w:val="32"/>
          <w:lang w:val="en-US" w:eastAsia="zh-CN"/>
        </w:rPr>
        <w:t>≥</w:t>
      </w:r>
      <w:r>
        <w:rPr>
          <w:rFonts w:hint="eastAsia" w:ascii="仿宋" w:hAnsi="仿宋" w:eastAsia="仿宋" w:cs="仿宋"/>
          <w:color w:val="auto"/>
          <w:spacing w:val="-2"/>
          <w:sz w:val="32"/>
          <w:szCs w:val="32"/>
          <w:lang w:val="en-US" w:eastAsia="zh-CN"/>
        </w:rPr>
        <w:t>8</w:t>
      </w:r>
      <w:r>
        <w:rPr>
          <w:rFonts w:hint="default" w:ascii="仿宋" w:hAnsi="仿宋" w:eastAsia="仿宋" w:cs="仿宋"/>
          <w:color w:val="auto"/>
          <w:spacing w:val="-2"/>
          <w:sz w:val="32"/>
          <w:szCs w:val="32"/>
          <w:lang w:val="en-US" w:eastAsia="zh-CN"/>
        </w:rPr>
        <w:t>5%；</w:t>
      </w:r>
      <w:r>
        <w:rPr>
          <w:rFonts w:hint="eastAsia" w:ascii="仿宋" w:hAnsi="仿宋" w:eastAsia="仿宋" w:cs="仿宋"/>
          <w:color w:val="auto"/>
          <w:spacing w:val="-2"/>
          <w:sz w:val="32"/>
          <w:szCs w:val="32"/>
          <w:lang w:val="en-US" w:eastAsia="zh-CN"/>
        </w:rPr>
        <w:t>建筑垃圾运输车卫星定位装置接入率</w:t>
      </w:r>
      <w:r>
        <w:rPr>
          <w:rFonts w:hint="default" w:ascii="仿宋" w:hAnsi="仿宋" w:eastAsia="仿宋" w:cs="仿宋"/>
          <w:color w:val="auto"/>
          <w:spacing w:val="-2"/>
          <w:sz w:val="32"/>
          <w:szCs w:val="32"/>
          <w:lang w:val="en-US" w:eastAsia="zh-CN"/>
        </w:rPr>
        <w:t>≥</w:t>
      </w:r>
      <w:r>
        <w:rPr>
          <w:rFonts w:hint="eastAsia" w:ascii="仿宋" w:hAnsi="仿宋" w:eastAsia="仿宋" w:cs="仿宋"/>
          <w:color w:val="auto"/>
          <w:spacing w:val="-2"/>
          <w:sz w:val="32"/>
          <w:szCs w:val="32"/>
          <w:lang w:val="en-US" w:eastAsia="zh-CN"/>
        </w:rPr>
        <w:t>100</w:t>
      </w:r>
      <w:r>
        <w:rPr>
          <w:rFonts w:hint="default" w:ascii="仿宋" w:hAnsi="仿宋" w:eastAsia="仿宋" w:cs="仿宋"/>
          <w:color w:val="auto"/>
          <w:spacing w:val="-2"/>
          <w:sz w:val="32"/>
          <w:szCs w:val="32"/>
          <w:lang w:val="en-US" w:eastAsia="zh-CN"/>
        </w:rPr>
        <w:t>%；</w:t>
      </w:r>
      <w:r>
        <w:rPr>
          <w:rFonts w:hint="eastAsia" w:ascii="仿宋" w:hAnsi="仿宋" w:eastAsia="仿宋" w:cs="仿宋"/>
          <w:color w:val="auto"/>
          <w:spacing w:val="-2"/>
          <w:sz w:val="32"/>
          <w:szCs w:val="32"/>
          <w:lang w:val="en-US" w:eastAsia="zh-CN"/>
        </w:rPr>
        <w:t>建筑垃圾消纳场所视频监控接入率</w:t>
      </w:r>
      <w:r>
        <w:rPr>
          <w:rFonts w:hint="default" w:ascii="仿宋" w:hAnsi="仿宋" w:eastAsia="仿宋" w:cs="仿宋"/>
          <w:color w:val="auto"/>
          <w:spacing w:val="-2"/>
          <w:sz w:val="32"/>
          <w:szCs w:val="32"/>
          <w:lang w:val="en-US" w:eastAsia="zh-CN"/>
        </w:rPr>
        <w:t>≥</w:t>
      </w:r>
      <w:r>
        <w:rPr>
          <w:rFonts w:hint="eastAsia" w:ascii="仿宋" w:hAnsi="仿宋" w:eastAsia="仿宋" w:cs="仿宋"/>
          <w:color w:val="auto"/>
          <w:spacing w:val="-2"/>
          <w:sz w:val="32"/>
          <w:szCs w:val="32"/>
          <w:lang w:val="en-US" w:eastAsia="zh-CN"/>
        </w:rPr>
        <w:t>100</w:t>
      </w:r>
      <w:r>
        <w:rPr>
          <w:rFonts w:hint="default" w:ascii="仿宋" w:hAnsi="仿宋" w:eastAsia="仿宋" w:cs="仿宋"/>
          <w:color w:val="auto"/>
          <w:spacing w:val="-2"/>
          <w:sz w:val="32"/>
          <w:szCs w:val="32"/>
          <w:lang w:val="en-US" w:eastAsia="zh-CN"/>
        </w:rPr>
        <w:t>%；</w:t>
      </w:r>
      <w:r>
        <w:rPr>
          <w:rFonts w:hint="eastAsia" w:ascii="仿宋" w:hAnsi="仿宋" w:eastAsia="仿宋" w:cs="仿宋"/>
          <w:color w:val="auto"/>
          <w:spacing w:val="-2"/>
          <w:sz w:val="32"/>
          <w:szCs w:val="32"/>
          <w:lang w:val="en-US" w:eastAsia="zh-CN"/>
        </w:rPr>
        <w:t>工程项目视频监控接入率</w:t>
      </w:r>
      <w:r>
        <w:rPr>
          <w:rFonts w:hint="default" w:ascii="仿宋" w:hAnsi="仿宋" w:eastAsia="仿宋" w:cs="仿宋"/>
          <w:color w:val="auto"/>
          <w:spacing w:val="-2"/>
          <w:sz w:val="32"/>
          <w:szCs w:val="32"/>
          <w:lang w:val="en-US" w:eastAsia="zh-CN"/>
        </w:rPr>
        <w:t>≥</w:t>
      </w:r>
      <w:r>
        <w:rPr>
          <w:rFonts w:hint="eastAsia" w:ascii="仿宋" w:hAnsi="仿宋" w:eastAsia="仿宋" w:cs="仿宋"/>
          <w:color w:val="auto"/>
          <w:spacing w:val="-2"/>
          <w:sz w:val="32"/>
          <w:szCs w:val="32"/>
          <w:lang w:val="en-US" w:eastAsia="zh-CN"/>
        </w:rPr>
        <w:t>100</w:t>
      </w:r>
      <w:r>
        <w:rPr>
          <w:rFonts w:hint="default" w:ascii="仿宋" w:hAnsi="仿宋" w:eastAsia="仿宋" w:cs="仿宋"/>
          <w:color w:val="auto"/>
          <w:spacing w:val="-2"/>
          <w:sz w:val="32"/>
          <w:szCs w:val="32"/>
          <w:lang w:val="en-US" w:eastAsia="zh-CN"/>
        </w:rPr>
        <w:t>%。</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127" w:name="_Toc22956"/>
      <w:r>
        <w:rPr>
          <w:rFonts w:hint="default" w:ascii="仿宋" w:hAnsi="仿宋" w:eastAsia="仿宋" w:cs="仿宋"/>
          <w:b w:val="0"/>
          <w:bCs w:val="0"/>
          <w:color w:val="auto"/>
          <w:spacing w:val="-2"/>
          <w:sz w:val="32"/>
          <w:szCs w:val="32"/>
          <w:lang w:val="en-US" w:eastAsia="zh-CN" w:bidi="ar-SA"/>
        </w:rPr>
        <w:t>9.1.2</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促进预期性指标靠近相应要求</w:t>
      </w:r>
      <w:bookmarkEnd w:id="127"/>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预期性指标是指在规划期内设定的期望达到或可能实现的目标，这些指标通常基于对市场、经济、社会等发展趋势的预测和分析，反映政府对未来发展的期望和规划。本规划中的预期性指标包括：</w:t>
      </w:r>
      <w:r>
        <w:rPr>
          <w:rFonts w:hint="eastAsia" w:ascii="仿宋" w:hAnsi="仿宋" w:eastAsia="仿宋" w:cs="仿宋"/>
          <w:color w:val="auto"/>
          <w:spacing w:val="-2"/>
          <w:sz w:val="32"/>
          <w:szCs w:val="32"/>
          <w:lang w:val="en-US" w:eastAsia="zh-CN"/>
        </w:rPr>
        <w:t>建筑垃圾资源化利用率</w:t>
      </w:r>
      <w:r>
        <w:rPr>
          <w:rFonts w:hint="default" w:ascii="仿宋" w:hAnsi="仿宋" w:eastAsia="仿宋" w:cs="仿宋"/>
          <w:color w:val="auto"/>
          <w:spacing w:val="-2"/>
          <w:sz w:val="32"/>
          <w:szCs w:val="32"/>
          <w:lang w:val="en-US" w:eastAsia="zh-CN"/>
        </w:rPr>
        <w:t>≥</w:t>
      </w:r>
      <w:r>
        <w:rPr>
          <w:rFonts w:hint="eastAsia" w:ascii="仿宋" w:hAnsi="仿宋" w:eastAsia="仿宋" w:cs="仿宋"/>
          <w:color w:val="auto"/>
          <w:spacing w:val="-2"/>
          <w:sz w:val="32"/>
          <w:szCs w:val="32"/>
          <w:lang w:val="en-US" w:eastAsia="zh-CN"/>
        </w:rPr>
        <w:t>60</w:t>
      </w:r>
      <w:r>
        <w:rPr>
          <w:rFonts w:hint="default" w:ascii="仿宋" w:hAnsi="仿宋" w:eastAsia="仿宋" w:cs="仿宋"/>
          <w:color w:val="auto"/>
          <w:spacing w:val="-2"/>
          <w:sz w:val="32"/>
          <w:szCs w:val="32"/>
          <w:lang w:val="en-US" w:eastAsia="zh-CN"/>
        </w:rPr>
        <w:t>%；</w:t>
      </w:r>
      <w:r>
        <w:rPr>
          <w:rFonts w:hint="eastAsia" w:ascii="仿宋" w:hAnsi="仿宋" w:eastAsia="仿宋" w:cs="仿宋"/>
          <w:color w:val="auto"/>
          <w:spacing w:val="-2"/>
          <w:sz w:val="32"/>
          <w:szCs w:val="32"/>
          <w:lang w:val="en-US" w:eastAsia="zh-CN"/>
        </w:rPr>
        <w:t>建筑垃圾综合利用率</w:t>
      </w:r>
      <w:r>
        <w:rPr>
          <w:rFonts w:hint="default" w:ascii="仿宋" w:hAnsi="仿宋" w:eastAsia="仿宋" w:cs="仿宋"/>
          <w:color w:val="auto"/>
          <w:spacing w:val="-2"/>
          <w:sz w:val="32"/>
          <w:szCs w:val="32"/>
          <w:lang w:val="en-US" w:eastAsia="zh-CN"/>
        </w:rPr>
        <w:t>≥</w:t>
      </w:r>
      <w:r>
        <w:rPr>
          <w:rFonts w:hint="eastAsia" w:ascii="仿宋" w:hAnsi="仿宋" w:eastAsia="仿宋" w:cs="仿宋"/>
          <w:color w:val="auto"/>
          <w:spacing w:val="-2"/>
          <w:sz w:val="32"/>
          <w:szCs w:val="32"/>
          <w:lang w:val="en-US" w:eastAsia="zh-CN"/>
        </w:rPr>
        <w:t>80</w:t>
      </w:r>
      <w:r>
        <w:rPr>
          <w:rFonts w:hint="default" w:ascii="仿宋" w:hAnsi="仿宋" w:eastAsia="仿宋" w:cs="仿宋"/>
          <w:color w:val="auto"/>
          <w:spacing w:val="-2"/>
          <w:sz w:val="32"/>
          <w:szCs w:val="32"/>
          <w:lang w:val="en-US" w:eastAsia="zh-CN"/>
        </w:rPr>
        <w:t>%；</w:t>
      </w:r>
      <w:r>
        <w:rPr>
          <w:rFonts w:hint="eastAsia" w:ascii="仿宋" w:hAnsi="仿宋" w:eastAsia="仿宋" w:cs="仿宋"/>
          <w:color w:val="auto"/>
          <w:spacing w:val="-2"/>
          <w:sz w:val="32"/>
          <w:szCs w:val="32"/>
          <w:lang w:val="en-US" w:eastAsia="zh-CN"/>
        </w:rPr>
        <w:t>建筑垃圾密闭化运输率</w:t>
      </w:r>
      <w:r>
        <w:rPr>
          <w:rFonts w:hint="default" w:ascii="仿宋" w:hAnsi="仿宋" w:eastAsia="仿宋" w:cs="仿宋"/>
          <w:color w:val="auto"/>
          <w:spacing w:val="-2"/>
          <w:sz w:val="32"/>
          <w:szCs w:val="32"/>
          <w:lang w:val="en-US" w:eastAsia="zh-CN"/>
        </w:rPr>
        <w:t>≥</w:t>
      </w:r>
      <w:r>
        <w:rPr>
          <w:rFonts w:hint="eastAsia" w:ascii="仿宋" w:hAnsi="仿宋" w:eastAsia="仿宋" w:cs="仿宋"/>
          <w:color w:val="auto"/>
          <w:spacing w:val="-2"/>
          <w:sz w:val="32"/>
          <w:szCs w:val="32"/>
          <w:lang w:val="en-US" w:eastAsia="zh-CN"/>
        </w:rPr>
        <w:t>100</w:t>
      </w:r>
      <w:r>
        <w:rPr>
          <w:rFonts w:hint="default" w:ascii="仿宋" w:hAnsi="仿宋" w:eastAsia="仿宋" w:cs="仿宋"/>
          <w:color w:val="auto"/>
          <w:spacing w:val="-2"/>
          <w:sz w:val="32"/>
          <w:szCs w:val="32"/>
          <w:lang w:val="en-US" w:eastAsia="zh-CN"/>
        </w:rPr>
        <w:t>%；</w:t>
      </w:r>
      <w:r>
        <w:rPr>
          <w:rFonts w:hint="eastAsia" w:ascii="仿宋" w:hAnsi="仿宋" w:eastAsia="仿宋" w:cs="仿宋"/>
          <w:color w:val="auto"/>
          <w:spacing w:val="-2"/>
          <w:sz w:val="32"/>
          <w:szCs w:val="32"/>
          <w:lang w:val="en-US" w:eastAsia="zh-CN"/>
        </w:rPr>
        <w:t>装配式建筑占新建建筑的比例</w:t>
      </w:r>
      <w:r>
        <w:rPr>
          <w:rFonts w:hint="default" w:ascii="仿宋" w:hAnsi="仿宋" w:eastAsia="仿宋" w:cs="仿宋"/>
          <w:color w:val="auto"/>
          <w:spacing w:val="-2"/>
          <w:sz w:val="32"/>
          <w:szCs w:val="32"/>
          <w:lang w:val="en-US" w:eastAsia="zh-CN"/>
        </w:rPr>
        <w:t>≥</w:t>
      </w:r>
      <w:r>
        <w:rPr>
          <w:rFonts w:hint="eastAsia" w:ascii="仿宋" w:hAnsi="仿宋" w:eastAsia="仿宋" w:cs="仿宋"/>
          <w:color w:val="auto"/>
          <w:spacing w:val="-2"/>
          <w:sz w:val="32"/>
          <w:szCs w:val="32"/>
          <w:lang w:val="en-US" w:eastAsia="zh-CN"/>
        </w:rPr>
        <w:t>35</w:t>
      </w:r>
      <w:r>
        <w:rPr>
          <w:rFonts w:hint="default" w:ascii="仿宋" w:hAnsi="仿宋" w:eastAsia="仿宋" w:cs="仿宋"/>
          <w:color w:val="auto"/>
          <w:spacing w:val="-2"/>
          <w:sz w:val="32"/>
          <w:szCs w:val="32"/>
          <w:lang w:val="en-US" w:eastAsia="zh-CN"/>
        </w:rPr>
        <w:t>%。</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outlineLvl w:val="1"/>
        <w:rPr>
          <w:rFonts w:hint="default" w:ascii="楷体" w:hAnsi="楷体" w:eastAsia="楷体" w:cs="楷体"/>
          <w:b w:val="0"/>
          <w:bCs w:val="0"/>
          <w:color w:val="auto"/>
          <w:sz w:val="32"/>
          <w:szCs w:val="32"/>
          <w:lang w:val="en-US" w:eastAsia="zh-CN"/>
        </w:rPr>
      </w:pPr>
      <w:bookmarkStart w:id="128" w:name="_Toc9968"/>
      <w:bookmarkStart w:id="129" w:name="_Toc2828"/>
      <w:r>
        <w:rPr>
          <w:rFonts w:hint="default" w:ascii="楷体" w:hAnsi="楷体" w:eastAsia="楷体" w:cs="楷体"/>
          <w:b w:val="0"/>
          <w:bCs w:val="0"/>
          <w:color w:val="auto"/>
          <w:sz w:val="32"/>
          <w:szCs w:val="32"/>
          <w:lang w:val="en-US" w:eastAsia="zh-CN"/>
        </w:rPr>
        <w:t>9.2</w:t>
      </w:r>
      <w:r>
        <w:rPr>
          <w:rFonts w:hint="eastAsia" w:ascii="楷体" w:hAnsi="楷体" w:eastAsia="楷体" w:cs="楷体"/>
          <w:b w:val="0"/>
          <w:bCs w:val="0"/>
          <w:color w:val="auto"/>
          <w:sz w:val="32"/>
          <w:szCs w:val="32"/>
          <w:lang w:val="en-US" w:eastAsia="zh-CN"/>
        </w:rPr>
        <w:t xml:space="preserve"> </w:t>
      </w:r>
      <w:r>
        <w:rPr>
          <w:rFonts w:hint="default" w:ascii="楷体" w:hAnsi="楷体" w:eastAsia="楷体" w:cs="楷体"/>
          <w:b w:val="0"/>
          <w:bCs w:val="0"/>
          <w:color w:val="auto"/>
          <w:sz w:val="32"/>
          <w:szCs w:val="32"/>
          <w:lang w:val="en-US" w:eastAsia="zh-CN"/>
        </w:rPr>
        <w:t>存量治理</w:t>
      </w:r>
      <w:bookmarkEnd w:id="128"/>
      <w:bookmarkEnd w:id="129"/>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130" w:name="_Toc7353"/>
      <w:r>
        <w:rPr>
          <w:rFonts w:hint="default" w:ascii="仿宋" w:hAnsi="仿宋" w:eastAsia="仿宋" w:cs="仿宋"/>
          <w:b w:val="0"/>
          <w:bCs w:val="0"/>
          <w:color w:val="auto"/>
          <w:spacing w:val="-2"/>
          <w:sz w:val="32"/>
          <w:szCs w:val="32"/>
          <w:lang w:val="en-US" w:eastAsia="zh-CN" w:bidi="ar-SA"/>
        </w:rPr>
        <w:t>9.2.1</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全面摸排存量建筑垃圾</w:t>
      </w:r>
      <w:bookmarkEnd w:id="130"/>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对存量建筑垃圾进行全面摸底排查，按照属地管理原则，各辖区开展存量建筑垃圾摸底调查工作，重点排查城乡接合部，环境敏感区、主要交通干道沿线，查清现有存量建筑垃圾堆放点数量、规模，并按底数清、数据准和全覆盖、无遗漏要求建立台账。</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131" w:name="_Toc21328"/>
      <w:r>
        <w:rPr>
          <w:rFonts w:hint="default" w:ascii="仿宋" w:hAnsi="仿宋" w:eastAsia="仿宋" w:cs="仿宋"/>
          <w:b w:val="0"/>
          <w:bCs w:val="0"/>
          <w:color w:val="auto"/>
          <w:spacing w:val="-2"/>
          <w:sz w:val="32"/>
          <w:szCs w:val="32"/>
          <w:lang w:val="en-US" w:eastAsia="zh-CN" w:bidi="ar-SA"/>
        </w:rPr>
        <w:t>9.2.2</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有针对性制定存量治理清零计划</w:t>
      </w:r>
      <w:bookmarkEnd w:id="131"/>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根据排查情况，按照“一处一台账一措施”的原则，综合考虑存量建筑垃圾的体量、位置及周围环境等各种因素，制定有针对性的专项治理计划，明确治理的责任主体、整治目标、具体措施、资金来源、完成时间节点和监督检查办法，全面推进、妥善治理存量建筑垃圾。同时，按照“治理一处、核实一处、销号一处”的要求，重点核查是否整改、是否按要求整改、是否整改到位、是否有新增非正规建筑垃圾堆放点等情况，严格对标开展存量建筑垃圾治理成效复核和销号工作，对不及时整改、虚假整改、整改不到位，瞒报漏报等行为进行通报或责任追究。完成治理的点位要及时报地方环境卫生主管部门复核销号，严防环境污染事故发生。</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132" w:name="_Toc5541"/>
      <w:r>
        <w:rPr>
          <w:rFonts w:hint="default" w:ascii="仿宋" w:hAnsi="仿宋" w:eastAsia="仿宋" w:cs="仿宋"/>
          <w:b w:val="0"/>
          <w:bCs w:val="0"/>
          <w:color w:val="auto"/>
          <w:spacing w:val="-2"/>
          <w:sz w:val="32"/>
          <w:szCs w:val="32"/>
          <w:lang w:val="en-US" w:eastAsia="zh-CN" w:bidi="ar-SA"/>
        </w:rPr>
        <w:t>9.2.3</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采用筛分治理方式开展治理</w:t>
      </w:r>
      <w:bookmarkEnd w:id="132"/>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应采用筛分治理的方式开展治理工作，筛分后无污染的建筑垃圾可就地回填利用或转运至建筑垃圾资源化处理站进行处理，不可资源化利用的垃圾运至建筑垃圾消纳场进行消纳处置，有价值物料进入废品回收体系。对治理后的建筑垃圾堆放点，应按照规范标准要求进行复绿或复耕，确保对土壤环境无不良影响。</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133" w:name="_Toc21134"/>
      <w:r>
        <w:rPr>
          <w:rFonts w:hint="default" w:ascii="仿宋" w:hAnsi="仿宋" w:eastAsia="仿宋" w:cs="仿宋"/>
          <w:b w:val="0"/>
          <w:bCs w:val="0"/>
          <w:color w:val="auto"/>
          <w:spacing w:val="-2"/>
          <w:sz w:val="32"/>
          <w:szCs w:val="32"/>
          <w:lang w:val="en-US" w:eastAsia="zh-CN" w:bidi="ar-SA"/>
        </w:rPr>
        <w:t>9.2.4</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严格控制建筑垃圾增量</w:t>
      </w:r>
      <w:bookmarkEnd w:id="133"/>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应严格控制增量，相关职能部门应加大建筑垃圾私拉乱倒等情况的监督检查和查处力度，对违规倾倒和非法运输处置建筑垃圾的单位和个人，依法予以处罚。</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结合建筑垃圾收运要求，规划工程渣土、工程泥浆、工程垃圾、拆除垃圾等建筑垃圾暂存点收集设施为施工现场，不单独设置暂存点或转运调配站，无法在施工现场暂存的建筑垃圾，运至规划的建筑垃圾消纳场暂存；规划装修垃圾，涉及有物业服务小区的由物业服务企业、小区业主设置装修垃圾暂存点，无物业服务的小区在“自管小区”“三无小区”周边规划设置装修垃圾暂存点。</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outlineLvl w:val="1"/>
        <w:rPr>
          <w:rFonts w:hint="default" w:ascii="楷体" w:hAnsi="楷体" w:eastAsia="楷体" w:cs="楷体"/>
          <w:b w:val="0"/>
          <w:bCs w:val="0"/>
          <w:color w:val="auto"/>
          <w:sz w:val="32"/>
          <w:szCs w:val="32"/>
          <w:lang w:val="en-US" w:eastAsia="zh-CN"/>
        </w:rPr>
      </w:pPr>
      <w:bookmarkStart w:id="134" w:name="_Toc30215"/>
      <w:bookmarkStart w:id="135" w:name="_Toc11658"/>
      <w:r>
        <w:rPr>
          <w:rFonts w:hint="default" w:ascii="楷体" w:hAnsi="楷体" w:eastAsia="楷体" w:cs="楷体"/>
          <w:b w:val="0"/>
          <w:bCs w:val="0"/>
          <w:color w:val="auto"/>
          <w:sz w:val="32"/>
          <w:szCs w:val="32"/>
          <w:lang w:val="en-US" w:eastAsia="zh-CN"/>
        </w:rPr>
        <w:t>9.3</w:t>
      </w:r>
      <w:r>
        <w:rPr>
          <w:rFonts w:hint="eastAsia" w:ascii="楷体" w:hAnsi="楷体" w:eastAsia="楷体" w:cs="楷体"/>
          <w:b w:val="0"/>
          <w:bCs w:val="0"/>
          <w:color w:val="auto"/>
          <w:sz w:val="32"/>
          <w:szCs w:val="32"/>
          <w:lang w:val="en-US" w:eastAsia="zh-CN"/>
        </w:rPr>
        <w:t xml:space="preserve"> </w:t>
      </w:r>
      <w:r>
        <w:rPr>
          <w:rFonts w:hint="default" w:ascii="楷体" w:hAnsi="楷体" w:eastAsia="楷体" w:cs="楷体"/>
          <w:b w:val="0"/>
          <w:bCs w:val="0"/>
          <w:color w:val="auto"/>
          <w:sz w:val="32"/>
          <w:szCs w:val="32"/>
          <w:lang w:val="en-US" w:eastAsia="zh-CN"/>
        </w:rPr>
        <w:t>收集运输设施建设</w:t>
      </w:r>
      <w:bookmarkEnd w:id="134"/>
      <w:bookmarkEnd w:id="135"/>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136" w:name="_Toc20259"/>
      <w:r>
        <w:rPr>
          <w:rFonts w:hint="default" w:ascii="仿宋" w:hAnsi="仿宋" w:eastAsia="仿宋" w:cs="仿宋"/>
          <w:b w:val="0"/>
          <w:bCs w:val="0"/>
          <w:color w:val="auto"/>
          <w:spacing w:val="-2"/>
          <w:sz w:val="32"/>
          <w:szCs w:val="32"/>
          <w:lang w:val="en-US" w:eastAsia="zh-CN" w:bidi="ar-SA"/>
        </w:rPr>
        <w:t>9.3.1</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收运设施建设</w:t>
      </w:r>
      <w:bookmarkEnd w:id="136"/>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结合建筑垃圾收运要求，工程渣土、工程泥浆、工程垃圾、拆除垃圾等建筑垃圾暂存点收集设施为施工现场，不再单独设置暂存点或转运调配站，无法在施工现场暂存的建筑垃圾，运至规划的建筑垃圾消纳场暂存。</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装修垃圾，涉及有物业服务小区的由物业服务企业设置装修垃圾收集点；无物业服务的小区根据属地原则由社区统一进行管理，灵活增设装修垃圾收集点。装修垃圾收集点应充分利用现有资源，减少额外投资，同时确保收集点能够便捷地服务于装载和运输车辆，从而在保证效率的同时实现成本的有效控制。</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137" w:name="_Toc23454"/>
      <w:r>
        <w:rPr>
          <w:rFonts w:hint="default" w:ascii="仿宋" w:hAnsi="仿宋" w:eastAsia="仿宋" w:cs="仿宋"/>
          <w:b w:val="0"/>
          <w:bCs w:val="0"/>
          <w:color w:val="auto"/>
          <w:spacing w:val="-2"/>
          <w:sz w:val="32"/>
          <w:szCs w:val="32"/>
          <w:lang w:val="en-US" w:eastAsia="zh-CN" w:bidi="ar-SA"/>
        </w:rPr>
        <w:t>9.3.2</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转运调配场建设</w:t>
      </w:r>
      <w:bookmarkEnd w:id="137"/>
      <w:r>
        <w:rPr>
          <w:rFonts w:hint="default" w:ascii="仿宋" w:hAnsi="仿宋" w:eastAsia="仿宋" w:cs="仿宋"/>
          <w:b w:val="0"/>
          <w:bCs w:val="0"/>
          <w:color w:val="auto"/>
          <w:spacing w:val="-2"/>
          <w:sz w:val="32"/>
          <w:szCs w:val="32"/>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参考《建筑垃圾处理技术标准》（CJJ/T134-2019），建筑垃圾转运调配场主体设施应包括围挡设施、分类堆放区、场区道路和地基处理等。规划用地面积参考《建筑垃圾处理专项规划导则》（T∕CECS 1320—2023）进行布局。</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建设内容</w:t>
      </w:r>
      <w:r>
        <w:rPr>
          <w:rFonts w:hint="eastAsia" w:ascii="仿宋" w:hAnsi="仿宋" w:eastAsia="仿宋" w:cs="仿宋"/>
          <w:color w:val="auto"/>
          <w:spacing w:val="-2"/>
          <w:sz w:val="32"/>
          <w:szCs w:val="32"/>
          <w:lang w:val="en-US" w:eastAsia="zh-CN"/>
        </w:rPr>
        <w:t>主要</w:t>
      </w:r>
      <w:r>
        <w:rPr>
          <w:rFonts w:hint="default" w:ascii="仿宋" w:hAnsi="仿宋" w:eastAsia="仿宋" w:cs="仿宋"/>
          <w:color w:val="auto"/>
          <w:spacing w:val="-2"/>
          <w:sz w:val="32"/>
          <w:szCs w:val="32"/>
          <w:lang w:val="en-US" w:eastAsia="zh-CN"/>
        </w:rPr>
        <w:t>包括：一是基础设施工程，如围墙、大门、道路、排水系统等；二是功能区域建设，包括建筑垃圾分类区、临时储存区等；三是核心处理设施，即建筑垃圾的破碎、筛分、分选等处理设备以及资源化利用生产线。</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138" w:name="_Toc1928"/>
      <w:r>
        <w:rPr>
          <w:rFonts w:hint="default" w:ascii="仿宋" w:hAnsi="仿宋" w:eastAsia="仿宋" w:cs="仿宋"/>
          <w:b w:val="0"/>
          <w:bCs w:val="0"/>
          <w:color w:val="auto"/>
          <w:spacing w:val="-2"/>
          <w:sz w:val="32"/>
          <w:szCs w:val="32"/>
          <w:lang w:val="en-US" w:eastAsia="zh-CN" w:bidi="ar-SA"/>
        </w:rPr>
        <w:t>9.3.3</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建设结论分析</w:t>
      </w:r>
      <w:bookmarkEnd w:id="138"/>
      <w:r>
        <w:rPr>
          <w:rFonts w:hint="default" w:ascii="仿宋" w:hAnsi="仿宋" w:eastAsia="仿宋" w:cs="仿宋"/>
          <w:b w:val="0"/>
          <w:bCs w:val="0"/>
          <w:color w:val="auto"/>
          <w:spacing w:val="-2"/>
          <w:sz w:val="32"/>
          <w:szCs w:val="32"/>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由前面可知，近期规划在1个建筑垃圾临时堆场，总转运处置能力为2万吨/年，可以满足要求。</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139" w:name="_Toc24621"/>
      <w:r>
        <w:rPr>
          <w:rFonts w:hint="default" w:ascii="仿宋" w:hAnsi="仿宋" w:eastAsia="仿宋" w:cs="仿宋"/>
          <w:b w:val="0"/>
          <w:bCs w:val="0"/>
          <w:color w:val="auto"/>
          <w:spacing w:val="-2"/>
          <w:sz w:val="32"/>
          <w:szCs w:val="32"/>
          <w:lang w:val="en-US" w:eastAsia="zh-CN" w:bidi="ar-SA"/>
        </w:rPr>
        <w:t>9.4.7</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建设结论分析</w:t>
      </w:r>
      <w:bookmarkEnd w:id="139"/>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本次仅对近期建设项目进行规划，远期建筑垃圾处置设施应根据属地管理原则由</w:t>
      </w:r>
      <w:r>
        <w:rPr>
          <w:rFonts w:hint="eastAsia" w:ascii="仿宋" w:hAnsi="仿宋" w:eastAsia="仿宋" w:cs="仿宋"/>
          <w:color w:val="auto"/>
          <w:spacing w:val="-2"/>
          <w:sz w:val="32"/>
          <w:szCs w:val="32"/>
          <w:lang w:val="en-US" w:eastAsia="zh-CN"/>
        </w:rPr>
        <w:t>区住建局</w:t>
      </w:r>
      <w:r>
        <w:rPr>
          <w:rFonts w:hint="default" w:ascii="仿宋" w:hAnsi="仿宋" w:eastAsia="仿宋" w:cs="仿宋"/>
          <w:color w:val="auto"/>
          <w:spacing w:val="-2"/>
          <w:sz w:val="32"/>
          <w:szCs w:val="32"/>
          <w:lang w:val="en-US" w:eastAsia="zh-CN"/>
        </w:rPr>
        <w:t>再次规划建设建筑垃圾处置设施。</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eastAsia" w:ascii="仿宋" w:hAnsi="仿宋" w:eastAsia="仿宋" w:cs="仿宋"/>
          <w:color w:val="auto"/>
          <w:spacing w:val="-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eastAsia" w:ascii="仿宋" w:hAnsi="仿宋" w:eastAsia="仿宋" w:cs="仿宋"/>
          <w:color w:val="auto"/>
          <w:spacing w:val="-2"/>
          <w:sz w:val="32"/>
          <w:szCs w:val="32"/>
          <w:lang w:val="en-US" w:eastAsia="zh-CN"/>
        </w:rPr>
        <w:sectPr>
          <w:pgSz w:w="11905" w:h="16838"/>
          <w:pgMar w:top="2041" w:right="1468" w:bottom="1587" w:left="1468" w:header="850" w:footer="992" w:gutter="0"/>
          <w:pgBorders w:offsetFrom="page">
            <w:top w:val="none" w:sz="0" w:space="0"/>
            <w:left w:val="none" w:sz="0" w:space="0"/>
            <w:bottom w:val="none" w:sz="0" w:space="0"/>
            <w:right w:val="none" w:sz="0" w:space="0"/>
          </w:pgBorders>
          <w:pgNumType w:fmt="decimal"/>
          <w:cols w:space="0" w:num="1"/>
          <w:rtlGutter w:val="0"/>
          <w:docGrid w:type="lines" w:linePitch="330" w:charSpace="0"/>
        </w:sectPr>
      </w:pPr>
    </w:p>
    <w:p>
      <w:pPr>
        <w:pStyle w:val="3"/>
        <w:numPr>
          <w:ilvl w:val="0"/>
          <w:numId w:val="13"/>
        </w:numPr>
        <w:bidi w:val="0"/>
        <w:ind w:leftChars="0"/>
        <w:jc w:val="center"/>
        <w:rPr>
          <w:rFonts w:hint="eastAsia" w:ascii="黑体" w:hAnsi="黑体" w:eastAsia="黑体" w:cs="黑体"/>
          <w:b w:val="0"/>
          <w:bCs w:val="0"/>
          <w:lang w:val="en-US" w:eastAsia="zh-CN"/>
        </w:rPr>
      </w:pPr>
      <w:bookmarkStart w:id="140" w:name="_Toc4033"/>
      <w:bookmarkStart w:id="141" w:name="_Toc26677"/>
      <w:r>
        <w:rPr>
          <w:rFonts w:hint="eastAsia" w:ascii="黑体" w:hAnsi="黑体" w:eastAsia="黑体" w:cs="黑体"/>
          <w:b w:val="0"/>
          <w:bCs w:val="0"/>
          <w:lang w:val="en-US" w:eastAsia="zh-CN"/>
        </w:rPr>
        <w:t>保障措施</w:t>
      </w:r>
      <w:bookmarkEnd w:id="140"/>
      <w:bookmarkEnd w:id="141"/>
    </w:p>
    <w:p>
      <w:pPr>
        <w:numPr>
          <w:ilvl w:val="0"/>
          <w:numId w:val="0"/>
        </w:numPr>
        <w:rPr>
          <w:rFonts w:hint="eastAsia"/>
          <w:lang w:val="en-US" w:eastAsia="zh-CN"/>
        </w:rPr>
      </w:pP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outlineLvl w:val="1"/>
        <w:rPr>
          <w:rFonts w:hint="default" w:ascii="楷体" w:hAnsi="楷体" w:eastAsia="楷体" w:cs="楷体"/>
          <w:b w:val="0"/>
          <w:bCs w:val="0"/>
          <w:color w:val="auto"/>
          <w:sz w:val="32"/>
          <w:szCs w:val="32"/>
          <w:lang w:val="en-US" w:eastAsia="zh-CN"/>
        </w:rPr>
      </w:pPr>
      <w:bookmarkStart w:id="142" w:name="_Toc8059"/>
      <w:bookmarkStart w:id="143" w:name="_Toc10347"/>
      <w:r>
        <w:rPr>
          <w:rFonts w:hint="default" w:ascii="楷体" w:hAnsi="楷体" w:eastAsia="楷体" w:cs="楷体"/>
          <w:b w:val="0"/>
          <w:bCs w:val="0"/>
          <w:color w:val="auto"/>
          <w:sz w:val="32"/>
          <w:szCs w:val="32"/>
          <w:lang w:val="en-US" w:eastAsia="zh-CN"/>
        </w:rPr>
        <w:t>10.1</w:t>
      </w:r>
      <w:r>
        <w:rPr>
          <w:rFonts w:hint="eastAsia" w:ascii="楷体" w:hAnsi="楷体" w:eastAsia="楷体" w:cs="楷体"/>
          <w:b w:val="0"/>
          <w:bCs w:val="0"/>
          <w:color w:val="auto"/>
          <w:sz w:val="32"/>
          <w:szCs w:val="32"/>
          <w:lang w:val="en-US" w:eastAsia="zh-CN"/>
        </w:rPr>
        <w:t xml:space="preserve"> </w:t>
      </w:r>
      <w:r>
        <w:rPr>
          <w:rFonts w:hint="default" w:ascii="楷体" w:hAnsi="楷体" w:eastAsia="楷体" w:cs="楷体"/>
          <w:b w:val="0"/>
          <w:bCs w:val="0"/>
          <w:color w:val="auto"/>
          <w:sz w:val="32"/>
          <w:szCs w:val="32"/>
          <w:lang w:val="en-US" w:eastAsia="zh-CN"/>
        </w:rPr>
        <w:t>建立工作机制</w:t>
      </w:r>
      <w:bookmarkEnd w:id="142"/>
      <w:bookmarkEnd w:id="143"/>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144" w:name="_Toc11378"/>
      <w:r>
        <w:rPr>
          <w:rFonts w:hint="default" w:ascii="仿宋" w:hAnsi="仿宋" w:eastAsia="仿宋" w:cs="仿宋"/>
          <w:b w:val="0"/>
          <w:bCs w:val="0"/>
          <w:color w:val="auto"/>
          <w:spacing w:val="-2"/>
          <w:sz w:val="32"/>
          <w:szCs w:val="32"/>
          <w:lang w:val="en-US" w:eastAsia="zh-CN" w:bidi="ar-SA"/>
        </w:rPr>
        <w:t>10.1.1</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加强制度建设，健全监督管理体系</w:t>
      </w:r>
      <w:bookmarkEnd w:id="144"/>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完善有关奖惩措施，深化城市建筑垃圾产生、运输、消纳以及循环利用等方面的监督管理。</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145" w:name="_Toc10681"/>
      <w:r>
        <w:rPr>
          <w:rFonts w:hint="default" w:ascii="仿宋" w:hAnsi="仿宋" w:eastAsia="仿宋" w:cs="仿宋"/>
          <w:b w:val="0"/>
          <w:bCs w:val="0"/>
          <w:color w:val="auto"/>
          <w:spacing w:val="-2"/>
          <w:sz w:val="32"/>
          <w:szCs w:val="32"/>
          <w:lang w:val="en-US" w:eastAsia="zh-CN" w:bidi="ar-SA"/>
        </w:rPr>
        <w:t>10.1.2</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加强组织领导，落实部门责任制</w:t>
      </w:r>
      <w:bookmarkEnd w:id="145"/>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将建筑垃圾治理和资源化利用量纳入年度计划和重点工作清单，建立工作协调机制，组织协调各级建筑垃圾治理工作，统筹推进建筑垃圾处理项目建设、日常监管及综合利用，协调推进建筑垃圾管理及资源化利用工作。</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outlineLvl w:val="1"/>
        <w:rPr>
          <w:rFonts w:hint="default" w:ascii="楷体" w:hAnsi="楷体" w:eastAsia="楷体" w:cs="楷体"/>
          <w:b w:val="0"/>
          <w:bCs w:val="0"/>
          <w:color w:val="auto"/>
          <w:sz w:val="32"/>
          <w:szCs w:val="32"/>
          <w:lang w:val="en-US" w:eastAsia="zh-CN"/>
        </w:rPr>
      </w:pPr>
      <w:bookmarkStart w:id="146" w:name="_Toc31611"/>
      <w:bookmarkStart w:id="147" w:name="_Toc6826"/>
      <w:r>
        <w:rPr>
          <w:rFonts w:hint="default" w:ascii="楷体" w:hAnsi="楷体" w:eastAsia="楷体" w:cs="楷体"/>
          <w:b w:val="0"/>
          <w:bCs w:val="0"/>
          <w:color w:val="auto"/>
          <w:sz w:val="32"/>
          <w:szCs w:val="32"/>
          <w:lang w:val="en-US" w:eastAsia="zh-CN"/>
        </w:rPr>
        <w:t>10.2</w:t>
      </w:r>
      <w:r>
        <w:rPr>
          <w:rFonts w:hint="eastAsia" w:ascii="楷体" w:hAnsi="楷体" w:eastAsia="楷体" w:cs="楷体"/>
          <w:b w:val="0"/>
          <w:bCs w:val="0"/>
          <w:color w:val="auto"/>
          <w:sz w:val="32"/>
          <w:szCs w:val="32"/>
          <w:lang w:val="en-US" w:eastAsia="zh-CN"/>
        </w:rPr>
        <w:t xml:space="preserve"> </w:t>
      </w:r>
      <w:r>
        <w:rPr>
          <w:rFonts w:hint="default" w:ascii="楷体" w:hAnsi="楷体" w:eastAsia="楷体" w:cs="楷体"/>
          <w:b w:val="0"/>
          <w:bCs w:val="0"/>
          <w:color w:val="auto"/>
          <w:sz w:val="32"/>
          <w:szCs w:val="32"/>
          <w:lang w:val="en-US" w:eastAsia="zh-CN"/>
        </w:rPr>
        <w:t>加强要素保障</w:t>
      </w:r>
      <w:bookmarkEnd w:id="146"/>
      <w:bookmarkEnd w:id="147"/>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148" w:name="_Toc14433"/>
      <w:r>
        <w:rPr>
          <w:rFonts w:hint="default" w:ascii="仿宋" w:hAnsi="仿宋" w:eastAsia="仿宋" w:cs="仿宋"/>
          <w:b w:val="0"/>
          <w:bCs w:val="0"/>
          <w:color w:val="auto"/>
          <w:spacing w:val="-2"/>
          <w:sz w:val="32"/>
          <w:szCs w:val="32"/>
          <w:lang w:val="en-US" w:eastAsia="zh-CN" w:bidi="ar-SA"/>
        </w:rPr>
        <w:t>10.2.1</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加强土地保障</w:t>
      </w:r>
      <w:bookmarkEnd w:id="148"/>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区自然资源局配合做好该专项规划用地选址与国土空间总体规划、详细规划符合性审查。</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149" w:name="_Toc32349"/>
      <w:r>
        <w:rPr>
          <w:rFonts w:hint="default" w:ascii="仿宋" w:hAnsi="仿宋" w:eastAsia="仿宋" w:cs="仿宋"/>
          <w:b w:val="0"/>
          <w:bCs w:val="0"/>
          <w:color w:val="auto"/>
          <w:spacing w:val="-2"/>
          <w:sz w:val="32"/>
          <w:szCs w:val="32"/>
          <w:lang w:val="en-US" w:eastAsia="zh-CN" w:bidi="ar-SA"/>
        </w:rPr>
        <w:t>10.2.2</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落实资金保障</w:t>
      </w:r>
      <w:bookmarkEnd w:id="149"/>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继续加大公共财政投入力度，积极争取和利用各级财政优惠政策和资金，大力支持建筑垃圾处置及资源化利用项目建设，提高资金使用效率；创新投融资方式，鼓励金融机构积极参与，推动绿色金融债券、政策性银行专项贷款等支持项目建设，探索项目收益权、特许经营权等质押融资担保。</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150" w:name="_Toc15565"/>
      <w:r>
        <w:rPr>
          <w:rFonts w:hint="default" w:ascii="仿宋" w:hAnsi="仿宋" w:eastAsia="仿宋" w:cs="仿宋"/>
          <w:b w:val="0"/>
          <w:bCs w:val="0"/>
          <w:color w:val="auto"/>
          <w:spacing w:val="-2"/>
          <w:sz w:val="32"/>
          <w:szCs w:val="32"/>
          <w:lang w:val="en-US" w:eastAsia="zh-CN" w:bidi="ar-SA"/>
        </w:rPr>
        <w:t>10.2.3</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夯实技术基础保障</w:t>
      </w:r>
      <w:bookmarkEnd w:id="150"/>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加强建筑垃圾管理与资源化利用新技术、新工艺、新材料、新设备的研发，支持相关技术标准、课题的研究和编制。鼓励装备制造企业加大新型建筑垃圾收集、运输和资源化利用成套装备研发，促进装备制造业发展。充实建筑垃圾治理岗位专业技术人员或管理人员，建立一线作业人员的作业技能培训、作业资格认证、等级评定等制度，保障人员专业操作技能，提高专业化水平。</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outlineLvl w:val="1"/>
        <w:rPr>
          <w:rFonts w:hint="default" w:ascii="楷体" w:hAnsi="楷体" w:eastAsia="楷体" w:cs="楷体"/>
          <w:b w:val="0"/>
          <w:bCs w:val="0"/>
          <w:color w:val="auto"/>
          <w:sz w:val="32"/>
          <w:szCs w:val="32"/>
          <w:lang w:val="en-US" w:eastAsia="zh-CN"/>
        </w:rPr>
      </w:pPr>
      <w:bookmarkStart w:id="151" w:name="_Toc32004"/>
      <w:bookmarkStart w:id="152" w:name="_Toc9930"/>
      <w:r>
        <w:rPr>
          <w:rFonts w:hint="default" w:ascii="楷体" w:hAnsi="楷体" w:eastAsia="楷体" w:cs="楷体"/>
          <w:b w:val="0"/>
          <w:bCs w:val="0"/>
          <w:color w:val="auto"/>
          <w:sz w:val="32"/>
          <w:szCs w:val="32"/>
          <w:lang w:val="en-US" w:eastAsia="zh-CN"/>
        </w:rPr>
        <w:t>10.3</w:t>
      </w:r>
      <w:r>
        <w:rPr>
          <w:rFonts w:hint="eastAsia" w:ascii="楷体" w:hAnsi="楷体" w:eastAsia="楷体" w:cs="楷体"/>
          <w:b w:val="0"/>
          <w:bCs w:val="0"/>
          <w:color w:val="auto"/>
          <w:sz w:val="32"/>
          <w:szCs w:val="32"/>
          <w:lang w:val="en-US" w:eastAsia="zh-CN"/>
        </w:rPr>
        <w:t xml:space="preserve"> </w:t>
      </w:r>
      <w:r>
        <w:rPr>
          <w:rFonts w:hint="default" w:ascii="楷体" w:hAnsi="楷体" w:eastAsia="楷体" w:cs="楷体"/>
          <w:b w:val="0"/>
          <w:bCs w:val="0"/>
          <w:color w:val="auto"/>
          <w:sz w:val="32"/>
          <w:szCs w:val="32"/>
          <w:lang w:val="en-US" w:eastAsia="zh-CN"/>
        </w:rPr>
        <w:t>建立监管机制</w:t>
      </w:r>
      <w:bookmarkEnd w:id="151"/>
      <w:bookmarkEnd w:id="152"/>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153" w:name="_Toc956"/>
      <w:r>
        <w:rPr>
          <w:rFonts w:hint="default" w:ascii="仿宋" w:hAnsi="仿宋" w:eastAsia="仿宋" w:cs="仿宋"/>
          <w:b w:val="0"/>
          <w:bCs w:val="0"/>
          <w:color w:val="auto"/>
          <w:spacing w:val="-2"/>
          <w:sz w:val="32"/>
          <w:szCs w:val="32"/>
          <w:lang w:val="en-US" w:eastAsia="zh-CN" w:bidi="ar-SA"/>
        </w:rPr>
        <w:t>10.3.1</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建立建筑垃圾综合管理平台</w:t>
      </w:r>
      <w:bookmarkEnd w:id="153"/>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运用大数据、物联网、云计算、人工智能等技术手段，建立金口河区建筑垃圾综合管理平台，结合金口河区层面及市级、省级层面的建筑垃圾全过程信息化管理的发展，并入金口河区数字化城市管理监督指挥中心平台，进行升级提升建设。</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154" w:name="_Toc11177"/>
      <w:r>
        <w:rPr>
          <w:rFonts w:hint="default" w:ascii="仿宋" w:hAnsi="仿宋" w:eastAsia="仿宋" w:cs="仿宋"/>
          <w:b w:val="0"/>
          <w:bCs w:val="0"/>
          <w:color w:val="auto"/>
          <w:spacing w:val="-2"/>
          <w:sz w:val="32"/>
          <w:szCs w:val="32"/>
          <w:lang w:val="en-US" w:eastAsia="zh-CN" w:bidi="ar-SA"/>
        </w:rPr>
        <w:t>10.3.2</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加强公众参与保障</w:t>
      </w:r>
      <w:bookmarkEnd w:id="154"/>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应建立和完善公众参与制度，积极发动、组织引导群众参与管理监督工作，形成广泛的群众基础，涉及群众利益的规划、决策和项目，应充分听取群众的意见，及时公布项目建设重点内容，保障公民知情权、参与权和监督权。</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仿宋" w:hAnsi="仿宋" w:eastAsia="仿宋" w:cs="仿宋"/>
          <w:b w:val="0"/>
          <w:bCs w:val="0"/>
          <w:color w:val="auto"/>
          <w:spacing w:val="-2"/>
          <w:sz w:val="32"/>
          <w:szCs w:val="32"/>
          <w:lang w:val="en-US" w:eastAsia="zh-CN" w:bidi="ar-SA"/>
        </w:rPr>
      </w:pPr>
      <w:bookmarkStart w:id="155" w:name="_Toc2326"/>
      <w:r>
        <w:rPr>
          <w:rFonts w:hint="default" w:ascii="仿宋" w:hAnsi="仿宋" w:eastAsia="仿宋" w:cs="仿宋"/>
          <w:b w:val="0"/>
          <w:bCs w:val="0"/>
          <w:color w:val="auto"/>
          <w:spacing w:val="-2"/>
          <w:sz w:val="32"/>
          <w:szCs w:val="32"/>
          <w:lang w:val="en-US" w:eastAsia="zh-CN" w:bidi="ar-SA"/>
        </w:rPr>
        <w:t>10.3.3</w:t>
      </w:r>
      <w:r>
        <w:rPr>
          <w:rFonts w:hint="eastAsia" w:ascii="仿宋" w:hAnsi="仿宋" w:eastAsia="仿宋" w:cs="仿宋"/>
          <w:b w:val="0"/>
          <w:bCs w:val="0"/>
          <w:color w:val="auto"/>
          <w:spacing w:val="-2"/>
          <w:sz w:val="32"/>
          <w:szCs w:val="32"/>
          <w:lang w:val="en-US" w:eastAsia="zh-CN" w:bidi="ar-SA"/>
        </w:rPr>
        <w:t xml:space="preserve"> </w:t>
      </w:r>
      <w:r>
        <w:rPr>
          <w:rFonts w:hint="default" w:ascii="仿宋" w:hAnsi="仿宋" w:eastAsia="仿宋" w:cs="仿宋"/>
          <w:b w:val="0"/>
          <w:bCs w:val="0"/>
          <w:color w:val="auto"/>
          <w:spacing w:val="-2"/>
          <w:sz w:val="32"/>
          <w:szCs w:val="32"/>
          <w:lang w:val="en-US" w:eastAsia="zh-CN" w:bidi="ar-SA"/>
        </w:rPr>
        <w:t>健全指导考核评价机制</w:t>
      </w:r>
      <w:bookmarkEnd w:id="155"/>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color w:val="auto"/>
          <w:spacing w:val="-2"/>
          <w:sz w:val="32"/>
          <w:szCs w:val="32"/>
          <w:lang w:val="en-US" w:eastAsia="zh-CN"/>
        </w:rPr>
      </w:pPr>
      <w:r>
        <w:rPr>
          <w:rFonts w:hint="default" w:ascii="仿宋" w:hAnsi="仿宋" w:eastAsia="仿宋" w:cs="仿宋"/>
          <w:color w:val="auto"/>
          <w:spacing w:val="-2"/>
          <w:sz w:val="32"/>
          <w:szCs w:val="32"/>
          <w:lang w:val="en-US" w:eastAsia="zh-CN"/>
        </w:rPr>
        <w:t>定期对建筑垃圾管理及资源化利用工作进行综合评估，严格按照相关规定及要求进行评估。</w:t>
      </w:r>
    </w:p>
    <w:p>
      <w:pPr>
        <w:pStyle w:val="19"/>
        <w:rPr>
          <w:rFonts w:hint="default"/>
          <w:lang w:val="en-US"/>
        </w:rPr>
      </w:pPr>
      <w:bookmarkStart w:id="156" w:name="_GoBack"/>
      <w:bookmarkEnd w:id="156"/>
    </w:p>
    <w:sectPr>
      <w:pgSz w:w="11905" w:h="16838"/>
      <w:pgMar w:top="2041" w:right="1468" w:bottom="1587" w:left="1468" w:header="850" w:footer="992" w:gutter="0"/>
      <w:pgBorders w:offsetFrom="page">
        <w:top w:val="none" w:sz="0" w:space="0"/>
        <w:left w:val="none" w:sz="0" w:space="0"/>
        <w:bottom w:val="none" w:sz="0" w:space="0"/>
        <w:right w:val="none" w:sz="0" w:space="0"/>
      </w:pgBorders>
      <w:pgNumType w:fmt="decimal"/>
      <w:cols w:space="0" w:num="1"/>
      <w:rtlGutter w:val="0"/>
      <w:docGrid w:type="lines" w:linePitch="33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CC"/>
    <w:family w:val="roman"/>
    <w:pitch w:val="default"/>
    <w:sig w:usb0="00000000" w:usb1="00000000" w:usb2="00000009" w:usb3="00000000" w:csb0="400001FF" w:csb1="FFFF0000"/>
  </w:font>
  <w:font w:name="宋体">
    <w:panose1 w:val="02010600030101010101"/>
    <w:charset w:val="50"/>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1" w:usb1="080E0000" w:usb2="00000000" w:usb3="00000000" w:csb0="00040000" w:csb1="00000000"/>
  </w:font>
  <w:font w:name="Calibri Light">
    <w:altName w:val="DejaVu Sans"/>
    <w:panose1 w:val="020F0302020204030204"/>
    <w:charset w:val="00"/>
    <w:family w:val="swiss"/>
    <w:pitch w:val="default"/>
    <w:sig w:usb0="00000000" w:usb1="00000000" w:usb2="00000009" w:usb3="00000000" w:csb0="200001FF" w:csb1="00000000"/>
  </w:font>
  <w:font w:name="Cambria">
    <w:altName w:val="Noto Sans Syriac Eastern"/>
    <w:panose1 w:val="02040503050406030204"/>
    <w:charset w:val="00"/>
    <w:family w:val="roman"/>
    <w:pitch w:val="default"/>
    <w:sig w:usb0="00000000" w:usb1="00000000" w:usb2="02000000" w:usb3="00000000" w:csb0="2000019F" w:csb1="00000000"/>
  </w:font>
  <w:font w:name="TimesNewRomanPSMT">
    <w:altName w:val="宋体"/>
    <w:panose1 w:val="00000000000000000000"/>
    <w:charset w:val="86"/>
    <w:family w:val="roman"/>
    <w:pitch w:val="default"/>
    <w:sig w:usb0="00000000" w:usb1="00000000" w:usb2="00000010" w:usb3="00000000" w:csb0="00060001"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DejaVu Sans">
    <w:panose1 w:val="020B0603030804020204"/>
    <w:charset w:val="00"/>
    <w:family w:val="auto"/>
    <w:pitch w:val="default"/>
    <w:sig w:usb0="E7006EFF" w:usb1="D200FDFF" w:usb2="0A246029" w:usb3="0400200C" w:csb0="600001FF" w:csb1="DFFF0000"/>
  </w:font>
  <w:font w:name="Nimbus Roman No9 L">
    <w:panose1 w:val="00000000000000000000"/>
    <w:charset w:val="00"/>
    <w:family w:val="auto"/>
    <w:pitch w:val="default"/>
    <w:sig w:usb0="00000000" w:usb1="00000000" w:usb2="00000000" w:usb3="00000000" w:csb0="00000000"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K8tgzBwCAAApBAAADgAAAAAAAAABACAAAAA1AQAAZHJzL2Uyb0RvYy54bWxQSwUG&#10;AAAAAAYABgBZAQAAwwUAAAAA&#10;">
              <v:fill on="f" focussize="0,0"/>
              <v:stroke on="f" weight="0.5pt"/>
              <v:imagedata o:title=""/>
              <o:lock v:ext="edit" aspectratio="f"/>
              <v:textbox inset="0mm,0mm,0mm,0mm" style="mso-fit-shape-to-text:t;">
                <w:txbxContent>
                  <w:p>
                    <w:pPr>
                      <w:pStyle w:val="2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w:rPr>
        <w:rFonts w:ascii="Calibri" w:hAnsi="Calibri" w:eastAsia="宋体" w:cs="黑体"/>
        <w:kern w:val="2"/>
        <w:sz w:val="18"/>
        <w:szCs w:val="24"/>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矩形 10"/>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28"/>
                            <w:rPr>
                              <w:rFonts w:hint="eastAsia" w:ascii="宋体" w:hAnsi="宋体" w:eastAsia="宋体" w:cs="宋体"/>
                              <w:sz w:val="28"/>
                              <w:szCs w:val="28"/>
                            </w:rPr>
                          </w:pPr>
                        </w:p>
                      </w:txbxContent>
                    </wps:txbx>
                    <wps:bodyPr wrap="none" lIns="0" tIns="0" rIns="0" bIns="0" upright="true">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BYAAABkcnMvUEsBAhQAFAAA&#10;AAgAh07iQLl1uVLQAAAABQEAAA8AAAAAAAAAAQAgAAAAOAAAAGRycy9kb3ducmV2LnhtbFBLAQIU&#10;ABQAAAAIAIdO4kDKtkGIrAEAAFEDAAAOAAAAAAAAAAEAIAAAADUBAABkcnMvZTJvRG9jLnhtbFBL&#10;BQYAAAAABgAGAFkBAABTBQAAAAA=&#10;">
              <v:fill on="f" focussize="0,0"/>
              <v:stroke on="f"/>
              <v:imagedata o:title=""/>
              <o:lock v:ext="edit" aspectratio="f"/>
              <v:textbox inset="0mm,0mm,0mm,0mm" style="mso-fit-shape-to-text:t;">
                <w:txbxContent>
                  <w:p>
                    <w:pPr>
                      <w:pStyle w:val="28"/>
                      <w:rPr>
                        <w:rFonts w:hint="eastAsia" w:ascii="宋体" w:hAnsi="宋体" w:eastAsia="宋体" w:cs="宋体"/>
                        <w:sz w:val="28"/>
                        <w:szCs w:val="28"/>
                      </w:rPr>
                    </w:pP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ascii="宋体" w:hAnsi="宋体" w:eastAsia="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UwRDjBwCAAApBAAADgAAAAAAAAABACAAAAA1AQAAZHJzL2Uyb0RvYy54bWxQSwUG&#10;AAAAAAYABgBZAQAAwwUAAAAA&#10;">
              <v:fill on="f" focussize="0,0"/>
              <v:stroke on="f" weight="0.5pt"/>
              <v:imagedata o:title=""/>
              <o:lock v:ext="edit" aspectratio="f"/>
              <v:textbox inset="0mm,0mm,0mm,0mm" style="mso-fit-shape-to-text:t;">
                <w:txbxContent>
                  <w:p>
                    <w:pPr>
                      <w:pStyle w:val="28"/>
                      <w:rPr>
                        <w:rFonts w:hint="eastAsia" w:ascii="宋体" w:hAnsi="宋体" w:eastAsia="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jc w:val="both"/>
      <w:rPr>
        <w:rFonts w:hint="eastAsia" w:cs="Times New Roman"/>
        <w:sz w:val="18"/>
        <w:szCs w:val="18"/>
        <w:u w:val="none"/>
        <w:lang w:val="en-US" w:eastAsia="zh-CN"/>
      </w:rPr>
    </w:pPr>
  </w:p>
  <w:p>
    <w:pPr>
      <w:pStyle w:val="29"/>
      <w:pBdr>
        <w:bottom w:val="none" w:color="auto" w:sz="0" w:space="1"/>
      </w:pBdr>
      <w:jc w:val="both"/>
      <w:rPr>
        <w:rFonts w:hint="default"/>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jc w:val="both"/>
      <w:rPr>
        <w:rFonts w:hint="eastAsia" w:cs="Times New Roman"/>
        <w:sz w:val="18"/>
        <w:szCs w:val="18"/>
        <w:u w:val="none"/>
        <w:lang w:val="en-US" w:eastAsia="zh-CN"/>
      </w:rPr>
    </w:pPr>
  </w:p>
  <w:p>
    <w:pPr>
      <w:pStyle w:val="29"/>
      <w:pBdr>
        <w:bottom w:val="none" w:color="auto" w:sz="0" w:space="1"/>
      </w:pBdr>
      <w:jc w:val="both"/>
      <w:rPr>
        <w:rFonts w:hint="eastAsia" w:cs="Times New Roman"/>
        <w:sz w:val="18"/>
        <w:szCs w:val="18"/>
        <w:u w:val="single"/>
        <w:lang w:val="en-US" w:eastAsia="zh-CN"/>
      </w:rPr>
    </w:pPr>
  </w:p>
  <w:p>
    <w:pPr>
      <w:pStyle w:val="29"/>
      <w:pBdr>
        <w:bottom w:val="none" w:color="auto" w:sz="0" w:space="1"/>
      </w:pBdr>
      <w:jc w:val="both"/>
      <w:rPr>
        <w:rFonts w:hint="default"/>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jc w:val="both"/>
      <w:rPr>
        <w:rFonts w:hint="eastAsia" w:cs="Times New Roman"/>
        <w:sz w:val="18"/>
        <w:szCs w:val="18"/>
        <w:u w:val="none"/>
        <w:lang w:val="en-US" w:eastAsia="zh-CN"/>
      </w:rPr>
    </w:pPr>
  </w:p>
  <w:p>
    <w:pPr>
      <w:pStyle w:val="29"/>
      <w:pBdr>
        <w:bottom w:val="none" w:color="auto" w:sz="0" w:space="1"/>
      </w:pBdr>
      <w:jc w:val="both"/>
      <w:rPr>
        <w:rFonts w:hint="eastAsia" w:cs="Times New Roman"/>
        <w:sz w:val="18"/>
        <w:szCs w:val="18"/>
        <w:u w:val="single"/>
        <w:lang w:val="en-US" w:eastAsia="zh-CN"/>
      </w:rPr>
    </w:pPr>
  </w:p>
  <w:p>
    <w:pPr>
      <w:pStyle w:val="29"/>
      <w:pBdr>
        <w:bottom w:val="none" w:color="auto" w:sz="0" w:space="1"/>
      </w:pBdr>
      <w:jc w:val="both"/>
      <w:rPr>
        <w:rFonts w:hint="eastAsia" w:cs="Times New Roman"/>
        <w:sz w:val="18"/>
        <w:szCs w:val="18"/>
        <w:u w:val="single"/>
        <w:lang w:val="en-US" w:eastAsia="zh-CN"/>
      </w:rPr>
    </w:pPr>
  </w:p>
  <w:p>
    <w:pPr>
      <w:pStyle w:val="29"/>
      <w:pBdr>
        <w:bottom w:val="none" w:color="auto" w:sz="0" w:space="1"/>
      </w:pBdr>
      <w:jc w:val="both"/>
      <w:rPr>
        <w:rFonts w:hint="default"/>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91E421"/>
    <w:multiLevelType w:val="singleLevel"/>
    <w:tmpl w:val="8691E421"/>
    <w:lvl w:ilvl="0" w:tentative="0">
      <w:start w:val="1"/>
      <w:numFmt w:val="chineseCounting"/>
      <w:suff w:val="space"/>
      <w:lvlText w:val="第%1章"/>
      <w:lvlJc w:val="left"/>
      <w:rPr>
        <w:rFonts w:hint="eastAsia" w:ascii="黑体" w:hAnsi="黑体" w:eastAsia="黑体" w:cs="黑体"/>
        <w:sz w:val="32"/>
        <w:szCs w:val="32"/>
      </w:rPr>
    </w:lvl>
  </w:abstractNum>
  <w:abstractNum w:abstractNumId="1">
    <w:nsid w:val="96B16FD2"/>
    <w:multiLevelType w:val="singleLevel"/>
    <w:tmpl w:val="96B16FD2"/>
    <w:lvl w:ilvl="0" w:tentative="0">
      <w:start w:val="6"/>
      <w:numFmt w:val="chineseCounting"/>
      <w:suff w:val="space"/>
      <w:lvlText w:val="第%1章"/>
      <w:lvlJc w:val="left"/>
      <w:rPr>
        <w:rFonts w:hint="eastAsia" w:ascii="黑体" w:hAnsi="黑体" w:eastAsia="黑体" w:cs="黑体"/>
        <w:sz w:val="32"/>
        <w:szCs w:val="32"/>
      </w:rPr>
    </w:lvl>
  </w:abstractNum>
  <w:abstractNum w:abstractNumId="2">
    <w:nsid w:val="AC4AD151"/>
    <w:multiLevelType w:val="singleLevel"/>
    <w:tmpl w:val="AC4AD151"/>
    <w:lvl w:ilvl="0" w:tentative="0">
      <w:start w:val="5"/>
      <w:numFmt w:val="chineseCounting"/>
      <w:suff w:val="space"/>
      <w:lvlText w:val="第%1章"/>
      <w:lvlJc w:val="left"/>
      <w:rPr>
        <w:rFonts w:hint="eastAsia" w:ascii="黑体" w:hAnsi="黑体" w:eastAsia="黑体" w:cs="黑体"/>
        <w:sz w:val="32"/>
        <w:szCs w:val="32"/>
      </w:rPr>
    </w:lvl>
  </w:abstractNum>
  <w:abstractNum w:abstractNumId="3">
    <w:nsid w:val="B152C9BC"/>
    <w:multiLevelType w:val="singleLevel"/>
    <w:tmpl w:val="B152C9BC"/>
    <w:lvl w:ilvl="0" w:tentative="0">
      <w:start w:val="9"/>
      <w:numFmt w:val="chineseCounting"/>
      <w:suff w:val="space"/>
      <w:lvlText w:val="第%1章"/>
      <w:lvlJc w:val="left"/>
      <w:rPr>
        <w:rFonts w:hint="eastAsia" w:ascii="黑体" w:hAnsi="黑体" w:eastAsia="黑体" w:cs="黑体"/>
        <w:b w:val="0"/>
        <w:bCs w:val="0"/>
        <w:sz w:val="32"/>
        <w:szCs w:val="32"/>
      </w:rPr>
    </w:lvl>
  </w:abstractNum>
  <w:abstractNum w:abstractNumId="4">
    <w:nsid w:val="C5D066E3"/>
    <w:multiLevelType w:val="singleLevel"/>
    <w:tmpl w:val="C5D066E3"/>
    <w:lvl w:ilvl="0" w:tentative="0">
      <w:start w:val="4"/>
      <w:numFmt w:val="chineseCounting"/>
      <w:suff w:val="space"/>
      <w:lvlText w:val="第%1章"/>
      <w:lvlJc w:val="left"/>
      <w:rPr>
        <w:rFonts w:hint="eastAsia" w:ascii="黑体" w:hAnsi="黑体" w:eastAsia="黑体" w:cs="黑体"/>
        <w:sz w:val="32"/>
        <w:szCs w:val="32"/>
      </w:rPr>
    </w:lvl>
  </w:abstractNum>
  <w:abstractNum w:abstractNumId="5">
    <w:nsid w:val="CEF8EE94"/>
    <w:multiLevelType w:val="singleLevel"/>
    <w:tmpl w:val="CEF8EE94"/>
    <w:lvl w:ilvl="0" w:tentative="0">
      <w:start w:val="1"/>
      <w:numFmt w:val="bullet"/>
      <w:pStyle w:val="24"/>
      <w:lvlText w:val=""/>
      <w:lvlJc w:val="left"/>
      <w:pPr>
        <w:tabs>
          <w:tab w:val="left" w:pos="2040"/>
        </w:tabs>
        <w:ind w:left="2040" w:hanging="360"/>
      </w:pPr>
      <w:rPr>
        <w:rFonts w:hint="default" w:ascii="Wingdings" w:hAnsi="Wingdings"/>
      </w:rPr>
    </w:lvl>
  </w:abstractNum>
  <w:abstractNum w:abstractNumId="6">
    <w:nsid w:val="D531B719"/>
    <w:multiLevelType w:val="singleLevel"/>
    <w:tmpl w:val="D531B719"/>
    <w:lvl w:ilvl="0" w:tentative="0">
      <w:start w:val="7"/>
      <w:numFmt w:val="chineseCounting"/>
      <w:suff w:val="space"/>
      <w:lvlText w:val="第%1章"/>
      <w:lvlJc w:val="left"/>
      <w:rPr>
        <w:rFonts w:hint="eastAsia" w:ascii="黑体" w:hAnsi="黑体" w:eastAsia="黑体" w:cs="黑体"/>
        <w:sz w:val="32"/>
        <w:szCs w:val="32"/>
      </w:rPr>
    </w:lvl>
  </w:abstractNum>
  <w:abstractNum w:abstractNumId="7">
    <w:nsid w:val="03CF53E1"/>
    <w:multiLevelType w:val="multilevel"/>
    <w:tmpl w:val="03CF53E1"/>
    <w:lvl w:ilvl="0" w:tentative="0">
      <w:start w:val="1"/>
      <w:numFmt w:val="decimal"/>
      <w:pStyle w:val="131"/>
      <w:lvlText w:val="表1-%1"/>
      <w:lvlJc w:val="left"/>
      <w:pPr>
        <w:tabs>
          <w:tab w:val="left" w:pos="851"/>
        </w:tabs>
        <w:ind w:left="0" w:firstLine="0"/>
      </w:pPr>
      <w:rPr>
        <w:rFonts w:hint="eastAsia"/>
        <w:b/>
        <w:bCs w:val="0"/>
        <w:i w:val="0"/>
        <w:iCs w:val="0"/>
        <w:caps w:val="0"/>
        <w:smallCaps w:val="0"/>
        <w:strike w:val="0"/>
        <w:dstrike w:val="0"/>
        <w:outline w:val="0"/>
        <w:shadow w:val="0"/>
        <w:emboss w:val="0"/>
        <w:imprint w:val="0"/>
        <w:vanish w:val="0"/>
        <w:spacing w:val="0"/>
        <w:position w:val="0"/>
        <w:sz w:val="24"/>
        <w:szCs w:val="24"/>
        <w:u w:val="none"/>
        <w:vertAlign w:val="baseline"/>
        <w:lang w:val="en-U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CF5D959"/>
    <w:multiLevelType w:val="multilevel"/>
    <w:tmpl w:val="0CF5D959"/>
    <w:lvl w:ilvl="0" w:tentative="0">
      <w:start w:val="1"/>
      <w:numFmt w:val="decimal"/>
      <w:pStyle w:val="3"/>
      <w:lvlText w:val="%1."/>
      <w:lvlJc w:val="left"/>
      <w:pPr>
        <w:ind w:left="432" w:hanging="432"/>
      </w:pPr>
      <w:rPr>
        <w:rFonts w:hint="default"/>
      </w:rPr>
    </w:lvl>
    <w:lvl w:ilvl="1" w:tentative="0">
      <w:start w:val="1"/>
      <w:numFmt w:val="decimal"/>
      <w:pStyle w:val="4"/>
      <w:lvlText w:val="%1.%2."/>
      <w:lvlJc w:val="left"/>
      <w:pPr>
        <w:ind w:left="575" w:hanging="575"/>
      </w:pPr>
      <w:rPr>
        <w:rFonts w:hint="default"/>
      </w:rPr>
    </w:lvl>
    <w:lvl w:ilvl="2" w:tentative="0">
      <w:start w:val="1"/>
      <w:numFmt w:val="decimal"/>
      <w:pStyle w:val="5"/>
      <w:lvlText w:val="%1.%2.%3."/>
      <w:lvlJc w:val="left"/>
      <w:pPr>
        <w:ind w:left="720" w:hanging="720"/>
      </w:pPr>
      <w:rPr>
        <w:rFonts w:hint="default"/>
      </w:rPr>
    </w:lvl>
    <w:lvl w:ilvl="3" w:tentative="0">
      <w:start w:val="1"/>
      <w:numFmt w:val="decimal"/>
      <w:pStyle w:val="6"/>
      <w:lvlText w:val="%1.%2.%3.%4."/>
      <w:lvlJc w:val="left"/>
      <w:pPr>
        <w:ind w:left="864" w:hanging="864"/>
      </w:pPr>
      <w:rPr>
        <w:rFonts w:hint="default"/>
      </w:rPr>
    </w:lvl>
    <w:lvl w:ilvl="4" w:tentative="0">
      <w:start w:val="1"/>
      <w:numFmt w:val="decimal"/>
      <w:pStyle w:val="7"/>
      <w:lvlText w:val="%1.%2.%3.%4.%5."/>
      <w:lvlJc w:val="left"/>
      <w:pPr>
        <w:ind w:left="1008" w:hanging="1008"/>
      </w:pPr>
      <w:rPr>
        <w:rFonts w:hint="default"/>
      </w:rPr>
    </w:lvl>
    <w:lvl w:ilvl="5" w:tentative="0">
      <w:start w:val="1"/>
      <w:numFmt w:val="decimal"/>
      <w:pStyle w:val="8"/>
      <w:lvlText w:val="%1.%2.%3.%4.%5.%6."/>
      <w:lvlJc w:val="left"/>
      <w:pPr>
        <w:ind w:left="1151" w:hanging="1151"/>
      </w:pPr>
      <w:rPr>
        <w:rFonts w:hint="default"/>
      </w:rPr>
    </w:lvl>
    <w:lvl w:ilvl="6" w:tentative="0">
      <w:start w:val="1"/>
      <w:numFmt w:val="decimal"/>
      <w:pStyle w:val="9"/>
      <w:lvlText w:val="%1.%2.%3.%4.%5.%6.%7."/>
      <w:lvlJc w:val="left"/>
      <w:pPr>
        <w:ind w:left="1296" w:hanging="1296"/>
      </w:pPr>
      <w:rPr>
        <w:rFonts w:hint="default"/>
      </w:rPr>
    </w:lvl>
    <w:lvl w:ilvl="7" w:tentative="0">
      <w:start w:val="1"/>
      <w:numFmt w:val="decimal"/>
      <w:pStyle w:val="10"/>
      <w:lvlText w:val="%1.%2.%3.%4.%5.%6.%7.%8."/>
      <w:lvlJc w:val="left"/>
      <w:pPr>
        <w:ind w:left="1440" w:hanging="1440"/>
      </w:pPr>
      <w:rPr>
        <w:rFonts w:hint="default"/>
      </w:rPr>
    </w:lvl>
    <w:lvl w:ilvl="8" w:tentative="0">
      <w:start w:val="1"/>
      <w:numFmt w:val="decimal"/>
      <w:pStyle w:val="11"/>
      <w:lvlText w:val="%1.%2.%3.%4.%5.%6.%7.%8.%9."/>
      <w:lvlJc w:val="left"/>
      <w:pPr>
        <w:ind w:left="1583" w:hanging="1583"/>
      </w:pPr>
      <w:rPr>
        <w:rFonts w:hint="default"/>
      </w:rPr>
    </w:lvl>
  </w:abstractNum>
  <w:abstractNum w:abstractNumId="9">
    <w:nsid w:val="5A61C018"/>
    <w:multiLevelType w:val="singleLevel"/>
    <w:tmpl w:val="5A61C018"/>
    <w:lvl w:ilvl="0" w:tentative="0">
      <w:start w:val="10"/>
      <w:numFmt w:val="chineseCounting"/>
      <w:suff w:val="space"/>
      <w:lvlText w:val="第%1章"/>
      <w:lvlJc w:val="left"/>
      <w:rPr>
        <w:rFonts w:hint="eastAsia" w:ascii="黑体" w:hAnsi="黑体" w:eastAsia="黑体" w:cs="黑体"/>
        <w:sz w:val="32"/>
        <w:szCs w:val="32"/>
      </w:rPr>
    </w:lvl>
  </w:abstractNum>
  <w:abstractNum w:abstractNumId="10">
    <w:nsid w:val="61512D14"/>
    <w:multiLevelType w:val="multilevel"/>
    <w:tmpl w:val="61512D14"/>
    <w:lvl w:ilvl="0" w:tentative="0">
      <w:start w:val="1"/>
      <w:numFmt w:val="decimal"/>
      <w:pStyle w:val="116"/>
      <w:lvlText w:val="表5-%1"/>
      <w:lvlJc w:val="left"/>
      <w:pPr>
        <w:ind w:left="3240" w:firstLine="0"/>
      </w:pPr>
      <w:rPr>
        <w:rFonts w:hint="eastAsia"/>
        <w:sz w:val="24"/>
        <w:szCs w:val="24"/>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671976DC"/>
    <w:multiLevelType w:val="multilevel"/>
    <w:tmpl w:val="671976DC"/>
    <w:lvl w:ilvl="0" w:tentative="0">
      <w:start w:val="1"/>
      <w:numFmt w:val="decimal"/>
      <w:pStyle w:val="158"/>
      <w:lvlText w:val="表2-%1"/>
      <w:lvlJc w:val="left"/>
      <w:pPr>
        <w:tabs>
          <w:tab w:val="left" w:pos="851"/>
        </w:tabs>
        <w:ind w:left="0" w:firstLine="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6B810809"/>
    <w:multiLevelType w:val="multilevel"/>
    <w:tmpl w:val="6B810809"/>
    <w:lvl w:ilvl="0" w:tentative="0">
      <w:start w:val="1"/>
      <w:numFmt w:val="decimal"/>
      <w:pStyle w:val="153"/>
      <w:lvlText w:val="表3-%1"/>
      <w:lvlJc w:val="left"/>
      <w:pPr>
        <w:ind w:left="4530" w:hanging="420"/>
      </w:pPr>
      <w:rPr>
        <w:rFonts w:hint="eastAsia"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5"/>
  </w:num>
  <w:num w:numId="3">
    <w:abstractNumId w:val="10"/>
  </w:num>
  <w:num w:numId="4">
    <w:abstractNumId w:val="7"/>
  </w:num>
  <w:num w:numId="5">
    <w:abstractNumId w:val="12"/>
  </w:num>
  <w:num w:numId="6">
    <w:abstractNumId w:val="11"/>
  </w:num>
  <w:num w:numId="7">
    <w:abstractNumId w:val="0"/>
  </w:num>
  <w:num w:numId="8">
    <w:abstractNumId w:val="4"/>
  </w:num>
  <w:num w:numId="9">
    <w:abstractNumId w:val="2"/>
  </w:num>
  <w:num w:numId="10">
    <w:abstractNumId w:val="1"/>
  </w:num>
  <w:num w:numId="11">
    <w:abstractNumId w:val="6"/>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bordersDoNotSurroundHeader w:val="false"/>
  <w:bordersDoNotSurroundFooter w:val="false"/>
  <w:documentProtection w:enforcement="0"/>
  <w:defaultTabStop w:val="420"/>
  <w:hyphenationZone w:val="360"/>
  <w:drawingGridHorizontalSpacing w:val="120"/>
  <w:drawingGridVerticalSpacing w:val="165"/>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E3MzUwMDkwZDAyNzA0ZWNlMGU5MDQzMjAzOGI3YWQifQ=="/>
  </w:docVars>
  <w:rsids>
    <w:rsidRoot w:val="00172A27"/>
    <w:rsid w:val="00000070"/>
    <w:rsid w:val="00003242"/>
    <w:rsid w:val="00004066"/>
    <w:rsid w:val="00005326"/>
    <w:rsid w:val="000057AC"/>
    <w:rsid w:val="00005952"/>
    <w:rsid w:val="00006D62"/>
    <w:rsid w:val="00007A81"/>
    <w:rsid w:val="00011063"/>
    <w:rsid w:val="00011641"/>
    <w:rsid w:val="000116C6"/>
    <w:rsid w:val="00012039"/>
    <w:rsid w:val="00012101"/>
    <w:rsid w:val="0001337E"/>
    <w:rsid w:val="00013DAD"/>
    <w:rsid w:val="00013ED9"/>
    <w:rsid w:val="00014AC1"/>
    <w:rsid w:val="00014E78"/>
    <w:rsid w:val="00015230"/>
    <w:rsid w:val="00016791"/>
    <w:rsid w:val="00016E4F"/>
    <w:rsid w:val="00017132"/>
    <w:rsid w:val="0002026B"/>
    <w:rsid w:val="000205D8"/>
    <w:rsid w:val="000206C6"/>
    <w:rsid w:val="00020C79"/>
    <w:rsid w:val="00020C8F"/>
    <w:rsid w:val="00021658"/>
    <w:rsid w:val="00022041"/>
    <w:rsid w:val="000239A0"/>
    <w:rsid w:val="00023C17"/>
    <w:rsid w:val="00024352"/>
    <w:rsid w:val="00025BB2"/>
    <w:rsid w:val="000263F3"/>
    <w:rsid w:val="000267DD"/>
    <w:rsid w:val="00027214"/>
    <w:rsid w:val="00030691"/>
    <w:rsid w:val="00031688"/>
    <w:rsid w:val="00031909"/>
    <w:rsid w:val="0003258B"/>
    <w:rsid w:val="0003454F"/>
    <w:rsid w:val="0003588F"/>
    <w:rsid w:val="00040EB9"/>
    <w:rsid w:val="00041DD5"/>
    <w:rsid w:val="000420D0"/>
    <w:rsid w:val="00042377"/>
    <w:rsid w:val="00042752"/>
    <w:rsid w:val="00043A73"/>
    <w:rsid w:val="000464CD"/>
    <w:rsid w:val="00047241"/>
    <w:rsid w:val="00052169"/>
    <w:rsid w:val="000543E8"/>
    <w:rsid w:val="000545CD"/>
    <w:rsid w:val="000556A5"/>
    <w:rsid w:val="00057D58"/>
    <w:rsid w:val="000600A8"/>
    <w:rsid w:val="000608E7"/>
    <w:rsid w:val="00063027"/>
    <w:rsid w:val="00064011"/>
    <w:rsid w:val="00064D49"/>
    <w:rsid w:val="00065E00"/>
    <w:rsid w:val="00067ACF"/>
    <w:rsid w:val="00070C4B"/>
    <w:rsid w:val="00070C5E"/>
    <w:rsid w:val="00071854"/>
    <w:rsid w:val="00071F99"/>
    <w:rsid w:val="00072CAD"/>
    <w:rsid w:val="000731EE"/>
    <w:rsid w:val="00075B44"/>
    <w:rsid w:val="00076FA9"/>
    <w:rsid w:val="000778C0"/>
    <w:rsid w:val="00077995"/>
    <w:rsid w:val="00077ABA"/>
    <w:rsid w:val="000801B4"/>
    <w:rsid w:val="000808F2"/>
    <w:rsid w:val="00080E52"/>
    <w:rsid w:val="000818F7"/>
    <w:rsid w:val="0008193A"/>
    <w:rsid w:val="00081FE4"/>
    <w:rsid w:val="0008284D"/>
    <w:rsid w:val="0008463C"/>
    <w:rsid w:val="00084888"/>
    <w:rsid w:val="00085667"/>
    <w:rsid w:val="00085828"/>
    <w:rsid w:val="00085A57"/>
    <w:rsid w:val="00085AD3"/>
    <w:rsid w:val="00085C78"/>
    <w:rsid w:val="00085DFE"/>
    <w:rsid w:val="00087704"/>
    <w:rsid w:val="000877C3"/>
    <w:rsid w:val="00093029"/>
    <w:rsid w:val="00093A05"/>
    <w:rsid w:val="00093BDB"/>
    <w:rsid w:val="0009414A"/>
    <w:rsid w:val="000941C4"/>
    <w:rsid w:val="00094765"/>
    <w:rsid w:val="00095455"/>
    <w:rsid w:val="00095DC5"/>
    <w:rsid w:val="00096DC9"/>
    <w:rsid w:val="000970EE"/>
    <w:rsid w:val="0009757E"/>
    <w:rsid w:val="00097C44"/>
    <w:rsid w:val="000A06DA"/>
    <w:rsid w:val="000A0A4C"/>
    <w:rsid w:val="000A14EC"/>
    <w:rsid w:val="000A172B"/>
    <w:rsid w:val="000A2CCF"/>
    <w:rsid w:val="000A2CE0"/>
    <w:rsid w:val="000A2EF8"/>
    <w:rsid w:val="000A349F"/>
    <w:rsid w:val="000A3B5B"/>
    <w:rsid w:val="000A3F65"/>
    <w:rsid w:val="000A46FC"/>
    <w:rsid w:val="000A526C"/>
    <w:rsid w:val="000A54D0"/>
    <w:rsid w:val="000A5DFC"/>
    <w:rsid w:val="000A6484"/>
    <w:rsid w:val="000B0814"/>
    <w:rsid w:val="000B0BAC"/>
    <w:rsid w:val="000B16F1"/>
    <w:rsid w:val="000B295B"/>
    <w:rsid w:val="000B377B"/>
    <w:rsid w:val="000B3B45"/>
    <w:rsid w:val="000B40EB"/>
    <w:rsid w:val="000B49FA"/>
    <w:rsid w:val="000B4D40"/>
    <w:rsid w:val="000B5106"/>
    <w:rsid w:val="000B55E9"/>
    <w:rsid w:val="000B5ED4"/>
    <w:rsid w:val="000B673D"/>
    <w:rsid w:val="000B6758"/>
    <w:rsid w:val="000B6ECA"/>
    <w:rsid w:val="000C064C"/>
    <w:rsid w:val="000C0798"/>
    <w:rsid w:val="000C0975"/>
    <w:rsid w:val="000C0A77"/>
    <w:rsid w:val="000C0DD9"/>
    <w:rsid w:val="000C3667"/>
    <w:rsid w:val="000C3EAE"/>
    <w:rsid w:val="000C459F"/>
    <w:rsid w:val="000C5C6F"/>
    <w:rsid w:val="000C5E4B"/>
    <w:rsid w:val="000C6394"/>
    <w:rsid w:val="000C6B91"/>
    <w:rsid w:val="000D0433"/>
    <w:rsid w:val="000D0DD1"/>
    <w:rsid w:val="000D1F84"/>
    <w:rsid w:val="000D4D37"/>
    <w:rsid w:val="000D4E35"/>
    <w:rsid w:val="000D711A"/>
    <w:rsid w:val="000D775C"/>
    <w:rsid w:val="000E064B"/>
    <w:rsid w:val="000E09B6"/>
    <w:rsid w:val="000E1F73"/>
    <w:rsid w:val="000E3081"/>
    <w:rsid w:val="000E3717"/>
    <w:rsid w:val="000E3B31"/>
    <w:rsid w:val="000E43AB"/>
    <w:rsid w:val="000E4ABC"/>
    <w:rsid w:val="000E60E1"/>
    <w:rsid w:val="000E6199"/>
    <w:rsid w:val="000E6A73"/>
    <w:rsid w:val="000E700E"/>
    <w:rsid w:val="000E74DA"/>
    <w:rsid w:val="000E75B3"/>
    <w:rsid w:val="000E7CD1"/>
    <w:rsid w:val="000F2340"/>
    <w:rsid w:val="000F35EE"/>
    <w:rsid w:val="000F41CD"/>
    <w:rsid w:val="000F479B"/>
    <w:rsid w:val="000F559B"/>
    <w:rsid w:val="000F663F"/>
    <w:rsid w:val="00100661"/>
    <w:rsid w:val="00100D60"/>
    <w:rsid w:val="00101A3D"/>
    <w:rsid w:val="00102C23"/>
    <w:rsid w:val="001031B1"/>
    <w:rsid w:val="0010394A"/>
    <w:rsid w:val="00105117"/>
    <w:rsid w:val="00105204"/>
    <w:rsid w:val="001053FA"/>
    <w:rsid w:val="00105B3B"/>
    <w:rsid w:val="00106442"/>
    <w:rsid w:val="00106DA6"/>
    <w:rsid w:val="00106DF0"/>
    <w:rsid w:val="001100B7"/>
    <w:rsid w:val="00111983"/>
    <w:rsid w:val="00111A2A"/>
    <w:rsid w:val="001126C4"/>
    <w:rsid w:val="00112A85"/>
    <w:rsid w:val="00113CB8"/>
    <w:rsid w:val="00113D51"/>
    <w:rsid w:val="00116123"/>
    <w:rsid w:val="00116622"/>
    <w:rsid w:val="00116C49"/>
    <w:rsid w:val="00117275"/>
    <w:rsid w:val="0011730F"/>
    <w:rsid w:val="001207AD"/>
    <w:rsid w:val="00121C16"/>
    <w:rsid w:val="00122C87"/>
    <w:rsid w:val="001231DF"/>
    <w:rsid w:val="00124A77"/>
    <w:rsid w:val="00125248"/>
    <w:rsid w:val="00125645"/>
    <w:rsid w:val="00127050"/>
    <w:rsid w:val="00130522"/>
    <w:rsid w:val="00131373"/>
    <w:rsid w:val="0013204E"/>
    <w:rsid w:val="00132E30"/>
    <w:rsid w:val="00133B8C"/>
    <w:rsid w:val="00133FD2"/>
    <w:rsid w:val="00134B87"/>
    <w:rsid w:val="00134CCB"/>
    <w:rsid w:val="00135859"/>
    <w:rsid w:val="00135E3E"/>
    <w:rsid w:val="001362EC"/>
    <w:rsid w:val="001364E2"/>
    <w:rsid w:val="00137DD2"/>
    <w:rsid w:val="0014025D"/>
    <w:rsid w:val="0014062E"/>
    <w:rsid w:val="001414EE"/>
    <w:rsid w:val="00142127"/>
    <w:rsid w:val="00142242"/>
    <w:rsid w:val="00142551"/>
    <w:rsid w:val="00142F38"/>
    <w:rsid w:val="001436B0"/>
    <w:rsid w:val="00144390"/>
    <w:rsid w:val="0014480E"/>
    <w:rsid w:val="00146B3D"/>
    <w:rsid w:val="00146D3D"/>
    <w:rsid w:val="00146EFE"/>
    <w:rsid w:val="001513B4"/>
    <w:rsid w:val="00151E63"/>
    <w:rsid w:val="00152291"/>
    <w:rsid w:val="001553E5"/>
    <w:rsid w:val="00155875"/>
    <w:rsid w:val="00155E9B"/>
    <w:rsid w:val="00156A86"/>
    <w:rsid w:val="00160249"/>
    <w:rsid w:val="00160BCB"/>
    <w:rsid w:val="0016257D"/>
    <w:rsid w:val="00162BCA"/>
    <w:rsid w:val="00163455"/>
    <w:rsid w:val="001636ED"/>
    <w:rsid w:val="00163BBC"/>
    <w:rsid w:val="00164315"/>
    <w:rsid w:val="001649DC"/>
    <w:rsid w:val="00166422"/>
    <w:rsid w:val="00166D78"/>
    <w:rsid w:val="00167203"/>
    <w:rsid w:val="001715C5"/>
    <w:rsid w:val="00171DD6"/>
    <w:rsid w:val="00171E64"/>
    <w:rsid w:val="00174509"/>
    <w:rsid w:val="00174774"/>
    <w:rsid w:val="001750BB"/>
    <w:rsid w:val="00176F65"/>
    <w:rsid w:val="001772D2"/>
    <w:rsid w:val="0017745F"/>
    <w:rsid w:val="00177639"/>
    <w:rsid w:val="00180381"/>
    <w:rsid w:val="0018101C"/>
    <w:rsid w:val="0018189B"/>
    <w:rsid w:val="00182BE4"/>
    <w:rsid w:val="00183042"/>
    <w:rsid w:val="00184F7B"/>
    <w:rsid w:val="00185777"/>
    <w:rsid w:val="00185B01"/>
    <w:rsid w:val="00190670"/>
    <w:rsid w:val="001909AB"/>
    <w:rsid w:val="00190C65"/>
    <w:rsid w:val="00192765"/>
    <w:rsid w:val="001938B1"/>
    <w:rsid w:val="00194198"/>
    <w:rsid w:val="00194CEB"/>
    <w:rsid w:val="0019541A"/>
    <w:rsid w:val="0019629F"/>
    <w:rsid w:val="00197A15"/>
    <w:rsid w:val="00197ABA"/>
    <w:rsid w:val="00197C6D"/>
    <w:rsid w:val="001A08F8"/>
    <w:rsid w:val="001A1861"/>
    <w:rsid w:val="001A2312"/>
    <w:rsid w:val="001A2FC7"/>
    <w:rsid w:val="001A2FD7"/>
    <w:rsid w:val="001A4041"/>
    <w:rsid w:val="001A47F4"/>
    <w:rsid w:val="001A5248"/>
    <w:rsid w:val="001A56D7"/>
    <w:rsid w:val="001A5CD0"/>
    <w:rsid w:val="001A5E6F"/>
    <w:rsid w:val="001A6BE2"/>
    <w:rsid w:val="001A71CA"/>
    <w:rsid w:val="001B1359"/>
    <w:rsid w:val="001B159C"/>
    <w:rsid w:val="001B1C76"/>
    <w:rsid w:val="001B259B"/>
    <w:rsid w:val="001B273C"/>
    <w:rsid w:val="001B2752"/>
    <w:rsid w:val="001B2787"/>
    <w:rsid w:val="001B27FB"/>
    <w:rsid w:val="001B2EBE"/>
    <w:rsid w:val="001B3022"/>
    <w:rsid w:val="001B4CCD"/>
    <w:rsid w:val="001B51D0"/>
    <w:rsid w:val="001B5723"/>
    <w:rsid w:val="001B64D0"/>
    <w:rsid w:val="001B6581"/>
    <w:rsid w:val="001B6C13"/>
    <w:rsid w:val="001B767C"/>
    <w:rsid w:val="001B7FD2"/>
    <w:rsid w:val="001C1C3B"/>
    <w:rsid w:val="001C4D31"/>
    <w:rsid w:val="001C5617"/>
    <w:rsid w:val="001C5AC2"/>
    <w:rsid w:val="001C5F5D"/>
    <w:rsid w:val="001C6837"/>
    <w:rsid w:val="001C6AD0"/>
    <w:rsid w:val="001C6BB4"/>
    <w:rsid w:val="001C77FF"/>
    <w:rsid w:val="001C799A"/>
    <w:rsid w:val="001D055F"/>
    <w:rsid w:val="001D2700"/>
    <w:rsid w:val="001D350D"/>
    <w:rsid w:val="001D50A4"/>
    <w:rsid w:val="001D5E46"/>
    <w:rsid w:val="001D5ECF"/>
    <w:rsid w:val="001D6046"/>
    <w:rsid w:val="001D6648"/>
    <w:rsid w:val="001D7F79"/>
    <w:rsid w:val="001E14C0"/>
    <w:rsid w:val="001E153B"/>
    <w:rsid w:val="001E30E7"/>
    <w:rsid w:val="001E36A9"/>
    <w:rsid w:val="001E5569"/>
    <w:rsid w:val="001E5E2E"/>
    <w:rsid w:val="001E6110"/>
    <w:rsid w:val="001E6431"/>
    <w:rsid w:val="001E67D2"/>
    <w:rsid w:val="001E6875"/>
    <w:rsid w:val="001E6B9E"/>
    <w:rsid w:val="001E7B54"/>
    <w:rsid w:val="001E7E57"/>
    <w:rsid w:val="001F00E5"/>
    <w:rsid w:val="001F353B"/>
    <w:rsid w:val="001F4CAE"/>
    <w:rsid w:val="001F54CE"/>
    <w:rsid w:val="001F588E"/>
    <w:rsid w:val="00202EEB"/>
    <w:rsid w:val="0020345E"/>
    <w:rsid w:val="00203739"/>
    <w:rsid w:val="002037FC"/>
    <w:rsid w:val="00203A69"/>
    <w:rsid w:val="00204F33"/>
    <w:rsid w:val="0020567E"/>
    <w:rsid w:val="00205804"/>
    <w:rsid w:val="002058A0"/>
    <w:rsid w:val="00206CB2"/>
    <w:rsid w:val="00207479"/>
    <w:rsid w:val="0020763B"/>
    <w:rsid w:val="00207FF9"/>
    <w:rsid w:val="002106C9"/>
    <w:rsid w:val="002109CD"/>
    <w:rsid w:val="00211436"/>
    <w:rsid w:val="00211864"/>
    <w:rsid w:val="002125CC"/>
    <w:rsid w:val="002125E0"/>
    <w:rsid w:val="0021264F"/>
    <w:rsid w:val="0021391D"/>
    <w:rsid w:val="00214CBB"/>
    <w:rsid w:val="00216EDF"/>
    <w:rsid w:val="00216FDC"/>
    <w:rsid w:val="00216FF7"/>
    <w:rsid w:val="00220907"/>
    <w:rsid w:val="00220A97"/>
    <w:rsid w:val="00221428"/>
    <w:rsid w:val="00222119"/>
    <w:rsid w:val="00222634"/>
    <w:rsid w:val="002226B1"/>
    <w:rsid w:val="00222BA3"/>
    <w:rsid w:val="00222FC1"/>
    <w:rsid w:val="002255B6"/>
    <w:rsid w:val="00226783"/>
    <w:rsid w:val="00227622"/>
    <w:rsid w:val="00230C22"/>
    <w:rsid w:val="0023162E"/>
    <w:rsid w:val="00231CE5"/>
    <w:rsid w:val="002336A8"/>
    <w:rsid w:val="00234B24"/>
    <w:rsid w:val="002362E8"/>
    <w:rsid w:val="0023684D"/>
    <w:rsid w:val="00236E08"/>
    <w:rsid w:val="00237622"/>
    <w:rsid w:val="00237B1A"/>
    <w:rsid w:val="002415FB"/>
    <w:rsid w:val="002417C6"/>
    <w:rsid w:val="00241E42"/>
    <w:rsid w:val="002433A6"/>
    <w:rsid w:val="002436DD"/>
    <w:rsid w:val="0024372B"/>
    <w:rsid w:val="002437AA"/>
    <w:rsid w:val="002443AA"/>
    <w:rsid w:val="002443EC"/>
    <w:rsid w:val="00244BF1"/>
    <w:rsid w:val="00244C85"/>
    <w:rsid w:val="00245DED"/>
    <w:rsid w:val="00246FC6"/>
    <w:rsid w:val="00250F73"/>
    <w:rsid w:val="00251682"/>
    <w:rsid w:val="00251BD7"/>
    <w:rsid w:val="002528C2"/>
    <w:rsid w:val="00252CF0"/>
    <w:rsid w:val="00254CCC"/>
    <w:rsid w:val="00255073"/>
    <w:rsid w:val="00255FB3"/>
    <w:rsid w:val="002567F9"/>
    <w:rsid w:val="00256B96"/>
    <w:rsid w:val="0025798B"/>
    <w:rsid w:val="00260B5A"/>
    <w:rsid w:val="0026117C"/>
    <w:rsid w:val="00261945"/>
    <w:rsid w:val="002630BB"/>
    <w:rsid w:val="00263168"/>
    <w:rsid w:val="00263823"/>
    <w:rsid w:val="00263F2D"/>
    <w:rsid w:val="00264180"/>
    <w:rsid w:val="00264EE8"/>
    <w:rsid w:val="00265C27"/>
    <w:rsid w:val="00270047"/>
    <w:rsid w:val="00270054"/>
    <w:rsid w:val="00272010"/>
    <w:rsid w:val="002725C8"/>
    <w:rsid w:val="0027278D"/>
    <w:rsid w:val="00272BED"/>
    <w:rsid w:val="00273A82"/>
    <w:rsid w:val="00274A32"/>
    <w:rsid w:val="00276134"/>
    <w:rsid w:val="002812BC"/>
    <w:rsid w:val="00282944"/>
    <w:rsid w:val="00283A81"/>
    <w:rsid w:val="00283BA0"/>
    <w:rsid w:val="00284F04"/>
    <w:rsid w:val="00286004"/>
    <w:rsid w:val="0028745B"/>
    <w:rsid w:val="00290C8C"/>
    <w:rsid w:val="002912D4"/>
    <w:rsid w:val="002917BC"/>
    <w:rsid w:val="00293BA3"/>
    <w:rsid w:val="0029455B"/>
    <w:rsid w:val="002945FD"/>
    <w:rsid w:val="00294D7B"/>
    <w:rsid w:val="0029514C"/>
    <w:rsid w:val="0029544D"/>
    <w:rsid w:val="00296480"/>
    <w:rsid w:val="002971C4"/>
    <w:rsid w:val="00297809"/>
    <w:rsid w:val="00297CD1"/>
    <w:rsid w:val="00297E0B"/>
    <w:rsid w:val="00297F0C"/>
    <w:rsid w:val="002A04C3"/>
    <w:rsid w:val="002A11A6"/>
    <w:rsid w:val="002A1A3C"/>
    <w:rsid w:val="002A3420"/>
    <w:rsid w:val="002A4309"/>
    <w:rsid w:val="002A5218"/>
    <w:rsid w:val="002A56E4"/>
    <w:rsid w:val="002A655D"/>
    <w:rsid w:val="002A72E5"/>
    <w:rsid w:val="002A7655"/>
    <w:rsid w:val="002B0292"/>
    <w:rsid w:val="002B0BB1"/>
    <w:rsid w:val="002B16B4"/>
    <w:rsid w:val="002B19C5"/>
    <w:rsid w:val="002B1AD7"/>
    <w:rsid w:val="002B1F40"/>
    <w:rsid w:val="002B1F59"/>
    <w:rsid w:val="002B3394"/>
    <w:rsid w:val="002B3816"/>
    <w:rsid w:val="002B5A83"/>
    <w:rsid w:val="002C03BB"/>
    <w:rsid w:val="002C1CAE"/>
    <w:rsid w:val="002C27A2"/>
    <w:rsid w:val="002C2D79"/>
    <w:rsid w:val="002C390F"/>
    <w:rsid w:val="002C4826"/>
    <w:rsid w:val="002C4B13"/>
    <w:rsid w:val="002C58B2"/>
    <w:rsid w:val="002C6223"/>
    <w:rsid w:val="002D0DCA"/>
    <w:rsid w:val="002D1C43"/>
    <w:rsid w:val="002D2077"/>
    <w:rsid w:val="002D2DB4"/>
    <w:rsid w:val="002D3438"/>
    <w:rsid w:val="002D3BAA"/>
    <w:rsid w:val="002D40AD"/>
    <w:rsid w:val="002D4706"/>
    <w:rsid w:val="002D5CAB"/>
    <w:rsid w:val="002D6066"/>
    <w:rsid w:val="002D69FB"/>
    <w:rsid w:val="002E0398"/>
    <w:rsid w:val="002E0EB5"/>
    <w:rsid w:val="002E2E04"/>
    <w:rsid w:val="002E4FF2"/>
    <w:rsid w:val="002E63AE"/>
    <w:rsid w:val="002E6AB8"/>
    <w:rsid w:val="002E7CBE"/>
    <w:rsid w:val="002F1002"/>
    <w:rsid w:val="002F3691"/>
    <w:rsid w:val="002F5272"/>
    <w:rsid w:val="002F5338"/>
    <w:rsid w:val="002F7BF2"/>
    <w:rsid w:val="00300E28"/>
    <w:rsid w:val="0030248C"/>
    <w:rsid w:val="003026AE"/>
    <w:rsid w:val="00302C53"/>
    <w:rsid w:val="003040F8"/>
    <w:rsid w:val="00305027"/>
    <w:rsid w:val="00305CFC"/>
    <w:rsid w:val="003060E7"/>
    <w:rsid w:val="0030633F"/>
    <w:rsid w:val="003068AB"/>
    <w:rsid w:val="00306E2F"/>
    <w:rsid w:val="00307E0A"/>
    <w:rsid w:val="003118D3"/>
    <w:rsid w:val="0031191D"/>
    <w:rsid w:val="00311C9B"/>
    <w:rsid w:val="0031284E"/>
    <w:rsid w:val="00312F3D"/>
    <w:rsid w:val="003143E8"/>
    <w:rsid w:val="0031639B"/>
    <w:rsid w:val="00317BDB"/>
    <w:rsid w:val="00317E8D"/>
    <w:rsid w:val="00320EB2"/>
    <w:rsid w:val="0032108F"/>
    <w:rsid w:val="00321980"/>
    <w:rsid w:val="00321D8A"/>
    <w:rsid w:val="003222CE"/>
    <w:rsid w:val="00322878"/>
    <w:rsid w:val="00322D5C"/>
    <w:rsid w:val="00322F11"/>
    <w:rsid w:val="0032342A"/>
    <w:rsid w:val="00323955"/>
    <w:rsid w:val="003241D8"/>
    <w:rsid w:val="003244ED"/>
    <w:rsid w:val="00330B20"/>
    <w:rsid w:val="00330D2C"/>
    <w:rsid w:val="00331037"/>
    <w:rsid w:val="003328C1"/>
    <w:rsid w:val="00333477"/>
    <w:rsid w:val="003339BB"/>
    <w:rsid w:val="003339D4"/>
    <w:rsid w:val="00333D84"/>
    <w:rsid w:val="00334CE9"/>
    <w:rsid w:val="0033505C"/>
    <w:rsid w:val="00335A9C"/>
    <w:rsid w:val="00336D52"/>
    <w:rsid w:val="00337002"/>
    <w:rsid w:val="00337772"/>
    <w:rsid w:val="003377A4"/>
    <w:rsid w:val="00337E4E"/>
    <w:rsid w:val="003406DB"/>
    <w:rsid w:val="00343B29"/>
    <w:rsid w:val="003444E0"/>
    <w:rsid w:val="0034469D"/>
    <w:rsid w:val="00344AA8"/>
    <w:rsid w:val="00347ECF"/>
    <w:rsid w:val="0035122D"/>
    <w:rsid w:val="00351632"/>
    <w:rsid w:val="00351E55"/>
    <w:rsid w:val="0035243E"/>
    <w:rsid w:val="00352AA4"/>
    <w:rsid w:val="0035499D"/>
    <w:rsid w:val="003558AA"/>
    <w:rsid w:val="0035682D"/>
    <w:rsid w:val="003574C6"/>
    <w:rsid w:val="00360277"/>
    <w:rsid w:val="003605A6"/>
    <w:rsid w:val="00360854"/>
    <w:rsid w:val="00361336"/>
    <w:rsid w:val="00361F15"/>
    <w:rsid w:val="003632AC"/>
    <w:rsid w:val="00364FD2"/>
    <w:rsid w:val="00365A51"/>
    <w:rsid w:val="003665C9"/>
    <w:rsid w:val="00366CC4"/>
    <w:rsid w:val="00367FF4"/>
    <w:rsid w:val="003703C7"/>
    <w:rsid w:val="00371255"/>
    <w:rsid w:val="003714F3"/>
    <w:rsid w:val="0037175D"/>
    <w:rsid w:val="003720B2"/>
    <w:rsid w:val="00372302"/>
    <w:rsid w:val="00372919"/>
    <w:rsid w:val="003756ED"/>
    <w:rsid w:val="00376829"/>
    <w:rsid w:val="00377225"/>
    <w:rsid w:val="00380148"/>
    <w:rsid w:val="00381274"/>
    <w:rsid w:val="00384230"/>
    <w:rsid w:val="003905C3"/>
    <w:rsid w:val="00391A6D"/>
    <w:rsid w:val="00391AF9"/>
    <w:rsid w:val="00392651"/>
    <w:rsid w:val="00392727"/>
    <w:rsid w:val="00392874"/>
    <w:rsid w:val="00392C90"/>
    <w:rsid w:val="003935E9"/>
    <w:rsid w:val="003948B3"/>
    <w:rsid w:val="00395179"/>
    <w:rsid w:val="00395282"/>
    <w:rsid w:val="00395705"/>
    <w:rsid w:val="00396C47"/>
    <w:rsid w:val="003972E8"/>
    <w:rsid w:val="003A01E9"/>
    <w:rsid w:val="003A1022"/>
    <w:rsid w:val="003A2EAE"/>
    <w:rsid w:val="003A3667"/>
    <w:rsid w:val="003A4D13"/>
    <w:rsid w:val="003A4DB3"/>
    <w:rsid w:val="003A6F63"/>
    <w:rsid w:val="003A71DC"/>
    <w:rsid w:val="003A7E09"/>
    <w:rsid w:val="003B03B9"/>
    <w:rsid w:val="003B1029"/>
    <w:rsid w:val="003B1206"/>
    <w:rsid w:val="003B12F8"/>
    <w:rsid w:val="003B1B14"/>
    <w:rsid w:val="003B218D"/>
    <w:rsid w:val="003B286F"/>
    <w:rsid w:val="003B6B2D"/>
    <w:rsid w:val="003B6F19"/>
    <w:rsid w:val="003B76E8"/>
    <w:rsid w:val="003C02A1"/>
    <w:rsid w:val="003C09FF"/>
    <w:rsid w:val="003C1F3F"/>
    <w:rsid w:val="003C2A0C"/>
    <w:rsid w:val="003C4BD2"/>
    <w:rsid w:val="003C5593"/>
    <w:rsid w:val="003C6250"/>
    <w:rsid w:val="003C6278"/>
    <w:rsid w:val="003D0280"/>
    <w:rsid w:val="003D0297"/>
    <w:rsid w:val="003D07F5"/>
    <w:rsid w:val="003D1418"/>
    <w:rsid w:val="003D3AAE"/>
    <w:rsid w:val="003D3CEC"/>
    <w:rsid w:val="003D50B8"/>
    <w:rsid w:val="003D52C4"/>
    <w:rsid w:val="003D62A5"/>
    <w:rsid w:val="003D7158"/>
    <w:rsid w:val="003D79DE"/>
    <w:rsid w:val="003E13EA"/>
    <w:rsid w:val="003E3042"/>
    <w:rsid w:val="003E3D9A"/>
    <w:rsid w:val="003E4733"/>
    <w:rsid w:val="003E6B8E"/>
    <w:rsid w:val="003F1518"/>
    <w:rsid w:val="003F1B92"/>
    <w:rsid w:val="003F2002"/>
    <w:rsid w:val="003F24F3"/>
    <w:rsid w:val="003F401F"/>
    <w:rsid w:val="003F46D3"/>
    <w:rsid w:val="003F516E"/>
    <w:rsid w:val="003F5816"/>
    <w:rsid w:val="003F6AE5"/>
    <w:rsid w:val="003F71DD"/>
    <w:rsid w:val="003F72BB"/>
    <w:rsid w:val="003F78A4"/>
    <w:rsid w:val="003F7A2C"/>
    <w:rsid w:val="0040200B"/>
    <w:rsid w:val="00403A34"/>
    <w:rsid w:val="004040DB"/>
    <w:rsid w:val="0040506B"/>
    <w:rsid w:val="004056E0"/>
    <w:rsid w:val="004058A8"/>
    <w:rsid w:val="00406830"/>
    <w:rsid w:val="00406A8E"/>
    <w:rsid w:val="00406F50"/>
    <w:rsid w:val="004071F9"/>
    <w:rsid w:val="00407E77"/>
    <w:rsid w:val="00411556"/>
    <w:rsid w:val="004119AB"/>
    <w:rsid w:val="00412C65"/>
    <w:rsid w:val="0041307E"/>
    <w:rsid w:val="00413299"/>
    <w:rsid w:val="00413580"/>
    <w:rsid w:val="0041413B"/>
    <w:rsid w:val="0041438B"/>
    <w:rsid w:val="004143C6"/>
    <w:rsid w:val="00415580"/>
    <w:rsid w:val="004155F5"/>
    <w:rsid w:val="00415FD7"/>
    <w:rsid w:val="004175BA"/>
    <w:rsid w:val="00417C9C"/>
    <w:rsid w:val="00420A7D"/>
    <w:rsid w:val="00420F8A"/>
    <w:rsid w:val="00421689"/>
    <w:rsid w:val="004218B2"/>
    <w:rsid w:val="00421A36"/>
    <w:rsid w:val="00423FEB"/>
    <w:rsid w:val="00424497"/>
    <w:rsid w:val="00425554"/>
    <w:rsid w:val="00426AED"/>
    <w:rsid w:val="00426F43"/>
    <w:rsid w:val="00426FB5"/>
    <w:rsid w:val="00427F14"/>
    <w:rsid w:val="004311C4"/>
    <w:rsid w:val="004332BF"/>
    <w:rsid w:val="00433F49"/>
    <w:rsid w:val="00434709"/>
    <w:rsid w:val="004355E3"/>
    <w:rsid w:val="004373B8"/>
    <w:rsid w:val="004405BF"/>
    <w:rsid w:val="00440CAE"/>
    <w:rsid w:val="004423BA"/>
    <w:rsid w:val="0044337E"/>
    <w:rsid w:val="00444234"/>
    <w:rsid w:val="0044437F"/>
    <w:rsid w:val="00444F7B"/>
    <w:rsid w:val="004453DA"/>
    <w:rsid w:val="00445FA5"/>
    <w:rsid w:val="00447CB3"/>
    <w:rsid w:val="004502BA"/>
    <w:rsid w:val="0045332C"/>
    <w:rsid w:val="00453BCC"/>
    <w:rsid w:val="0045407B"/>
    <w:rsid w:val="00454B3D"/>
    <w:rsid w:val="00454F4E"/>
    <w:rsid w:val="00456BD8"/>
    <w:rsid w:val="00457242"/>
    <w:rsid w:val="0046065A"/>
    <w:rsid w:val="00460E2E"/>
    <w:rsid w:val="00461471"/>
    <w:rsid w:val="00462404"/>
    <w:rsid w:val="004626CA"/>
    <w:rsid w:val="0046283A"/>
    <w:rsid w:val="004648BB"/>
    <w:rsid w:val="004650D4"/>
    <w:rsid w:val="004658A7"/>
    <w:rsid w:val="00465D41"/>
    <w:rsid w:val="00466157"/>
    <w:rsid w:val="00466F3C"/>
    <w:rsid w:val="004704E0"/>
    <w:rsid w:val="00471BCC"/>
    <w:rsid w:val="00475AB1"/>
    <w:rsid w:val="00475E54"/>
    <w:rsid w:val="004760A0"/>
    <w:rsid w:val="00476366"/>
    <w:rsid w:val="00476797"/>
    <w:rsid w:val="00477727"/>
    <w:rsid w:val="00480435"/>
    <w:rsid w:val="0048049B"/>
    <w:rsid w:val="00482790"/>
    <w:rsid w:val="00483DF7"/>
    <w:rsid w:val="00484FD4"/>
    <w:rsid w:val="00485759"/>
    <w:rsid w:val="00485C01"/>
    <w:rsid w:val="0048645D"/>
    <w:rsid w:val="004864FF"/>
    <w:rsid w:val="00486624"/>
    <w:rsid w:val="00486DD9"/>
    <w:rsid w:val="004874D5"/>
    <w:rsid w:val="00490092"/>
    <w:rsid w:val="004908F8"/>
    <w:rsid w:val="00490D75"/>
    <w:rsid w:val="004919D9"/>
    <w:rsid w:val="00491CEA"/>
    <w:rsid w:val="00491FEF"/>
    <w:rsid w:val="004936D4"/>
    <w:rsid w:val="00493B1A"/>
    <w:rsid w:val="0049467E"/>
    <w:rsid w:val="00494BBC"/>
    <w:rsid w:val="004964F6"/>
    <w:rsid w:val="004971C8"/>
    <w:rsid w:val="00497226"/>
    <w:rsid w:val="004977CC"/>
    <w:rsid w:val="004A0379"/>
    <w:rsid w:val="004A0E1E"/>
    <w:rsid w:val="004A28DD"/>
    <w:rsid w:val="004A330C"/>
    <w:rsid w:val="004A3695"/>
    <w:rsid w:val="004A50A3"/>
    <w:rsid w:val="004A5A92"/>
    <w:rsid w:val="004B046E"/>
    <w:rsid w:val="004B15AF"/>
    <w:rsid w:val="004B2CB9"/>
    <w:rsid w:val="004B2E62"/>
    <w:rsid w:val="004B31CB"/>
    <w:rsid w:val="004B3645"/>
    <w:rsid w:val="004B3A2C"/>
    <w:rsid w:val="004B47E0"/>
    <w:rsid w:val="004B4A51"/>
    <w:rsid w:val="004B4C5A"/>
    <w:rsid w:val="004B635E"/>
    <w:rsid w:val="004C058F"/>
    <w:rsid w:val="004C0CE2"/>
    <w:rsid w:val="004C103F"/>
    <w:rsid w:val="004C17E8"/>
    <w:rsid w:val="004C2411"/>
    <w:rsid w:val="004C3386"/>
    <w:rsid w:val="004C52B8"/>
    <w:rsid w:val="004C55ED"/>
    <w:rsid w:val="004C57B5"/>
    <w:rsid w:val="004C58E6"/>
    <w:rsid w:val="004C6294"/>
    <w:rsid w:val="004C6E66"/>
    <w:rsid w:val="004C7CD0"/>
    <w:rsid w:val="004D0FE7"/>
    <w:rsid w:val="004D148D"/>
    <w:rsid w:val="004D16A2"/>
    <w:rsid w:val="004D190E"/>
    <w:rsid w:val="004D2248"/>
    <w:rsid w:val="004D2A6A"/>
    <w:rsid w:val="004D2AD3"/>
    <w:rsid w:val="004D2FC8"/>
    <w:rsid w:val="004D3ED4"/>
    <w:rsid w:val="004D41A5"/>
    <w:rsid w:val="004D50A7"/>
    <w:rsid w:val="004D6F01"/>
    <w:rsid w:val="004D7181"/>
    <w:rsid w:val="004D726D"/>
    <w:rsid w:val="004D7400"/>
    <w:rsid w:val="004D77BA"/>
    <w:rsid w:val="004E0BBC"/>
    <w:rsid w:val="004E0DEE"/>
    <w:rsid w:val="004E2044"/>
    <w:rsid w:val="004E26FA"/>
    <w:rsid w:val="004E27D2"/>
    <w:rsid w:val="004E3494"/>
    <w:rsid w:val="004E34BA"/>
    <w:rsid w:val="004E3E89"/>
    <w:rsid w:val="004E6867"/>
    <w:rsid w:val="004E7430"/>
    <w:rsid w:val="004F2A05"/>
    <w:rsid w:val="004F2F03"/>
    <w:rsid w:val="004F34BE"/>
    <w:rsid w:val="004F3CFA"/>
    <w:rsid w:val="004F4AAD"/>
    <w:rsid w:val="004F5246"/>
    <w:rsid w:val="004F5467"/>
    <w:rsid w:val="004F7A57"/>
    <w:rsid w:val="004F7C20"/>
    <w:rsid w:val="004F7E19"/>
    <w:rsid w:val="00501143"/>
    <w:rsid w:val="005016A9"/>
    <w:rsid w:val="00501F74"/>
    <w:rsid w:val="0050224E"/>
    <w:rsid w:val="00502372"/>
    <w:rsid w:val="00502493"/>
    <w:rsid w:val="005026F0"/>
    <w:rsid w:val="005037A6"/>
    <w:rsid w:val="00503F5D"/>
    <w:rsid w:val="005045B6"/>
    <w:rsid w:val="00504D50"/>
    <w:rsid w:val="00504FEE"/>
    <w:rsid w:val="00507F10"/>
    <w:rsid w:val="00510896"/>
    <w:rsid w:val="00510EF4"/>
    <w:rsid w:val="005114BC"/>
    <w:rsid w:val="00511525"/>
    <w:rsid w:val="00511F7A"/>
    <w:rsid w:val="005124D0"/>
    <w:rsid w:val="005126C5"/>
    <w:rsid w:val="0051310C"/>
    <w:rsid w:val="00513745"/>
    <w:rsid w:val="00513772"/>
    <w:rsid w:val="00514D7E"/>
    <w:rsid w:val="005159D4"/>
    <w:rsid w:val="00516A25"/>
    <w:rsid w:val="00517D6D"/>
    <w:rsid w:val="00520359"/>
    <w:rsid w:val="005203A9"/>
    <w:rsid w:val="0052045B"/>
    <w:rsid w:val="00520C72"/>
    <w:rsid w:val="00520F3D"/>
    <w:rsid w:val="00523449"/>
    <w:rsid w:val="00524C67"/>
    <w:rsid w:val="00524DE2"/>
    <w:rsid w:val="00526426"/>
    <w:rsid w:val="0052666F"/>
    <w:rsid w:val="005274E9"/>
    <w:rsid w:val="00530A52"/>
    <w:rsid w:val="005312D1"/>
    <w:rsid w:val="00532038"/>
    <w:rsid w:val="0053323A"/>
    <w:rsid w:val="00533A68"/>
    <w:rsid w:val="00533BEA"/>
    <w:rsid w:val="005343FC"/>
    <w:rsid w:val="005347C0"/>
    <w:rsid w:val="00534A43"/>
    <w:rsid w:val="005356CF"/>
    <w:rsid w:val="00535AE4"/>
    <w:rsid w:val="005363FC"/>
    <w:rsid w:val="00537841"/>
    <w:rsid w:val="00537C6B"/>
    <w:rsid w:val="005409C2"/>
    <w:rsid w:val="00540D92"/>
    <w:rsid w:val="00541562"/>
    <w:rsid w:val="00542994"/>
    <w:rsid w:val="00543A66"/>
    <w:rsid w:val="00543EEE"/>
    <w:rsid w:val="005462AD"/>
    <w:rsid w:val="00546C58"/>
    <w:rsid w:val="005502FD"/>
    <w:rsid w:val="00550CFC"/>
    <w:rsid w:val="00551625"/>
    <w:rsid w:val="005526F3"/>
    <w:rsid w:val="00552C24"/>
    <w:rsid w:val="00552D2A"/>
    <w:rsid w:val="00553481"/>
    <w:rsid w:val="0055379E"/>
    <w:rsid w:val="005549A2"/>
    <w:rsid w:val="00556B1B"/>
    <w:rsid w:val="00556B28"/>
    <w:rsid w:val="00560D47"/>
    <w:rsid w:val="00561AA1"/>
    <w:rsid w:val="00561FF6"/>
    <w:rsid w:val="0056218E"/>
    <w:rsid w:val="00562306"/>
    <w:rsid w:val="005629DD"/>
    <w:rsid w:val="00562B46"/>
    <w:rsid w:val="005636EA"/>
    <w:rsid w:val="00563838"/>
    <w:rsid w:val="005664C0"/>
    <w:rsid w:val="00566B17"/>
    <w:rsid w:val="005671D1"/>
    <w:rsid w:val="00571901"/>
    <w:rsid w:val="00572033"/>
    <w:rsid w:val="00574073"/>
    <w:rsid w:val="00574DAF"/>
    <w:rsid w:val="00574E3D"/>
    <w:rsid w:val="0057540E"/>
    <w:rsid w:val="00575765"/>
    <w:rsid w:val="00575845"/>
    <w:rsid w:val="00575847"/>
    <w:rsid w:val="00576C13"/>
    <w:rsid w:val="00577D2B"/>
    <w:rsid w:val="00580F50"/>
    <w:rsid w:val="00581350"/>
    <w:rsid w:val="00581575"/>
    <w:rsid w:val="005825C8"/>
    <w:rsid w:val="00583517"/>
    <w:rsid w:val="00583849"/>
    <w:rsid w:val="00585E36"/>
    <w:rsid w:val="00585F92"/>
    <w:rsid w:val="00586F8F"/>
    <w:rsid w:val="0058731D"/>
    <w:rsid w:val="00587CDE"/>
    <w:rsid w:val="00587E49"/>
    <w:rsid w:val="00590ABF"/>
    <w:rsid w:val="005920CE"/>
    <w:rsid w:val="005925FD"/>
    <w:rsid w:val="005926A1"/>
    <w:rsid w:val="005948AF"/>
    <w:rsid w:val="00595DEA"/>
    <w:rsid w:val="005A19CA"/>
    <w:rsid w:val="005A1BFC"/>
    <w:rsid w:val="005A31F7"/>
    <w:rsid w:val="005A36B7"/>
    <w:rsid w:val="005A398F"/>
    <w:rsid w:val="005A4477"/>
    <w:rsid w:val="005A4B17"/>
    <w:rsid w:val="005A5251"/>
    <w:rsid w:val="005A5FA7"/>
    <w:rsid w:val="005A649C"/>
    <w:rsid w:val="005A7098"/>
    <w:rsid w:val="005A78FE"/>
    <w:rsid w:val="005B008B"/>
    <w:rsid w:val="005B0336"/>
    <w:rsid w:val="005B11DB"/>
    <w:rsid w:val="005B16DF"/>
    <w:rsid w:val="005B228B"/>
    <w:rsid w:val="005B281C"/>
    <w:rsid w:val="005B2A43"/>
    <w:rsid w:val="005B3368"/>
    <w:rsid w:val="005B370A"/>
    <w:rsid w:val="005B4B12"/>
    <w:rsid w:val="005B4B3A"/>
    <w:rsid w:val="005B4B86"/>
    <w:rsid w:val="005B6741"/>
    <w:rsid w:val="005B6C75"/>
    <w:rsid w:val="005C122F"/>
    <w:rsid w:val="005C1E33"/>
    <w:rsid w:val="005C2575"/>
    <w:rsid w:val="005C32C3"/>
    <w:rsid w:val="005C3AFA"/>
    <w:rsid w:val="005C4706"/>
    <w:rsid w:val="005C4BDE"/>
    <w:rsid w:val="005C6439"/>
    <w:rsid w:val="005C7196"/>
    <w:rsid w:val="005D14EE"/>
    <w:rsid w:val="005D1E6C"/>
    <w:rsid w:val="005D6C3B"/>
    <w:rsid w:val="005D728B"/>
    <w:rsid w:val="005D7DFA"/>
    <w:rsid w:val="005E13EE"/>
    <w:rsid w:val="005E1806"/>
    <w:rsid w:val="005E28BD"/>
    <w:rsid w:val="005E2B3D"/>
    <w:rsid w:val="005E4C7B"/>
    <w:rsid w:val="005E525F"/>
    <w:rsid w:val="005E53A9"/>
    <w:rsid w:val="005E5B19"/>
    <w:rsid w:val="005E67C2"/>
    <w:rsid w:val="005E7888"/>
    <w:rsid w:val="005F0EB4"/>
    <w:rsid w:val="005F1ACD"/>
    <w:rsid w:val="005F230A"/>
    <w:rsid w:val="005F2E66"/>
    <w:rsid w:val="005F3532"/>
    <w:rsid w:val="005F3736"/>
    <w:rsid w:val="005F398B"/>
    <w:rsid w:val="005F3DA6"/>
    <w:rsid w:val="005F41D4"/>
    <w:rsid w:val="005F5115"/>
    <w:rsid w:val="005F6D6A"/>
    <w:rsid w:val="005F7369"/>
    <w:rsid w:val="00601031"/>
    <w:rsid w:val="00601E48"/>
    <w:rsid w:val="00602971"/>
    <w:rsid w:val="0060517C"/>
    <w:rsid w:val="006061AA"/>
    <w:rsid w:val="00610237"/>
    <w:rsid w:val="00610396"/>
    <w:rsid w:val="00613630"/>
    <w:rsid w:val="0061425E"/>
    <w:rsid w:val="00616816"/>
    <w:rsid w:val="00616DF6"/>
    <w:rsid w:val="006201F2"/>
    <w:rsid w:val="00623616"/>
    <w:rsid w:val="00623A48"/>
    <w:rsid w:val="00624DC4"/>
    <w:rsid w:val="0062560B"/>
    <w:rsid w:val="00625E7D"/>
    <w:rsid w:val="00626F3B"/>
    <w:rsid w:val="0062724E"/>
    <w:rsid w:val="0062725E"/>
    <w:rsid w:val="0062790D"/>
    <w:rsid w:val="0063117E"/>
    <w:rsid w:val="00631494"/>
    <w:rsid w:val="006318C4"/>
    <w:rsid w:val="00631926"/>
    <w:rsid w:val="00632FFA"/>
    <w:rsid w:val="00633551"/>
    <w:rsid w:val="00633BFE"/>
    <w:rsid w:val="00633D70"/>
    <w:rsid w:val="00634F85"/>
    <w:rsid w:val="00635171"/>
    <w:rsid w:val="00636180"/>
    <w:rsid w:val="006375F7"/>
    <w:rsid w:val="006410BB"/>
    <w:rsid w:val="006425C6"/>
    <w:rsid w:val="00642E7B"/>
    <w:rsid w:val="0064352F"/>
    <w:rsid w:val="00644EB5"/>
    <w:rsid w:val="0064576E"/>
    <w:rsid w:val="0065006A"/>
    <w:rsid w:val="006521F0"/>
    <w:rsid w:val="00652814"/>
    <w:rsid w:val="0065305E"/>
    <w:rsid w:val="0065321E"/>
    <w:rsid w:val="006532B9"/>
    <w:rsid w:val="006541A8"/>
    <w:rsid w:val="00654458"/>
    <w:rsid w:val="00655173"/>
    <w:rsid w:val="006569AB"/>
    <w:rsid w:val="0065796E"/>
    <w:rsid w:val="00657FE4"/>
    <w:rsid w:val="006615ED"/>
    <w:rsid w:val="00662AF1"/>
    <w:rsid w:val="00662EDA"/>
    <w:rsid w:val="0066501F"/>
    <w:rsid w:val="00666525"/>
    <w:rsid w:val="00666BF1"/>
    <w:rsid w:val="00666F68"/>
    <w:rsid w:val="00667C48"/>
    <w:rsid w:val="00673746"/>
    <w:rsid w:val="006741A6"/>
    <w:rsid w:val="00674C12"/>
    <w:rsid w:val="00676202"/>
    <w:rsid w:val="00677A81"/>
    <w:rsid w:val="00677B25"/>
    <w:rsid w:val="00677F15"/>
    <w:rsid w:val="006803DD"/>
    <w:rsid w:val="00681009"/>
    <w:rsid w:val="00681467"/>
    <w:rsid w:val="006822C6"/>
    <w:rsid w:val="006833EA"/>
    <w:rsid w:val="006836DB"/>
    <w:rsid w:val="00683F24"/>
    <w:rsid w:val="006846FB"/>
    <w:rsid w:val="00686369"/>
    <w:rsid w:val="00686621"/>
    <w:rsid w:val="0068671B"/>
    <w:rsid w:val="006869DB"/>
    <w:rsid w:val="00686C13"/>
    <w:rsid w:val="0068716F"/>
    <w:rsid w:val="006904BA"/>
    <w:rsid w:val="00690AA8"/>
    <w:rsid w:val="00690F2B"/>
    <w:rsid w:val="00691AD8"/>
    <w:rsid w:val="00691C96"/>
    <w:rsid w:val="00691D66"/>
    <w:rsid w:val="00691E20"/>
    <w:rsid w:val="00691FD4"/>
    <w:rsid w:val="006945BF"/>
    <w:rsid w:val="00694E30"/>
    <w:rsid w:val="00696426"/>
    <w:rsid w:val="00696AEF"/>
    <w:rsid w:val="00696FE2"/>
    <w:rsid w:val="006971B7"/>
    <w:rsid w:val="006A10BA"/>
    <w:rsid w:val="006A2E2D"/>
    <w:rsid w:val="006A35A8"/>
    <w:rsid w:val="006A3CF5"/>
    <w:rsid w:val="006A3D16"/>
    <w:rsid w:val="006A5070"/>
    <w:rsid w:val="006A61B2"/>
    <w:rsid w:val="006A6235"/>
    <w:rsid w:val="006A66C2"/>
    <w:rsid w:val="006A7DEE"/>
    <w:rsid w:val="006A7EA9"/>
    <w:rsid w:val="006B088C"/>
    <w:rsid w:val="006B2182"/>
    <w:rsid w:val="006B21E8"/>
    <w:rsid w:val="006B2E2F"/>
    <w:rsid w:val="006B32F8"/>
    <w:rsid w:val="006B383A"/>
    <w:rsid w:val="006B3B2A"/>
    <w:rsid w:val="006B4AFA"/>
    <w:rsid w:val="006B5C11"/>
    <w:rsid w:val="006B7A40"/>
    <w:rsid w:val="006C0BD7"/>
    <w:rsid w:val="006C0C01"/>
    <w:rsid w:val="006C2312"/>
    <w:rsid w:val="006C261E"/>
    <w:rsid w:val="006C2D46"/>
    <w:rsid w:val="006C3579"/>
    <w:rsid w:val="006C3CC7"/>
    <w:rsid w:val="006C5B4C"/>
    <w:rsid w:val="006C602C"/>
    <w:rsid w:val="006C69BC"/>
    <w:rsid w:val="006D054D"/>
    <w:rsid w:val="006D0602"/>
    <w:rsid w:val="006D0ADB"/>
    <w:rsid w:val="006D2B0F"/>
    <w:rsid w:val="006D2E85"/>
    <w:rsid w:val="006D2F90"/>
    <w:rsid w:val="006D30BB"/>
    <w:rsid w:val="006D383D"/>
    <w:rsid w:val="006D3BBC"/>
    <w:rsid w:val="006D4C98"/>
    <w:rsid w:val="006D51E8"/>
    <w:rsid w:val="006D57E0"/>
    <w:rsid w:val="006D5EB4"/>
    <w:rsid w:val="006D635F"/>
    <w:rsid w:val="006D6919"/>
    <w:rsid w:val="006D6C2F"/>
    <w:rsid w:val="006D7EBC"/>
    <w:rsid w:val="006E0272"/>
    <w:rsid w:val="006E1669"/>
    <w:rsid w:val="006E1A43"/>
    <w:rsid w:val="006E2364"/>
    <w:rsid w:val="006E24CC"/>
    <w:rsid w:val="006E28DD"/>
    <w:rsid w:val="006E3130"/>
    <w:rsid w:val="006E3C73"/>
    <w:rsid w:val="006E4798"/>
    <w:rsid w:val="006E5317"/>
    <w:rsid w:val="006E5B26"/>
    <w:rsid w:val="006E5E15"/>
    <w:rsid w:val="006E776F"/>
    <w:rsid w:val="006E7EEF"/>
    <w:rsid w:val="006F0F17"/>
    <w:rsid w:val="006F1156"/>
    <w:rsid w:val="006F1AAB"/>
    <w:rsid w:val="006F233F"/>
    <w:rsid w:val="006F5041"/>
    <w:rsid w:val="006F60A7"/>
    <w:rsid w:val="006F774E"/>
    <w:rsid w:val="007021F8"/>
    <w:rsid w:val="00703D88"/>
    <w:rsid w:val="007047F3"/>
    <w:rsid w:val="0070489C"/>
    <w:rsid w:val="00704CE7"/>
    <w:rsid w:val="00705B6B"/>
    <w:rsid w:val="00707173"/>
    <w:rsid w:val="00707C0C"/>
    <w:rsid w:val="007101D7"/>
    <w:rsid w:val="00711DB2"/>
    <w:rsid w:val="00713563"/>
    <w:rsid w:val="00713A55"/>
    <w:rsid w:val="00713DCC"/>
    <w:rsid w:val="00714668"/>
    <w:rsid w:val="00715EEB"/>
    <w:rsid w:val="007177BA"/>
    <w:rsid w:val="00720624"/>
    <w:rsid w:val="007218DD"/>
    <w:rsid w:val="00721DD4"/>
    <w:rsid w:val="00721F90"/>
    <w:rsid w:val="00722A6B"/>
    <w:rsid w:val="0072317D"/>
    <w:rsid w:val="00723C38"/>
    <w:rsid w:val="00724952"/>
    <w:rsid w:val="00724A4B"/>
    <w:rsid w:val="00724D44"/>
    <w:rsid w:val="00724EA9"/>
    <w:rsid w:val="00724FC2"/>
    <w:rsid w:val="00725CA2"/>
    <w:rsid w:val="00725D4D"/>
    <w:rsid w:val="007261F8"/>
    <w:rsid w:val="00726737"/>
    <w:rsid w:val="0072675D"/>
    <w:rsid w:val="00727487"/>
    <w:rsid w:val="00733B0C"/>
    <w:rsid w:val="00734093"/>
    <w:rsid w:val="007344EE"/>
    <w:rsid w:val="00734E6B"/>
    <w:rsid w:val="0073628C"/>
    <w:rsid w:val="00736AA2"/>
    <w:rsid w:val="0073749D"/>
    <w:rsid w:val="00740F74"/>
    <w:rsid w:val="0074187E"/>
    <w:rsid w:val="007430E0"/>
    <w:rsid w:val="00743BBE"/>
    <w:rsid w:val="00743F78"/>
    <w:rsid w:val="0074465C"/>
    <w:rsid w:val="00746A4E"/>
    <w:rsid w:val="0075144F"/>
    <w:rsid w:val="0075160B"/>
    <w:rsid w:val="00751795"/>
    <w:rsid w:val="00753D2B"/>
    <w:rsid w:val="00753F97"/>
    <w:rsid w:val="00755687"/>
    <w:rsid w:val="00756749"/>
    <w:rsid w:val="007606FB"/>
    <w:rsid w:val="007614D3"/>
    <w:rsid w:val="00761569"/>
    <w:rsid w:val="00761BC8"/>
    <w:rsid w:val="00762FE0"/>
    <w:rsid w:val="0076419E"/>
    <w:rsid w:val="007658B9"/>
    <w:rsid w:val="007659A0"/>
    <w:rsid w:val="007659D9"/>
    <w:rsid w:val="00765A13"/>
    <w:rsid w:val="007662B7"/>
    <w:rsid w:val="00766DBC"/>
    <w:rsid w:val="00766DF7"/>
    <w:rsid w:val="0076797B"/>
    <w:rsid w:val="00770B06"/>
    <w:rsid w:val="007715E7"/>
    <w:rsid w:val="00771D9B"/>
    <w:rsid w:val="00773D9B"/>
    <w:rsid w:val="00774A6A"/>
    <w:rsid w:val="00774CA9"/>
    <w:rsid w:val="00775901"/>
    <w:rsid w:val="007763F0"/>
    <w:rsid w:val="0077665F"/>
    <w:rsid w:val="00776B58"/>
    <w:rsid w:val="0077731F"/>
    <w:rsid w:val="00780CB8"/>
    <w:rsid w:val="00782C97"/>
    <w:rsid w:val="007841C3"/>
    <w:rsid w:val="007846E4"/>
    <w:rsid w:val="00784A29"/>
    <w:rsid w:val="0078503F"/>
    <w:rsid w:val="00785C61"/>
    <w:rsid w:val="0078650D"/>
    <w:rsid w:val="00786968"/>
    <w:rsid w:val="007875B9"/>
    <w:rsid w:val="00790F7C"/>
    <w:rsid w:val="00791856"/>
    <w:rsid w:val="00792420"/>
    <w:rsid w:val="00792747"/>
    <w:rsid w:val="00792A3B"/>
    <w:rsid w:val="00792B0E"/>
    <w:rsid w:val="007935F1"/>
    <w:rsid w:val="0079421A"/>
    <w:rsid w:val="00795B3A"/>
    <w:rsid w:val="00796666"/>
    <w:rsid w:val="00796F30"/>
    <w:rsid w:val="007972F7"/>
    <w:rsid w:val="00797B44"/>
    <w:rsid w:val="007A08CE"/>
    <w:rsid w:val="007A147F"/>
    <w:rsid w:val="007A1556"/>
    <w:rsid w:val="007A1643"/>
    <w:rsid w:val="007A1A63"/>
    <w:rsid w:val="007A2F58"/>
    <w:rsid w:val="007A32B0"/>
    <w:rsid w:val="007A35DA"/>
    <w:rsid w:val="007A3E23"/>
    <w:rsid w:val="007A456F"/>
    <w:rsid w:val="007A6551"/>
    <w:rsid w:val="007A6E3F"/>
    <w:rsid w:val="007B18C0"/>
    <w:rsid w:val="007B215E"/>
    <w:rsid w:val="007B246D"/>
    <w:rsid w:val="007B42D9"/>
    <w:rsid w:val="007B448A"/>
    <w:rsid w:val="007B53B3"/>
    <w:rsid w:val="007B560F"/>
    <w:rsid w:val="007B7158"/>
    <w:rsid w:val="007C1B31"/>
    <w:rsid w:val="007C2070"/>
    <w:rsid w:val="007C208B"/>
    <w:rsid w:val="007C2187"/>
    <w:rsid w:val="007C21E1"/>
    <w:rsid w:val="007C386E"/>
    <w:rsid w:val="007C3EDA"/>
    <w:rsid w:val="007C555B"/>
    <w:rsid w:val="007C6774"/>
    <w:rsid w:val="007C6912"/>
    <w:rsid w:val="007C7960"/>
    <w:rsid w:val="007D2BEC"/>
    <w:rsid w:val="007D3977"/>
    <w:rsid w:val="007D3B85"/>
    <w:rsid w:val="007D45E0"/>
    <w:rsid w:val="007D4C40"/>
    <w:rsid w:val="007D69C4"/>
    <w:rsid w:val="007D79C4"/>
    <w:rsid w:val="007E0E35"/>
    <w:rsid w:val="007E1228"/>
    <w:rsid w:val="007E25AD"/>
    <w:rsid w:val="007E294A"/>
    <w:rsid w:val="007E2968"/>
    <w:rsid w:val="007E2A19"/>
    <w:rsid w:val="007E2CA5"/>
    <w:rsid w:val="007E2F3C"/>
    <w:rsid w:val="007E3B84"/>
    <w:rsid w:val="007E4926"/>
    <w:rsid w:val="007E692B"/>
    <w:rsid w:val="007F022D"/>
    <w:rsid w:val="007F0888"/>
    <w:rsid w:val="007F1346"/>
    <w:rsid w:val="007F262E"/>
    <w:rsid w:val="007F4314"/>
    <w:rsid w:val="007F4F88"/>
    <w:rsid w:val="007F66F9"/>
    <w:rsid w:val="007F7136"/>
    <w:rsid w:val="007F7FAE"/>
    <w:rsid w:val="00801545"/>
    <w:rsid w:val="0080172F"/>
    <w:rsid w:val="00801820"/>
    <w:rsid w:val="008036E9"/>
    <w:rsid w:val="00804843"/>
    <w:rsid w:val="0080617D"/>
    <w:rsid w:val="008065A2"/>
    <w:rsid w:val="00807290"/>
    <w:rsid w:val="00807695"/>
    <w:rsid w:val="00807C22"/>
    <w:rsid w:val="0081073F"/>
    <w:rsid w:val="00810F0F"/>
    <w:rsid w:val="00811299"/>
    <w:rsid w:val="00812161"/>
    <w:rsid w:val="008129B1"/>
    <w:rsid w:val="00812ACA"/>
    <w:rsid w:val="00812DB5"/>
    <w:rsid w:val="008152E0"/>
    <w:rsid w:val="00815521"/>
    <w:rsid w:val="0081707C"/>
    <w:rsid w:val="00817420"/>
    <w:rsid w:val="008176DB"/>
    <w:rsid w:val="0082001D"/>
    <w:rsid w:val="00822B7D"/>
    <w:rsid w:val="008233C5"/>
    <w:rsid w:val="00823FE0"/>
    <w:rsid w:val="00824DA1"/>
    <w:rsid w:val="00826B38"/>
    <w:rsid w:val="00826F6A"/>
    <w:rsid w:val="008276F4"/>
    <w:rsid w:val="00827930"/>
    <w:rsid w:val="0083056E"/>
    <w:rsid w:val="00831A7E"/>
    <w:rsid w:val="00832290"/>
    <w:rsid w:val="008327FB"/>
    <w:rsid w:val="00832B1A"/>
    <w:rsid w:val="00832C2A"/>
    <w:rsid w:val="00833570"/>
    <w:rsid w:val="00833D25"/>
    <w:rsid w:val="00833F08"/>
    <w:rsid w:val="008345E5"/>
    <w:rsid w:val="00835576"/>
    <w:rsid w:val="00835B44"/>
    <w:rsid w:val="00836118"/>
    <w:rsid w:val="0083758E"/>
    <w:rsid w:val="00837ADE"/>
    <w:rsid w:val="00837C98"/>
    <w:rsid w:val="0084001A"/>
    <w:rsid w:val="008403B2"/>
    <w:rsid w:val="00841094"/>
    <w:rsid w:val="00841105"/>
    <w:rsid w:val="00841DE0"/>
    <w:rsid w:val="00841E0E"/>
    <w:rsid w:val="00843DC3"/>
    <w:rsid w:val="0084475D"/>
    <w:rsid w:val="00845FA0"/>
    <w:rsid w:val="00846329"/>
    <w:rsid w:val="00846BFF"/>
    <w:rsid w:val="008473F8"/>
    <w:rsid w:val="008473FD"/>
    <w:rsid w:val="0085037E"/>
    <w:rsid w:val="008510BF"/>
    <w:rsid w:val="0085208E"/>
    <w:rsid w:val="008525BD"/>
    <w:rsid w:val="008538BF"/>
    <w:rsid w:val="00854411"/>
    <w:rsid w:val="00855C85"/>
    <w:rsid w:val="00855FB8"/>
    <w:rsid w:val="0085770A"/>
    <w:rsid w:val="0085779B"/>
    <w:rsid w:val="008577A1"/>
    <w:rsid w:val="00857B57"/>
    <w:rsid w:val="00860983"/>
    <w:rsid w:val="00860E4C"/>
    <w:rsid w:val="00861773"/>
    <w:rsid w:val="008622D4"/>
    <w:rsid w:val="00862426"/>
    <w:rsid w:val="008629BA"/>
    <w:rsid w:val="0086357B"/>
    <w:rsid w:val="00864DF5"/>
    <w:rsid w:val="008650F0"/>
    <w:rsid w:val="00865117"/>
    <w:rsid w:val="00865314"/>
    <w:rsid w:val="00865B1E"/>
    <w:rsid w:val="00870810"/>
    <w:rsid w:val="00871F92"/>
    <w:rsid w:val="00873302"/>
    <w:rsid w:val="008733B5"/>
    <w:rsid w:val="0087350D"/>
    <w:rsid w:val="00874253"/>
    <w:rsid w:val="00876144"/>
    <w:rsid w:val="00876EFC"/>
    <w:rsid w:val="00877C52"/>
    <w:rsid w:val="00880663"/>
    <w:rsid w:val="008807D9"/>
    <w:rsid w:val="00880A31"/>
    <w:rsid w:val="00880E6C"/>
    <w:rsid w:val="00881719"/>
    <w:rsid w:val="0088248A"/>
    <w:rsid w:val="0088254E"/>
    <w:rsid w:val="008840E6"/>
    <w:rsid w:val="00885852"/>
    <w:rsid w:val="00885F6F"/>
    <w:rsid w:val="0088602A"/>
    <w:rsid w:val="0088734E"/>
    <w:rsid w:val="0088798E"/>
    <w:rsid w:val="0089019D"/>
    <w:rsid w:val="00890265"/>
    <w:rsid w:val="00892B27"/>
    <w:rsid w:val="008936E8"/>
    <w:rsid w:val="00893F26"/>
    <w:rsid w:val="00895C09"/>
    <w:rsid w:val="00896300"/>
    <w:rsid w:val="00896694"/>
    <w:rsid w:val="008974E9"/>
    <w:rsid w:val="008979FB"/>
    <w:rsid w:val="008A0379"/>
    <w:rsid w:val="008A1291"/>
    <w:rsid w:val="008A164D"/>
    <w:rsid w:val="008A29F1"/>
    <w:rsid w:val="008A2E15"/>
    <w:rsid w:val="008A4B9C"/>
    <w:rsid w:val="008A539F"/>
    <w:rsid w:val="008A5828"/>
    <w:rsid w:val="008B0041"/>
    <w:rsid w:val="008B076B"/>
    <w:rsid w:val="008B1F17"/>
    <w:rsid w:val="008B3B89"/>
    <w:rsid w:val="008B494E"/>
    <w:rsid w:val="008B4FD8"/>
    <w:rsid w:val="008B5473"/>
    <w:rsid w:val="008B5AF4"/>
    <w:rsid w:val="008B634D"/>
    <w:rsid w:val="008B65C8"/>
    <w:rsid w:val="008B7726"/>
    <w:rsid w:val="008C1CEB"/>
    <w:rsid w:val="008C201D"/>
    <w:rsid w:val="008C22CB"/>
    <w:rsid w:val="008C29BA"/>
    <w:rsid w:val="008C3CF7"/>
    <w:rsid w:val="008C47BD"/>
    <w:rsid w:val="008C4C0D"/>
    <w:rsid w:val="008C5B8A"/>
    <w:rsid w:val="008C5FAE"/>
    <w:rsid w:val="008C6B4E"/>
    <w:rsid w:val="008C75D1"/>
    <w:rsid w:val="008D0BC5"/>
    <w:rsid w:val="008D125B"/>
    <w:rsid w:val="008D1B4E"/>
    <w:rsid w:val="008D20A8"/>
    <w:rsid w:val="008D242B"/>
    <w:rsid w:val="008D30D1"/>
    <w:rsid w:val="008D33C6"/>
    <w:rsid w:val="008D3A4C"/>
    <w:rsid w:val="008D3E34"/>
    <w:rsid w:val="008D781C"/>
    <w:rsid w:val="008E0265"/>
    <w:rsid w:val="008E0340"/>
    <w:rsid w:val="008E29FF"/>
    <w:rsid w:val="008E32C6"/>
    <w:rsid w:val="008E41A9"/>
    <w:rsid w:val="008E5C82"/>
    <w:rsid w:val="008E74E3"/>
    <w:rsid w:val="008E7A96"/>
    <w:rsid w:val="008F0715"/>
    <w:rsid w:val="008F0F94"/>
    <w:rsid w:val="008F1D6B"/>
    <w:rsid w:val="008F2801"/>
    <w:rsid w:val="008F47C8"/>
    <w:rsid w:val="008F506D"/>
    <w:rsid w:val="008F537F"/>
    <w:rsid w:val="008F54A4"/>
    <w:rsid w:val="008F5507"/>
    <w:rsid w:val="008F5E08"/>
    <w:rsid w:val="008F5F03"/>
    <w:rsid w:val="008F7F42"/>
    <w:rsid w:val="00901CFE"/>
    <w:rsid w:val="009020B7"/>
    <w:rsid w:val="009029DD"/>
    <w:rsid w:val="00902BF6"/>
    <w:rsid w:val="0090388D"/>
    <w:rsid w:val="009039ED"/>
    <w:rsid w:val="00904599"/>
    <w:rsid w:val="00904BFA"/>
    <w:rsid w:val="00906AC5"/>
    <w:rsid w:val="00907FAB"/>
    <w:rsid w:val="00910892"/>
    <w:rsid w:val="00910F7C"/>
    <w:rsid w:val="009121D9"/>
    <w:rsid w:val="009138D2"/>
    <w:rsid w:val="00914553"/>
    <w:rsid w:val="00914B12"/>
    <w:rsid w:val="00915E8B"/>
    <w:rsid w:val="009208C8"/>
    <w:rsid w:val="0092282A"/>
    <w:rsid w:val="00923CF6"/>
    <w:rsid w:val="009240C9"/>
    <w:rsid w:val="0092501C"/>
    <w:rsid w:val="00925C8F"/>
    <w:rsid w:val="00925F00"/>
    <w:rsid w:val="00926AE7"/>
    <w:rsid w:val="00926BF8"/>
    <w:rsid w:val="009274E6"/>
    <w:rsid w:val="00927D6F"/>
    <w:rsid w:val="009304EC"/>
    <w:rsid w:val="00930AD6"/>
    <w:rsid w:val="00930E6D"/>
    <w:rsid w:val="00930ED4"/>
    <w:rsid w:val="0093107A"/>
    <w:rsid w:val="00931834"/>
    <w:rsid w:val="00932148"/>
    <w:rsid w:val="009322C3"/>
    <w:rsid w:val="009327E5"/>
    <w:rsid w:val="00932881"/>
    <w:rsid w:val="00932C5F"/>
    <w:rsid w:val="00933D80"/>
    <w:rsid w:val="00936BA3"/>
    <w:rsid w:val="00936CC5"/>
    <w:rsid w:val="00940528"/>
    <w:rsid w:val="00941A49"/>
    <w:rsid w:val="00942344"/>
    <w:rsid w:val="00942A94"/>
    <w:rsid w:val="00943265"/>
    <w:rsid w:val="00943827"/>
    <w:rsid w:val="009450C0"/>
    <w:rsid w:val="00945993"/>
    <w:rsid w:val="00946F5C"/>
    <w:rsid w:val="0095013D"/>
    <w:rsid w:val="009518C8"/>
    <w:rsid w:val="00951B5B"/>
    <w:rsid w:val="009535B5"/>
    <w:rsid w:val="00953B7C"/>
    <w:rsid w:val="0095430B"/>
    <w:rsid w:val="0095538C"/>
    <w:rsid w:val="009553DD"/>
    <w:rsid w:val="009553DE"/>
    <w:rsid w:val="00955A7F"/>
    <w:rsid w:val="00957E59"/>
    <w:rsid w:val="00960365"/>
    <w:rsid w:val="00961E34"/>
    <w:rsid w:val="009623FF"/>
    <w:rsid w:val="009624A4"/>
    <w:rsid w:val="00962545"/>
    <w:rsid w:val="00962A75"/>
    <w:rsid w:val="00963A82"/>
    <w:rsid w:val="00963FA7"/>
    <w:rsid w:val="009644EF"/>
    <w:rsid w:val="00964E1D"/>
    <w:rsid w:val="009659FD"/>
    <w:rsid w:val="00966B52"/>
    <w:rsid w:val="00966DA7"/>
    <w:rsid w:val="009674D9"/>
    <w:rsid w:val="0096773D"/>
    <w:rsid w:val="00967BE1"/>
    <w:rsid w:val="00970268"/>
    <w:rsid w:val="009721ED"/>
    <w:rsid w:val="00972876"/>
    <w:rsid w:val="00973CF8"/>
    <w:rsid w:val="00974A70"/>
    <w:rsid w:val="009755EE"/>
    <w:rsid w:val="00975EFC"/>
    <w:rsid w:val="009763E7"/>
    <w:rsid w:val="00976A88"/>
    <w:rsid w:val="00976E45"/>
    <w:rsid w:val="009800D2"/>
    <w:rsid w:val="0098010E"/>
    <w:rsid w:val="00981165"/>
    <w:rsid w:val="009814E9"/>
    <w:rsid w:val="00981503"/>
    <w:rsid w:val="00981CA3"/>
    <w:rsid w:val="00983A6E"/>
    <w:rsid w:val="00983C96"/>
    <w:rsid w:val="009841B3"/>
    <w:rsid w:val="00984B23"/>
    <w:rsid w:val="009866BB"/>
    <w:rsid w:val="0098743F"/>
    <w:rsid w:val="00987A5C"/>
    <w:rsid w:val="00987DAE"/>
    <w:rsid w:val="0099079B"/>
    <w:rsid w:val="00990848"/>
    <w:rsid w:val="009908A1"/>
    <w:rsid w:val="00990CF8"/>
    <w:rsid w:val="00991497"/>
    <w:rsid w:val="00992000"/>
    <w:rsid w:val="0099234E"/>
    <w:rsid w:val="00993A45"/>
    <w:rsid w:val="00996998"/>
    <w:rsid w:val="0099705F"/>
    <w:rsid w:val="00997A58"/>
    <w:rsid w:val="00997AA9"/>
    <w:rsid w:val="009A14DB"/>
    <w:rsid w:val="009A1C12"/>
    <w:rsid w:val="009A23E7"/>
    <w:rsid w:val="009A2500"/>
    <w:rsid w:val="009A2C58"/>
    <w:rsid w:val="009A4148"/>
    <w:rsid w:val="009A4D0F"/>
    <w:rsid w:val="009A55F9"/>
    <w:rsid w:val="009A58A0"/>
    <w:rsid w:val="009A7C70"/>
    <w:rsid w:val="009B10E8"/>
    <w:rsid w:val="009B1909"/>
    <w:rsid w:val="009B405F"/>
    <w:rsid w:val="009B4BD8"/>
    <w:rsid w:val="009B5580"/>
    <w:rsid w:val="009B6380"/>
    <w:rsid w:val="009C0D36"/>
    <w:rsid w:val="009C1517"/>
    <w:rsid w:val="009C26EF"/>
    <w:rsid w:val="009C54C7"/>
    <w:rsid w:val="009C5B37"/>
    <w:rsid w:val="009C641E"/>
    <w:rsid w:val="009C6655"/>
    <w:rsid w:val="009C6E6D"/>
    <w:rsid w:val="009C7190"/>
    <w:rsid w:val="009C7A7E"/>
    <w:rsid w:val="009C7CE7"/>
    <w:rsid w:val="009D0475"/>
    <w:rsid w:val="009D13E3"/>
    <w:rsid w:val="009D1E49"/>
    <w:rsid w:val="009D327D"/>
    <w:rsid w:val="009D4357"/>
    <w:rsid w:val="009D4BDB"/>
    <w:rsid w:val="009D6B6E"/>
    <w:rsid w:val="009D779A"/>
    <w:rsid w:val="009D7F98"/>
    <w:rsid w:val="009D7FEA"/>
    <w:rsid w:val="009E051E"/>
    <w:rsid w:val="009E10A2"/>
    <w:rsid w:val="009E1189"/>
    <w:rsid w:val="009E1F81"/>
    <w:rsid w:val="009E2D02"/>
    <w:rsid w:val="009E2E4A"/>
    <w:rsid w:val="009E3C20"/>
    <w:rsid w:val="009E3D45"/>
    <w:rsid w:val="009E464F"/>
    <w:rsid w:val="009E4857"/>
    <w:rsid w:val="009E4EE1"/>
    <w:rsid w:val="009E5FA2"/>
    <w:rsid w:val="009E6AB8"/>
    <w:rsid w:val="009F1121"/>
    <w:rsid w:val="009F1A48"/>
    <w:rsid w:val="009F2266"/>
    <w:rsid w:val="009F5F68"/>
    <w:rsid w:val="009F62EE"/>
    <w:rsid w:val="00A00A70"/>
    <w:rsid w:val="00A013E8"/>
    <w:rsid w:val="00A0221C"/>
    <w:rsid w:val="00A0288C"/>
    <w:rsid w:val="00A0353C"/>
    <w:rsid w:val="00A05A2D"/>
    <w:rsid w:val="00A05C3C"/>
    <w:rsid w:val="00A06544"/>
    <w:rsid w:val="00A070B2"/>
    <w:rsid w:val="00A106A2"/>
    <w:rsid w:val="00A10E21"/>
    <w:rsid w:val="00A12201"/>
    <w:rsid w:val="00A139D8"/>
    <w:rsid w:val="00A140B9"/>
    <w:rsid w:val="00A14FFF"/>
    <w:rsid w:val="00A15600"/>
    <w:rsid w:val="00A161A3"/>
    <w:rsid w:val="00A1736F"/>
    <w:rsid w:val="00A2000C"/>
    <w:rsid w:val="00A221ED"/>
    <w:rsid w:val="00A22F07"/>
    <w:rsid w:val="00A23551"/>
    <w:rsid w:val="00A2360D"/>
    <w:rsid w:val="00A23FB4"/>
    <w:rsid w:val="00A25333"/>
    <w:rsid w:val="00A254B9"/>
    <w:rsid w:val="00A26531"/>
    <w:rsid w:val="00A30235"/>
    <w:rsid w:val="00A31278"/>
    <w:rsid w:val="00A32CA4"/>
    <w:rsid w:val="00A33B48"/>
    <w:rsid w:val="00A33E09"/>
    <w:rsid w:val="00A41175"/>
    <w:rsid w:val="00A411A2"/>
    <w:rsid w:val="00A4133B"/>
    <w:rsid w:val="00A41CAA"/>
    <w:rsid w:val="00A428BF"/>
    <w:rsid w:val="00A43B3E"/>
    <w:rsid w:val="00A4438F"/>
    <w:rsid w:val="00A445A3"/>
    <w:rsid w:val="00A45BF4"/>
    <w:rsid w:val="00A47373"/>
    <w:rsid w:val="00A47ED5"/>
    <w:rsid w:val="00A47EDB"/>
    <w:rsid w:val="00A5009E"/>
    <w:rsid w:val="00A51958"/>
    <w:rsid w:val="00A51ACE"/>
    <w:rsid w:val="00A527A1"/>
    <w:rsid w:val="00A52FA1"/>
    <w:rsid w:val="00A53682"/>
    <w:rsid w:val="00A53B6B"/>
    <w:rsid w:val="00A545E1"/>
    <w:rsid w:val="00A549BA"/>
    <w:rsid w:val="00A54C43"/>
    <w:rsid w:val="00A56007"/>
    <w:rsid w:val="00A60B03"/>
    <w:rsid w:val="00A61AE7"/>
    <w:rsid w:val="00A63458"/>
    <w:rsid w:val="00A636B5"/>
    <w:rsid w:val="00A64555"/>
    <w:rsid w:val="00A6567B"/>
    <w:rsid w:val="00A65D08"/>
    <w:rsid w:val="00A6637B"/>
    <w:rsid w:val="00A66DBB"/>
    <w:rsid w:val="00A70938"/>
    <w:rsid w:val="00A712EB"/>
    <w:rsid w:val="00A71558"/>
    <w:rsid w:val="00A71838"/>
    <w:rsid w:val="00A7223A"/>
    <w:rsid w:val="00A72B48"/>
    <w:rsid w:val="00A7312B"/>
    <w:rsid w:val="00A7347F"/>
    <w:rsid w:val="00A75A56"/>
    <w:rsid w:val="00A77A6A"/>
    <w:rsid w:val="00A806AA"/>
    <w:rsid w:val="00A810C1"/>
    <w:rsid w:val="00A8198E"/>
    <w:rsid w:val="00A82E56"/>
    <w:rsid w:val="00A82F22"/>
    <w:rsid w:val="00A84FF8"/>
    <w:rsid w:val="00A85C50"/>
    <w:rsid w:val="00A86C2F"/>
    <w:rsid w:val="00A87A31"/>
    <w:rsid w:val="00A9020A"/>
    <w:rsid w:val="00A90C14"/>
    <w:rsid w:val="00A91D6F"/>
    <w:rsid w:val="00A921B1"/>
    <w:rsid w:val="00A926BF"/>
    <w:rsid w:val="00A92E8F"/>
    <w:rsid w:val="00A9401C"/>
    <w:rsid w:val="00A9619A"/>
    <w:rsid w:val="00A96584"/>
    <w:rsid w:val="00A97D01"/>
    <w:rsid w:val="00AA119A"/>
    <w:rsid w:val="00AA1AD9"/>
    <w:rsid w:val="00AA2059"/>
    <w:rsid w:val="00AA2135"/>
    <w:rsid w:val="00AA2C01"/>
    <w:rsid w:val="00AA3F4B"/>
    <w:rsid w:val="00AA42E9"/>
    <w:rsid w:val="00AA48A7"/>
    <w:rsid w:val="00AA6DB3"/>
    <w:rsid w:val="00AA7D78"/>
    <w:rsid w:val="00AB06D6"/>
    <w:rsid w:val="00AB0DE5"/>
    <w:rsid w:val="00AB273E"/>
    <w:rsid w:val="00AB2F91"/>
    <w:rsid w:val="00AB3570"/>
    <w:rsid w:val="00AB3C1E"/>
    <w:rsid w:val="00AB4808"/>
    <w:rsid w:val="00AB6486"/>
    <w:rsid w:val="00AB7009"/>
    <w:rsid w:val="00AC06B8"/>
    <w:rsid w:val="00AC0B05"/>
    <w:rsid w:val="00AC1129"/>
    <w:rsid w:val="00AC3948"/>
    <w:rsid w:val="00AC440D"/>
    <w:rsid w:val="00AC4C48"/>
    <w:rsid w:val="00AC51DF"/>
    <w:rsid w:val="00AC5B62"/>
    <w:rsid w:val="00AC629E"/>
    <w:rsid w:val="00AC6ADD"/>
    <w:rsid w:val="00AC6E3A"/>
    <w:rsid w:val="00AD0545"/>
    <w:rsid w:val="00AD1A1E"/>
    <w:rsid w:val="00AD42C6"/>
    <w:rsid w:val="00AD4314"/>
    <w:rsid w:val="00AD433D"/>
    <w:rsid w:val="00AD500D"/>
    <w:rsid w:val="00AD5E28"/>
    <w:rsid w:val="00AD5FC8"/>
    <w:rsid w:val="00AD6561"/>
    <w:rsid w:val="00AE02E0"/>
    <w:rsid w:val="00AE0BC2"/>
    <w:rsid w:val="00AE0D97"/>
    <w:rsid w:val="00AE26F6"/>
    <w:rsid w:val="00AE395E"/>
    <w:rsid w:val="00AE4404"/>
    <w:rsid w:val="00AE448C"/>
    <w:rsid w:val="00AE4F59"/>
    <w:rsid w:val="00AE503E"/>
    <w:rsid w:val="00AE5D48"/>
    <w:rsid w:val="00AE6763"/>
    <w:rsid w:val="00AE6F49"/>
    <w:rsid w:val="00AF1C94"/>
    <w:rsid w:val="00AF3D29"/>
    <w:rsid w:val="00AF3E33"/>
    <w:rsid w:val="00AF437A"/>
    <w:rsid w:val="00AF62AF"/>
    <w:rsid w:val="00AF682E"/>
    <w:rsid w:val="00AF7E20"/>
    <w:rsid w:val="00B00525"/>
    <w:rsid w:val="00B00C58"/>
    <w:rsid w:val="00B014E0"/>
    <w:rsid w:val="00B01518"/>
    <w:rsid w:val="00B01AE6"/>
    <w:rsid w:val="00B01EB9"/>
    <w:rsid w:val="00B01F78"/>
    <w:rsid w:val="00B02042"/>
    <w:rsid w:val="00B029D9"/>
    <w:rsid w:val="00B0389E"/>
    <w:rsid w:val="00B04571"/>
    <w:rsid w:val="00B0480A"/>
    <w:rsid w:val="00B054C0"/>
    <w:rsid w:val="00B05854"/>
    <w:rsid w:val="00B06C7E"/>
    <w:rsid w:val="00B10E93"/>
    <w:rsid w:val="00B10F82"/>
    <w:rsid w:val="00B1110D"/>
    <w:rsid w:val="00B11903"/>
    <w:rsid w:val="00B127C2"/>
    <w:rsid w:val="00B12F7A"/>
    <w:rsid w:val="00B13991"/>
    <w:rsid w:val="00B13AC7"/>
    <w:rsid w:val="00B14457"/>
    <w:rsid w:val="00B15976"/>
    <w:rsid w:val="00B15D86"/>
    <w:rsid w:val="00B15FC6"/>
    <w:rsid w:val="00B16159"/>
    <w:rsid w:val="00B20453"/>
    <w:rsid w:val="00B219F2"/>
    <w:rsid w:val="00B2274C"/>
    <w:rsid w:val="00B22BAD"/>
    <w:rsid w:val="00B2320F"/>
    <w:rsid w:val="00B237EB"/>
    <w:rsid w:val="00B23D42"/>
    <w:rsid w:val="00B23DA5"/>
    <w:rsid w:val="00B248F5"/>
    <w:rsid w:val="00B249CB"/>
    <w:rsid w:val="00B252CD"/>
    <w:rsid w:val="00B25338"/>
    <w:rsid w:val="00B273AF"/>
    <w:rsid w:val="00B27F3A"/>
    <w:rsid w:val="00B30ED8"/>
    <w:rsid w:val="00B3107C"/>
    <w:rsid w:val="00B32740"/>
    <w:rsid w:val="00B32991"/>
    <w:rsid w:val="00B32CD1"/>
    <w:rsid w:val="00B32FE1"/>
    <w:rsid w:val="00B3397C"/>
    <w:rsid w:val="00B34FE8"/>
    <w:rsid w:val="00B35383"/>
    <w:rsid w:val="00B35B85"/>
    <w:rsid w:val="00B35C2F"/>
    <w:rsid w:val="00B35C31"/>
    <w:rsid w:val="00B36694"/>
    <w:rsid w:val="00B3682B"/>
    <w:rsid w:val="00B3699E"/>
    <w:rsid w:val="00B37212"/>
    <w:rsid w:val="00B373DC"/>
    <w:rsid w:val="00B3749C"/>
    <w:rsid w:val="00B377C3"/>
    <w:rsid w:val="00B40887"/>
    <w:rsid w:val="00B42E29"/>
    <w:rsid w:val="00B42FD9"/>
    <w:rsid w:val="00B43C4A"/>
    <w:rsid w:val="00B43DE8"/>
    <w:rsid w:val="00B4429E"/>
    <w:rsid w:val="00B44F9F"/>
    <w:rsid w:val="00B45A32"/>
    <w:rsid w:val="00B472EE"/>
    <w:rsid w:val="00B47915"/>
    <w:rsid w:val="00B47996"/>
    <w:rsid w:val="00B50831"/>
    <w:rsid w:val="00B521AE"/>
    <w:rsid w:val="00B5291C"/>
    <w:rsid w:val="00B55656"/>
    <w:rsid w:val="00B56ED1"/>
    <w:rsid w:val="00B57CB6"/>
    <w:rsid w:val="00B60BF0"/>
    <w:rsid w:val="00B61300"/>
    <w:rsid w:val="00B61F15"/>
    <w:rsid w:val="00B62E8C"/>
    <w:rsid w:val="00B6439B"/>
    <w:rsid w:val="00B64B7B"/>
    <w:rsid w:val="00B64E2F"/>
    <w:rsid w:val="00B660AA"/>
    <w:rsid w:val="00B6667A"/>
    <w:rsid w:val="00B66DFF"/>
    <w:rsid w:val="00B66ED4"/>
    <w:rsid w:val="00B673AC"/>
    <w:rsid w:val="00B674B5"/>
    <w:rsid w:val="00B70186"/>
    <w:rsid w:val="00B7220D"/>
    <w:rsid w:val="00B73298"/>
    <w:rsid w:val="00B751BA"/>
    <w:rsid w:val="00B75DE7"/>
    <w:rsid w:val="00B76094"/>
    <w:rsid w:val="00B76117"/>
    <w:rsid w:val="00B771A8"/>
    <w:rsid w:val="00B77476"/>
    <w:rsid w:val="00B80CB6"/>
    <w:rsid w:val="00B81488"/>
    <w:rsid w:val="00B84571"/>
    <w:rsid w:val="00B84F7B"/>
    <w:rsid w:val="00B85B0B"/>
    <w:rsid w:val="00B85DB6"/>
    <w:rsid w:val="00B86E26"/>
    <w:rsid w:val="00B90C75"/>
    <w:rsid w:val="00B90FDC"/>
    <w:rsid w:val="00B9102A"/>
    <w:rsid w:val="00B91215"/>
    <w:rsid w:val="00B9173D"/>
    <w:rsid w:val="00B92659"/>
    <w:rsid w:val="00B92EE8"/>
    <w:rsid w:val="00B93305"/>
    <w:rsid w:val="00B9385D"/>
    <w:rsid w:val="00B94E8D"/>
    <w:rsid w:val="00B953AF"/>
    <w:rsid w:val="00B960A4"/>
    <w:rsid w:val="00B96329"/>
    <w:rsid w:val="00B96385"/>
    <w:rsid w:val="00B97764"/>
    <w:rsid w:val="00BA1093"/>
    <w:rsid w:val="00BA18B1"/>
    <w:rsid w:val="00BA1D24"/>
    <w:rsid w:val="00BA3C6C"/>
    <w:rsid w:val="00BA5012"/>
    <w:rsid w:val="00BA6A23"/>
    <w:rsid w:val="00BA76DF"/>
    <w:rsid w:val="00BB0677"/>
    <w:rsid w:val="00BB24A6"/>
    <w:rsid w:val="00BB2E74"/>
    <w:rsid w:val="00BB5BF9"/>
    <w:rsid w:val="00BB6711"/>
    <w:rsid w:val="00BB6D64"/>
    <w:rsid w:val="00BB709D"/>
    <w:rsid w:val="00BB7A76"/>
    <w:rsid w:val="00BC0171"/>
    <w:rsid w:val="00BC16F7"/>
    <w:rsid w:val="00BC194A"/>
    <w:rsid w:val="00BC2463"/>
    <w:rsid w:val="00BC3C8C"/>
    <w:rsid w:val="00BC4B7A"/>
    <w:rsid w:val="00BC4C06"/>
    <w:rsid w:val="00BC5429"/>
    <w:rsid w:val="00BC5D38"/>
    <w:rsid w:val="00BC6A0F"/>
    <w:rsid w:val="00BC771B"/>
    <w:rsid w:val="00BC7F49"/>
    <w:rsid w:val="00BD0711"/>
    <w:rsid w:val="00BD1D33"/>
    <w:rsid w:val="00BD1E9B"/>
    <w:rsid w:val="00BD25AC"/>
    <w:rsid w:val="00BD2768"/>
    <w:rsid w:val="00BD3047"/>
    <w:rsid w:val="00BD64ED"/>
    <w:rsid w:val="00BD7039"/>
    <w:rsid w:val="00BE0857"/>
    <w:rsid w:val="00BE123B"/>
    <w:rsid w:val="00BE29FC"/>
    <w:rsid w:val="00BE3C6B"/>
    <w:rsid w:val="00BE3D8E"/>
    <w:rsid w:val="00BE50A2"/>
    <w:rsid w:val="00BE6761"/>
    <w:rsid w:val="00BE6F6C"/>
    <w:rsid w:val="00BE7102"/>
    <w:rsid w:val="00BF05E2"/>
    <w:rsid w:val="00BF0D59"/>
    <w:rsid w:val="00BF1A57"/>
    <w:rsid w:val="00BF1CA8"/>
    <w:rsid w:val="00BF28FE"/>
    <w:rsid w:val="00BF2B49"/>
    <w:rsid w:val="00BF2D9F"/>
    <w:rsid w:val="00BF3782"/>
    <w:rsid w:val="00BF37D2"/>
    <w:rsid w:val="00BF3AAC"/>
    <w:rsid w:val="00BF3FA2"/>
    <w:rsid w:val="00BF4317"/>
    <w:rsid w:val="00BF4618"/>
    <w:rsid w:val="00BF47AE"/>
    <w:rsid w:val="00BF5352"/>
    <w:rsid w:val="00BF58E6"/>
    <w:rsid w:val="00BF6406"/>
    <w:rsid w:val="00BF6BA9"/>
    <w:rsid w:val="00BF7946"/>
    <w:rsid w:val="00BF7C9F"/>
    <w:rsid w:val="00BF7E6C"/>
    <w:rsid w:val="00C00F7A"/>
    <w:rsid w:val="00C01D10"/>
    <w:rsid w:val="00C01D52"/>
    <w:rsid w:val="00C03A8F"/>
    <w:rsid w:val="00C04A0A"/>
    <w:rsid w:val="00C04A25"/>
    <w:rsid w:val="00C04D58"/>
    <w:rsid w:val="00C0554A"/>
    <w:rsid w:val="00C0643E"/>
    <w:rsid w:val="00C07438"/>
    <w:rsid w:val="00C10367"/>
    <w:rsid w:val="00C10C35"/>
    <w:rsid w:val="00C11DD1"/>
    <w:rsid w:val="00C12252"/>
    <w:rsid w:val="00C122E2"/>
    <w:rsid w:val="00C12D1D"/>
    <w:rsid w:val="00C138E6"/>
    <w:rsid w:val="00C149F1"/>
    <w:rsid w:val="00C154DE"/>
    <w:rsid w:val="00C15E08"/>
    <w:rsid w:val="00C16C9F"/>
    <w:rsid w:val="00C173E5"/>
    <w:rsid w:val="00C1762E"/>
    <w:rsid w:val="00C1769E"/>
    <w:rsid w:val="00C17923"/>
    <w:rsid w:val="00C22513"/>
    <w:rsid w:val="00C2399F"/>
    <w:rsid w:val="00C24E59"/>
    <w:rsid w:val="00C251D1"/>
    <w:rsid w:val="00C252E3"/>
    <w:rsid w:val="00C25AE9"/>
    <w:rsid w:val="00C3107E"/>
    <w:rsid w:val="00C31143"/>
    <w:rsid w:val="00C311D0"/>
    <w:rsid w:val="00C31CA5"/>
    <w:rsid w:val="00C31CFA"/>
    <w:rsid w:val="00C32EC8"/>
    <w:rsid w:val="00C34185"/>
    <w:rsid w:val="00C34876"/>
    <w:rsid w:val="00C34BC6"/>
    <w:rsid w:val="00C377E7"/>
    <w:rsid w:val="00C37CFC"/>
    <w:rsid w:val="00C37E7F"/>
    <w:rsid w:val="00C37F0A"/>
    <w:rsid w:val="00C37F6D"/>
    <w:rsid w:val="00C40936"/>
    <w:rsid w:val="00C41881"/>
    <w:rsid w:val="00C435FA"/>
    <w:rsid w:val="00C4511B"/>
    <w:rsid w:val="00C45823"/>
    <w:rsid w:val="00C4592B"/>
    <w:rsid w:val="00C45A0B"/>
    <w:rsid w:val="00C45EF7"/>
    <w:rsid w:val="00C46B8A"/>
    <w:rsid w:val="00C47A35"/>
    <w:rsid w:val="00C50884"/>
    <w:rsid w:val="00C50953"/>
    <w:rsid w:val="00C50B42"/>
    <w:rsid w:val="00C517FC"/>
    <w:rsid w:val="00C52171"/>
    <w:rsid w:val="00C52F28"/>
    <w:rsid w:val="00C531B9"/>
    <w:rsid w:val="00C5358D"/>
    <w:rsid w:val="00C54293"/>
    <w:rsid w:val="00C5457E"/>
    <w:rsid w:val="00C55B39"/>
    <w:rsid w:val="00C569FF"/>
    <w:rsid w:val="00C57403"/>
    <w:rsid w:val="00C5741E"/>
    <w:rsid w:val="00C57602"/>
    <w:rsid w:val="00C57A6D"/>
    <w:rsid w:val="00C61469"/>
    <w:rsid w:val="00C62238"/>
    <w:rsid w:val="00C632B4"/>
    <w:rsid w:val="00C6330B"/>
    <w:rsid w:val="00C633F1"/>
    <w:rsid w:val="00C63509"/>
    <w:rsid w:val="00C64982"/>
    <w:rsid w:val="00C66C6D"/>
    <w:rsid w:val="00C676C6"/>
    <w:rsid w:val="00C70A16"/>
    <w:rsid w:val="00C71346"/>
    <w:rsid w:val="00C715F4"/>
    <w:rsid w:val="00C71C8A"/>
    <w:rsid w:val="00C721CB"/>
    <w:rsid w:val="00C73FC5"/>
    <w:rsid w:val="00C746C9"/>
    <w:rsid w:val="00C7566B"/>
    <w:rsid w:val="00C757F1"/>
    <w:rsid w:val="00C76B59"/>
    <w:rsid w:val="00C77695"/>
    <w:rsid w:val="00C80E64"/>
    <w:rsid w:val="00C81C21"/>
    <w:rsid w:val="00C82383"/>
    <w:rsid w:val="00C82BB3"/>
    <w:rsid w:val="00C82EA7"/>
    <w:rsid w:val="00C83644"/>
    <w:rsid w:val="00C83EBA"/>
    <w:rsid w:val="00C8540A"/>
    <w:rsid w:val="00C858AC"/>
    <w:rsid w:val="00C8794A"/>
    <w:rsid w:val="00C90C3A"/>
    <w:rsid w:val="00C922F8"/>
    <w:rsid w:val="00C92B75"/>
    <w:rsid w:val="00C93663"/>
    <w:rsid w:val="00C942D3"/>
    <w:rsid w:val="00C95662"/>
    <w:rsid w:val="00C9583F"/>
    <w:rsid w:val="00C96D41"/>
    <w:rsid w:val="00CA1089"/>
    <w:rsid w:val="00CA26A6"/>
    <w:rsid w:val="00CA3E11"/>
    <w:rsid w:val="00CA414A"/>
    <w:rsid w:val="00CA414B"/>
    <w:rsid w:val="00CA4A33"/>
    <w:rsid w:val="00CA51DD"/>
    <w:rsid w:val="00CA58D9"/>
    <w:rsid w:val="00CA58E7"/>
    <w:rsid w:val="00CA5B97"/>
    <w:rsid w:val="00CA61FB"/>
    <w:rsid w:val="00CA630D"/>
    <w:rsid w:val="00CB097F"/>
    <w:rsid w:val="00CB0BD3"/>
    <w:rsid w:val="00CB0E58"/>
    <w:rsid w:val="00CB1580"/>
    <w:rsid w:val="00CB1A56"/>
    <w:rsid w:val="00CB39BE"/>
    <w:rsid w:val="00CB3F9A"/>
    <w:rsid w:val="00CB48EF"/>
    <w:rsid w:val="00CB681A"/>
    <w:rsid w:val="00CB786E"/>
    <w:rsid w:val="00CC32D6"/>
    <w:rsid w:val="00CC6146"/>
    <w:rsid w:val="00CC6A54"/>
    <w:rsid w:val="00CD0873"/>
    <w:rsid w:val="00CD2097"/>
    <w:rsid w:val="00CD2324"/>
    <w:rsid w:val="00CD3C89"/>
    <w:rsid w:val="00CD410D"/>
    <w:rsid w:val="00CD4398"/>
    <w:rsid w:val="00CD4A13"/>
    <w:rsid w:val="00CD588B"/>
    <w:rsid w:val="00CD5923"/>
    <w:rsid w:val="00CD5C2C"/>
    <w:rsid w:val="00CD5C61"/>
    <w:rsid w:val="00CD6F83"/>
    <w:rsid w:val="00CD71F8"/>
    <w:rsid w:val="00CD7E85"/>
    <w:rsid w:val="00CE0D48"/>
    <w:rsid w:val="00CE0F3F"/>
    <w:rsid w:val="00CE1C50"/>
    <w:rsid w:val="00CE1F66"/>
    <w:rsid w:val="00CE2822"/>
    <w:rsid w:val="00CE3CB3"/>
    <w:rsid w:val="00CE4909"/>
    <w:rsid w:val="00CE5B73"/>
    <w:rsid w:val="00CE6219"/>
    <w:rsid w:val="00CE705D"/>
    <w:rsid w:val="00CF0A77"/>
    <w:rsid w:val="00CF1491"/>
    <w:rsid w:val="00CF167F"/>
    <w:rsid w:val="00CF1C5A"/>
    <w:rsid w:val="00CF1E3C"/>
    <w:rsid w:val="00CF216E"/>
    <w:rsid w:val="00CF2BC7"/>
    <w:rsid w:val="00CF5534"/>
    <w:rsid w:val="00CF5C96"/>
    <w:rsid w:val="00CF6531"/>
    <w:rsid w:val="00CF6D07"/>
    <w:rsid w:val="00CF79DF"/>
    <w:rsid w:val="00CF7F18"/>
    <w:rsid w:val="00D019E3"/>
    <w:rsid w:val="00D0317D"/>
    <w:rsid w:val="00D031D5"/>
    <w:rsid w:val="00D03AA8"/>
    <w:rsid w:val="00D03FDF"/>
    <w:rsid w:val="00D04BEE"/>
    <w:rsid w:val="00D055F7"/>
    <w:rsid w:val="00D05B4A"/>
    <w:rsid w:val="00D10507"/>
    <w:rsid w:val="00D107DC"/>
    <w:rsid w:val="00D11EF0"/>
    <w:rsid w:val="00D1267A"/>
    <w:rsid w:val="00D12982"/>
    <w:rsid w:val="00D1315F"/>
    <w:rsid w:val="00D13788"/>
    <w:rsid w:val="00D137BA"/>
    <w:rsid w:val="00D137DA"/>
    <w:rsid w:val="00D13AF9"/>
    <w:rsid w:val="00D13B73"/>
    <w:rsid w:val="00D14918"/>
    <w:rsid w:val="00D150F7"/>
    <w:rsid w:val="00D15181"/>
    <w:rsid w:val="00D15ED5"/>
    <w:rsid w:val="00D169A5"/>
    <w:rsid w:val="00D16F08"/>
    <w:rsid w:val="00D17006"/>
    <w:rsid w:val="00D20141"/>
    <w:rsid w:val="00D20633"/>
    <w:rsid w:val="00D207F8"/>
    <w:rsid w:val="00D20EB3"/>
    <w:rsid w:val="00D20F98"/>
    <w:rsid w:val="00D22C9C"/>
    <w:rsid w:val="00D24CBF"/>
    <w:rsid w:val="00D25022"/>
    <w:rsid w:val="00D2714F"/>
    <w:rsid w:val="00D30E0A"/>
    <w:rsid w:val="00D31973"/>
    <w:rsid w:val="00D322A3"/>
    <w:rsid w:val="00D3565E"/>
    <w:rsid w:val="00D3583D"/>
    <w:rsid w:val="00D36236"/>
    <w:rsid w:val="00D36279"/>
    <w:rsid w:val="00D364AA"/>
    <w:rsid w:val="00D366BD"/>
    <w:rsid w:val="00D36F8F"/>
    <w:rsid w:val="00D37BFB"/>
    <w:rsid w:val="00D403A4"/>
    <w:rsid w:val="00D405F0"/>
    <w:rsid w:val="00D421A4"/>
    <w:rsid w:val="00D427B9"/>
    <w:rsid w:val="00D43815"/>
    <w:rsid w:val="00D43FA8"/>
    <w:rsid w:val="00D447E2"/>
    <w:rsid w:val="00D44EE0"/>
    <w:rsid w:val="00D45027"/>
    <w:rsid w:val="00D46488"/>
    <w:rsid w:val="00D46905"/>
    <w:rsid w:val="00D4701E"/>
    <w:rsid w:val="00D5053C"/>
    <w:rsid w:val="00D50700"/>
    <w:rsid w:val="00D508A4"/>
    <w:rsid w:val="00D51695"/>
    <w:rsid w:val="00D52509"/>
    <w:rsid w:val="00D5673A"/>
    <w:rsid w:val="00D569AF"/>
    <w:rsid w:val="00D5717F"/>
    <w:rsid w:val="00D573E2"/>
    <w:rsid w:val="00D605D1"/>
    <w:rsid w:val="00D62E89"/>
    <w:rsid w:val="00D63101"/>
    <w:rsid w:val="00D63A97"/>
    <w:rsid w:val="00D63D0E"/>
    <w:rsid w:val="00D64201"/>
    <w:rsid w:val="00D647BE"/>
    <w:rsid w:val="00D652B2"/>
    <w:rsid w:val="00D66656"/>
    <w:rsid w:val="00D67FAD"/>
    <w:rsid w:val="00D70AB8"/>
    <w:rsid w:val="00D728A0"/>
    <w:rsid w:val="00D7291E"/>
    <w:rsid w:val="00D72A84"/>
    <w:rsid w:val="00D72A91"/>
    <w:rsid w:val="00D734E2"/>
    <w:rsid w:val="00D7646A"/>
    <w:rsid w:val="00D767F2"/>
    <w:rsid w:val="00D76E7A"/>
    <w:rsid w:val="00D80017"/>
    <w:rsid w:val="00D80996"/>
    <w:rsid w:val="00D80ED3"/>
    <w:rsid w:val="00D819B6"/>
    <w:rsid w:val="00D82127"/>
    <w:rsid w:val="00D82E31"/>
    <w:rsid w:val="00D850B1"/>
    <w:rsid w:val="00D8555D"/>
    <w:rsid w:val="00D863A8"/>
    <w:rsid w:val="00D8657A"/>
    <w:rsid w:val="00D86CDF"/>
    <w:rsid w:val="00D8759A"/>
    <w:rsid w:val="00D90C44"/>
    <w:rsid w:val="00D915C3"/>
    <w:rsid w:val="00D91844"/>
    <w:rsid w:val="00D91EE9"/>
    <w:rsid w:val="00D91F4A"/>
    <w:rsid w:val="00D9314C"/>
    <w:rsid w:val="00D9331E"/>
    <w:rsid w:val="00D93A2A"/>
    <w:rsid w:val="00D93BC1"/>
    <w:rsid w:val="00D95D2A"/>
    <w:rsid w:val="00D963D4"/>
    <w:rsid w:val="00D9695E"/>
    <w:rsid w:val="00D97069"/>
    <w:rsid w:val="00D97AAC"/>
    <w:rsid w:val="00DA19D4"/>
    <w:rsid w:val="00DA2218"/>
    <w:rsid w:val="00DA34A0"/>
    <w:rsid w:val="00DA3898"/>
    <w:rsid w:val="00DA41D7"/>
    <w:rsid w:val="00DA63D0"/>
    <w:rsid w:val="00DA6CE2"/>
    <w:rsid w:val="00DA6E58"/>
    <w:rsid w:val="00DA72C4"/>
    <w:rsid w:val="00DA7A53"/>
    <w:rsid w:val="00DB1755"/>
    <w:rsid w:val="00DB2D5A"/>
    <w:rsid w:val="00DB2FB9"/>
    <w:rsid w:val="00DB4942"/>
    <w:rsid w:val="00DB4C93"/>
    <w:rsid w:val="00DB6507"/>
    <w:rsid w:val="00DB6EF2"/>
    <w:rsid w:val="00DB710D"/>
    <w:rsid w:val="00DB7DA3"/>
    <w:rsid w:val="00DC1A14"/>
    <w:rsid w:val="00DC1A64"/>
    <w:rsid w:val="00DC499B"/>
    <w:rsid w:val="00DC50B5"/>
    <w:rsid w:val="00DC6304"/>
    <w:rsid w:val="00DC6949"/>
    <w:rsid w:val="00DC69E0"/>
    <w:rsid w:val="00DC7E84"/>
    <w:rsid w:val="00DD110A"/>
    <w:rsid w:val="00DD1CE9"/>
    <w:rsid w:val="00DD3DDB"/>
    <w:rsid w:val="00DD5719"/>
    <w:rsid w:val="00DD5D78"/>
    <w:rsid w:val="00DD6064"/>
    <w:rsid w:val="00DD68DA"/>
    <w:rsid w:val="00DD765A"/>
    <w:rsid w:val="00DD7A37"/>
    <w:rsid w:val="00DD7E0F"/>
    <w:rsid w:val="00DE0168"/>
    <w:rsid w:val="00DE0768"/>
    <w:rsid w:val="00DE20BE"/>
    <w:rsid w:val="00DE2E12"/>
    <w:rsid w:val="00DE4A65"/>
    <w:rsid w:val="00DE4D79"/>
    <w:rsid w:val="00DE58A0"/>
    <w:rsid w:val="00DE5A1F"/>
    <w:rsid w:val="00DE668F"/>
    <w:rsid w:val="00DE7BD0"/>
    <w:rsid w:val="00DE7CC4"/>
    <w:rsid w:val="00DE7F70"/>
    <w:rsid w:val="00DF0120"/>
    <w:rsid w:val="00DF0195"/>
    <w:rsid w:val="00DF112C"/>
    <w:rsid w:val="00DF18E5"/>
    <w:rsid w:val="00DF25A7"/>
    <w:rsid w:val="00DF2F63"/>
    <w:rsid w:val="00DF44E2"/>
    <w:rsid w:val="00DF4999"/>
    <w:rsid w:val="00DF4AE8"/>
    <w:rsid w:val="00DF4B72"/>
    <w:rsid w:val="00DF5431"/>
    <w:rsid w:val="00DF5FA5"/>
    <w:rsid w:val="00DF6D58"/>
    <w:rsid w:val="00DF7288"/>
    <w:rsid w:val="00DF75C5"/>
    <w:rsid w:val="00E000E4"/>
    <w:rsid w:val="00E01BC5"/>
    <w:rsid w:val="00E01D2C"/>
    <w:rsid w:val="00E03648"/>
    <w:rsid w:val="00E0404D"/>
    <w:rsid w:val="00E072FC"/>
    <w:rsid w:val="00E07622"/>
    <w:rsid w:val="00E07A3F"/>
    <w:rsid w:val="00E11189"/>
    <w:rsid w:val="00E11736"/>
    <w:rsid w:val="00E1300B"/>
    <w:rsid w:val="00E13EEB"/>
    <w:rsid w:val="00E203C3"/>
    <w:rsid w:val="00E2107E"/>
    <w:rsid w:val="00E210F5"/>
    <w:rsid w:val="00E21C27"/>
    <w:rsid w:val="00E22898"/>
    <w:rsid w:val="00E22E0E"/>
    <w:rsid w:val="00E22E77"/>
    <w:rsid w:val="00E2410C"/>
    <w:rsid w:val="00E246E1"/>
    <w:rsid w:val="00E24752"/>
    <w:rsid w:val="00E24B60"/>
    <w:rsid w:val="00E250B9"/>
    <w:rsid w:val="00E2666D"/>
    <w:rsid w:val="00E26DDC"/>
    <w:rsid w:val="00E26FE7"/>
    <w:rsid w:val="00E272D7"/>
    <w:rsid w:val="00E30FDA"/>
    <w:rsid w:val="00E31073"/>
    <w:rsid w:val="00E324CB"/>
    <w:rsid w:val="00E34296"/>
    <w:rsid w:val="00E35B07"/>
    <w:rsid w:val="00E36EF0"/>
    <w:rsid w:val="00E4012C"/>
    <w:rsid w:val="00E4104F"/>
    <w:rsid w:val="00E4179F"/>
    <w:rsid w:val="00E41987"/>
    <w:rsid w:val="00E4246C"/>
    <w:rsid w:val="00E42ED0"/>
    <w:rsid w:val="00E43143"/>
    <w:rsid w:val="00E43543"/>
    <w:rsid w:val="00E44110"/>
    <w:rsid w:val="00E4514F"/>
    <w:rsid w:val="00E45510"/>
    <w:rsid w:val="00E469E7"/>
    <w:rsid w:val="00E46C9D"/>
    <w:rsid w:val="00E479ED"/>
    <w:rsid w:val="00E47FD0"/>
    <w:rsid w:val="00E521AB"/>
    <w:rsid w:val="00E52371"/>
    <w:rsid w:val="00E52BFA"/>
    <w:rsid w:val="00E54E4C"/>
    <w:rsid w:val="00E552BA"/>
    <w:rsid w:val="00E560B0"/>
    <w:rsid w:val="00E5662E"/>
    <w:rsid w:val="00E57826"/>
    <w:rsid w:val="00E60117"/>
    <w:rsid w:val="00E60182"/>
    <w:rsid w:val="00E605F4"/>
    <w:rsid w:val="00E60696"/>
    <w:rsid w:val="00E60715"/>
    <w:rsid w:val="00E609A9"/>
    <w:rsid w:val="00E624C9"/>
    <w:rsid w:val="00E652EF"/>
    <w:rsid w:val="00E657A6"/>
    <w:rsid w:val="00E66FED"/>
    <w:rsid w:val="00E67340"/>
    <w:rsid w:val="00E67672"/>
    <w:rsid w:val="00E67D5C"/>
    <w:rsid w:val="00E67D6F"/>
    <w:rsid w:val="00E67DAB"/>
    <w:rsid w:val="00E702C7"/>
    <w:rsid w:val="00E70429"/>
    <w:rsid w:val="00E7046B"/>
    <w:rsid w:val="00E71B04"/>
    <w:rsid w:val="00E72052"/>
    <w:rsid w:val="00E73971"/>
    <w:rsid w:val="00E740E7"/>
    <w:rsid w:val="00E745BA"/>
    <w:rsid w:val="00E749C3"/>
    <w:rsid w:val="00E74BC8"/>
    <w:rsid w:val="00E7553C"/>
    <w:rsid w:val="00E75993"/>
    <w:rsid w:val="00E75B64"/>
    <w:rsid w:val="00E75BE6"/>
    <w:rsid w:val="00E75CF2"/>
    <w:rsid w:val="00E76232"/>
    <w:rsid w:val="00E76411"/>
    <w:rsid w:val="00E771D8"/>
    <w:rsid w:val="00E8192B"/>
    <w:rsid w:val="00E81A04"/>
    <w:rsid w:val="00E81C5A"/>
    <w:rsid w:val="00E82331"/>
    <w:rsid w:val="00E82A15"/>
    <w:rsid w:val="00E83058"/>
    <w:rsid w:val="00E84A74"/>
    <w:rsid w:val="00E85C5B"/>
    <w:rsid w:val="00E85DAD"/>
    <w:rsid w:val="00E860A7"/>
    <w:rsid w:val="00E86218"/>
    <w:rsid w:val="00E86F4F"/>
    <w:rsid w:val="00E87416"/>
    <w:rsid w:val="00E90BE2"/>
    <w:rsid w:val="00E90E13"/>
    <w:rsid w:val="00E910EC"/>
    <w:rsid w:val="00E912ED"/>
    <w:rsid w:val="00E915AB"/>
    <w:rsid w:val="00E91F23"/>
    <w:rsid w:val="00E92300"/>
    <w:rsid w:val="00E923B3"/>
    <w:rsid w:val="00E931FC"/>
    <w:rsid w:val="00E93E7A"/>
    <w:rsid w:val="00E94278"/>
    <w:rsid w:val="00E9552C"/>
    <w:rsid w:val="00E959D6"/>
    <w:rsid w:val="00E95BFD"/>
    <w:rsid w:val="00E95E70"/>
    <w:rsid w:val="00E9637B"/>
    <w:rsid w:val="00E9699E"/>
    <w:rsid w:val="00E97054"/>
    <w:rsid w:val="00E976B6"/>
    <w:rsid w:val="00E97866"/>
    <w:rsid w:val="00EA04BE"/>
    <w:rsid w:val="00EA08B3"/>
    <w:rsid w:val="00EA0F64"/>
    <w:rsid w:val="00EA31E1"/>
    <w:rsid w:val="00EA518D"/>
    <w:rsid w:val="00EA6CF3"/>
    <w:rsid w:val="00EA720D"/>
    <w:rsid w:val="00EA7539"/>
    <w:rsid w:val="00EB016A"/>
    <w:rsid w:val="00EB0CA0"/>
    <w:rsid w:val="00EB10A8"/>
    <w:rsid w:val="00EB193B"/>
    <w:rsid w:val="00EB1C1F"/>
    <w:rsid w:val="00EB22B5"/>
    <w:rsid w:val="00EB331B"/>
    <w:rsid w:val="00EB44FD"/>
    <w:rsid w:val="00EB7811"/>
    <w:rsid w:val="00EC05CF"/>
    <w:rsid w:val="00EC1235"/>
    <w:rsid w:val="00EC20C6"/>
    <w:rsid w:val="00EC2990"/>
    <w:rsid w:val="00EC2A16"/>
    <w:rsid w:val="00EC2E80"/>
    <w:rsid w:val="00EC57D0"/>
    <w:rsid w:val="00EC590D"/>
    <w:rsid w:val="00EC716A"/>
    <w:rsid w:val="00EC7223"/>
    <w:rsid w:val="00EC734F"/>
    <w:rsid w:val="00EC784C"/>
    <w:rsid w:val="00ED0357"/>
    <w:rsid w:val="00ED1B2D"/>
    <w:rsid w:val="00ED2105"/>
    <w:rsid w:val="00ED2652"/>
    <w:rsid w:val="00ED2D02"/>
    <w:rsid w:val="00ED2EA8"/>
    <w:rsid w:val="00ED482D"/>
    <w:rsid w:val="00ED509B"/>
    <w:rsid w:val="00ED5535"/>
    <w:rsid w:val="00ED5668"/>
    <w:rsid w:val="00ED59D6"/>
    <w:rsid w:val="00EE003D"/>
    <w:rsid w:val="00EE0405"/>
    <w:rsid w:val="00EE0D3B"/>
    <w:rsid w:val="00EE1004"/>
    <w:rsid w:val="00EE1828"/>
    <w:rsid w:val="00EE1BF8"/>
    <w:rsid w:val="00EE1D52"/>
    <w:rsid w:val="00EE1E25"/>
    <w:rsid w:val="00EE262F"/>
    <w:rsid w:val="00EE2F09"/>
    <w:rsid w:val="00EE4D89"/>
    <w:rsid w:val="00EE4DAE"/>
    <w:rsid w:val="00EE4E16"/>
    <w:rsid w:val="00EE5F51"/>
    <w:rsid w:val="00EE6013"/>
    <w:rsid w:val="00EE64C4"/>
    <w:rsid w:val="00EF24F5"/>
    <w:rsid w:val="00EF3111"/>
    <w:rsid w:val="00EF32D0"/>
    <w:rsid w:val="00EF387D"/>
    <w:rsid w:val="00EF3E62"/>
    <w:rsid w:val="00EF40F5"/>
    <w:rsid w:val="00EF4555"/>
    <w:rsid w:val="00EF4F2F"/>
    <w:rsid w:val="00EF5361"/>
    <w:rsid w:val="00EF542E"/>
    <w:rsid w:val="00EF5439"/>
    <w:rsid w:val="00EF6B9D"/>
    <w:rsid w:val="00F0091A"/>
    <w:rsid w:val="00F01BF4"/>
    <w:rsid w:val="00F01EB4"/>
    <w:rsid w:val="00F02F3A"/>
    <w:rsid w:val="00F07CF4"/>
    <w:rsid w:val="00F103B7"/>
    <w:rsid w:val="00F104BA"/>
    <w:rsid w:val="00F11AB9"/>
    <w:rsid w:val="00F12CFC"/>
    <w:rsid w:val="00F17B12"/>
    <w:rsid w:val="00F20B49"/>
    <w:rsid w:val="00F219BB"/>
    <w:rsid w:val="00F21B89"/>
    <w:rsid w:val="00F21C36"/>
    <w:rsid w:val="00F22468"/>
    <w:rsid w:val="00F247CD"/>
    <w:rsid w:val="00F256A2"/>
    <w:rsid w:val="00F25C89"/>
    <w:rsid w:val="00F26D5C"/>
    <w:rsid w:val="00F27A21"/>
    <w:rsid w:val="00F30F7C"/>
    <w:rsid w:val="00F31C37"/>
    <w:rsid w:val="00F31E06"/>
    <w:rsid w:val="00F32D7F"/>
    <w:rsid w:val="00F33247"/>
    <w:rsid w:val="00F332C4"/>
    <w:rsid w:val="00F33BED"/>
    <w:rsid w:val="00F33CE4"/>
    <w:rsid w:val="00F35C23"/>
    <w:rsid w:val="00F35EB6"/>
    <w:rsid w:val="00F37D22"/>
    <w:rsid w:val="00F40133"/>
    <w:rsid w:val="00F41458"/>
    <w:rsid w:val="00F4374C"/>
    <w:rsid w:val="00F44D5E"/>
    <w:rsid w:val="00F45A15"/>
    <w:rsid w:val="00F47B42"/>
    <w:rsid w:val="00F47E43"/>
    <w:rsid w:val="00F47EDA"/>
    <w:rsid w:val="00F50FF4"/>
    <w:rsid w:val="00F52D90"/>
    <w:rsid w:val="00F53E82"/>
    <w:rsid w:val="00F542F3"/>
    <w:rsid w:val="00F54540"/>
    <w:rsid w:val="00F54A92"/>
    <w:rsid w:val="00F54E35"/>
    <w:rsid w:val="00F55044"/>
    <w:rsid w:val="00F55666"/>
    <w:rsid w:val="00F568B0"/>
    <w:rsid w:val="00F57DE8"/>
    <w:rsid w:val="00F60441"/>
    <w:rsid w:val="00F61291"/>
    <w:rsid w:val="00F6192E"/>
    <w:rsid w:val="00F62863"/>
    <w:rsid w:val="00F62DE9"/>
    <w:rsid w:val="00F63869"/>
    <w:rsid w:val="00F63E3E"/>
    <w:rsid w:val="00F63EC4"/>
    <w:rsid w:val="00F646C3"/>
    <w:rsid w:val="00F65309"/>
    <w:rsid w:val="00F65FD8"/>
    <w:rsid w:val="00F661DB"/>
    <w:rsid w:val="00F66511"/>
    <w:rsid w:val="00F7051E"/>
    <w:rsid w:val="00F70C92"/>
    <w:rsid w:val="00F74D4E"/>
    <w:rsid w:val="00F754FC"/>
    <w:rsid w:val="00F7568B"/>
    <w:rsid w:val="00F7593E"/>
    <w:rsid w:val="00F7675B"/>
    <w:rsid w:val="00F77075"/>
    <w:rsid w:val="00F77E6F"/>
    <w:rsid w:val="00F77E84"/>
    <w:rsid w:val="00F82AC1"/>
    <w:rsid w:val="00F832E0"/>
    <w:rsid w:val="00F83635"/>
    <w:rsid w:val="00F84319"/>
    <w:rsid w:val="00F8466B"/>
    <w:rsid w:val="00F84B98"/>
    <w:rsid w:val="00F84F07"/>
    <w:rsid w:val="00F86C98"/>
    <w:rsid w:val="00F878B8"/>
    <w:rsid w:val="00F87935"/>
    <w:rsid w:val="00F9106F"/>
    <w:rsid w:val="00F91F74"/>
    <w:rsid w:val="00F92240"/>
    <w:rsid w:val="00F9257D"/>
    <w:rsid w:val="00F9288E"/>
    <w:rsid w:val="00F92AD4"/>
    <w:rsid w:val="00F9357D"/>
    <w:rsid w:val="00F9363D"/>
    <w:rsid w:val="00F94A4E"/>
    <w:rsid w:val="00F9595F"/>
    <w:rsid w:val="00F959C1"/>
    <w:rsid w:val="00F95A81"/>
    <w:rsid w:val="00F95B03"/>
    <w:rsid w:val="00F97950"/>
    <w:rsid w:val="00F97B8F"/>
    <w:rsid w:val="00FA020B"/>
    <w:rsid w:val="00FA07ED"/>
    <w:rsid w:val="00FA126E"/>
    <w:rsid w:val="00FA1774"/>
    <w:rsid w:val="00FA1FB0"/>
    <w:rsid w:val="00FA2117"/>
    <w:rsid w:val="00FA214D"/>
    <w:rsid w:val="00FA265E"/>
    <w:rsid w:val="00FA2889"/>
    <w:rsid w:val="00FA291F"/>
    <w:rsid w:val="00FA49FF"/>
    <w:rsid w:val="00FA4A5A"/>
    <w:rsid w:val="00FA4A5D"/>
    <w:rsid w:val="00FA5316"/>
    <w:rsid w:val="00FA5518"/>
    <w:rsid w:val="00FA7952"/>
    <w:rsid w:val="00FB0577"/>
    <w:rsid w:val="00FB2089"/>
    <w:rsid w:val="00FB2BC5"/>
    <w:rsid w:val="00FB2FD1"/>
    <w:rsid w:val="00FB3FFC"/>
    <w:rsid w:val="00FB46EF"/>
    <w:rsid w:val="00FB47DA"/>
    <w:rsid w:val="00FB4FA8"/>
    <w:rsid w:val="00FB563C"/>
    <w:rsid w:val="00FB5A36"/>
    <w:rsid w:val="00FB5C20"/>
    <w:rsid w:val="00FB5C52"/>
    <w:rsid w:val="00FB64F1"/>
    <w:rsid w:val="00FC06C3"/>
    <w:rsid w:val="00FC141C"/>
    <w:rsid w:val="00FC1A22"/>
    <w:rsid w:val="00FC2FF7"/>
    <w:rsid w:val="00FC3949"/>
    <w:rsid w:val="00FC3D45"/>
    <w:rsid w:val="00FC450C"/>
    <w:rsid w:val="00FC5055"/>
    <w:rsid w:val="00FC6E75"/>
    <w:rsid w:val="00FC7D3E"/>
    <w:rsid w:val="00FD1DAB"/>
    <w:rsid w:val="00FD2F2A"/>
    <w:rsid w:val="00FD33AC"/>
    <w:rsid w:val="00FD5B05"/>
    <w:rsid w:val="00FD5F26"/>
    <w:rsid w:val="00FE02D1"/>
    <w:rsid w:val="00FE059A"/>
    <w:rsid w:val="00FE098F"/>
    <w:rsid w:val="00FE126D"/>
    <w:rsid w:val="00FE216E"/>
    <w:rsid w:val="00FE2C25"/>
    <w:rsid w:val="00FE2DF0"/>
    <w:rsid w:val="00FE3C4E"/>
    <w:rsid w:val="00FE3C91"/>
    <w:rsid w:val="00FE473A"/>
    <w:rsid w:val="00FE581D"/>
    <w:rsid w:val="00FE5863"/>
    <w:rsid w:val="00FE5AE6"/>
    <w:rsid w:val="00FE5B41"/>
    <w:rsid w:val="00FE5CEF"/>
    <w:rsid w:val="00FE642E"/>
    <w:rsid w:val="00FE6502"/>
    <w:rsid w:val="00FE66D9"/>
    <w:rsid w:val="00FF1092"/>
    <w:rsid w:val="00FF147D"/>
    <w:rsid w:val="00FF192D"/>
    <w:rsid w:val="00FF2098"/>
    <w:rsid w:val="00FF38F4"/>
    <w:rsid w:val="00FF46D1"/>
    <w:rsid w:val="00FF5AF0"/>
    <w:rsid w:val="00FF6651"/>
    <w:rsid w:val="00FF6EF7"/>
    <w:rsid w:val="00FF6FCE"/>
    <w:rsid w:val="00FF7D3B"/>
    <w:rsid w:val="010416D0"/>
    <w:rsid w:val="010457BB"/>
    <w:rsid w:val="01087D1C"/>
    <w:rsid w:val="010D7985"/>
    <w:rsid w:val="011250B5"/>
    <w:rsid w:val="012C7BF7"/>
    <w:rsid w:val="01417567"/>
    <w:rsid w:val="014D047A"/>
    <w:rsid w:val="014D0EC0"/>
    <w:rsid w:val="01636E83"/>
    <w:rsid w:val="016B42D5"/>
    <w:rsid w:val="01745E8E"/>
    <w:rsid w:val="018378EB"/>
    <w:rsid w:val="01B22E75"/>
    <w:rsid w:val="01B42948"/>
    <w:rsid w:val="01BB1FB3"/>
    <w:rsid w:val="01CA2794"/>
    <w:rsid w:val="01CD539A"/>
    <w:rsid w:val="01D13A39"/>
    <w:rsid w:val="01DE37CB"/>
    <w:rsid w:val="020368CB"/>
    <w:rsid w:val="020F4208"/>
    <w:rsid w:val="02104E0C"/>
    <w:rsid w:val="0246078E"/>
    <w:rsid w:val="025320F2"/>
    <w:rsid w:val="025D7BD7"/>
    <w:rsid w:val="025E2E98"/>
    <w:rsid w:val="0269775A"/>
    <w:rsid w:val="028132C8"/>
    <w:rsid w:val="02925C80"/>
    <w:rsid w:val="02A142D6"/>
    <w:rsid w:val="02C25BBA"/>
    <w:rsid w:val="02C500FC"/>
    <w:rsid w:val="02DE442C"/>
    <w:rsid w:val="02EA4873"/>
    <w:rsid w:val="02EB1E41"/>
    <w:rsid w:val="02ED5B8E"/>
    <w:rsid w:val="030768D1"/>
    <w:rsid w:val="031318C3"/>
    <w:rsid w:val="031F41CC"/>
    <w:rsid w:val="03266AA7"/>
    <w:rsid w:val="03546191"/>
    <w:rsid w:val="035E53FD"/>
    <w:rsid w:val="03675EC4"/>
    <w:rsid w:val="03765BB3"/>
    <w:rsid w:val="039F19E2"/>
    <w:rsid w:val="039F42E4"/>
    <w:rsid w:val="03B231CE"/>
    <w:rsid w:val="03B2393A"/>
    <w:rsid w:val="03CA0C80"/>
    <w:rsid w:val="03E90D84"/>
    <w:rsid w:val="04004823"/>
    <w:rsid w:val="040F62E3"/>
    <w:rsid w:val="041F0478"/>
    <w:rsid w:val="04365445"/>
    <w:rsid w:val="04413471"/>
    <w:rsid w:val="045609B7"/>
    <w:rsid w:val="046E6DDE"/>
    <w:rsid w:val="04776320"/>
    <w:rsid w:val="047B0941"/>
    <w:rsid w:val="048554DC"/>
    <w:rsid w:val="048B5B19"/>
    <w:rsid w:val="049810DD"/>
    <w:rsid w:val="049D066B"/>
    <w:rsid w:val="049F0F6D"/>
    <w:rsid w:val="04A524BD"/>
    <w:rsid w:val="04B74621"/>
    <w:rsid w:val="04C71325"/>
    <w:rsid w:val="04D426FA"/>
    <w:rsid w:val="04D6042B"/>
    <w:rsid w:val="04F01DE7"/>
    <w:rsid w:val="05051BD7"/>
    <w:rsid w:val="050A1463"/>
    <w:rsid w:val="051D28D2"/>
    <w:rsid w:val="0528494B"/>
    <w:rsid w:val="05305904"/>
    <w:rsid w:val="05341081"/>
    <w:rsid w:val="05355BDA"/>
    <w:rsid w:val="05474423"/>
    <w:rsid w:val="0557577E"/>
    <w:rsid w:val="055D3FA5"/>
    <w:rsid w:val="05A16A35"/>
    <w:rsid w:val="05B21F98"/>
    <w:rsid w:val="05C96138"/>
    <w:rsid w:val="05D8725B"/>
    <w:rsid w:val="05EB4932"/>
    <w:rsid w:val="05ED7C26"/>
    <w:rsid w:val="061879F4"/>
    <w:rsid w:val="061C337B"/>
    <w:rsid w:val="06276F85"/>
    <w:rsid w:val="06585530"/>
    <w:rsid w:val="06B360EC"/>
    <w:rsid w:val="06BA402E"/>
    <w:rsid w:val="06CC0BA9"/>
    <w:rsid w:val="06D7509B"/>
    <w:rsid w:val="06E221FA"/>
    <w:rsid w:val="06EA1C53"/>
    <w:rsid w:val="06F82045"/>
    <w:rsid w:val="07031573"/>
    <w:rsid w:val="074E4450"/>
    <w:rsid w:val="0755457D"/>
    <w:rsid w:val="075F333B"/>
    <w:rsid w:val="07686EC1"/>
    <w:rsid w:val="0775785B"/>
    <w:rsid w:val="077E6889"/>
    <w:rsid w:val="078B75F2"/>
    <w:rsid w:val="07936324"/>
    <w:rsid w:val="07AF29AA"/>
    <w:rsid w:val="07C94DF5"/>
    <w:rsid w:val="07CF4038"/>
    <w:rsid w:val="07F24761"/>
    <w:rsid w:val="080D25B0"/>
    <w:rsid w:val="081862B7"/>
    <w:rsid w:val="08286C26"/>
    <w:rsid w:val="082F05D4"/>
    <w:rsid w:val="08321E90"/>
    <w:rsid w:val="086F6F1F"/>
    <w:rsid w:val="08720448"/>
    <w:rsid w:val="0895520F"/>
    <w:rsid w:val="089750F6"/>
    <w:rsid w:val="08C31FFD"/>
    <w:rsid w:val="08C51FE2"/>
    <w:rsid w:val="08C65EB2"/>
    <w:rsid w:val="08C928DA"/>
    <w:rsid w:val="08CD52A3"/>
    <w:rsid w:val="08D201F7"/>
    <w:rsid w:val="08E67426"/>
    <w:rsid w:val="08E80701"/>
    <w:rsid w:val="08F648FA"/>
    <w:rsid w:val="0902645A"/>
    <w:rsid w:val="090C0A67"/>
    <w:rsid w:val="091522FC"/>
    <w:rsid w:val="09180FEC"/>
    <w:rsid w:val="0926457E"/>
    <w:rsid w:val="093305F6"/>
    <w:rsid w:val="093E1A0B"/>
    <w:rsid w:val="094F40A1"/>
    <w:rsid w:val="09641F42"/>
    <w:rsid w:val="09686399"/>
    <w:rsid w:val="0969717F"/>
    <w:rsid w:val="09725813"/>
    <w:rsid w:val="097E3F67"/>
    <w:rsid w:val="099373E7"/>
    <w:rsid w:val="099D737B"/>
    <w:rsid w:val="09BC05EC"/>
    <w:rsid w:val="09D302F8"/>
    <w:rsid w:val="09DE7ED5"/>
    <w:rsid w:val="09E244F6"/>
    <w:rsid w:val="09E46732"/>
    <w:rsid w:val="09EC2B96"/>
    <w:rsid w:val="09FC5291"/>
    <w:rsid w:val="09FD5C6A"/>
    <w:rsid w:val="0A0478E0"/>
    <w:rsid w:val="0A0B142C"/>
    <w:rsid w:val="0A486323"/>
    <w:rsid w:val="0A4C5E14"/>
    <w:rsid w:val="0A4F1CC2"/>
    <w:rsid w:val="0A6236F4"/>
    <w:rsid w:val="0A714560"/>
    <w:rsid w:val="0A716B01"/>
    <w:rsid w:val="0A7D1661"/>
    <w:rsid w:val="0A8729A8"/>
    <w:rsid w:val="0AAB05DC"/>
    <w:rsid w:val="0AB12AAD"/>
    <w:rsid w:val="0AC04A3E"/>
    <w:rsid w:val="0AC8113D"/>
    <w:rsid w:val="0AD100C7"/>
    <w:rsid w:val="0AEC186B"/>
    <w:rsid w:val="0AFA64CB"/>
    <w:rsid w:val="0B052BD3"/>
    <w:rsid w:val="0B183C29"/>
    <w:rsid w:val="0B1E24E0"/>
    <w:rsid w:val="0B213F21"/>
    <w:rsid w:val="0B2D43BD"/>
    <w:rsid w:val="0B3C0E71"/>
    <w:rsid w:val="0B424D6B"/>
    <w:rsid w:val="0B561090"/>
    <w:rsid w:val="0B5A65C0"/>
    <w:rsid w:val="0B603C91"/>
    <w:rsid w:val="0B69407C"/>
    <w:rsid w:val="0B7C0033"/>
    <w:rsid w:val="0B81216F"/>
    <w:rsid w:val="0BA535BA"/>
    <w:rsid w:val="0BC71EB5"/>
    <w:rsid w:val="0BDD6D45"/>
    <w:rsid w:val="0BDF7236"/>
    <w:rsid w:val="0BEA40E5"/>
    <w:rsid w:val="0BFA364D"/>
    <w:rsid w:val="0C1C0B84"/>
    <w:rsid w:val="0C203D65"/>
    <w:rsid w:val="0C381D7F"/>
    <w:rsid w:val="0C425295"/>
    <w:rsid w:val="0C51304B"/>
    <w:rsid w:val="0C55747D"/>
    <w:rsid w:val="0C681F7F"/>
    <w:rsid w:val="0C6F088F"/>
    <w:rsid w:val="0C757ED3"/>
    <w:rsid w:val="0CAC2668"/>
    <w:rsid w:val="0CAC5090"/>
    <w:rsid w:val="0CB55465"/>
    <w:rsid w:val="0CC46135"/>
    <w:rsid w:val="0CCD0E04"/>
    <w:rsid w:val="0CE93538"/>
    <w:rsid w:val="0CF875C7"/>
    <w:rsid w:val="0CFB2899"/>
    <w:rsid w:val="0D354EBC"/>
    <w:rsid w:val="0D42705A"/>
    <w:rsid w:val="0D436E32"/>
    <w:rsid w:val="0D454568"/>
    <w:rsid w:val="0D455F6D"/>
    <w:rsid w:val="0D474670"/>
    <w:rsid w:val="0D5A40C9"/>
    <w:rsid w:val="0D831390"/>
    <w:rsid w:val="0D9D3DDE"/>
    <w:rsid w:val="0DBE4FF5"/>
    <w:rsid w:val="0DBE5A53"/>
    <w:rsid w:val="0DC03D8A"/>
    <w:rsid w:val="0DCB50F9"/>
    <w:rsid w:val="0DD000B6"/>
    <w:rsid w:val="0DD73F1D"/>
    <w:rsid w:val="0DDE0DD9"/>
    <w:rsid w:val="0E295676"/>
    <w:rsid w:val="0E3A1449"/>
    <w:rsid w:val="0E474D12"/>
    <w:rsid w:val="0E5A4B8D"/>
    <w:rsid w:val="0E5B6625"/>
    <w:rsid w:val="0E5C288F"/>
    <w:rsid w:val="0E5E40AC"/>
    <w:rsid w:val="0E6354DA"/>
    <w:rsid w:val="0EBD5ABF"/>
    <w:rsid w:val="0ED403FD"/>
    <w:rsid w:val="0EF7630A"/>
    <w:rsid w:val="0EFA56DF"/>
    <w:rsid w:val="0F022F45"/>
    <w:rsid w:val="0F086EFC"/>
    <w:rsid w:val="0F264E85"/>
    <w:rsid w:val="0F2833C5"/>
    <w:rsid w:val="0F3965DC"/>
    <w:rsid w:val="0F525A5A"/>
    <w:rsid w:val="0F655282"/>
    <w:rsid w:val="0F6A5E06"/>
    <w:rsid w:val="0F7658A1"/>
    <w:rsid w:val="0F7F00F1"/>
    <w:rsid w:val="0F902CCD"/>
    <w:rsid w:val="0FAF605E"/>
    <w:rsid w:val="0FB34C8D"/>
    <w:rsid w:val="0FC449EB"/>
    <w:rsid w:val="0FCF529B"/>
    <w:rsid w:val="0FDC314E"/>
    <w:rsid w:val="0FDF0BB3"/>
    <w:rsid w:val="0FE508E3"/>
    <w:rsid w:val="0FF205F0"/>
    <w:rsid w:val="0FF51087"/>
    <w:rsid w:val="10142F30"/>
    <w:rsid w:val="10225986"/>
    <w:rsid w:val="102731E1"/>
    <w:rsid w:val="104A58B6"/>
    <w:rsid w:val="104C6855"/>
    <w:rsid w:val="10541363"/>
    <w:rsid w:val="106D5646"/>
    <w:rsid w:val="106F2E67"/>
    <w:rsid w:val="107B7E24"/>
    <w:rsid w:val="107D4FB7"/>
    <w:rsid w:val="1084680A"/>
    <w:rsid w:val="108840FD"/>
    <w:rsid w:val="10993D4D"/>
    <w:rsid w:val="10A92A68"/>
    <w:rsid w:val="10AE43A6"/>
    <w:rsid w:val="10F22276"/>
    <w:rsid w:val="1115722A"/>
    <w:rsid w:val="11210CC2"/>
    <w:rsid w:val="112C5753"/>
    <w:rsid w:val="113A6EDF"/>
    <w:rsid w:val="113E50EE"/>
    <w:rsid w:val="114D016C"/>
    <w:rsid w:val="116264CE"/>
    <w:rsid w:val="116D5AEB"/>
    <w:rsid w:val="11A82935"/>
    <w:rsid w:val="11B14B7D"/>
    <w:rsid w:val="11B5429E"/>
    <w:rsid w:val="11BB22E4"/>
    <w:rsid w:val="11BB5642"/>
    <w:rsid w:val="11C5275B"/>
    <w:rsid w:val="11EF5C58"/>
    <w:rsid w:val="11F004AA"/>
    <w:rsid w:val="12044219"/>
    <w:rsid w:val="12091508"/>
    <w:rsid w:val="120E6325"/>
    <w:rsid w:val="12155B81"/>
    <w:rsid w:val="12190AED"/>
    <w:rsid w:val="1230601B"/>
    <w:rsid w:val="124E3F23"/>
    <w:rsid w:val="12531858"/>
    <w:rsid w:val="12561138"/>
    <w:rsid w:val="125C6E24"/>
    <w:rsid w:val="125E320E"/>
    <w:rsid w:val="125E5526"/>
    <w:rsid w:val="126444EB"/>
    <w:rsid w:val="127513B4"/>
    <w:rsid w:val="127E6DCA"/>
    <w:rsid w:val="128422EB"/>
    <w:rsid w:val="128568D3"/>
    <w:rsid w:val="128A7EEA"/>
    <w:rsid w:val="129764BC"/>
    <w:rsid w:val="12A617D0"/>
    <w:rsid w:val="12D422E9"/>
    <w:rsid w:val="12DF116C"/>
    <w:rsid w:val="132B3D06"/>
    <w:rsid w:val="132D60B6"/>
    <w:rsid w:val="134A0636"/>
    <w:rsid w:val="134F0723"/>
    <w:rsid w:val="13533D6F"/>
    <w:rsid w:val="13567B67"/>
    <w:rsid w:val="135E2875"/>
    <w:rsid w:val="13B6213F"/>
    <w:rsid w:val="13B744CB"/>
    <w:rsid w:val="13CB434D"/>
    <w:rsid w:val="13D16086"/>
    <w:rsid w:val="1403204C"/>
    <w:rsid w:val="14140182"/>
    <w:rsid w:val="14331F35"/>
    <w:rsid w:val="143358CF"/>
    <w:rsid w:val="143B3924"/>
    <w:rsid w:val="14496CDB"/>
    <w:rsid w:val="14690E3A"/>
    <w:rsid w:val="147E2723"/>
    <w:rsid w:val="149B422A"/>
    <w:rsid w:val="149E00D7"/>
    <w:rsid w:val="14C90162"/>
    <w:rsid w:val="14CD01E1"/>
    <w:rsid w:val="14E17DB7"/>
    <w:rsid w:val="14E80251"/>
    <w:rsid w:val="14F73119"/>
    <w:rsid w:val="14FB4D61"/>
    <w:rsid w:val="14FF41BE"/>
    <w:rsid w:val="1509149A"/>
    <w:rsid w:val="150C161A"/>
    <w:rsid w:val="154A7B84"/>
    <w:rsid w:val="155F624F"/>
    <w:rsid w:val="15640D44"/>
    <w:rsid w:val="15683064"/>
    <w:rsid w:val="15957736"/>
    <w:rsid w:val="15AA51CA"/>
    <w:rsid w:val="15B10359"/>
    <w:rsid w:val="15BC15D4"/>
    <w:rsid w:val="15C15A22"/>
    <w:rsid w:val="15C92F1A"/>
    <w:rsid w:val="15DD4874"/>
    <w:rsid w:val="15FF452F"/>
    <w:rsid w:val="16016360"/>
    <w:rsid w:val="160310AF"/>
    <w:rsid w:val="160A2580"/>
    <w:rsid w:val="1616228E"/>
    <w:rsid w:val="16285602"/>
    <w:rsid w:val="163B3EE9"/>
    <w:rsid w:val="16452817"/>
    <w:rsid w:val="165D45DD"/>
    <w:rsid w:val="165D493A"/>
    <w:rsid w:val="166045B3"/>
    <w:rsid w:val="1665769A"/>
    <w:rsid w:val="166B3D37"/>
    <w:rsid w:val="166F082A"/>
    <w:rsid w:val="16754CD4"/>
    <w:rsid w:val="16956398"/>
    <w:rsid w:val="16977247"/>
    <w:rsid w:val="16A3057A"/>
    <w:rsid w:val="16A57B54"/>
    <w:rsid w:val="16A8564B"/>
    <w:rsid w:val="16A95E65"/>
    <w:rsid w:val="16B17755"/>
    <w:rsid w:val="16C21616"/>
    <w:rsid w:val="16CA02A4"/>
    <w:rsid w:val="16D6070C"/>
    <w:rsid w:val="16FD5F63"/>
    <w:rsid w:val="17083812"/>
    <w:rsid w:val="170D2487"/>
    <w:rsid w:val="171410FC"/>
    <w:rsid w:val="17171C4A"/>
    <w:rsid w:val="17224FFB"/>
    <w:rsid w:val="172341EB"/>
    <w:rsid w:val="172F15EA"/>
    <w:rsid w:val="17307630"/>
    <w:rsid w:val="1734226D"/>
    <w:rsid w:val="173C495C"/>
    <w:rsid w:val="174024B0"/>
    <w:rsid w:val="17692FA4"/>
    <w:rsid w:val="17697955"/>
    <w:rsid w:val="17717889"/>
    <w:rsid w:val="17994A4A"/>
    <w:rsid w:val="179C7B46"/>
    <w:rsid w:val="17A16453"/>
    <w:rsid w:val="17A3726E"/>
    <w:rsid w:val="17A8092F"/>
    <w:rsid w:val="17BD40D2"/>
    <w:rsid w:val="17BF07D9"/>
    <w:rsid w:val="17BF5181"/>
    <w:rsid w:val="17C21A08"/>
    <w:rsid w:val="17C22E25"/>
    <w:rsid w:val="17CD0A29"/>
    <w:rsid w:val="17D3763F"/>
    <w:rsid w:val="17E0095D"/>
    <w:rsid w:val="17E61965"/>
    <w:rsid w:val="17E76B85"/>
    <w:rsid w:val="17F92DB9"/>
    <w:rsid w:val="17FE48F6"/>
    <w:rsid w:val="1800703F"/>
    <w:rsid w:val="180A176C"/>
    <w:rsid w:val="18195FF7"/>
    <w:rsid w:val="181F52F8"/>
    <w:rsid w:val="18456E5E"/>
    <w:rsid w:val="1853005E"/>
    <w:rsid w:val="185A16FC"/>
    <w:rsid w:val="186E67E3"/>
    <w:rsid w:val="1873245A"/>
    <w:rsid w:val="188129AF"/>
    <w:rsid w:val="18814E44"/>
    <w:rsid w:val="188321F1"/>
    <w:rsid w:val="18A7772D"/>
    <w:rsid w:val="191A5A3C"/>
    <w:rsid w:val="19231E39"/>
    <w:rsid w:val="192C0B32"/>
    <w:rsid w:val="197827C8"/>
    <w:rsid w:val="197D517F"/>
    <w:rsid w:val="199C184A"/>
    <w:rsid w:val="199C75F9"/>
    <w:rsid w:val="19B12CC6"/>
    <w:rsid w:val="19B17D71"/>
    <w:rsid w:val="19F60602"/>
    <w:rsid w:val="1A0852A8"/>
    <w:rsid w:val="1A0A3567"/>
    <w:rsid w:val="1A1228DA"/>
    <w:rsid w:val="1A332204"/>
    <w:rsid w:val="1A3A17E5"/>
    <w:rsid w:val="1A5D0570"/>
    <w:rsid w:val="1A661D2E"/>
    <w:rsid w:val="1A69195A"/>
    <w:rsid w:val="1A787C3A"/>
    <w:rsid w:val="1A8623D7"/>
    <w:rsid w:val="1A874C1A"/>
    <w:rsid w:val="1A9768B8"/>
    <w:rsid w:val="1AD44508"/>
    <w:rsid w:val="1AE11965"/>
    <w:rsid w:val="1AEF160A"/>
    <w:rsid w:val="1AF51DF3"/>
    <w:rsid w:val="1AF87DE1"/>
    <w:rsid w:val="1B18590F"/>
    <w:rsid w:val="1B494A52"/>
    <w:rsid w:val="1B5D2C68"/>
    <w:rsid w:val="1B6A60FA"/>
    <w:rsid w:val="1B731801"/>
    <w:rsid w:val="1B8862B8"/>
    <w:rsid w:val="1B8D755C"/>
    <w:rsid w:val="1BA24338"/>
    <w:rsid w:val="1BB823FD"/>
    <w:rsid w:val="1BD1311E"/>
    <w:rsid w:val="1BD34109"/>
    <w:rsid w:val="1C171F02"/>
    <w:rsid w:val="1C282ECB"/>
    <w:rsid w:val="1C3B154C"/>
    <w:rsid w:val="1C3F17B5"/>
    <w:rsid w:val="1C5947E1"/>
    <w:rsid w:val="1C7020CB"/>
    <w:rsid w:val="1C822255"/>
    <w:rsid w:val="1C8F460D"/>
    <w:rsid w:val="1CA60404"/>
    <w:rsid w:val="1CD90B8F"/>
    <w:rsid w:val="1CDC37CD"/>
    <w:rsid w:val="1CFC6AF6"/>
    <w:rsid w:val="1D3B7B21"/>
    <w:rsid w:val="1D3C7994"/>
    <w:rsid w:val="1D3F365B"/>
    <w:rsid w:val="1D4D078D"/>
    <w:rsid w:val="1D7E7727"/>
    <w:rsid w:val="1DA34F0E"/>
    <w:rsid w:val="1DB152A8"/>
    <w:rsid w:val="1DD2641D"/>
    <w:rsid w:val="1DDF1D83"/>
    <w:rsid w:val="1DE55C9C"/>
    <w:rsid w:val="1E084BA2"/>
    <w:rsid w:val="1E195BB5"/>
    <w:rsid w:val="1E2C4E72"/>
    <w:rsid w:val="1E2E78B2"/>
    <w:rsid w:val="1E3E33B1"/>
    <w:rsid w:val="1E560A60"/>
    <w:rsid w:val="1E5D1F46"/>
    <w:rsid w:val="1E5E31B8"/>
    <w:rsid w:val="1E7E4B2B"/>
    <w:rsid w:val="1E8D1963"/>
    <w:rsid w:val="1E911BEF"/>
    <w:rsid w:val="1EBE453C"/>
    <w:rsid w:val="1ED16A0B"/>
    <w:rsid w:val="1ED65854"/>
    <w:rsid w:val="1ED80307"/>
    <w:rsid w:val="1EF15F4B"/>
    <w:rsid w:val="1EFF44A0"/>
    <w:rsid w:val="1F020D18"/>
    <w:rsid w:val="1F0A1CAD"/>
    <w:rsid w:val="1F1A19B4"/>
    <w:rsid w:val="1F1B3546"/>
    <w:rsid w:val="1F1E23D1"/>
    <w:rsid w:val="1F2479C9"/>
    <w:rsid w:val="1F253549"/>
    <w:rsid w:val="1F261AB2"/>
    <w:rsid w:val="1F48677A"/>
    <w:rsid w:val="1F6E657F"/>
    <w:rsid w:val="1FB3491D"/>
    <w:rsid w:val="1FBD5144"/>
    <w:rsid w:val="1FBF3C1C"/>
    <w:rsid w:val="1FE83A91"/>
    <w:rsid w:val="1FF313BB"/>
    <w:rsid w:val="20042BAF"/>
    <w:rsid w:val="20053857"/>
    <w:rsid w:val="202565B9"/>
    <w:rsid w:val="20541126"/>
    <w:rsid w:val="20554299"/>
    <w:rsid w:val="207A7D0E"/>
    <w:rsid w:val="208412FA"/>
    <w:rsid w:val="20967991"/>
    <w:rsid w:val="20AB69D2"/>
    <w:rsid w:val="20AD6601"/>
    <w:rsid w:val="20AF45AF"/>
    <w:rsid w:val="20BC28ED"/>
    <w:rsid w:val="20F44EB8"/>
    <w:rsid w:val="210516E4"/>
    <w:rsid w:val="211F34E2"/>
    <w:rsid w:val="21467805"/>
    <w:rsid w:val="214B3D98"/>
    <w:rsid w:val="21784D94"/>
    <w:rsid w:val="217F1B02"/>
    <w:rsid w:val="21A3329B"/>
    <w:rsid w:val="21B467C0"/>
    <w:rsid w:val="21BA2A12"/>
    <w:rsid w:val="21EC35E7"/>
    <w:rsid w:val="21F275DC"/>
    <w:rsid w:val="21FB217D"/>
    <w:rsid w:val="21FE53C9"/>
    <w:rsid w:val="220520F0"/>
    <w:rsid w:val="2207175D"/>
    <w:rsid w:val="22366017"/>
    <w:rsid w:val="22394A78"/>
    <w:rsid w:val="224A3FAC"/>
    <w:rsid w:val="22514CF2"/>
    <w:rsid w:val="22594C2E"/>
    <w:rsid w:val="22734A4D"/>
    <w:rsid w:val="228F5F0E"/>
    <w:rsid w:val="229301BF"/>
    <w:rsid w:val="229633C5"/>
    <w:rsid w:val="229853EE"/>
    <w:rsid w:val="229E5582"/>
    <w:rsid w:val="22AC4828"/>
    <w:rsid w:val="22CB010F"/>
    <w:rsid w:val="22DA6B1E"/>
    <w:rsid w:val="22E55AD1"/>
    <w:rsid w:val="22E62420"/>
    <w:rsid w:val="22E7257A"/>
    <w:rsid w:val="22FE2917"/>
    <w:rsid w:val="23071FF0"/>
    <w:rsid w:val="23075965"/>
    <w:rsid w:val="23123E05"/>
    <w:rsid w:val="23131962"/>
    <w:rsid w:val="23174D38"/>
    <w:rsid w:val="232B0D04"/>
    <w:rsid w:val="233723C9"/>
    <w:rsid w:val="2369138D"/>
    <w:rsid w:val="23756C34"/>
    <w:rsid w:val="237E2DED"/>
    <w:rsid w:val="238113F6"/>
    <w:rsid w:val="238C4714"/>
    <w:rsid w:val="239434E5"/>
    <w:rsid w:val="23A70E06"/>
    <w:rsid w:val="23BE0D8A"/>
    <w:rsid w:val="23C35A13"/>
    <w:rsid w:val="23C7533F"/>
    <w:rsid w:val="23CB7870"/>
    <w:rsid w:val="23EF1892"/>
    <w:rsid w:val="23F944BF"/>
    <w:rsid w:val="242272D5"/>
    <w:rsid w:val="24395966"/>
    <w:rsid w:val="243F1868"/>
    <w:rsid w:val="244E3D53"/>
    <w:rsid w:val="246603BE"/>
    <w:rsid w:val="24695F02"/>
    <w:rsid w:val="249319E9"/>
    <w:rsid w:val="24946D94"/>
    <w:rsid w:val="249C399D"/>
    <w:rsid w:val="249F5E49"/>
    <w:rsid w:val="24AC65A4"/>
    <w:rsid w:val="24AF11FC"/>
    <w:rsid w:val="24C148B0"/>
    <w:rsid w:val="24CA3EAF"/>
    <w:rsid w:val="24E06560"/>
    <w:rsid w:val="24EC54D2"/>
    <w:rsid w:val="24F86DB6"/>
    <w:rsid w:val="24FF6F33"/>
    <w:rsid w:val="25132028"/>
    <w:rsid w:val="2551040F"/>
    <w:rsid w:val="255B1EC7"/>
    <w:rsid w:val="256A7902"/>
    <w:rsid w:val="257439A3"/>
    <w:rsid w:val="257459D4"/>
    <w:rsid w:val="25B53CA1"/>
    <w:rsid w:val="25CD2D74"/>
    <w:rsid w:val="25EC41E4"/>
    <w:rsid w:val="26152813"/>
    <w:rsid w:val="262B318D"/>
    <w:rsid w:val="26315AFC"/>
    <w:rsid w:val="264A074B"/>
    <w:rsid w:val="264A1CCB"/>
    <w:rsid w:val="264D4A70"/>
    <w:rsid w:val="26515EB2"/>
    <w:rsid w:val="26662F12"/>
    <w:rsid w:val="268D619E"/>
    <w:rsid w:val="2694273C"/>
    <w:rsid w:val="26963226"/>
    <w:rsid w:val="26C36D5F"/>
    <w:rsid w:val="26D75F6F"/>
    <w:rsid w:val="26E565DB"/>
    <w:rsid w:val="26EC3BEF"/>
    <w:rsid w:val="26F23D33"/>
    <w:rsid w:val="27123CBB"/>
    <w:rsid w:val="2714160F"/>
    <w:rsid w:val="273A20B3"/>
    <w:rsid w:val="2756564D"/>
    <w:rsid w:val="27687A55"/>
    <w:rsid w:val="276A4A82"/>
    <w:rsid w:val="27C40759"/>
    <w:rsid w:val="27D56E27"/>
    <w:rsid w:val="27E708D7"/>
    <w:rsid w:val="27EA3E46"/>
    <w:rsid w:val="27EC6E59"/>
    <w:rsid w:val="27F77914"/>
    <w:rsid w:val="27F85438"/>
    <w:rsid w:val="281632B0"/>
    <w:rsid w:val="28192950"/>
    <w:rsid w:val="28253777"/>
    <w:rsid w:val="2829487E"/>
    <w:rsid w:val="2858231E"/>
    <w:rsid w:val="286B4664"/>
    <w:rsid w:val="286D65DE"/>
    <w:rsid w:val="286F4B9A"/>
    <w:rsid w:val="28A548FD"/>
    <w:rsid w:val="28A76BA9"/>
    <w:rsid w:val="28AB1AFF"/>
    <w:rsid w:val="28B62DCE"/>
    <w:rsid w:val="28C12C58"/>
    <w:rsid w:val="28CB17E8"/>
    <w:rsid w:val="28CF41EB"/>
    <w:rsid w:val="28D15861"/>
    <w:rsid w:val="28DC56B4"/>
    <w:rsid w:val="28DC5EA4"/>
    <w:rsid w:val="2902001C"/>
    <w:rsid w:val="290652AA"/>
    <w:rsid w:val="291E6AD0"/>
    <w:rsid w:val="29427A44"/>
    <w:rsid w:val="29456FBE"/>
    <w:rsid w:val="29474D55"/>
    <w:rsid w:val="29516251"/>
    <w:rsid w:val="295B5133"/>
    <w:rsid w:val="295C48C4"/>
    <w:rsid w:val="29652DD4"/>
    <w:rsid w:val="2975339C"/>
    <w:rsid w:val="297661E9"/>
    <w:rsid w:val="29A32A80"/>
    <w:rsid w:val="29A52C4D"/>
    <w:rsid w:val="29C8065E"/>
    <w:rsid w:val="29D46839"/>
    <w:rsid w:val="29D93241"/>
    <w:rsid w:val="29FD51A1"/>
    <w:rsid w:val="2A0730C3"/>
    <w:rsid w:val="2A1262DA"/>
    <w:rsid w:val="2A1627C6"/>
    <w:rsid w:val="2A3713D5"/>
    <w:rsid w:val="2A3E5BC8"/>
    <w:rsid w:val="2A404544"/>
    <w:rsid w:val="2A446887"/>
    <w:rsid w:val="2A4C0FCB"/>
    <w:rsid w:val="2A617867"/>
    <w:rsid w:val="2A6527AC"/>
    <w:rsid w:val="2A737D83"/>
    <w:rsid w:val="2A7D7C17"/>
    <w:rsid w:val="2A8D1599"/>
    <w:rsid w:val="2A9750AF"/>
    <w:rsid w:val="2AC36A18"/>
    <w:rsid w:val="2B03391C"/>
    <w:rsid w:val="2B065393"/>
    <w:rsid w:val="2B113454"/>
    <w:rsid w:val="2B6966E1"/>
    <w:rsid w:val="2B7902F8"/>
    <w:rsid w:val="2B7A2C4D"/>
    <w:rsid w:val="2B803135"/>
    <w:rsid w:val="2B880314"/>
    <w:rsid w:val="2B914C21"/>
    <w:rsid w:val="2B996587"/>
    <w:rsid w:val="2B9C744E"/>
    <w:rsid w:val="2BA01329"/>
    <w:rsid w:val="2BAA5B01"/>
    <w:rsid w:val="2BAB3D7C"/>
    <w:rsid w:val="2BAF7CE0"/>
    <w:rsid w:val="2BB05FF2"/>
    <w:rsid w:val="2BB11227"/>
    <w:rsid w:val="2BD9646E"/>
    <w:rsid w:val="2BF44B6C"/>
    <w:rsid w:val="2BF84702"/>
    <w:rsid w:val="2C111C4E"/>
    <w:rsid w:val="2C177CD2"/>
    <w:rsid w:val="2C2661CB"/>
    <w:rsid w:val="2C2D3207"/>
    <w:rsid w:val="2C355C30"/>
    <w:rsid w:val="2C3D4960"/>
    <w:rsid w:val="2C415298"/>
    <w:rsid w:val="2C503DCB"/>
    <w:rsid w:val="2C5129BE"/>
    <w:rsid w:val="2C545C2A"/>
    <w:rsid w:val="2C827A9B"/>
    <w:rsid w:val="2C95730F"/>
    <w:rsid w:val="2CA927FA"/>
    <w:rsid w:val="2CAE0BF0"/>
    <w:rsid w:val="2CCC0E1D"/>
    <w:rsid w:val="2CCD1003"/>
    <w:rsid w:val="2CCD42F6"/>
    <w:rsid w:val="2CCD4960"/>
    <w:rsid w:val="2CCD64E8"/>
    <w:rsid w:val="2CEA709A"/>
    <w:rsid w:val="2CFE0E33"/>
    <w:rsid w:val="2D2036F2"/>
    <w:rsid w:val="2D233A71"/>
    <w:rsid w:val="2D273C2E"/>
    <w:rsid w:val="2D2C4131"/>
    <w:rsid w:val="2D4A12A0"/>
    <w:rsid w:val="2D4F41F6"/>
    <w:rsid w:val="2D546562"/>
    <w:rsid w:val="2D55249B"/>
    <w:rsid w:val="2D5564C3"/>
    <w:rsid w:val="2D6159FC"/>
    <w:rsid w:val="2D75014C"/>
    <w:rsid w:val="2D7B49F7"/>
    <w:rsid w:val="2D9E0720"/>
    <w:rsid w:val="2D9E7749"/>
    <w:rsid w:val="2DAC4A35"/>
    <w:rsid w:val="2DF05FF6"/>
    <w:rsid w:val="2E0816F9"/>
    <w:rsid w:val="2E547C76"/>
    <w:rsid w:val="2E636C59"/>
    <w:rsid w:val="2E6F7A4E"/>
    <w:rsid w:val="2E70125D"/>
    <w:rsid w:val="2E895B31"/>
    <w:rsid w:val="2E932DCB"/>
    <w:rsid w:val="2EA01138"/>
    <w:rsid w:val="2EC92CDF"/>
    <w:rsid w:val="2ECF511C"/>
    <w:rsid w:val="2ED735A2"/>
    <w:rsid w:val="2EE24C44"/>
    <w:rsid w:val="2EF06257"/>
    <w:rsid w:val="2F081A04"/>
    <w:rsid w:val="2F3605D7"/>
    <w:rsid w:val="2F403AC2"/>
    <w:rsid w:val="2F407445"/>
    <w:rsid w:val="2F416D1A"/>
    <w:rsid w:val="2F4E33CE"/>
    <w:rsid w:val="2F5527C5"/>
    <w:rsid w:val="2F6938AF"/>
    <w:rsid w:val="2F734E5C"/>
    <w:rsid w:val="2F8040C7"/>
    <w:rsid w:val="2F824C4F"/>
    <w:rsid w:val="2F8E3E77"/>
    <w:rsid w:val="2F9140F6"/>
    <w:rsid w:val="2F994D8C"/>
    <w:rsid w:val="2FB9776B"/>
    <w:rsid w:val="2FBD57FF"/>
    <w:rsid w:val="2FC83702"/>
    <w:rsid w:val="2FCF0B5D"/>
    <w:rsid w:val="2FDD5148"/>
    <w:rsid w:val="300F1DB7"/>
    <w:rsid w:val="30212652"/>
    <w:rsid w:val="30303586"/>
    <w:rsid w:val="303A28E9"/>
    <w:rsid w:val="30556F21"/>
    <w:rsid w:val="30716D5E"/>
    <w:rsid w:val="307A33FC"/>
    <w:rsid w:val="308B5554"/>
    <w:rsid w:val="30A259A9"/>
    <w:rsid w:val="310757C9"/>
    <w:rsid w:val="310A276C"/>
    <w:rsid w:val="311252FD"/>
    <w:rsid w:val="3119177A"/>
    <w:rsid w:val="311B04E6"/>
    <w:rsid w:val="311F6A83"/>
    <w:rsid w:val="3121752A"/>
    <w:rsid w:val="313D6E09"/>
    <w:rsid w:val="31475523"/>
    <w:rsid w:val="315A5AFA"/>
    <w:rsid w:val="315D4487"/>
    <w:rsid w:val="316B4522"/>
    <w:rsid w:val="317B02E4"/>
    <w:rsid w:val="31892F8E"/>
    <w:rsid w:val="318D53A5"/>
    <w:rsid w:val="318F2F55"/>
    <w:rsid w:val="31A907C5"/>
    <w:rsid w:val="31DD527D"/>
    <w:rsid w:val="31EA07D6"/>
    <w:rsid w:val="31ED31A7"/>
    <w:rsid w:val="31FA7E55"/>
    <w:rsid w:val="320E33CE"/>
    <w:rsid w:val="32144F9E"/>
    <w:rsid w:val="321D7D80"/>
    <w:rsid w:val="3228494F"/>
    <w:rsid w:val="322D02F0"/>
    <w:rsid w:val="3254454A"/>
    <w:rsid w:val="3280799F"/>
    <w:rsid w:val="32931A20"/>
    <w:rsid w:val="32A465AF"/>
    <w:rsid w:val="32AC3F4D"/>
    <w:rsid w:val="32BF290C"/>
    <w:rsid w:val="32CA21A8"/>
    <w:rsid w:val="32D30981"/>
    <w:rsid w:val="32D7424A"/>
    <w:rsid w:val="32DF4CDA"/>
    <w:rsid w:val="32E65C88"/>
    <w:rsid w:val="32EA3B2B"/>
    <w:rsid w:val="32F64195"/>
    <w:rsid w:val="33122B1C"/>
    <w:rsid w:val="33222E5D"/>
    <w:rsid w:val="332E1152"/>
    <w:rsid w:val="33341288"/>
    <w:rsid w:val="33356E3D"/>
    <w:rsid w:val="33432E9B"/>
    <w:rsid w:val="33791699"/>
    <w:rsid w:val="338867A4"/>
    <w:rsid w:val="33B12AF9"/>
    <w:rsid w:val="33C52F24"/>
    <w:rsid w:val="33D123A2"/>
    <w:rsid w:val="33F168CF"/>
    <w:rsid w:val="33F55DD6"/>
    <w:rsid w:val="340C5AC7"/>
    <w:rsid w:val="341A1000"/>
    <w:rsid w:val="342467D8"/>
    <w:rsid w:val="34386A4F"/>
    <w:rsid w:val="344C063B"/>
    <w:rsid w:val="34537939"/>
    <w:rsid w:val="345A332B"/>
    <w:rsid w:val="34626941"/>
    <w:rsid w:val="346B6F71"/>
    <w:rsid w:val="346C2BBD"/>
    <w:rsid w:val="34840090"/>
    <w:rsid w:val="34B36301"/>
    <w:rsid w:val="34C226AB"/>
    <w:rsid w:val="34D643A8"/>
    <w:rsid w:val="34E314EC"/>
    <w:rsid w:val="34E34F2D"/>
    <w:rsid w:val="34E62036"/>
    <w:rsid w:val="34EF21DB"/>
    <w:rsid w:val="34F01128"/>
    <w:rsid w:val="35004FE2"/>
    <w:rsid w:val="35550585"/>
    <w:rsid w:val="355A7743"/>
    <w:rsid w:val="355C48AD"/>
    <w:rsid w:val="35643762"/>
    <w:rsid w:val="3574263E"/>
    <w:rsid w:val="35912ADA"/>
    <w:rsid w:val="35954A96"/>
    <w:rsid w:val="35AB736C"/>
    <w:rsid w:val="35DF27E3"/>
    <w:rsid w:val="35ED7B84"/>
    <w:rsid w:val="3603498F"/>
    <w:rsid w:val="360C07DC"/>
    <w:rsid w:val="36126AF0"/>
    <w:rsid w:val="36193A64"/>
    <w:rsid w:val="362133EC"/>
    <w:rsid w:val="363B68C7"/>
    <w:rsid w:val="36466B1A"/>
    <w:rsid w:val="364720CB"/>
    <w:rsid w:val="366559E4"/>
    <w:rsid w:val="36686080"/>
    <w:rsid w:val="3671418E"/>
    <w:rsid w:val="368C7266"/>
    <w:rsid w:val="3692680B"/>
    <w:rsid w:val="36A45B66"/>
    <w:rsid w:val="36B9746D"/>
    <w:rsid w:val="36BB3856"/>
    <w:rsid w:val="36BE54BC"/>
    <w:rsid w:val="36CA48F4"/>
    <w:rsid w:val="36CB140C"/>
    <w:rsid w:val="36D22981"/>
    <w:rsid w:val="36D31483"/>
    <w:rsid w:val="36DC55D9"/>
    <w:rsid w:val="36DD2C41"/>
    <w:rsid w:val="36E35FF8"/>
    <w:rsid w:val="36F11025"/>
    <w:rsid w:val="36FC6473"/>
    <w:rsid w:val="37047173"/>
    <w:rsid w:val="37217877"/>
    <w:rsid w:val="37440962"/>
    <w:rsid w:val="37606D06"/>
    <w:rsid w:val="3764121C"/>
    <w:rsid w:val="37736ADA"/>
    <w:rsid w:val="37976024"/>
    <w:rsid w:val="37D01F19"/>
    <w:rsid w:val="37D973E2"/>
    <w:rsid w:val="37EE3326"/>
    <w:rsid w:val="3809239F"/>
    <w:rsid w:val="383F7FAC"/>
    <w:rsid w:val="384F1AAA"/>
    <w:rsid w:val="385B56F4"/>
    <w:rsid w:val="387B14EE"/>
    <w:rsid w:val="387D7FFA"/>
    <w:rsid w:val="38A15F48"/>
    <w:rsid w:val="38BA3B13"/>
    <w:rsid w:val="38D75295"/>
    <w:rsid w:val="39036C3B"/>
    <w:rsid w:val="391F3BD0"/>
    <w:rsid w:val="39257DDA"/>
    <w:rsid w:val="3929435D"/>
    <w:rsid w:val="392B2497"/>
    <w:rsid w:val="392D4FFE"/>
    <w:rsid w:val="39316119"/>
    <w:rsid w:val="39440D68"/>
    <w:rsid w:val="395221DE"/>
    <w:rsid w:val="396942F0"/>
    <w:rsid w:val="39707F47"/>
    <w:rsid w:val="39726252"/>
    <w:rsid w:val="397F17E0"/>
    <w:rsid w:val="398D3BE3"/>
    <w:rsid w:val="39A9232A"/>
    <w:rsid w:val="39C10E2C"/>
    <w:rsid w:val="39CB6383"/>
    <w:rsid w:val="39DE7CE5"/>
    <w:rsid w:val="39DF2B9B"/>
    <w:rsid w:val="39E215D1"/>
    <w:rsid w:val="39F04A91"/>
    <w:rsid w:val="3A03223E"/>
    <w:rsid w:val="3A0467BD"/>
    <w:rsid w:val="3A1817E9"/>
    <w:rsid w:val="3A2A2AA7"/>
    <w:rsid w:val="3A2F6C9C"/>
    <w:rsid w:val="3A321395"/>
    <w:rsid w:val="3A3E50A4"/>
    <w:rsid w:val="3A4429B8"/>
    <w:rsid w:val="3A482009"/>
    <w:rsid w:val="3A4A25C0"/>
    <w:rsid w:val="3A560B03"/>
    <w:rsid w:val="3A6671FE"/>
    <w:rsid w:val="3A6B53FF"/>
    <w:rsid w:val="3A7566C5"/>
    <w:rsid w:val="3A846974"/>
    <w:rsid w:val="3A960A79"/>
    <w:rsid w:val="3A9F22D8"/>
    <w:rsid w:val="3AA03C11"/>
    <w:rsid w:val="3AA654F6"/>
    <w:rsid w:val="3AAC6949"/>
    <w:rsid w:val="3ABF0448"/>
    <w:rsid w:val="3AE633EB"/>
    <w:rsid w:val="3AF61FE4"/>
    <w:rsid w:val="3AFB2434"/>
    <w:rsid w:val="3B015B85"/>
    <w:rsid w:val="3B076041"/>
    <w:rsid w:val="3B0B3888"/>
    <w:rsid w:val="3B154F59"/>
    <w:rsid w:val="3B156C15"/>
    <w:rsid w:val="3B17558F"/>
    <w:rsid w:val="3B34602D"/>
    <w:rsid w:val="3B394C81"/>
    <w:rsid w:val="3B411E02"/>
    <w:rsid w:val="3B4D29EE"/>
    <w:rsid w:val="3B8B1A48"/>
    <w:rsid w:val="3BC00BC4"/>
    <w:rsid w:val="3BE26FED"/>
    <w:rsid w:val="3BFF2436"/>
    <w:rsid w:val="3C06263F"/>
    <w:rsid w:val="3C0F3629"/>
    <w:rsid w:val="3C262DD2"/>
    <w:rsid w:val="3C2961C4"/>
    <w:rsid w:val="3C495016"/>
    <w:rsid w:val="3C601127"/>
    <w:rsid w:val="3C683B38"/>
    <w:rsid w:val="3C691AF5"/>
    <w:rsid w:val="3C71267E"/>
    <w:rsid w:val="3C7F5257"/>
    <w:rsid w:val="3C880EE2"/>
    <w:rsid w:val="3C8F5692"/>
    <w:rsid w:val="3C921D0F"/>
    <w:rsid w:val="3CAD5676"/>
    <w:rsid w:val="3CB2375D"/>
    <w:rsid w:val="3CB420F3"/>
    <w:rsid w:val="3CC9339B"/>
    <w:rsid w:val="3CCF25C9"/>
    <w:rsid w:val="3CD101B4"/>
    <w:rsid w:val="3CFB3D19"/>
    <w:rsid w:val="3D0E7267"/>
    <w:rsid w:val="3D1A3E34"/>
    <w:rsid w:val="3D31187C"/>
    <w:rsid w:val="3D393726"/>
    <w:rsid w:val="3D4071FF"/>
    <w:rsid w:val="3D475B3C"/>
    <w:rsid w:val="3D4B0126"/>
    <w:rsid w:val="3D5F318D"/>
    <w:rsid w:val="3D6F432C"/>
    <w:rsid w:val="3D74475E"/>
    <w:rsid w:val="3D935F52"/>
    <w:rsid w:val="3DA13C94"/>
    <w:rsid w:val="3DA9506B"/>
    <w:rsid w:val="3DBE167A"/>
    <w:rsid w:val="3DCC3CDB"/>
    <w:rsid w:val="3E0757C2"/>
    <w:rsid w:val="3E1327DA"/>
    <w:rsid w:val="3E151A9D"/>
    <w:rsid w:val="3E3D26A5"/>
    <w:rsid w:val="3E4A1C2C"/>
    <w:rsid w:val="3E521511"/>
    <w:rsid w:val="3E89308D"/>
    <w:rsid w:val="3E8E1161"/>
    <w:rsid w:val="3EA00DD4"/>
    <w:rsid w:val="3EA01963"/>
    <w:rsid w:val="3EA15D23"/>
    <w:rsid w:val="3F024ADA"/>
    <w:rsid w:val="3F0C17C8"/>
    <w:rsid w:val="3F1739F2"/>
    <w:rsid w:val="3F232222"/>
    <w:rsid w:val="3F2B5795"/>
    <w:rsid w:val="3F302A1C"/>
    <w:rsid w:val="3F373133"/>
    <w:rsid w:val="3F485251"/>
    <w:rsid w:val="3F585F31"/>
    <w:rsid w:val="3F6C4E59"/>
    <w:rsid w:val="3F79309F"/>
    <w:rsid w:val="3F7C5075"/>
    <w:rsid w:val="3F844B55"/>
    <w:rsid w:val="3F84512C"/>
    <w:rsid w:val="3F8D790F"/>
    <w:rsid w:val="3F9104E5"/>
    <w:rsid w:val="3FAA27D6"/>
    <w:rsid w:val="3FBA76E1"/>
    <w:rsid w:val="3FC66092"/>
    <w:rsid w:val="3FD638FB"/>
    <w:rsid w:val="3FE76628"/>
    <w:rsid w:val="3FEB51AC"/>
    <w:rsid w:val="3FFE4C0F"/>
    <w:rsid w:val="3FFF464F"/>
    <w:rsid w:val="40020BBF"/>
    <w:rsid w:val="400973E0"/>
    <w:rsid w:val="400A0B34"/>
    <w:rsid w:val="401F39E9"/>
    <w:rsid w:val="40204729"/>
    <w:rsid w:val="402E5098"/>
    <w:rsid w:val="403E536C"/>
    <w:rsid w:val="4057639D"/>
    <w:rsid w:val="406E3172"/>
    <w:rsid w:val="40781B63"/>
    <w:rsid w:val="40A337A8"/>
    <w:rsid w:val="40A623F8"/>
    <w:rsid w:val="40B4416E"/>
    <w:rsid w:val="40D53692"/>
    <w:rsid w:val="40D600EA"/>
    <w:rsid w:val="40DF0343"/>
    <w:rsid w:val="40E817BA"/>
    <w:rsid w:val="410F42F1"/>
    <w:rsid w:val="4125649B"/>
    <w:rsid w:val="412D70FE"/>
    <w:rsid w:val="412F6713"/>
    <w:rsid w:val="41410DFB"/>
    <w:rsid w:val="414C5983"/>
    <w:rsid w:val="41641C9D"/>
    <w:rsid w:val="41667A07"/>
    <w:rsid w:val="416A466C"/>
    <w:rsid w:val="41715BE0"/>
    <w:rsid w:val="41766E87"/>
    <w:rsid w:val="417E204F"/>
    <w:rsid w:val="41864611"/>
    <w:rsid w:val="41A62703"/>
    <w:rsid w:val="41AD35A7"/>
    <w:rsid w:val="41B2033C"/>
    <w:rsid w:val="41B57FAF"/>
    <w:rsid w:val="41C7326E"/>
    <w:rsid w:val="41CB3578"/>
    <w:rsid w:val="41D65FE1"/>
    <w:rsid w:val="41E2477A"/>
    <w:rsid w:val="42111F55"/>
    <w:rsid w:val="42164D42"/>
    <w:rsid w:val="4236259A"/>
    <w:rsid w:val="4244253E"/>
    <w:rsid w:val="424C7A58"/>
    <w:rsid w:val="42672AE3"/>
    <w:rsid w:val="42744EAE"/>
    <w:rsid w:val="42911771"/>
    <w:rsid w:val="42983E53"/>
    <w:rsid w:val="429C2AAA"/>
    <w:rsid w:val="42A84E82"/>
    <w:rsid w:val="42B131A5"/>
    <w:rsid w:val="42C72EAB"/>
    <w:rsid w:val="42CD5835"/>
    <w:rsid w:val="42D635B0"/>
    <w:rsid w:val="42FC76D0"/>
    <w:rsid w:val="43005DC1"/>
    <w:rsid w:val="43114C20"/>
    <w:rsid w:val="43301AAF"/>
    <w:rsid w:val="43324015"/>
    <w:rsid w:val="437537AC"/>
    <w:rsid w:val="43964C50"/>
    <w:rsid w:val="439D3FF2"/>
    <w:rsid w:val="43A30512"/>
    <w:rsid w:val="43A44340"/>
    <w:rsid w:val="43AB20C9"/>
    <w:rsid w:val="43C922A6"/>
    <w:rsid w:val="43CD5CA4"/>
    <w:rsid w:val="43D03BDD"/>
    <w:rsid w:val="43D95FB7"/>
    <w:rsid w:val="43F418AE"/>
    <w:rsid w:val="43F76776"/>
    <w:rsid w:val="44022AC4"/>
    <w:rsid w:val="440E752D"/>
    <w:rsid w:val="443864E5"/>
    <w:rsid w:val="445A3E4B"/>
    <w:rsid w:val="44701FC7"/>
    <w:rsid w:val="447071E4"/>
    <w:rsid w:val="449E7441"/>
    <w:rsid w:val="44AB76D5"/>
    <w:rsid w:val="44C244DF"/>
    <w:rsid w:val="44F56688"/>
    <w:rsid w:val="44F7208C"/>
    <w:rsid w:val="44FC7513"/>
    <w:rsid w:val="45027F4B"/>
    <w:rsid w:val="452C716F"/>
    <w:rsid w:val="453274D9"/>
    <w:rsid w:val="454B0987"/>
    <w:rsid w:val="45526C31"/>
    <w:rsid w:val="45746215"/>
    <w:rsid w:val="458E444E"/>
    <w:rsid w:val="45967003"/>
    <w:rsid w:val="4599341F"/>
    <w:rsid w:val="45BD1ADF"/>
    <w:rsid w:val="45CD20BA"/>
    <w:rsid w:val="45CF1625"/>
    <w:rsid w:val="4606746A"/>
    <w:rsid w:val="460A146F"/>
    <w:rsid w:val="460D4399"/>
    <w:rsid w:val="462C18BF"/>
    <w:rsid w:val="464B33D4"/>
    <w:rsid w:val="46613951"/>
    <w:rsid w:val="466435C2"/>
    <w:rsid w:val="46715B26"/>
    <w:rsid w:val="469B4110"/>
    <w:rsid w:val="469D7EAA"/>
    <w:rsid w:val="46D60656"/>
    <w:rsid w:val="46D7567A"/>
    <w:rsid w:val="470F4BC0"/>
    <w:rsid w:val="4716469F"/>
    <w:rsid w:val="471C2891"/>
    <w:rsid w:val="47337675"/>
    <w:rsid w:val="473509E8"/>
    <w:rsid w:val="47396928"/>
    <w:rsid w:val="473A4619"/>
    <w:rsid w:val="47415191"/>
    <w:rsid w:val="474571AC"/>
    <w:rsid w:val="474E7921"/>
    <w:rsid w:val="47514866"/>
    <w:rsid w:val="47531A6D"/>
    <w:rsid w:val="4753379C"/>
    <w:rsid w:val="47961654"/>
    <w:rsid w:val="479B1DCF"/>
    <w:rsid w:val="47A26BF8"/>
    <w:rsid w:val="47A62A6C"/>
    <w:rsid w:val="47B340E0"/>
    <w:rsid w:val="47C03C59"/>
    <w:rsid w:val="47C21AC5"/>
    <w:rsid w:val="47C22AF2"/>
    <w:rsid w:val="47C24315"/>
    <w:rsid w:val="47D97F15"/>
    <w:rsid w:val="47DE59A7"/>
    <w:rsid w:val="47E12DD6"/>
    <w:rsid w:val="47E67544"/>
    <w:rsid w:val="47F170D7"/>
    <w:rsid w:val="47FE7A46"/>
    <w:rsid w:val="481E172F"/>
    <w:rsid w:val="482305F1"/>
    <w:rsid w:val="482A3257"/>
    <w:rsid w:val="482D7E6B"/>
    <w:rsid w:val="48301FE8"/>
    <w:rsid w:val="483529A2"/>
    <w:rsid w:val="483B6C0A"/>
    <w:rsid w:val="484C6DE3"/>
    <w:rsid w:val="485D651B"/>
    <w:rsid w:val="48654906"/>
    <w:rsid w:val="488251D4"/>
    <w:rsid w:val="489B172C"/>
    <w:rsid w:val="489F2A24"/>
    <w:rsid w:val="48A2782E"/>
    <w:rsid w:val="48B0041F"/>
    <w:rsid w:val="48BE7A8D"/>
    <w:rsid w:val="48CF5879"/>
    <w:rsid w:val="48D5063E"/>
    <w:rsid w:val="48D96FA1"/>
    <w:rsid w:val="48DB38E3"/>
    <w:rsid w:val="48DE2217"/>
    <w:rsid w:val="49061370"/>
    <w:rsid w:val="49092B72"/>
    <w:rsid w:val="492352EB"/>
    <w:rsid w:val="492E0DFE"/>
    <w:rsid w:val="4941795C"/>
    <w:rsid w:val="49461B27"/>
    <w:rsid w:val="495A6EFE"/>
    <w:rsid w:val="496523B1"/>
    <w:rsid w:val="496F0024"/>
    <w:rsid w:val="49703D6F"/>
    <w:rsid w:val="497209BA"/>
    <w:rsid w:val="4976590F"/>
    <w:rsid w:val="49804E91"/>
    <w:rsid w:val="4994191D"/>
    <w:rsid w:val="49955428"/>
    <w:rsid w:val="49B2480B"/>
    <w:rsid w:val="49B80751"/>
    <w:rsid w:val="49C70446"/>
    <w:rsid w:val="49D94573"/>
    <w:rsid w:val="49F4218E"/>
    <w:rsid w:val="4A0D5AA9"/>
    <w:rsid w:val="4A2013CF"/>
    <w:rsid w:val="4A237783"/>
    <w:rsid w:val="4A3C5905"/>
    <w:rsid w:val="4A4E214A"/>
    <w:rsid w:val="4A4F0B4F"/>
    <w:rsid w:val="4A520AB3"/>
    <w:rsid w:val="4A5319F6"/>
    <w:rsid w:val="4A586DE1"/>
    <w:rsid w:val="4A5A30AD"/>
    <w:rsid w:val="4A6D327B"/>
    <w:rsid w:val="4A740EE0"/>
    <w:rsid w:val="4A785B4B"/>
    <w:rsid w:val="4A860C15"/>
    <w:rsid w:val="4A88284C"/>
    <w:rsid w:val="4A897651"/>
    <w:rsid w:val="4A9A23E1"/>
    <w:rsid w:val="4AA81582"/>
    <w:rsid w:val="4AAC525A"/>
    <w:rsid w:val="4AAE3106"/>
    <w:rsid w:val="4ACD1AA3"/>
    <w:rsid w:val="4ACD4AD7"/>
    <w:rsid w:val="4AD03229"/>
    <w:rsid w:val="4B131B2A"/>
    <w:rsid w:val="4B142B24"/>
    <w:rsid w:val="4B2C437F"/>
    <w:rsid w:val="4B320AF5"/>
    <w:rsid w:val="4B5603C8"/>
    <w:rsid w:val="4B8A7DF8"/>
    <w:rsid w:val="4B9B3552"/>
    <w:rsid w:val="4BA52A2D"/>
    <w:rsid w:val="4BA625C5"/>
    <w:rsid w:val="4BA816F0"/>
    <w:rsid w:val="4BBF0383"/>
    <w:rsid w:val="4BC05755"/>
    <w:rsid w:val="4BC8238E"/>
    <w:rsid w:val="4BFD1697"/>
    <w:rsid w:val="4C095B41"/>
    <w:rsid w:val="4C0E52B3"/>
    <w:rsid w:val="4C1871B6"/>
    <w:rsid w:val="4C4206B1"/>
    <w:rsid w:val="4C8739D5"/>
    <w:rsid w:val="4CC75176"/>
    <w:rsid w:val="4D0B7754"/>
    <w:rsid w:val="4D0E24D9"/>
    <w:rsid w:val="4D1E3EE6"/>
    <w:rsid w:val="4D230734"/>
    <w:rsid w:val="4D367D33"/>
    <w:rsid w:val="4D3D0EA6"/>
    <w:rsid w:val="4D543B15"/>
    <w:rsid w:val="4D54602F"/>
    <w:rsid w:val="4D567705"/>
    <w:rsid w:val="4D9554EC"/>
    <w:rsid w:val="4D9E1AAF"/>
    <w:rsid w:val="4DA73D09"/>
    <w:rsid w:val="4DA768EB"/>
    <w:rsid w:val="4DB16A76"/>
    <w:rsid w:val="4DDB6FBF"/>
    <w:rsid w:val="4DF16195"/>
    <w:rsid w:val="4DF81DE2"/>
    <w:rsid w:val="4E30022D"/>
    <w:rsid w:val="4E367022"/>
    <w:rsid w:val="4E4545AC"/>
    <w:rsid w:val="4E454D5F"/>
    <w:rsid w:val="4E6A4E84"/>
    <w:rsid w:val="4E6C4322"/>
    <w:rsid w:val="4E7376C3"/>
    <w:rsid w:val="4E964534"/>
    <w:rsid w:val="4E9728F5"/>
    <w:rsid w:val="4EE359A6"/>
    <w:rsid w:val="4EE67768"/>
    <w:rsid w:val="4F185CD9"/>
    <w:rsid w:val="4F194070"/>
    <w:rsid w:val="4F2413DF"/>
    <w:rsid w:val="4F2E37FF"/>
    <w:rsid w:val="4F426460"/>
    <w:rsid w:val="4F4F0B87"/>
    <w:rsid w:val="4F6906A4"/>
    <w:rsid w:val="4F6B2D9D"/>
    <w:rsid w:val="4F7F42A5"/>
    <w:rsid w:val="4F7F6310"/>
    <w:rsid w:val="4F9D5D96"/>
    <w:rsid w:val="4FC11A6C"/>
    <w:rsid w:val="4FC21357"/>
    <w:rsid w:val="4FC80E3C"/>
    <w:rsid w:val="4FCC0AAC"/>
    <w:rsid w:val="4FE706E8"/>
    <w:rsid w:val="4FEA76CA"/>
    <w:rsid w:val="4FEC50BF"/>
    <w:rsid w:val="50137000"/>
    <w:rsid w:val="501B58EA"/>
    <w:rsid w:val="501D61C3"/>
    <w:rsid w:val="50446212"/>
    <w:rsid w:val="504A0D54"/>
    <w:rsid w:val="505F6E04"/>
    <w:rsid w:val="50632B3C"/>
    <w:rsid w:val="50712F49"/>
    <w:rsid w:val="507F2A1F"/>
    <w:rsid w:val="50841A1D"/>
    <w:rsid w:val="508D0CCD"/>
    <w:rsid w:val="50914974"/>
    <w:rsid w:val="509915D9"/>
    <w:rsid w:val="50B6598C"/>
    <w:rsid w:val="50CD438B"/>
    <w:rsid w:val="50D13F4A"/>
    <w:rsid w:val="50E717BD"/>
    <w:rsid w:val="50F72B5C"/>
    <w:rsid w:val="50F754A6"/>
    <w:rsid w:val="5101379B"/>
    <w:rsid w:val="51041AAB"/>
    <w:rsid w:val="510F1382"/>
    <w:rsid w:val="511D77FB"/>
    <w:rsid w:val="51293DA9"/>
    <w:rsid w:val="512D6CA6"/>
    <w:rsid w:val="5132430A"/>
    <w:rsid w:val="51343C8C"/>
    <w:rsid w:val="51402E7D"/>
    <w:rsid w:val="514637DC"/>
    <w:rsid w:val="51496E30"/>
    <w:rsid w:val="51653C6F"/>
    <w:rsid w:val="517F5A58"/>
    <w:rsid w:val="51880A59"/>
    <w:rsid w:val="51931DD3"/>
    <w:rsid w:val="51937B64"/>
    <w:rsid w:val="51965ABB"/>
    <w:rsid w:val="519A636D"/>
    <w:rsid w:val="51AF447A"/>
    <w:rsid w:val="51C54979"/>
    <w:rsid w:val="51DC3687"/>
    <w:rsid w:val="51EC091C"/>
    <w:rsid w:val="51FD48CA"/>
    <w:rsid w:val="52064C36"/>
    <w:rsid w:val="520936AF"/>
    <w:rsid w:val="521E291B"/>
    <w:rsid w:val="523E5597"/>
    <w:rsid w:val="52632B94"/>
    <w:rsid w:val="52697FBF"/>
    <w:rsid w:val="52720E14"/>
    <w:rsid w:val="52763FDC"/>
    <w:rsid w:val="527E2D76"/>
    <w:rsid w:val="52A10462"/>
    <w:rsid w:val="52AA688A"/>
    <w:rsid w:val="52B129DF"/>
    <w:rsid w:val="52B54E8E"/>
    <w:rsid w:val="52B65AB6"/>
    <w:rsid w:val="52BB031B"/>
    <w:rsid w:val="52D248AF"/>
    <w:rsid w:val="52DC4D8B"/>
    <w:rsid w:val="52E654BA"/>
    <w:rsid w:val="52F110D2"/>
    <w:rsid w:val="530504BA"/>
    <w:rsid w:val="531F2960"/>
    <w:rsid w:val="532309BA"/>
    <w:rsid w:val="533235E7"/>
    <w:rsid w:val="533A5D36"/>
    <w:rsid w:val="534253DF"/>
    <w:rsid w:val="53520AAB"/>
    <w:rsid w:val="535B21AD"/>
    <w:rsid w:val="535B4DF1"/>
    <w:rsid w:val="535F5982"/>
    <w:rsid w:val="538400CC"/>
    <w:rsid w:val="538B0B79"/>
    <w:rsid w:val="53A66A0A"/>
    <w:rsid w:val="53B90C90"/>
    <w:rsid w:val="53C57253"/>
    <w:rsid w:val="53DC50DF"/>
    <w:rsid w:val="53FF3AEF"/>
    <w:rsid w:val="540630E3"/>
    <w:rsid w:val="54240F4F"/>
    <w:rsid w:val="54273E51"/>
    <w:rsid w:val="542C689B"/>
    <w:rsid w:val="54485435"/>
    <w:rsid w:val="544B5630"/>
    <w:rsid w:val="548C5F7F"/>
    <w:rsid w:val="54A60D3D"/>
    <w:rsid w:val="54B0376E"/>
    <w:rsid w:val="54B10076"/>
    <w:rsid w:val="54B11342"/>
    <w:rsid w:val="54BF61A1"/>
    <w:rsid w:val="54D264A9"/>
    <w:rsid w:val="54E63C29"/>
    <w:rsid w:val="54F364D5"/>
    <w:rsid w:val="550665FB"/>
    <w:rsid w:val="550A2B6E"/>
    <w:rsid w:val="550A4A38"/>
    <w:rsid w:val="551B4463"/>
    <w:rsid w:val="553735EF"/>
    <w:rsid w:val="55377F1F"/>
    <w:rsid w:val="559B5B2A"/>
    <w:rsid w:val="55B464D4"/>
    <w:rsid w:val="55BA3F14"/>
    <w:rsid w:val="55C96803"/>
    <w:rsid w:val="55E43915"/>
    <w:rsid w:val="55E97640"/>
    <w:rsid w:val="55EB76DC"/>
    <w:rsid w:val="55F64C84"/>
    <w:rsid w:val="56140B11"/>
    <w:rsid w:val="562957F8"/>
    <w:rsid w:val="562C0E6B"/>
    <w:rsid w:val="562D3F3D"/>
    <w:rsid w:val="562E0352"/>
    <w:rsid w:val="562E5566"/>
    <w:rsid w:val="56323F10"/>
    <w:rsid w:val="564F0E35"/>
    <w:rsid w:val="565E21A4"/>
    <w:rsid w:val="565F229F"/>
    <w:rsid w:val="565F44AA"/>
    <w:rsid w:val="5681223D"/>
    <w:rsid w:val="56884F32"/>
    <w:rsid w:val="568B18E9"/>
    <w:rsid w:val="568C169B"/>
    <w:rsid w:val="56BE1065"/>
    <w:rsid w:val="56C33516"/>
    <w:rsid w:val="56C341D6"/>
    <w:rsid w:val="56C4175A"/>
    <w:rsid w:val="56D11521"/>
    <w:rsid w:val="56D56740"/>
    <w:rsid w:val="56F171A2"/>
    <w:rsid w:val="56F42469"/>
    <w:rsid w:val="570D5ACD"/>
    <w:rsid w:val="571807AB"/>
    <w:rsid w:val="5726041F"/>
    <w:rsid w:val="57274096"/>
    <w:rsid w:val="572F19CA"/>
    <w:rsid w:val="57470BA4"/>
    <w:rsid w:val="5748483A"/>
    <w:rsid w:val="574B46E0"/>
    <w:rsid w:val="5750111B"/>
    <w:rsid w:val="57575B70"/>
    <w:rsid w:val="57625040"/>
    <w:rsid w:val="5781139F"/>
    <w:rsid w:val="57866027"/>
    <w:rsid w:val="5789619A"/>
    <w:rsid w:val="579B3397"/>
    <w:rsid w:val="57A22B84"/>
    <w:rsid w:val="57AC4DC9"/>
    <w:rsid w:val="57AC77DC"/>
    <w:rsid w:val="57B612A4"/>
    <w:rsid w:val="57DD4F82"/>
    <w:rsid w:val="57FF2BE4"/>
    <w:rsid w:val="580276CF"/>
    <w:rsid w:val="58122517"/>
    <w:rsid w:val="581705A7"/>
    <w:rsid w:val="583A2BB6"/>
    <w:rsid w:val="584F6927"/>
    <w:rsid w:val="5865174F"/>
    <w:rsid w:val="58876E3F"/>
    <w:rsid w:val="589B6A9A"/>
    <w:rsid w:val="58A14A65"/>
    <w:rsid w:val="58A90E20"/>
    <w:rsid w:val="58BE507E"/>
    <w:rsid w:val="58D44DBF"/>
    <w:rsid w:val="58E012A6"/>
    <w:rsid w:val="58E3424C"/>
    <w:rsid w:val="58E448D7"/>
    <w:rsid w:val="58F01A0C"/>
    <w:rsid w:val="58F45D87"/>
    <w:rsid w:val="58FE1654"/>
    <w:rsid w:val="590576DC"/>
    <w:rsid w:val="59252697"/>
    <w:rsid w:val="59271157"/>
    <w:rsid w:val="592E507E"/>
    <w:rsid w:val="59662095"/>
    <w:rsid w:val="597F735A"/>
    <w:rsid w:val="59852DC8"/>
    <w:rsid w:val="598F6750"/>
    <w:rsid w:val="59C62E03"/>
    <w:rsid w:val="59D904F2"/>
    <w:rsid w:val="59EB41AB"/>
    <w:rsid w:val="59EB7C48"/>
    <w:rsid w:val="59EF5474"/>
    <w:rsid w:val="5A0138A3"/>
    <w:rsid w:val="5A014D9B"/>
    <w:rsid w:val="5A0D0834"/>
    <w:rsid w:val="5A0D78F6"/>
    <w:rsid w:val="5A1131B6"/>
    <w:rsid w:val="5A13560A"/>
    <w:rsid w:val="5A155987"/>
    <w:rsid w:val="5A226B2F"/>
    <w:rsid w:val="5A391313"/>
    <w:rsid w:val="5A45448E"/>
    <w:rsid w:val="5A59798A"/>
    <w:rsid w:val="5A68064C"/>
    <w:rsid w:val="5A7D4C16"/>
    <w:rsid w:val="5A852533"/>
    <w:rsid w:val="5ABE74A5"/>
    <w:rsid w:val="5AE611EC"/>
    <w:rsid w:val="5B01542B"/>
    <w:rsid w:val="5B0428EC"/>
    <w:rsid w:val="5B3B5E66"/>
    <w:rsid w:val="5B5C2F07"/>
    <w:rsid w:val="5B6A5575"/>
    <w:rsid w:val="5B8014CF"/>
    <w:rsid w:val="5B852745"/>
    <w:rsid w:val="5B8848A8"/>
    <w:rsid w:val="5B985E58"/>
    <w:rsid w:val="5BA77182"/>
    <w:rsid w:val="5BA87F7C"/>
    <w:rsid w:val="5BAE4BD4"/>
    <w:rsid w:val="5BD249E7"/>
    <w:rsid w:val="5C071C60"/>
    <w:rsid w:val="5C0B536F"/>
    <w:rsid w:val="5C164F06"/>
    <w:rsid w:val="5C204B35"/>
    <w:rsid w:val="5C2D0003"/>
    <w:rsid w:val="5C336335"/>
    <w:rsid w:val="5C38160B"/>
    <w:rsid w:val="5C390BF5"/>
    <w:rsid w:val="5C417BE2"/>
    <w:rsid w:val="5C447CC6"/>
    <w:rsid w:val="5C682488"/>
    <w:rsid w:val="5C7C13B5"/>
    <w:rsid w:val="5C815CB5"/>
    <w:rsid w:val="5C836F26"/>
    <w:rsid w:val="5C897A35"/>
    <w:rsid w:val="5CA74AEF"/>
    <w:rsid w:val="5CB460DE"/>
    <w:rsid w:val="5CB65273"/>
    <w:rsid w:val="5CCB2A13"/>
    <w:rsid w:val="5CDD798A"/>
    <w:rsid w:val="5CE55627"/>
    <w:rsid w:val="5CF50DA2"/>
    <w:rsid w:val="5D1547F0"/>
    <w:rsid w:val="5D2A54E6"/>
    <w:rsid w:val="5D5C002C"/>
    <w:rsid w:val="5D5D232A"/>
    <w:rsid w:val="5D69161B"/>
    <w:rsid w:val="5D857E20"/>
    <w:rsid w:val="5D9B3FE5"/>
    <w:rsid w:val="5DA84667"/>
    <w:rsid w:val="5DB9123A"/>
    <w:rsid w:val="5DC63589"/>
    <w:rsid w:val="5DC866D4"/>
    <w:rsid w:val="5DCD22E1"/>
    <w:rsid w:val="5DD21518"/>
    <w:rsid w:val="5DE73431"/>
    <w:rsid w:val="5DF11D9D"/>
    <w:rsid w:val="5DF25D87"/>
    <w:rsid w:val="5DFD48E2"/>
    <w:rsid w:val="5E00236A"/>
    <w:rsid w:val="5E0771FD"/>
    <w:rsid w:val="5E0C58C4"/>
    <w:rsid w:val="5E18761F"/>
    <w:rsid w:val="5E385608"/>
    <w:rsid w:val="5E4943A0"/>
    <w:rsid w:val="5E5F4AC2"/>
    <w:rsid w:val="5E7375A4"/>
    <w:rsid w:val="5E803F72"/>
    <w:rsid w:val="5EC642E3"/>
    <w:rsid w:val="5ED26403"/>
    <w:rsid w:val="5ED64D12"/>
    <w:rsid w:val="5F03229F"/>
    <w:rsid w:val="5F170FA1"/>
    <w:rsid w:val="5F1E764C"/>
    <w:rsid w:val="5F2576E0"/>
    <w:rsid w:val="5F290930"/>
    <w:rsid w:val="5F5748B8"/>
    <w:rsid w:val="5F66009A"/>
    <w:rsid w:val="5F7C1B93"/>
    <w:rsid w:val="5F7C1BB8"/>
    <w:rsid w:val="5FA802EA"/>
    <w:rsid w:val="5FA946F0"/>
    <w:rsid w:val="5FAD5DB2"/>
    <w:rsid w:val="5FB421A0"/>
    <w:rsid w:val="5FC52ECB"/>
    <w:rsid w:val="5FC65FF2"/>
    <w:rsid w:val="5FC73A28"/>
    <w:rsid w:val="5FD1392C"/>
    <w:rsid w:val="5FDC7840"/>
    <w:rsid w:val="5FE544C8"/>
    <w:rsid w:val="5FE73B39"/>
    <w:rsid w:val="600630D3"/>
    <w:rsid w:val="60123C53"/>
    <w:rsid w:val="601B6543"/>
    <w:rsid w:val="601E25DC"/>
    <w:rsid w:val="602F489D"/>
    <w:rsid w:val="60385F8C"/>
    <w:rsid w:val="60402324"/>
    <w:rsid w:val="604E10A3"/>
    <w:rsid w:val="60530BE2"/>
    <w:rsid w:val="6068076A"/>
    <w:rsid w:val="606971C9"/>
    <w:rsid w:val="607B7A2E"/>
    <w:rsid w:val="608E5C6A"/>
    <w:rsid w:val="609407AF"/>
    <w:rsid w:val="60A22BF1"/>
    <w:rsid w:val="60AA71BE"/>
    <w:rsid w:val="60AF01FC"/>
    <w:rsid w:val="60BB58E8"/>
    <w:rsid w:val="60D110ED"/>
    <w:rsid w:val="60D15E96"/>
    <w:rsid w:val="610042DB"/>
    <w:rsid w:val="61147847"/>
    <w:rsid w:val="611A6DF5"/>
    <w:rsid w:val="61225CD0"/>
    <w:rsid w:val="612400C6"/>
    <w:rsid w:val="6130428B"/>
    <w:rsid w:val="6134222E"/>
    <w:rsid w:val="61585626"/>
    <w:rsid w:val="61592303"/>
    <w:rsid w:val="615A6D9B"/>
    <w:rsid w:val="615B0C4B"/>
    <w:rsid w:val="616B11D5"/>
    <w:rsid w:val="61A66A52"/>
    <w:rsid w:val="61A771CA"/>
    <w:rsid w:val="61AF4D04"/>
    <w:rsid w:val="61D0341C"/>
    <w:rsid w:val="61DD0883"/>
    <w:rsid w:val="61E40038"/>
    <w:rsid w:val="62057531"/>
    <w:rsid w:val="620C5AB5"/>
    <w:rsid w:val="620D5D16"/>
    <w:rsid w:val="621E3A44"/>
    <w:rsid w:val="623649D6"/>
    <w:rsid w:val="62511ACC"/>
    <w:rsid w:val="625309B3"/>
    <w:rsid w:val="62910952"/>
    <w:rsid w:val="629F49F7"/>
    <w:rsid w:val="62B177F5"/>
    <w:rsid w:val="62C320AA"/>
    <w:rsid w:val="62CE2037"/>
    <w:rsid w:val="62D47BC2"/>
    <w:rsid w:val="62DE2871"/>
    <w:rsid w:val="62E2628C"/>
    <w:rsid w:val="62F12936"/>
    <w:rsid w:val="62F37B4F"/>
    <w:rsid w:val="62F63ACE"/>
    <w:rsid w:val="63021A00"/>
    <w:rsid w:val="630B4C42"/>
    <w:rsid w:val="6310668A"/>
    <w:rsid w:val="631E130F"/>
    <w:rsid w:val="631E5F58"/>
    <w:rsid w:val="63260125"/>
    <w:rsid w:val="63555E53"/>
    <w:rsid w:val="6360069C"/>
    <w:rsid w:val="63654E63"/>
    <w:rsid w:val="63713680"/>
    <w:rsid w:val="637A77DE"/>
    <w:rsid w:val="637B3A23"/>
    <w:rsid w:val="637F6A8D"/>
    <w:rsid w:val="63A40D8D"/>
    <w:rsid w:val="63A94C8C"/>
    <w:rsid w:val="63BF042B"/>
    <w:rsid w:val="63C0700D"/>
    <w:rsid w:val="63E66C5C"/>
    <w:rsid w:val="63FB611B"/>
    <w:rsid w:val="64390645"/>
    <w:rsid w:val="64415375"/>
    <w:rsid w:val="645539C7"/>
    <w:rsid w:val="646C19DB"/>
    <w:rsid w:val="6475065C"/>
    <w:rsid w:val="648F0C67"/>
    <w:rsid w:val="64AC3353"/>
    <w:rsid w:val="64AD547D"/>
    <w:rsid w:val="64B434AD"/>
    <w:rsid w:val="64C5571C"/>
    <w:rsid w:val="64C752B4"/>
    <w:rsid w:val="64CF33C7"/>
    <w:rsid w:val="64EF165C"/>
    <w:rsid w:val="650926B6"/>
    <w:rsid w:val="651223E0"/>
    <w:rsid w:val="65125F4D"/>
    <w:rsid w:val="651C6D57"/>
    <w:rsid w:val="652848BF"/>
    <w:rsid w:val="65347F87"/>
    <w:rsid w:val="653B2C3B"/>
    <w:rsid w:val="655A5741"/>
    <w:rsid w:val="655F1E9A"/>
    <w:rsid w:val="656566F7"/>
    <w:rsid w:val="656F52AA"/>
    <w:rsid w:val="657C01C9"/>
    <w:rsid w:val="65901886"/>
    <w:rsid w:val="65A91C8D"/>
    <w:rsid w:val="65AE3559"/>
    <w:rsid w:val="65B34C2F"/>
    <w:rsid w:val="65C07C91"/>
    <w:rsid w:val="65C66728"/>
    <w:rsid w:val="65E36FAB"/>
    <w:rsid w:val="65E87D82"/>
    <w:rsid w:val="65F53162"/>
    <w:rsid w:val="65F831E1"/>
    <w:rsid w:val="660A0282"/>
    <w:rsid w:val="66110D21"/>
    <w:rsid w:val="661207DE"/>
    <w:rsid w:val="66155A56"/>
    <w:rsid w:val="661635E3"/>
    <w:rsid w:val="66285F62"/>
    <w:rsid w:val="662B3A23"/>
    <w:rsid w:val="665E0A19"/>
    <w:rsid w:val="66616461"/>
    <w:rsid w:val="666E6EE2"/>
    <w:rsid w:val="667917F3"/>
    <w:rsid w:val="667C4DD8"/>
    <w:rsid w:val="66973132"/>
    <w:rsid w:val="669D4693"/>
    <w:rsid w:val="66D93796"/>
    <w:rsid w:val="66DE0C6D"/>
    <w:rsid w:val="66E1046F"/>
    <w:rsid w:val="66E24A03"/>
    <w:rsid w:val="66E63727"/>
    <w:rsid w:val="66FA709F"/>
    <w:rsid w:val="671214DF"/>
    <w:rsid w:val="671F2574"/>
    <w:rsid w:val="67254F87"/>
    <w:rsid w:val="672D0F40"/>
    <w:rsid w:val="672F3CD5"/>
    <w:rsid w:val="6742454A"/>
    <w:rsid w:val="674F2373"/>
    <w:rsid w:val="676966C3"/>
    <w:rsid w:val="677B6565"/>
    <w:rsid w:val="679963B7"/>
    <w:rsid w:val="679A69EC"/>
    <w:rsid w:val="679C0BF1"/>
    <w:rsid w:val="679E12A0"/>
    <w:rsid w:val="67A7735B"/>
    <w:rsid w:val="67CD5462"/>
    <w:rsid w:val="67E80F60"/>
    <w:rsid w:val="67F240B9"/>
    <w:rsid w:val="680F20DB"/>
    <w:rsid w:val="681B0323"/>
    <w:rsid w:val="68254029"/>
    <w:rsid w:val="6836686C"/>
    <w:rsid w:val="68422F43"/>
    <w:rsid w:val="684A218B"/>
    <w:rsid w:val="684A47FF"/>
    <w:rsid w:val="685629C6"/>
    <w:rsid w:val="68626ED7"/>
    <w:rsid w:val="686D23A6"/>
    <w:rsid w:val="687C166A"/>
    <w:rsid w:val="688B5574"/>
    <w:rsid w:val="68914293"/>
    <w:rsid w:val="689369AB"/>
    <w:rsid w:val="68942304"/>
    <w:rsid w:val="68A31319"/>
    <w:rsid w:val="68A4154F"/>
    <w:rsid w:val="68AC7DDC"/>
    <w:rsid w:val="68AD1138"/>
    <w:rsid w:val="68B33D39"/>
    <w:rsid w:val="68B70EC7"/>
    <w:rsid w:val="68C638D7"/>
    <w:rsid w:val="68CD112D"/>
    <w:rsid w:val="68E45348"/>
    <w:rsid w:val="692A3D9F"/>
    <w:rsid w:val="694035C3"/>
    <w:rsid w:val="696C1A7A"/>
    <w:rsid w:val="696E2EB9"/>
    <w:rsid w:val="697D2E43"/>
    <w:rsid w:val="699559E7"/>
    <w:rsid w:val="699A00C4"/>
    <w:rsid w:val="699D71D5"/>
    <w:rsid w:val="69B135C8"/>
    <w:rsid w:val="69C22E71"/>
    <w:rsid w:val="69D0107E"/>
    <w:rsid w:val="69D414EB"/>
    <w:rsid w:val="69E10F26"/>
    <w:rsid w:val="69E93928"/>
    <w:rsid w:val="69ED503A"/>
    <w:rsid w:val="69EE374F"/>
    <w:rsid w:val="69FA4718"/>
    <w:rsid w:val="69FB44D8"/>
    <w:rsid w:val="6A06772B"/>
    <w:rsid w:val="6A0B6DC5"/>
    <w:rsid w:val="6A30373D"/>
    <w:rsid w:val="6A47408F"/>
    <w:rsid w:val="6A475032"/>
    <w:rsid w:val="6A51208C"/>
    <w:rsid w:val="6A532A3E"/>
    <w:rsid w:val="6A7C711D"/>
    <w:rsid w:val="6A8420F4"/>
    <w:rsid w:val="6AB0447A"/>
    <w:rsid w:val="6AB326AD"/>
    <w:rsid w:val="6AB44268"/>
    <w:rsid w:val="6AB73D58"/>
    <w:rsid w:val="6ADB36DF"/>
    <w:rsid w:val="6AE128AA"/>
    <w:rsid w:val="6AE21764"/>
    <w:rsid w:val="6AEA1A38"/>
    <w:rsid w:val="6B133A91"/>
    <w:rsid w:val="6B141B99"/>
    <w:rsid w:val="6B1431AA"/>
    <w:rsid w:val="6B150ED9"/>
    <w:rsid w:val="6B160A7F"/>
    <w:rsid w:val="6B43248E"/>
    <w:rsid w:val="6B494DC4"/>
    <w:rsid w:val="6B4B13B5"/>
    <w:rsid w:val="6B5F4AF7"/>
    <w:rsid w:val="6B6E3716"/>
    <w:rsid w:val="6B7B2A36"/>
    <w:rsid w:val="6B882F49"/>
    <w:rsid w:val="6BAA60F1"/>
    <w:rsid w:val="6BB362CE"/>
    <w:rsid w:val="6BB565BA"/>
    <w:rsid w:val="6BE83888"/>
    <w:rsid w:val="6BEB0E6B"/>
    <w:rsid w:val="6BEE7ACE"/>
    <w:rsid w:val="6BF137E0"/>
    <w:rsid w:val="6BF42F41"/>
    <w:rsid w:val="6BFD5277"/>
    <w:rsid w:val="6C054007"/>
    <w:rsid w:val="6C16685D"/>
    <w:rsid w:val="6C332B2E"/>
    <w:rsid w:val="6C5A0D85"/>
    <w:rsid w:val="6C772085"/>
    <w:rsid w:val="6C7B5928"/>
    <w:rsid w:val="6C826073"/>
    <w:rsid w:val="6C8849B9"/>
    <w:rsid w:val="6C897A7D"/>
    <w:rsid w:val="6C9451B1"/>
    <w:rsid w:val="6C9554C1"/>
    <w:rsid w:val="6C9C0732"/>
    <w:rsid w:val="6CCD7863"/>
    <w:rsid w:val="6CD5291C"/>
    <w:rsid w:val="6CD865DD"/>
    <w:rsid w:val="6CDA035A"/>
    <w:rsid w:val="6CEE038B"/>
    <w:rsid w:val="6CFB2B7F"/>
    <w:rsid w:val="6D293335"/>
    <w:rsid w:val="6D4D4500"/>
    <w:rsid w:val="6D5A4E2F"/>
    <w:rsid w:val="6D703716"/>
    <w:rsid w:val="6D7964FC"/>
    <w:rsid w:val="6D8346B7"/>
    <w:rsid w:val="6D9F1A45"/>
    <w:rsid w:val="6DA53C24"/>
    <w:rsid w:val="6DA854D3"/>
    <w:rsid w:val="6DB04FD6"/>
    <w:rsid w:val="6DB11F01"/>
    <w:rsid w:val="6DE1612C"/>
    <w:rsid w:val="6DE305D5"/>
    <w:rsid w:val="6DEB6092"/>
    <w:rsid w:val="6E0D5194"/>
    <w:rsid w:val="6E1C5C47"/>
    <w:rsid w:val="6E2C1921"/>
    <w:rsid w:val="6E2E574B"/>
    <w:rsid w:val="6E3B4C7E"/>
    <w:rsid w:val="6E413F52"/>
    <w:rsid w:val="6E483A17"/>
    <w:rsid w:val="6E6D1CF1"/>
    <w:rsid w:val="6E77505A"/>
    <w:rsid w:val="6E8250C0"/>
    <w:rsid w:val="6E8C50F8"/>
    <w:rsid w:val="6E8E72B3"/>
    <w:rsid w:val="6E9876DA"/>
    <w:rsid w:val="6EA6211A"/>
    <w:rsid w:val="6EA656E9"/>
    <w:rsid w:val="6EBD3111"/>
    <w:rsid w:val="6EC13536"/>
    <w:rsid w:val="6EDA1B1D"/>
    <w:rsid w:val="6EEA2016"/>
    <w:rsid w:val="6EEA46FD"/>
    <w:rsid w:val="6EEF6896"/>
    <w:rsid w:val="6EF908FE"/>
    <w:rsid w:val="6EFF04DA"/>
    <w:rsid w:val="6F0F6FE9"/>
    <w:rsid w:val="6F381005"/>
    <w:rsid w:val="6F3A3DA8"/>
    <w:rsid w:val="6F426311"/>
    <w:rsid w:val="6F442C65"/>
    <w:rsid w:val="6F7803E0"/>
    <w:rsid w:val="6F863CF9"/>
    <w:rsid w:val="6F8F0FF9"/>
    <w:rsid w:val="6F9A203D"/>
    <w:rsid w:val="6FBB3961"/>
    <w:rsid w:val="6FCF2701"/>
    <w:rsid w:val="6FCF3968"/>
    <w:rsid w:val="6FD800CD"/>
    <w:rsid w:val="6FF2092E"/>
    <w:rsid w:val="70284CEE"/>
    <w:rsid w:val="702E5B1F"/>
    <w:rsid w:val="7047166F"/>
    <w:rsid w:val="70487B75"/>
    <w:rsid w:val="704D414E"/>
    <w:rsid w:val="70520C89"/>
    <w:rsid w:val="707B4851"/>
    <w:rsid w:val="70831B38"/>
    <w:rsid w:val="7097642E"/>
    <w:rsid w:val="70C271B2"/>
    <w:rsid w:val="70CC1BE0"/>
    <w:rsid w:val="70D6088A"/>
    <w:rsid w:val="70D66204"/>
    <w:rsid w:val="70D86E7B"/>
    <w:rsid w:val="70D94A29"/>
    <w:rsid w:val="70EB2705"/>
    <w:rsid w:val="71031E0B"/>
    <w:rsid w:val="711B7D4F"/>
    <w:rsid w:val="71204700"/>
    <w:rsid w:val="712374E4"/>
    <w:rsid w:val="712625B8"/>
    <w:rsid w:val="7127112F"/>
    <w:rsid w:val="71446642"/>
    <w:rsid w:val="71675088"/>
    <w:rsid w:val="716B369B"/>
    <w:rsid w:val="71935373"/>
    <w:rsid w:val="71980C7C"/>
    <w:rsid w:val="71AB75A5"/>
    <w:rsid w:val="71BC1D9F"/>
    <w:rsid w:val="71CC6FB9"/>
    <w:rsid w:val="71EA56CD"/>
    <w:rsid w:val="71FF1A19"/>
    <w:rsid w:val="7203630F"/>
    <w:rsid w:val="7206009D"/>
    <w:rsid w:val="721523B6"/>
    <w:rsid w:val="72154C17"/>
    <w:rsid w:val="7225137F"/>
    <w:rsid w:val="722C76CF"/>
    <w:rsid w:val="7247114F"/>
    <w:rsid w:val="72596DA7"/>
    <w:rsid w:val="726A0BF3"/>
    <w:rsid w:val="726E6C5B"/>
    <w:rsid w:val="72714B37"/>
    <w:rsid w:val="7288469C"/>
    <w:rsid w:val="729B048D"/>
    <w:rsid w:val="72CF73D1"/>
    <w:rsid w:val="72D21F1E"/>
    <w:rsid w:val="72D5492B"/>
    <w:rsid w:val="72D8486C"/>
    <w:rsid w:val="72DC14F2"/>
    <w:rsid w:val="72FA0F7E"/>
    <w:rsid w:val="72FB60AE"/>
    <w:rsid w:val="73041B05"/>
    <w:rsid w:val="73085399"/>
    <w:rsid w:val="731442F4"/>
    <w:rsid w:val="732A0718"/>
    <w:rsid w:val="73311842"/>
    <w:rsid w:val="73494759"/>
    <w:rsid w:val="734B6195"/>
    <w:rsid w:val="7354217C"/>
    <w:rsid w:val="7385675E"/>
    <w:rsid w:val="73936D15"/>
    <w:rsid w:val="73A759C8"/>
    <w:rsid w:val="73A95754"/>
    <w:rsid w:val="73B30F20"/>
    <w:rsid w:val="73CC33CF"/>
    <w:rsid w:val="73D5073D"/>
    <w:rsid w:val="73E77094"/>
    <w:rsid w:val="73F61526"/>
    <w:rsid w:val="73F97190"/>
    <w:rsid w:val="73FF6FD1"/>
    <w:rsid w:val="740C0BF5"/>
    <w:rsid w:val="7411641F"/>
    <w:rsid w:val="742C374F"/>
    <w:rsid w:val="743C7A46"/>
    <w:rsid w:val="74460EBA"/>
    <w:rsid w:val="74500D96"/>
    <w:rsid w:val="74597EF2"/>
    <w:rsid w:val="747D19BD"/>
    <w:rsid w:val="748E00CC"/>
    <w:rsid w:val="749114EE"/>
    <w:rsid w:val="749251AA"/>
    <w:rsid w:val="74965F08"/>
    <w:rsid w:val="749F51EF"/>
    <w:rsid w:val="74D12038"/>
    <w:rsid w:val="74EF3A25"/>
    <w:rsid w:val="75040883"/>
    <w:rsid w:val="7519181C"/>
    <w:rsid w:val="756C682A"/>
    <w:rsid w:val="756E3490"/>
    <w:rsid w:val="7572244A"/>
    <w:rsid w:val="75964A41"/>
    <w:rsid w:val="759E3D65"/>
    <w:rsid w:val="75A774D2"/>
    <w:rsid w:val="75B34CC5"/>
    <w:rsid w:val="75B4336E"/>
    <w:rsid w:val="75B87BBE"/>
    <w:rsid w:val="75D605CB"/>
    <w:rsid w:val="75FA1B7D"/>
    <w:rsid w:val="760F62A7"/>
    <w:rsid w:val="76283E52"/>
    <w:rsid w:val="76361E56"/>
    <w:rsid w:val="763C62B4"/>
    <w:rsid w:val="763F4010"/>
    <w:rsid w:val="764D377C"/>
    <w:rsid w:val="766D21E2"/>
    <w:rsid w:val="767C19B2"/>
    <w:rsid w:val="769E70FF"/>
    <w:rsid w:val="76A6105C"/>
    <w:rsid w:val="76B80988"/>
    <w:rsid w:val="76BD4A83"/>
    <w:rsid w:val="770723BF"/>
    <w:rsid w:val="77152DD4"/>
    <w:rsid w:val="774F20A3"/>
    <w:rsid w:val="77586F37"/>
    <w:rsid w:val="775B45AE"/>
    <w:rsid w:val="775E0F07"/>
    <w:rsid w:val="77AF54AD"/>
    <w:rsid w:val="77B75647"/>
    <w:rsid w:val="77CA09A9"/>
    <w:rsid w:val="77DF57B6"/>
    <w:rsid w:val="780555F1"/>
    <w:rsid w:val="780A3427"/>
    <w:rsid w:val="780A4000"/>
    <w:rsid w:val="783C3AEF"/>
    <w:rsid w:val="785F5324"/>
    <w:rsid w:val="78656911"/>
    <w:rsid w:val="78671F4B"/>
    <w:rsid w:val="787C23D1"/>
    <w:rsid w:val="78811A86"/>
    <w:rsid w:val="78977F0D"/>
    <w:rsid w:val="78A62260"/>
    <w:rsid w:val="78BF60CA"/>
    <w:rsid w:val="78DE2480"/>
    <w:rsid w:val="78EE101D"/>
    <w:rsid w:val="79020971"/>
    <w:rsid w:val="790D6EC5"/>
    <w:rsid w:val="791B5DBA"/>
    <w:rsid w:val="79450781"/>
    <w:rsid w:val="79457181"/>
    <w:rsid w:val="794762F6"/>
    <w:rsid w:val="79525DEC"/>
    <w:rsid w:val="79535D84"/>
    <w:rsid w:val="79557D36"/>
    <w:rsid w:val="795D6576"/>
    <w:rsid w:val="797448D9"/>
    <w:rsid w:val="797769CB"/>
    <w:rsid w:val="79B94B60"/>
    <w:rsid w:val="79BF0307"/>
    <w:rsid w:val="79C520CA"/>
    <w:rsid w:val="79D50DAE"/>
    <w:rsid w:val="79D76131"/>
    <w:rsid w:val="79DE36D3"/>
    <w:rsid w:val="79E37434"/>
    <w:rsid w:val="79F53F55"/>
    <w:rsid w:val="7A063F1A"/>
    <w:rsid w:val="7A9017EC"/>
    <w:rsid w:val="7AB643B8"/>
    <w:rsid w:val="7AC851C1"/>
    <w:rsid w:val="7AC878BC"/>
    <w:rsid w:val="7ADF12B3"/>
    <w:rsid w:val="7AE018E6"/>
    <w:rsid w:val="7AF462EF"/>
    <w:rsid w:val="7B002BB2"/>
    <w:rsid w:val="7B0209A9"/>
    <w:rsid w:val="7B022477"/>
    <w:rsid w:val="7B300AA2"/>
    <w:rsid w:val="7B3957A9"/>
    <w:rsid w:val="7B3D6ECD"/>
    <w:rsid w:val="7B4A77C8"/>
    <w:rsid w:val="7B5828A2"/>
    <w:rsid w:val="7B62485C"/>
    <w:rsid w:val="7B957DE9"/>
    <w:rsid w:val="7B9F3945"/>
    <w:rsid w:val="7BA9214F"/>
    <w:rsid w:val="7BB40CE7"/>
    <w:rsid w:val="7BC1457E"/>
    <w:rsid w:val="7BD41836"/>
    <w:rsid w:val="7BD9542F"/>
    <w:rsid w:val="7BEE66A4"/>
    <w:rsid w:val="7BF87615"/>
    <w:rsid w:val="7BFD7B4B"/>
    <w:rsid w:val="7C0305B0"/>
    <w:rsid w:val="7C0B2440"/>
    <w:rsid w:val="7C10151B"/>
    <w:rsid w:val="7C286EE2"/>
    <w:rsid w:val="7C305B51"/>
    <w:rsid w:val="7C33144C"/>
    <w:rsid w:val="7C371DCC"/>
    <w:rsid w:val="7C4E44E4"/>
    <w:rsid w:val="7C6015EC"/>
    <w:rsid w:val="7C6627B3"/>
    <w:rsid w:val="7C7257E1"/>
    <w:rsid w:val="7C7A781F"/>
    <w:rsid w:val="7C8350F2"/>
    <w:rsid w:val="7C8F24D0"/>
    <w:rsid w:val="7C991697"/>
    <w:rsid w:val="7CBD4889"/>
    <w:rsid w:val="7CEF7DBC"/>
    <w:rsid w:val="7D020272"/>
    <w:rsid w:val="7D0E44CE"/>
    <w:rsid w:val="7D1347B3"/>
    <w:rsid w:val="7D510356"/>
    <w:rsid w:val="7D7726B6"/>
    <w:rsid w:val="7D8B50AE"/>
    <w:rsid w:val="7DAB2B7D"/>
    <w:rsid w:val="7DC12151"/>
    <w:rsid w:val="7DE22911"/>
    <w:rsid w:val="7DF33F14"/>
    <w:rsid w:val="7DF64C49"/>
    <w:rsid w:val="7E00101F"/>
    <w:rsid w:val="7E0806FB"/>
    <w:rsid w:val="7E154E91"/>
    <w:rsid w:val="7E182124"/>
    <w:rsid w:val="7E2458E7"/>
    <w:rsid w:val="7E477835"/>
    <w:rsid w:val="7E485652"/>
    <w:rsid w:val="7E5162E8"/>
    <w:rsid w:val="7E5A6731"/>
    <w:rsid w:val="7E674EB2"/>
    <w:rsid w:val="7E7F0292"/>
    <w:rsid w:val="7EA45F4A"/>
    <w:rsid w:val="7EA5441A"/>
    <w:rsid w:val="7EA6304A"/>
    <w:rsid w:val="7EC41ECD"/>
    <w:rsid w:val="7ECF354B"/>
    <w:rsid w:val="7EDF0482"/>
    <w:rsid w:val="7EE11E39"/>
    <w:rsid w:val="7EF0142A"/>
    <w:rsid w:val="7F054B9B"/>
    <w:rsid w:val="7F062945"/>
    <w:rsid w:val="7F3A0B0A"/>
    <w:rsid w:val="7F444D79"/>
    <w:rsid w:val="7F5948C8"/>
    <w:rsid w:val="7F670759"/>
    <w:rsid w:val="7F6E5E67"/>
    <w:rsid w:val="7FA40A1F"/>
    <w:rsid w:val="7FA54CA3"/>
    <w:rsid w:val="7FB074E7"/>
    <w:rsid w:val="7FCD0FCB"/>
    <w:rsid w:val="7FD574FB"/>
    <w:rsid w:val="7FE24BBC"/>
    <w:rsid w:val="7FED3263"/>
    <w:rsid w:val="7FF308B4"/>
    <w:rsid w:val="FDE75DD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semiHidden="0"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iPriority="99"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nhideWhenUsed="0" w:uiPriority="0" w:semiHidden="0" w:name="Body Text Indent 2"/>
    <w:lsdException w:qFormat="1" w:uiPriority="99"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宋体" w:eastAsia="宋体" w:cs="Times New Roman"/>
      <w:sz w:val="24"/>
      <w:szCs w:val="24"/>
      <w:lang w:val="en-US" w:eastAsia="zh-CN" w:bidi="ar-SA"/>
    </w:rPr>
  </w:style>
  <w:style w:type="paragraph" w:styleId="3">
    <w:name w:val="heading 1"/>
    <w:basedOn w:val="1"/>
    <w:next w:val="1"/>
    <w:link w:val="51"/>
    <w:qFormat/>
    <w:uiPriority w:val="9"/>
    <w:pPr>
      <w:keepNext/>
      <w:keepLines/>
      <w:numPr>
        <w:ilvl w:val="0"/>
        <w:numId w:val="1"/>
      </w:numPr>
      <w:spacing w:line="360" w:lineRule="auto"/>
      <w:ind w:left="432" w:hanging="432"/>
      <w:outlineLvl w:val="0"/>
    </w:pPr>
    <w:rPr>
      <w:rFonts w:ascii="Calibri" w:hAnsi="Calibri"/>
      <w:b/>
      <w:bCs/>
      <w:kern w:val="44"/>
      <w:sz w:val="32"/>
      <w:szCs w:val="44"/>
    </w:rPr>
  </w:style>
  <w:style w:type="paragraph" w:styleId="4">
    <w:name w:val="heading 2"/>
    <w:basedOn w:val="1"/>
    <w:next w:val="1"/>
    <w:link w:val="52"/>
    <w:qFormat/>
    <w:uiPriority w:val="9"/>
    <w:pPr>
      <w:keepNext/>
      <w:keepLines/>
      <w:numPr>
        <w:ilvl w:val="1"/>
        <w:numId w:val="1"/>
      </w:numPr>
      <w:spacing w:line="360" w:lineRule="auto"/>
      <w:ind w:left="575" w:hanging="575"/>
      <w:outlineLvl w:val="1"/>
    </w:pPr>
    <w:rPr>
      <w:rFonts w:ascii="Calibri Light" w:hAnsi="Calibri Light"/>
      <w:b/>
      <w:bCs/>
      <w:sz w:val="30"/>
      <w:szCs w:val="32"/>
    </w:rPr>
  </w:style>
  <w:style w:type="paragraph" w:styleId="5">
    <w:name w:val="heading 3"/>
    <w:basedOn w:val="1"/>
    <w:next w:val="1"/>
    <w:link w:val="53"/>
    <w:qFormat/>
    <w:uiPriority w:val="9"/>
    <w:pPr>
      <w:keepNext/>
      <w:keepLines/>
      <w:numPr>
        <w:ilvl w:val="2"/>
        <w:numId w:val="1"/>
      </w:numPr>
      <w:spacing w:line="360" w:lineRule="auto"/>
      <w:ind w:left="720" w:hanging="720" w:firstLineChars="0"/>
      <w:outlineLvl w:val="2"/>
    </w:pPr>
    <w:rPr>
      <w:rFonts w:ascii="Calibri" w:hAnsi="Calibri"/>
      <w:b/>
      <w:bCs/>
      <w:szCs w:val="32"/>
    </w:rPr>
  </w:style>
  <w:style w:type="paragraph" w:styleId="6">
    <w:name w:val="heading 4"/>
    <w:basedOn w:val="1"/>
    <w:next w:val="1"/>
    <w:link w:val="55"/>
    <w:qFormat/>
    <w:uiPriority w:val="9"/>
    <w:pPr>
      <w:keepNext/>
      <w:keepLines/>
      <w:numPr>
        <w:ilvl w:val="3"/>
        <w:numId w:val="1"/>
      </w:numPr>
      <w:spacing w:line="360" w:lineRule="auto"/>
      <w:ind w:left="864" w:hanging="864" w:firstLineChars="0"/>
      <w:outlineLvl w:val="3"/>
    </w:pPr>
    <w:rPr>
      <w:rFonts w:ascii="Calibri Light" w:hAnsi="Calibri Light" w:eastAsia="黑体"/>
      <w:b/>
      <w:bCs/>
      <w:szCs w:val="28"/>
    </w:rPr>
  </w:style>
  <w:style w:type="paragraph" w:styleId="7">
    <w:name w:val="heading 5"/>
    <w:basedOn w:val="1"/>
    <w:next w:val="1"/>
    <w:qFormat/>
    <w:uiPriority w:val="0"/>
    <w:pPr>
      <w:keepNext/>
      <w:keepLines/>
      <w:numPr>
        <w:ilvl w:val="4"/>
        <w:numId w:val="1"/>
      </w:numPr>
      <w:tabs>
        <w:tab w:val="left" w:pos="1008"/>
      </w:tabs>
      <w:jc w:val="both"/>
      <w:outlineLvl w:val="4"/>
    </w:pPr>
    <w:rPr>
      <w:rFonts w:eastAsia="黑体"/>
      <w:bCs/>
      <w:szCs w:val="28"/>
    </w:rPr>
  </w:style>
  <w:style w:type="paragraph" w:styleId="8">
    <w:name w:val="heading 6"/>
    <w:basedOn w:val="1"/>
    <w:next w:val="1"/>
    <w:unhideWhenUsed/>
    <w:qFormat/>
    <w:uiPriority w:val="9"/>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9">
    <w:name w:val="heading 7"/>
    <w:basedOn w:val="1"/>
    <w:next w:val="1"/>
    <w:unhideWhenUsed/>
    <w:qFormat/>
    <w:uiPriority w:val="9"/>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10">
    <w:name w:val="heading 8"/>
    <w:basedOn w:val="1"/>
    <w:next w:val="1"/>
    <w:unhideWhenUsed/>
    <w:qFormat/>
    <w:uiPriority w:val="9"/>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1">
    <w:name w:val="heading 9"/>
    <w:basedOn w:val="1"/>
    <w:next w:val="1"/>
    <w:unhideWhenUsed/>
    <w:qFormat/>
    <w:uiPriority w:val="9"/>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43">
    <w:name w:val="Default Paragraph Font"/>
    <w:unhideWhenUsed/>
    <w:qFormat/>
    <w:uiPriority w:val="1"/>
  </w:style>
  <w:style w:type="table" w:default="1" w:styleId="41">
    <w:name w:val="Normal Table"/>
    <w:unhideWhenUsed/>
    <w:qFormat/>
    <w:uiPriority w:val="99"/>
    <w:tblPr>
      <w:tblCellMar>
        <w:top w:w="0" w:type="dxa"/>
        <w:left w:w="108" w:type="dxa"/>
        <w:bottom w:w="0" w:type="dxa"/>
        <w:right w:w="108" w:type="dxa"/>
      </w:tblCellMar>
    </w:tblPr>
  </w:style>
  <w:style w:type="paragraph" w:customStyle="1" w:styleId="2">
    <w:name w:val="Normal Indent1"/>
    <w:qFormat/>
    <w:uiPriority w:val="0"/>
    <w:pPr>
      <w:widowControl w:val="0"/>
      <w:spacing w:line="480" w:lineRule="auto"/>
      <w:ind w:firstLine="420" w:firstLineChars="200"/>
      <w:jc w:val="both"/>
    </w:pPr>
    <w:rPr>
      <w:rFonts w:ascii="Calibri" w:hAnsi="Calibri" w:eastAsia="宋体" w:cs="Times New Roman"/>
      <w:kern w:val="2"/>
      <w:sz w:val="21"/>
      <w:lang w:val="en-US" w:eastAsia="zh-CN" w:bidi="ar-SA"/>
    </w:rPr>
  </w:style>
  <w:style w:type="paragraph" w:styleId="12">
    <w:name w:val="Normal Indent"/>
    <w:basedOn w:val="1"/>
    <w:next w:val="13"/>
    <w:link w:val="54"/>
    <w:qFormat/>
    <w:uiPriority w:val="99"/>
    <w:pPr>
      <w:spacing w:line="360" w:lineRule="auto"/>
      <w:ind w:firstLine="560" w:firstLineChars="200"/>
    </w:pPr>
    <w:rPr>
      <w:rFonts w:ascii="Calibri" w:hAnsi="Calibri"/>
      <w:szCs w:val="20"/>
    </w:rPr>
  </w:style>
  <w:style w:type="paragraph" w:customStyle="1" w:styleId="13">
    <w:name w:val="Body Text 22"/>
    <w:basedOn w:val="1"/>
    <w:qFormat/>
    <w:uiPriority w:val="0"/>
    <w:pPr>
      <w:adjustRightInd w:val="0"/>
      <w:spacing w:line="440" w:lineRule="atLeast"/>
      <w:ind w:firstLine="480"/>
      <w:textAlignment w:val="baseline"/>
    </w:pPr>
    <w:rPr>
      <w:rFonts w:eastAsia="仿宋_GB2312"/>
      <w:szCs w:val="20"/>
    </w:rPr>
  </w:style>
  <w:style w:type="paragraph" w:styleId="14">
    <w:name w:val="caption"/>
    <w:basedOn w:val="1"/>
    <w:next w:val="1"/>
    <w:qFormat/>
    <w:uiPriority w:val="35"/>
    <w:pPr>
      <w:widowControl/>
      <w:spacing w:line="360" w:lineRule="auto"/>
      <w:ind w:right="-675" w:rightChars="-675"/>
      <w:jc w:val="left"/>
    </w:pPr>
    <w:rPr>
      <w:rFonts w:ascii="Cambria" w:hAnsi="Cambria" w:eastAsia="黑体"/>
      <w:sz w:val="20"/>
      <w:szCs w:val="20"/>
    </w:rPr>
  </w:style>
  <w:style w:type="paragraph" w:styleId="15">
    <w:name w:val="Document Map"/>
    <w:basedOn w:val="1"/>
    <w:link w:val="56"/>
    <w:unhideWhenUsed/>
    <w:qFormat/>
    <w:uiPriority w:val="99"/>
    <w:rPr>
      <w:rFonts w:hAnsi="Calibri"/>
      <w:sz w:val="18"/>
      <w:szCs w:val="18"/>
    </w:rPr>
  </w:style>
  <w:style w:type="paragraph" w:styleId="16">
    <w:name w:val="annotation text"/>
    <w:basedOn w:val="1"/>
    <w:link w:val="57"/>
    <w:unhideWhenUsed/>
    <w:qFormat/>
    <w:uiPriority w:val="99"/>
    <w:pPr>
      <w:jc w:val="left"/>
    </w:pPr>
  </w:style>
  <w:style w:type="paragraph" w:styleId="17">
    <w:name w:val="Salutation"/>
    <w:basedOn w:val="1"/>
    <w:next w:val="1"/>
    <w:qFormat/>
    <w:uiPriority w:val="0"/>
    <w:pPr>
      <w:spacing w:line="240" w:lineRule="auto"/>
    </w:pPr>
  </w:style>
  <w:style w:type="paragraph" w:styleId="18">
    <w:name w:val="Body Text 3"/>
    <w:basedOn w:val="1"/>
    <w:link w:val="58"/>
    <w:unhideWhenUsed/>
    <w:qFormat/>
    <w:uiPriority w:val="99"/>
    <w:rPr>
      <w:rFonts w:ascii="Calibri" w:hAnsi="Calibri"/>
      <w:kern w:val="2"/>
      <w:sz w:val="16"/>
      <w:szCs w:val="16"/>
    </w:rPr>
  </w:style>
  <w:style w:type="paragraph" w:styleId="19">
    <w:name w:val="Body Text"/>
    <w:basedOn w:val="1"/>
    <w:next w:val="1"/>
    <w:link w:val="59"/>
    <w:unhideWhenUsed/>
    <w:qFormat/>
    <w:uiPriority w:val="0"/>
    <w:pPr>
      <w:spacing w:after="120"/>
    </w:pPr>
  </w:style>
  <w:style w:type="paragraph" w:styleId="20">
    <w:name w:val="Body Text Indent"/>
    <w:basedOn w:val="1"/>
    <w:next w:val="1"/>
    <w:qFormat/>
    <w:uiPriority w:val="99"/>
    <w:pPr>
      <w:spacing w:line="360" w:lineRule="auto"/>
      <w:ind w:firstLine="480" w:firstLineChars="200"/>
    </w:pPr>
    <w:rPr>
      <w:kern w:val="0"/>
    </w:rPr>
  </w:style>
  <w:style w:type="paragraph" w:styleId="21">
    <w:name w:val="toc 3"/>
    <w:basedOn w:val="1"/>
    <w:next w:val="1"/>
    <w:qFormat/>
    <w:uiPriority w:val="39"/>
    <w:pPr>
      <w:spacing w:line="360" w:lineRule="auto"/>
      <w:ind w:left="420" w:firstLine="200" w:firstLineChars="200"/>
    </w:pPr>
    <w:rPr>
      <w:rFonts w:ascii="Times New Roman" w:hAnsi="Times New Roman" w:eastAsia="Times New Roman"/>
      <w:i/>
      <w:kern w:val="2"/>
      <w:sz w:val="20"/>
      <w:szCs w:val="20"/>
    </w:rPr>
  </w:style>
  <w:style w:type="paragraph" w:styleId="22">
    <w:name w:val="Plain Text"/>
    <w:basedOn w:val="1"/>
    <w:next w:val="23"/>
    <w:qFormat/>
    <w:uiPriority w:val="0"/>
    <w:rPr>
      <w:rFonts w:ascii="宋体" w:hAnsi="Courier New"/>
      <w:kern w:val="0"/>
      <w:sz w:val="20"/>
      <w:szCs w:val="20"/>
    </w:rPr>
  </w:style>
  <w:style w:type="paragraph" w:customStyle="1" w:styleId="23">
    <w:name w:val="正本"/>
    <w:basedOn w:val="1"/>
    <w:qFormat/>
    <w:uiPriority w:val="0"/>
    <w:pPr>
      <w:adjustRightInd w:val="0"/>
      <w:snapToGrid w:val="0"/>
      <w:spacing w:line="360" w:lineRule="auto"/>
      <w:ind w:firstLine="200" w:firstLineChars="200"/>
    </w:pPr>
    <w:rPr>
      <w:rFonts w:ascii="宋体" w:eastAsia="宋体"/>
      <w:kern w:val="2"/>
      <w:sz w:val="24"/>
      <w:szCs w:val="24"/>
      <w:lang w:val="en-US" w:eastAsia="zh-CN" w:bidi="ar-SA"/>
    </w:rPr>
  </w:style>
  <w:style w:type="paragraph" w:styleId="24">
    <w:name w:val="List Bullet 5"/>
    <w:basedOn w:val="1"/>
    <w:unhideWhenUsed/>
    <w:qFormat/>
    <w:uiPriority w:val="99"/>
    <w:pPr>
      <w:numPr>
        <w:ilvl w:val="0"/>
        <w:numId w:val="2"/>
      </w:numPr>
    </w:pPr>
  </w:style>
  <w:style w:type="paragraph" w:styleId="25">
    <w:name w:val="Date"/>
    <w:basedOn w:val="1"/>
    <w:next w:val="1"/>
    <w:link w:val="60"/>
    <w:unhideWhenUsed/>
    <w:qFormat/>
    <w:uiPriority w:val="99"/>
    <w:pPr>
      <w:ind w:left="100" w:leftChars="2500"/>
    </w:pPr>
  </w:style>
  <w:style w:type="paragraph" w:styleId="26">
    <w:name w:val="Body Text Indent 2"/>
    <w:basedOn w:val="1"/>
    <w:next w:val="1"/>
    <w:link w:val="61"/>
    <w:qFormat/>
    <w:uiPriority w:val="0"/>
    <w:pPr>
      <w:spacing w:line="540" w:lineRule="exact"/>
      <w:ind w:firstLine="490" w:firstLineChars="177"/>
    </w:pPr>
    <w:rPr>
      <w:rFonts w:eastAsia="仿宋_GB2312"/>
      <w:kern w:val="0"/>
      <w:sz w:val="28"/>
    </w:rPr>
  </w:style>
  <w:style w:type="paragraph" w:styleId="27">
    <w:name w:val="Balloon Text"/>
    <w:basedOn w:val="1"/>
    <w:link w:val="62"/>
    <w:unhideWhenUsed/>
    <w:qFormat/>
    <w:uiPriority w:val="99"/>
    <w:rPr>
      <w:rFonts w:ascii="Calibri" w:hAnsi="Calibri"/>
      <w:sz w:val="18"/>
      <w:szCs w:val="18"/>
    </w:rPr>
  </w:style>
  <w:style w:type="paragraph" w:styleId="28">
    <w:name w:val="footer"/>
    <w:basedOn w:val="1"/>
    <w:link w:val="63"/>
    <w:unhideWhenUsed/>
    <w:qFormat/>
    <w:uiPriority w:val="99"/>
    <w:pPr>
      <w:tabs>
        <w:tab w:val="center" w:pos="4153"/>
        <w:tab w:val="right" w:pos="8306"/>
      </w:tabs>
      <w:snapToGrid w:val="0"/>
      <w:jc w:val="left"/>
    </w:pPr>
    <w:rPr>
      <w:rFonts w:ascii="Calibri" w:hAnsi="Calibri"/>
      <w:sz w:val="18"/>
      <w:szCs w:val="18"/>
    </w:rPr>
  </w:style>
  <w:style w:type="paragraph" w:styleId="29">
    <w:name w:val="header"/>
    <w:basedOn w:val="1"/>
    <w:link w:val="64"/>
    <w:unhideWhenUsed/>
    <w:qFormat/>
    <w:uiPriority w:val="99"/>
    <w:pPr>
      <w:pBdr>
        <w:bottom w:val="single" w:color="auto" w:sz="6" w:space="1"/>
      </w:pBdr>
      <w:tabs>
        <w:tab w:val="center" w:pos="4153"/>
        <w:tab w:val="right" w:pos="8306"/>
      </w:tabs>
      <w:snapToGrid w:val="0"/>
      <w:jc w:val="center"/>
    </w:pPr>
    <w:rPr>
      <w:rFonts w:ascii="Calibri" w:hAnsi="Calibri"/>
      <w:sz w:val="18"/>
      <w:szCs w:val="18"/>
    </w:rPr>
  </w:style>
  <w:style w:type="paragraph" w:styleId="30">
    <w:name w:val="toc 1"/>
    <w:basedOn w:val="1"/>
    <w:next w:val="1"/>
    <w:unhideWhenUsed/>
    <w:qFormat/>
    <w:uiPriority w:val="39"/>
  </w:style>
  <w:style w:type="paragraph" w:styleId="31">
    <w:name w:val="Subtitle"/>
    <w:basedOn w:val="1"/>
    <w:qFormat/>
    <w:uiPriority w:val="0"/>
    <w:pPr>
      <w:spacing w:before="240" w:after="60" w:line="312" w:lineRule="auto"/>
      <w:jc w:val="center"/>
      <w:outlineLvl w:val="1"/>
    </w:pPr>
    <w:rPr>
      <w:rFonts w:ascii="Arial" w:hAnsi="Arial"/>
      <w:b/>
      <w:bCs/>
      <w:kern w:val="28"/>
      <w:sz w:val="32"/>
      <w:szCs w:val="32"/>
    </w:rPr>
  </w:style>
  <w:style w:type="paragraph" w:styleId="32">
    <w:name w:val="List"/>
    <w:basedOn w:val="1"/>
    <w:next w:val="1"/>
    <w:qFormat/>
    <w:uiPriority w:val="0"/>
    <w:pPr>
      <w:adjustRightInd w:val="0"/>
      <w:snapToGrid w:val="0"/>
      <w:jc w:val="center"/>
    </w:pPr>
    <w:rPr>
      <w:rFonts w:ascii="Times New Roman" w:hAnsi="Times New Roman"/>
      <w:kern w:val="0"/>
      <w:szCs w:val="20"/>
    </w:rPr>
  </w:style>
  <w:style w:type="paragraph" w:styleId="33">
    <w:name w:val="Body Text Indent 3"/>
    <w:basedOn w:val="1"/>
    <w:link w:val="65"/>
    <w:unhideWhenUsed/>
    <w:qFormat/>
    <w:uiPriority w:val="99"/>
    <w:pPr>
      <w:spacing w:after="120"/>
      <w:ind w:left="420" w:leftChars="200"/>
    </w:pPr>
    <w:rPr>
      <w:rFonts w:ascii="Calibri" w:hAnsi="Calibri"/>
      <w:sz w:val="16"/>
      <w:szCs w:val="16"/>
    </w:rPr>
  </w:style>
  <w:style w:type="paragraph" w:styleId="34">
    <w:name w:val="toc 2"/>
    <w:basedOn w:val="1"/>
    <w:next w:val="1"/>
    <w:unhideWhenUsed/>
    <w:qFormat/>
    <w:uiPriority w:val="39"/>
    <w:pPr>
      <w:ind w:left="420" w:leftChars="200"/>
    </w:pPr>
  </w:style>
  <w:style w:type="paragraph" w:styleId="35">
    <w:name w:val="Body Text 2"/>
    <w:basedOn w:val="1"/>
    <w:qFormat/>
    <w:uiPriority w:val="0"/>
    <w:pPr>
      <w:spacing w:line="360" w:lineRule="auto"/>
    </w:pPr>
    <w:rPr>
      <w:color w:val="000000"/>
      <w:kern w:val="0"/>
    </w:rPr>
  </w:style>
  <w:style w:type="paragraph" w:styleId="36">
    <w:name w:val="HTML Preformatted"/>
    <w:basedOn w:val="1"/>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kern w:val="0"/>
      <w:szCs w:val="21"/>
    </w:rPr>
  </w:style>
  <w:style w:type="paragraph" w:styleId="37">
    <w:name w:val="Normal (Web)"/>
    <w:basedOn w:val="1"/>
    <w:qFormat/>
    <w:uiPriority w:val="99"/>
    <w:pPr>
      <w:widowControl/>
      <w:spacing w:before="100" w:beforeAutospacing="1" w:after="100" w:afterAutospacing="1"/>
      <w:jc w:val="left"/>
    </w:pPr>
    <w:rPr>
      <w:rFonts w:ascii="宋体" w:hAnsi="宋体" w:cs="宋体"/>
      <w:kern w:val="0"/>
    </w:rPr>
  </w:style>
  <w:style w:type="paragraph" w:styleId="38">
    <w:name w:val="annotation subject"/>
    <w:basedOn w:val="16"/>
    <w:next w:val="16"/>
    <w:link w:val="66"/>
    <w:unhideWhenUsed/>
    <w:qFormat/>
    <w:uiPriority w:val="99"/>
    <w:rPr>
      <w:rFonts w:ascii="Calibri" w:hAnsi="Calibri"/>
      <w:b/>
      <w:bCs/>
      <w:sz w:val="20"/>
      <w:szCs w:val="20"/>
    </w:rPr>
  </w:style>
  <w:style w:type="paragraph" w:styleId="39">
    <w:name w:val="Body Text First Indent"/>
    <w:basedOn w:val="19"/>
    <w:next w:val="1"/>
    <w:qFormat/>
    <w:uiPriority w:val="0"/>
    <w:pPr>
      <w:spacing w:after="120"/>
      <w:ind w:firstLine="420" w:firstLineChars="100"/>
    </w:pPr>
    <w:rPr>
      <w:sz w:val="21"/>
    </w:rPr>
  </w:style>
  <w:style w:type="paragraph" w:styleId="40">
    <w:name w:val="Body Text First Indent 2"/>
    <w:basedOn w:val="20"/>
    <w:next w:val="1"/>
    <w:qFormat/>
    <w:uiPriority w:val="0"/>
    <w:pPr>
      <w:ind w:firstLine="420" w:firstLineChars="200"/>
    </w:pPr>
  </w:style>
  <w:style w:type="table" w:styleId="42">
    <w:name w:val="Table Grid"/>
    <w:basedOn w:val="41"/>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basedOn w:val="43"/>
    <w:qFormat/>
    <w:uiPriority w:val="22"/>
    <w:rPr>
      <w:rFonts w:hint="default" w:ascii="Times New Roman" w:hAnsi="Times New Roman" w:eastAsia="宋体" w:cs="Times New Roman"/>
      <w:b/>
      <w:bCs/>
      <w:kern w:val="0"/>
      <w:szCs w:val="20"/>
    </w:rPr>
  </w:style>
  <w:style w:type="character" w:styleId="45">
    <w:name w:val="page number"/>
    <w:basedOn w:val="43"/>
    <w:qFormat/>
    <w:uiPriority w:val="0"/>
  </w:style>
  <w:style w:type="character" w:styleId="46">
    <w:name w:val="Emphasis"/>
    <w:qFormat/>
    <w:uiPriority w:val="20"/>
    <w:rPr>
      <w:i/>
    </w:rPr>
  </w:style>
  <w:style w:type="character" w:styleId="47">
    <w:name w:val="Hyperlink"/>
    <w:basedOn w:val="43"/>
    <w:unhideWhenUsed/>
    <w:qFormat/>
    <w:uiPriority w:val="99"/>
    <w:rPr>
      <w:color w:val="0563C1"/>
      <w:u w:val="single"/>
    </w:rPr>
  </w:style>
  <w:style w:type="character" w:styleId="48">
    <w:name w:val="annotation reference"/>
    <w:unhideWhenUsed/>
    <w:qFormat/>
    <w:uiPriority w:val="99"/>
    <w:rPr>
      <w:sz w:val="21"/>
      <w:szCs w:val="21"/>
    </w:rPr>
  </w:style>
  <w:style w:type="paragraph" w:customStyle="1" w:styleId="49">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0">
    <w:name w:val="_Style 3"/>
    <w:next w:val="1"/>
    <w:qFormat/>
    <w:uiPriority w:val="0"/>
    <w:pPr>
      <w:widowControl w:val="0"/>
      <w:spacing w:line="340" w:lineRule="exact"/>
      <w:jc w:val="center"/>
    </w:pPr>
    <w:rPr>
      <w:rFonts w:ascii="Times New Roman" w:hAnsi="Times New Roman" w:eastAsia="宋体" w:cs="Times New Roman"/>
      <w:kern w:val="2"/>
      <w:sz w:val="21"/>
      <w:szCs w:val="24"/>
      <w:lang w:val="en-US" w:eastAsia="zh-CN" w:bidi="ar-SA"/>
    </w:rPr>
  </w:style>
  <w:style w:type="character" w:customStyle="1" w:styleId="51">
    <w:name w:val="标题 1 Char"/>
    <w:link w:val="3"/>
    <w:qFormat/>
    <w:uiPriority w:val="9"/>
    <w:rPr>
      <w:b/>
      <w:bCs/>
      <w:kern w:val="44"/>
      <w:sz w:val="32"/>
      <w:szCs w:val="44"/>
    </w:rPr>
  </w:style>
  <w:style w:type="character" w:customStyle="1" w:styleId="52">
    <w:name w:val="标题 2 Char"/>
    <w:link w:val="4"/>
    <w:qFormat/>
    <w:uiPriority w:val="9"/>
    <w:rPr>
      <w:rFonts w:ascii="Calibri Light" w:hAnsi="Calibri Light" w:eastAsia="宋体"/>
      <w:b/>
      <w:bCs/>
      <w:sz w:val="30"/>
      <w:szCs w:val="32"/>
    </w:rPr>
  </w:style>
  <w:style w:type="character" w:customStyle="1" w:styleId="53">
    <w:name w:val="标题 3 Char"/>
    <w:link w:val="5"/>
    <w:qFormat/>
    <w:uiPriority w:val="9"/>
    <w:rPr>
      <w:b/>
      <w:bCs/>
      <w:sz w:val="24"/>
      <w:szCs w:val="32"/>
    </w:rPr>
  </w:style>
  <w:style w:type="character" w:customStyle="1" w:styleId="54">
    <w:name w:val="正文缩进 Char"/>
    <w:link w:val="12"/>
    <w:qFormat/>
    <w:uiPriority w:val="99"/>
    <w:rPr>
      <w:rFonts w:eastAsia="宋体"/>
      <w:sz w:val="24"/>
    </w:rPr>
  </w:style>
  <w:style w:type="character" w:customStyle="1" w:styleId="55">
    <w:name w:val="标题 4 Char"/>
    <w:link w:val="6"/>
    <w:qFormat/>
    <w:uiPriority w:val="9"/>
    <w:rPr>
      <w:rFonts w:ascii="Calibri Light" w:hAnsi="Calibri Light" w:eastAsia="黑体"/>
      <w:b/>
      <w:bCs/>
      <w:sz w:val="24"/>
      <w:szCs w:val="28"/>
    </w:rPr>
  </w:style>
  <w:style w:type="character" w:customStyle="1" w:styleId="56">
    <w:name w:val="文档结构图 Char"/>
    <w:link w:val="15"/>
    <w:semiHidden/>
    <w:qFormat/>
    <w:uiPriority w:val="99"/>
    <w:rPr>
      <w:rFonts w:ascii="宋体" w:eastAsia="宋体"/>
      <w:sz w:val="18"/>
      <w:szCs w:val="18"/>
    </w:rPr>
  </w:style>
  <w:style w:type="character" w:customStyle="1" w:styleId="57">
    <w:name w:val="批注文字 Char"/>
    <w:basedOn w:val="43"/>
    <w:link w:val="16"/>
    <w:semiHidden/>
    <w:qFormat/>
    <w:uiPriority w:val="99"/>
  </w:style>
  <w:style w:type="character" w:customStyle="1" w:styleId="58">
    <w:name w:val="正文文本 3 Char1"/>
    <w:basedOn w:val="43"/>
    <w:link w:val="18"/>
    <w:qFormat/>
    <w:locked/>
    <w:uiPriority w:val="99"/>
    <w:rPr>
      <w:kern w:val="2"/>
      <w:sz w:val="16"/>
      <w:szCs w:val="16"/>
    </w:rPr>
  </w:style>
  <w:style w:type="character" w:customStyle="1" w:styleId="59">
    <w:name w:val="正文文本 Char"/>
    <w:basedOn w:val="43"/>
    <w:link w:val="19"/>
    <w:qFormat/>
    <w:uiPriority w:val="0"/>
  </w:style>
  <w:style w:type="character" w:customStyle="1" w:styleId="60">
    <w:name w:val="日期 Char"/>
    <w:basedOn w:val="43"/>
    <w:link w:val="25"/>
    <w:semiHidden/>
    <w:qFormat/>
    <w:uiPriority w:val="99"/>
  </w:style>
  <w:style w:type="character" w:customStyle="1" w:styleId="61">
    <w:name w:val="正文文本缩进 2 Char"/>
    <w:basedOn w:val="43"/>
    <w:link w:val="26"/>
    <w:qFormat/>
    <w:uiPriority w:val="0"/>
    <w:rPr>
      <w:rFonts w:ascii="宋体" w:hAnsi="宋体" w:eastAsia="仿宋_GB2312"/>
      <w:sz w:val="28"/>
      <w:szCs w:val="24"/>
    </w:rPr>
  </w:style>
  <w:style w:type="character" w:customStyle="1" w:styleId="62">
    <w:name w:val="批注框文本 Char"/>
    <w:link w:val="27"/>
    <w:semiHidden/>
    <w:qFormat/>
    <w:uiPriority w:val="99"/>
    <w:rPr>
      <w:sz w:val="18"/>
      <w:szCs w:val="18"/>
    </w:rPr>
  </w:style>
  <w:style w:type="character" w:customStyle="1" w:styleId="63">
    <w:name w:val="页脚 Char"/>
    <w:link w:val="28"/>
    <w:qFormat/>
    <w:uiPriority w:val="99"/>
    <w:rPr>
      <w:sz w:val="18"/>
      <w:szCs w:val="18"/>
    </w:rPr>
  </w:style>
  <w:style w:type="character" w:customStyle="1" w:styleId="64">
    <w:name w:val="页眉 Char"/>
    <w:link w:val="29"/>
    <w:qFormat/>
    <w:uiPriority w:val="99"/>
    <w:rPr>
      <w:sz w:val="18"/>
      <w:szCs w:val="18"/>
    </w:rPr>
  </w:style>
  <w:style w:type="character" w:customStyle="1" w:styleId="65">
    <w:name w:val="正文文本缩进 3 Char"/>
    <w:link w:val="33"/>
    <w:semiHidden/>
    <w:qFormat/>
    <w:uiPriority w:val="99"/>
    <w:rPr>
      <w:sz w:val="16"/>
      <w:szCs w:val="16"/>
    </w:rPr>
  </w:style>
  <w:style w:type="character" w:customStyle="1" w:styleId="66">
    <w:name w:val="批注主题 Char"/>
    <w:link w:val="38"/>
    <w:semiHidden/>
    <w:qFormat/>
    <w:uiPriority w:val="99"/>
    <w:rPr>
      <w:b/>
      <w:bCs/>
    </w:rPr>
  </w:style>
  <w:style w:type="paragraph" w:customStyle="1" w:styleId="67">
    <w:name w:val="Default"/>
    <w:basedOn w:val="68"/>
    <w:qForma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68">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character" w:customStyle="1" w:styleId="69">
    <w:name w:val="正文-蓝色 Char"/>
    <w:link w:val="70"/>
    <w:qFormat/>
    <w:uiPriority w:val="0"/>
    <w:rPr>
      <w:color w:val="0000FF"/>
    </w:rPr>
  </w:style>
  <w:style w:type="paragraph" w:customStyle="1" w:styleId="70">
    <w:name w:val="正文-蓝色"/>
    <w:basedOn w:val="71"/>
    <w:link w:val="69"/>
    <w:qFormat/>
    <w:uiPriority w:val="0"/>
    <w:pPr>
      <w:ind w:firstLine="480"/>
    </w:pPr>
    <w:rPr>
      <w:rFonts w:ascii="Calibri" w:hAnsi="Calibri" w:cs="Times New Roman"/>
      <w:color w:val="0000FF"/>
      <w:sz w:val="20"/>
      <w:szCs w:val="20"/>
    </w:rPr>
  </w:style>
  <w:style w:type="paragraph" w:customStyle="1" w:styleId="71">
    <w:name w:val="正文-欣欣"/>
    <w:basedOn w:val="1"/>
    <w:qFormat/>
    <w:uiPriority w:val="0"/>
    <w:pPr>
      <w:adjustRightInd w:val="0"/>
      <w:spacing w:line="360" w:lineRule="auto"/>
      <w:ind w:firstLine="200" w:firstLineChars="200"/>
    </w:pPr>
    <w:rPr>
      <w:rFonts w:cs="Courier New"/>
      <w:sz w:val="24"/>
      <w:szCs w:val="21"/>
    </w:rPr>
  </w:style>
  <w:style w:type="character" w:customStyle="1" w:styleId="72">
    <w:name w:val="【表中文字】 Char"/>
    <w:link w:val="73"/>
    <w:qFormat/>
    <w:uiPriority w:val="0"/>
    <w:rPr>
      <w:rFonts w:ascii="Times New Roman" w:hAnsi="Times New Roman" w:eastAsia="宋体" w:cs="Times New Roman"/>
      <w:szCs w:val="20"/>
    </w:rPr>
  </w:style>
  <w:style w:type="paragraph" w:customStyle="1" w:styleId="73">
    <w:name w:val="【表中文字】"/>
    <w:basedOn w:val="1"/>
    <w:link w:val="72"/>
    <w:qFormat/>
    <w:uiPriority w:val="0"/>
    <w:pPr>
      <w:adjustRightInd w:val="0"/>
      <w:snapToGrid w:val="0"/>
      <w:jc w:val="center"/>
    </w:pPr>
    <w:rPr>
      <w:rFonts w:ascii="Times New Roman" w:hAnsi="Times New Roman"/>
      <w:sz w:val="20"/>
      <w:szCs w:val="20"/>
    </w:rPr>
  </w:style>
  <w:style w:type="character" w:customStyle="1" w:styleId="74">
    <w:name w:val="无间隔 Char"/>
    <w:link w:val="75"/>
    <w:qFormat/>
    <w:uiPriority w:val="1"/>
    <w:rPr>
      <w:sz w:val="22"/>
      <w:szCs w:val="22"/>
      <w:lang w:val="en-US" w:eastAsia="zh-CN" w:bidi="ar-SA"/>
    </w:rPr>
  </w:style>
  <w:style w:type="paragraph" w:customStyle="1" w:styleId="75">
    <w:name w:val="No Spacing"/>
    <w:link w:val="74"/>
    <w:qFormat/>
    <w:uiPriority w:val="1"/>
    <w:rPr>
      <w:rFonts w:ascii="Times New Roman" w:hAnsi="Times New Roman" w:eastAsia="宋体" w:cs="Times New Roman"/>
      <w:sz w:val="22"/>
      <w:szCs w:val="22"/>
      <w:lang w:val="en-US" w:eastAsia="zh-CN" w:bidi="ar-SA"/>
    </w:rPr>
  </w:style>
  <w:style w:type="character" w:customStyle="1" w:styleId="76">
    <w:name w:val="正文文本 3 Char"/>
    <w:basedOn w:val="43"/>
    <w:semiHidden/>
    <w:qFormat/>
    <w:uiPriority w:val="99"/>
    <w:rPr>
      <w:rFonts w:ascii="宋体" w:hAnsi="宋体"/>
      <w:sz w:val="16"/>
      <w:szCs w:val="16"/>
    </w:rPr>
  </w:style>
  <w:style w:type="character" w:customStyle="1" w:styleId="77">
    <w:name w:val="0表格/图头 Char"/>
    <w:link w:val="78"/>
    <w:qFormat/>
    <w:uiPriority w:val="0"/>
    <w:rPr>
      <w:b/>
      <w:szCs w:val="24"/>
    </w:rPr>
  </w:style>
  <w:style w:type="paragraph" w:customStyle="1" w:styleId="78">
    <w:name w:val="0表格/图头"/>
    <w:basedOn w:val="1"/>
    <w:link w:val="77"/>
    <w:qFormat/>
    <w:uiPriority w:val="0"/>
    <w:pPr>
      <w:spacing w:line="360" w:lineRule="auto"/>
      <w:ind w:firstLine="34" w:firstLineChars="16"/>
      <w:jc w:val="center"/>
    </w:pPr>
    <w:rPr>
      <w:rFonts w:ascii="Calibri" w:hAnsi="Calibri"/>
      <w:b/>
      <w:sz w:val="20"/>
    </w:rPr>
  </w:style>
  <w:style w:type="character" w:customStyle="1" w:styleId="79">
    <w:name w:val="16"/>
    <w:qFormat/>
    <w:uiPriority w:val="0"/>
    <w:rPr>
      <w:rFonts w:hint="default" w:ascii="Times New Roman" w:hAnsi="Times New Roman" w:cs="Times New Roman"/>
      <w:b/>
      <w:bCs/>
    </w:rPr>
  </w:style>
  <w:style w:type="character" w:customStyle="1" w:styleId="80">
    <w:name w:val="fontstyle21"/>
    <w:qFormat/>
    <w:uiPriority w:val="0"/>
    <w:rPr>
      <w:rFonts w:hint="default" w:ascii="TimesNewRomanPSMT" w:hAnsi="TimesNewRomanPSMT"/>
      <w:color w:val="000000"/>
      <w:sz w:val="24"/>
      <w:szCs w:val="24"/>
    </w:rPr>
  </w:style>
  <w:style w:type="character" w:customStyle="1" w:styleId="81">
    <w:name w:val="表 头 Char"/>
    <w:link w:val="82"/>
    <w:qFormat/>
    <w:uiPriority w:val="0"/>
    <w:rPr>
      <w:rFonts w:eastAsia="黑体"/>
      <w:spacing w:val="10"/>
      <w:sz w:val="24"/>
    </w:rPr>
  </w:style>
  <w:style w:type="paragraph" w:customStyle="1" w:styleId="82">
    <w:name w:val="表 头"/>
    <w:basedOn w:val="1"/>
    <w:link w:val="81"/>
    <w:qFormat/>
    <w:uiPriority w:val="0"/>
    <w:pPr>
      <w:adjustRightInd w:val="0"/>
      <w:spacing w:before="120" w:after="120" w:line="360" w:lineRule="atLeast"/>
      <w:jc w:val="center"/>
    </w:pPr>
    <w:rPr>
      <w:rFonts w:ascii="Calibri" w:hAnsi="Calibri" w:eastAsia="黑体"/>
      <w:spacing w:val="10"/>
      <w:szCs w:val="20"/>
    </w:rPr>
  </w:style>
  <w:style w:type="character" w:customStyle="1" w:styleId="83">
    <w:name w:val="表格 Char"/>
    <w:link w:val="84"/>
    <w:qFormat/>
    <w:uiPriority w:val="0"/>
    <w:rPr>
      <w:rFonts w:ascii="宋体" w:hAnsi="宋体" w:eastAsia="Times New Roman" w:cs="Times New Roman"/>
      <w:snapToGrid w:val="0"/>
      <w:sz w:val="21"/>
      <w:lang w:val="en-US" w:eastAsia="zh-CN" w:bidi="ar-SA"/>
    </w:rPr>
  </w:style>
  <w:style w:type="paragraph" w:customStyle="1" w:styleId="84">
    <w:name w:val="表格"/>
    <w:basedOn w:val="32"/>
    <w:next w:val="1"/>
    <w:link w:val="83"/>
    <w:qFormat/>
    <w:uiPriority w:val="0"/>
    <w:pPr>
      <w:spacing w:line="380" w:lineRule="exact"/>
      <w:jc w:val="center"/>
    </w:pPr>
    <w:rPr>
      <w:rFonts w:ascii="宋体" w:hAnsi="宋体" w:eastAsia="Times New Roman"/>
      <w:snapToGrid w:val="0"/>
      <w:sz w:val="21"/>
      <w:lang w:val="en-US" w:eastAsia="zh-CN"/>
    </w:rPr>
  </w:style>
  <w:style w:type="character" w:customStyle="1" w:styleId="85">
    <w:name w:val="fontstyle01"/>
    <w:qFormat/>
    <w:uiPriority w:val="0"/>
    <w:rPr>
      <w:rFonts w:hint="eastAsia" w:ascii="宋体" w:hAnsi="宋体" w:eastAsia="宋体"/>
      <w:color w:val="000000"/>
      <w:sz w:val="24"/>
      <w:szCs w:val="24"/>
    </w:rPr>
  </w:style>
  <w:style w:type="character" w:customStyle="1" w:styleId="86">
    <w:name w:val="报告 Char Char"/>
    <w:link w:val="87"/>
    <w:qFormat/>
    <w:locked/>
    <w:uiPriority w:val="0"/>
    <w:rPr>
      <w:rFonts w:ascii="Times New Roman" w:hAnsi="Times New Roman"/>
      <w:sz w:val="24"/>
    </w:rPr>
  </w:style>
  <w:style w:type="paragraph" w:customStyle="1" w:styleId="87">
    <w:name w:val="报告"/>
    <w:basedOn w:val="1"/>
    <w:link w:val="86"/>
    <w:qFormat/>
    <w:uiPriority w:val="0"/>
    <w:pPr>
      <w:adjustRightInd w:val="0"/>
      <w:spacing w:line="360" w:lineRule="auto"/>
      <w:ind w:firstLine="505"/>
    </w:pPr>
    <w:rPr>
      <w:rFonts w:ascii="Times New Roman" w:hAnsi="Times New Roman"/>
      <w:szCs w:val="20"/>
    </w:rPr>
  </w:style>
  <w:style w:type="paragraph" w:customStyle="1" w:styleId="88">
    <w:name w:val="文本正文3"/>
    <w:qFormat/>
    <w:uiPriority w:val="0"/>
    <w:pPr>
      <w:spacing w:line="360" w:lineRule="auto"/>
      <w:ind w:firstLine="177" w:firstLineChars="177"/>
    </w:pPr>
    <w:rPr>
      <w:rFonts w:ascii="Times New Roman" w:hAnsi="Times New Roman" w:eastAsia="宋体" w:cs="Times New Roman"/>
      <w:kern w:val="2"/>
      <w:sz w:val="24"/>
      <w:szCs w:val="21"/>
      <w:lang w:val="en-US" w:eastAsia="zh-CN" w:bidi="ar-SA"/>
    </w:rPr>
  </w:style>
  <w:style w:type="paragraph" w:customStyle="1" w:styleId="89">
    <w:name w:val="正文格式"/>
    <w:basedOn w:val="1"/>
    <w:qFormat/>
    <w:uiPriority w:val="0"/>
    <w:pPr>
      <w:spacing w:line="360" w:lineRule="auto"/>
      <w:ind w:firstLine="560"/>
      <w:jc w:val="both"/>
    </w:pPr>
    <w:rPr>
      <w:rFonts w:ascii="宋体" w:hAnsi="宋体"/>
      <w:sz w:val="28"/>
      <w:szCs w:val="28"/>
    </w:rPr>
  </w:style>
  <w:style w:type="paragraph" w:customStyle="1" w:styleId="90">
    <w:name w:val="表题"/>
    <w:basedOn w:val="32"/>
    <w:qFormat/>
    <w:uiPriority w:val="0"/>
    <w:pPr>
      <w:adjustRightInd/>
      <w:snapToGrid w:val="0"/>
      <w:spacing w:line="240" w:lineRule="auto"/>
      <w:jc w:val="center"/>
    </w:pPr>
    <w:rPr>
      <w:rFonts w:eastAsia="黑体"/>
      <w:szCs w:val="20"/>
    </w:rPr>
  </w:style>
  <w:style w:type="paragraph" w:customStyle="1" w:styleId="91">
    <w:name w:val="标题 11"/>
    <w:basedOn w:val="1"/>
    <w:qFormat/>
    <w:uiPriority w:val="1"/>
    <w:pPr>
      <w:outlineLvl w:val="0"/>
    </w:pPr>
    <w:rPr>
      <w:rFonts w:ascii="黑体" w:eastAsia="黑体" w:cs="黑体"/>
      <w:b/>
      <w:bCs/>
      <w:sz w:val="36"/>
      <w:szCs w:val="36"/>
    </w:rPr>
  </w:style>
  <w:style w:type="paragraph" w:customStyle="1" w:styleId="92">
    <w:name w:val="报告表"/>
    <w:basedOn w:val="1"/>
    <w:qFormat/>
    <w:uiPriority w:val="0"/>
    <w:pPr>
      <w:wordWrap w:val="0"/>
      <w:adjustRightInd w:val="0"/>
      <w:snapToGrid w:val="0"/>
      <w:ind w:firstLine="200" w:firstLineChars="200"/>
      <w:jc w:val="left"/>
    </w:pPr>
  </w:style>
  <w:style w:type="paragraph" w:customStyle="1" w:styleId="93">
    <w:name w:val="-正文"/>
    <w:basedOn w:val="1"/>
    <w:qFormat/>
    <w:uiPriority w:val="0"/>
    <w:pPr>
      <w:spacing w:line="480" w:lineRule="exact"/>
      <w:ind w:firstLine="480" w:firstLineChars="200"/>
    </w:pPr>
    <w:rPr>
      <w:rFonts w:cs="宋体"/>
      <w:sz w:val="24"/>
      <w:szCs w:val="20"/>
    </w:rPr>
  </w:style>
  <w:style w:type="paragraph" w:customStyle="1" w:styleId="94">
    <w:name w:val="表格文字"/>
    <w:basedOn w:val="89"/>
    <w:next w:val="1"/>
    <w:qFormat/>
    <w:uiPriority w:val="99"/>
    <w:pPr>
      <w:widowControl w:val="0"/>
      <w:autoSpaceDE w:val="0"/>
      <w:autoSpaceDN w:val="0"/>
      <w:adjustRightInd w:val="0"/>
      <w:spacing w:line="320" w:lineRule="exact"/>
      <w:jc w:val="center"/>
      <w:textAlignment w:val="baseline"/>
    </w:pPr>
    <w:rPr>
      <w:rFonts w:ascii="宋体" w:hAnsi="Times New Roman" w:eastAsia="宋体" w:cs="Times New Roman"/>
      <w:color w:val="000000"/>
      <w:sz w:val="24"/>
      <w:lang w:val="en-US" w:eastAsia="zh-CN" w:bidi="ar-SA"/>
    </w:rPr>
  </w:style>
  <w:style w:type="paragraph" w:customStyle="1" w:styleId="95">
    <w:name w:val="样式标题5"/>
    <w:basedOn w:val="1"/>
    <w:next w:val="96"/>
    <w:qFormat/>
    <w:uiPriority w:val="0"/>
    <w:pPr>
      <w:spacing w:line="520" w:lineRule="exact"/>
      <w:ind w:firstLine="400"/>
    </w:pPr>
  </w:style>
  <w:style w:type="paragraph" w:customStyle="1" w:styleId="96">
    <w:name w:val="报告书正文"/>
    <w:basedOn w:val="1"/>
    <w:next w:val="1"/>
    <w:qFormat/>
    <w:uiPriority w:val="0"/>
    <w:pPr>
      <w:spacing w:line="360" w:lineRule="auto"/>
      <w:ind w:firstLine="200" w:firstLineChars="200"/>
    </w:pPr>
  </w:style>
  <w:style w:type="paragraph" w:customStyle="1" w:styleId="97">
    <w:name w:val="正文（标准）"/>
    <w:basedOn w:val="1"/>
    <w:qFormat/>
    <w:uiPriority w:val="0"/>
    <w:pPr>
      <w:adjustRightInd w:val="0"/>
      <w:spacing w:line="360" w:lineRule="auto"/>
      <w:ind w:firstLine="200" w:firstLineChars="200"/>
    </w:pPr>
    <w:rPr>
      <w:rFonts w:ascii="Times New Roman" w:hAnsi="Times New Roman"/>
      <w:sz w:val="24"/>
      <w:szCs w:val="30"/>
    </w:rPr>
  </w:style>
  <w:style w:type="paragraph" w:customStyle="1" w:styleId="98">
    <w:name w:val="5正文"/>
    <w:basedOn w:val="1"/>
    <w:qFormat/>
    <w:uiPriority w:val="0"/>
    <w:pPr>
      <w:spacing w:line="520" w:lineRule="exact"/>
      <w:ind w:firstLine="200" w:firstLineChars="200"/>
    </w:pPr>
    <w:rPr>
      <w:rFonts w:ascii="Times New Roman" w:hAnsi="Times New Roman"/>
      <w:sz w:val="24"/>
    </w:rPr>
  </w:style>
  <w:style w:type="paragraph" w:customStyle="1" w:styleId="99">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100">
    <w:name w:val="表格文字2"/>
    <w:basedOn w:val="1"/>
    <w:qFormat/>
    <w:uiPriority w:val="99"/>
    <w:pPr>
      <w:adjustRightInd w:val="0"/>
      <w:spacing w:before="60" w:line="320" w:lineRule="exact"/>
      <w:jc w:val="center"/>
      <w:textAlignment w:val="baseline"/>
    </w:pPr>
    <w:rPr>
      <w:rFonts w:ascii="宋体" w:hAnsi="Times New Roman"/>
      <w:kern w:val="0"/>
      <w:sz w:val="24"/>
      <w:szCs w:val="20"/>
    </w:rPr>
  </w:style>
  <w:style w:type="paragraph" w:customStyle="1" w:styleId="101">
    <w:name w:val="表格内容"/>
    <w:basedOn w:val="12"/>
    <w:next w:val="22"/>
    <w:qFormat/>
    <w:uiPriority w:val="0"/>
    <w:pPr>
      <w:spacing w:line="360" w:lineRule="auto"/>
      <w:jc w:val="center"/>
    </w:pPr>
    <w:rPr>
      <w:color w:val="000000"/>
    </w:rPr>
  </w:style>
  <w:style w:type="paragraph" w:customStyle="1" w:styleId="102">
    <w:name w:val="表格字体"/>
    <w:qFormat/>
    <w:uiPriority w:val="99"/>
    <w:pPr>
      <w:snapToGrid w:val="0"/>
      <w:jc w:val="center"/>
    </w:pPr>
    <w:rPr>
      <w:rFonts w:ascii="Times New Roman" w:hAnsi="Times New Roman" w:eastAsia="宋体" w:cs="Times New Roman"/>
      <w:kern w:val="2"/>
      <w:sz w:val="21"/>
      <w:lang w:val="en-US" w:eastAsia="zh-CN" w:bidi="ar-SA"/>
    </w:rPr>
  </w:style>
  <w:style w:type="paragraph" w:customStyle="1" w:styleId="103">
    <w:name w:val="【正文】"/>
    <w:basedOn w:val="1"/>
    <w:qFormat/>
    <w:uiPriority w:val="0"/>
    <w:pPr>
      <w:spacing w:line="440" w:lineRule="exact"/>
      <w:ind w:firstLine="544" w:firstLineChars="200"/>
    </w:pPr>
    <w:rPr>
      <w:spacing w:val="4"/>
    </w:rPr>
  </w:style>
  <w:style w:type="paragraph" w:customStyle="1" w:styleId="104">
    <w:name w:val="正文-1"/>
    <w:qFormat/>
    <w:uiPriority w:val="0"/>
    <w:pPr>
      <w:spacing w:line="480" w:lineRule="exact"/>
      <w:ind w:firstLine="200" w:firstLineChars="200"/>
      <w:jc w:val="both"/>
    </w:pPr>
    <w:rPr>
      <w:rFonts w:ascii="Times New Roman" w:hAnsi="Times New Roman" w:eastAsia="宋体" w:cs="宋体"/>
      <w:kern w:val="2"/>
      <w:sz w:val="24"/>
      <w:lang w:val="en-US" w:eastAsia="zh-CN" w:bidi="ar-SA"/>
    </w:rPr>
  </w:style>
  <w:style w:type="paragraph" w:customStyle="1" w:styleId="105">
    <w:name w:val="表格标题-xin"/>
    <w:basedOn w:val="1"/>
    <w:next w:val="3"/>
    <w:semiHidden/>
    <w:qFormat/>
    <w:uiPriority w:val="0"/>
    <w:pPr>
      <w:snapToGrid w:val="0"/>
      <w:ind w:left="0"/>
      <w:jc w:val="center"/>
    </w:pPr>
    <w:rPr>
      <w:rFonts w:eastAsia="黑体"/>
    </w:rPr>
  </w:style>
  <w:style w:type="paragraph" w:customStyle="1" w:styleId="106">
    <w:name w:val="WPSOffice手动目录 1"/>
    <w:qFormat/>
    <w:uiPriority w:val="0"/>
    <w:rPr>
      <w:rFonts w:ascii="Times New Roman" w:hAnsi="Times New Roman" w:eastAsia="宋体" w:cs="Times New Roman"/>
      <w:lang w:val="en-US" w:eastAsia="zh-CN" w:bidi="ar-SA"/>
    </w:rPr>
  </w:style>
  <w:style w:type="paragraph" w:customStyle="1" w:styleId="107">
    <w:name w:val="新格式表"/>
    <w:basedOn w:val="1"/>
    <w:qFormat/>
    <w:uiPriority w:val="0"/>
    <w:pPr>
      <w:adjustRightInd w:val="0"/>
      <w:snapToGrid w:val="0"/>
      <w:spacing w:line="240" w:lineRule="atLeast"/>
      <w:jc w:val="center"/>
    </w:pPr>
    <w:rPr>
      <w:rFonts w:ascii="Calibri" w:hAnsi="Calibri"/>
      <w:bCs/>
      <w:color w:val="000000"/>
      <w:kern w:val="2"/>
      <w:sz w:val="21"/>
      <w:szCs w:val="21"/>
    </w:rPr>
  </w:style>
  <w:style w:type="paragraph" w:customStyle="1" w:styleId="108">
    <w:name w:val="图表标题"/>
    <w:next w:val="1"/>
    <w:qFormat/>
    <w:uiPriority w:val="0"/>
    <w:pPr>
      <w:adjustRightInd w:val="0"/>
      <w:snapToGrid w:val="0"/>
      <w:jc w:val="center"/>
    </w:pPr>
    <w:rPr>
      <w:rFonts w:ascii="Times New Roman" w:hAnsi="Times New Roman" w:eastAsia="宋体" w:cs="Times New Roman"/>
      <w:b/>
      <w:kern w:val="2"/>
      <w:sz w:val="21"/>
      <w:szCs w:val="24"/>
      <w:lang w:val="en-US" w:eastAsia="zh-CN" w:bidi="ar-SA"/>
    </w:rPr>
  </w:style>
  <w:style w:type="paragraph" w:customStyle="1" w:styleId="109">
    <w:name w:val="0 正文"/>
    <w:basedOn w:val="1"/>
    <w:qFormat/>
    <w:uiPriority w:val="0"/>
    <w:pPr>
      <w:adjustRightInd w:val="0"/>
      <w:snapToGrid w:val="0"/>
      <w:spacing w:line="360" w:lineRule="auto"/>
      <w:ind w:firstLine="200" w:firstLineChars="200"/>
    </w:pPr>
    <w:rPr>
      <w:rFonts w:ascii="Times New Roman" w:hAnsi="Times New Roman"/>
      <w:kern w:val="2"/>
    </w:rPr>
  </w:style>
  <w:style w:type="paragraph" w:customStyle="1" w:styleId="110">
    <w:name w:val="纯文本1"/>
    <w:basedOn w:val="1"/>
    <w:next w:val="1"/>
    <w:qFormat/>
    <w:uiPriority w:val="0"/>
    <w:pPr>
      <w:adjustRightInd w:val="0"/>
      <w:snapToGrid w:val="0"/>
      <w:spacing w:line="240" w:lineRule="atLeast"/>
      <w:ind w:left="-105" w:leftChars="-50" w:right="-105" w:rightChars="-50"/>
      <w:jc w:val="center"/>
    </w:pPr>
    <w:rPr>
      <w:szCs w:val="21"/>
    </w:rPr>
  </w:style>
  <w:style w:type="paragraph" w:customStyle="1" w:styleId="111">
    <w:name w:val="Heading 3"/>
    <w:basedOn w:val="1"/>
    <w:qFormat/>
    <w:uiPriority w:val="1"/>
    <w:pPr>
      <w:spacing w:before="92"/>
      <w:ind w:left="128"/>
      <w:outlineLvl w:val="2"/>
    </w:pPr>
    <w:rPr>
      <w:b/>
      <w:bCs/>
      <w:sz w:val="28"/>
      <w:szCs w:val="28"/>
    </w:rPr>
  </w:style>
  <w:style w:type="paragraph" w:customStyle="1" w:styleId="112">
    <w:name w:val="样式17"/>
    <w:basedOn w:val="1"/>
    <w:qFormat/>
    <w:uiPriority w:val="0"/>
    <w:pPr>
      <w:jc w:val="center"/>
    </w:pPr>
    <w:rPr>
      <w:szCs w:val="21"/>
    </w:rPr>
  </w:style>
  <w:style w:type="paragraph" w:customStyle="1" w:styleId="113">
    <w:name w:val="样式 首行缩进"/>
    <w:basedOn w:val="1"/>
    <w:qFormat/>
    <w:uiPriority w:val="0"/>
    <w:pPr>
      <w:keepNext w:val="0"/>
      <w:keepLines w:val="0"/>
      <w:widowControl w:val="0"/>
      <w:suppressLineNumbers w:val="0"/>
      <w:spacing w:before="60" w:beforeAutospacing="0" w:after="60" w:afterAutospacing="0" w:line="360" w:lineRule="auto"/>
      <w:ind w:left="0" w:right="0" w:firstLine="480" w:firstLineChars="200"/>
      <w:jc w:val="both"/>
    </w:pPr>
    <w:rPr>
      <w:rFonts w:hint="default" w:ascii="Times New Roman" w:hAnsi="Times New Roman" w:eastAsia="宋体" w:cs="宋体"/>
      <w:kern w:val="2"/>
      <w:sz w:val="24"/>
      <w:szCs w:val="20"/>
      <w:lang w:val="en-US" w:eastAsia="zh-CN" w:bidi="ar"/>
    </w:rPr>
  </w:style>
  <w:style w:type="paragraph" w:customStyle="1" w:styleId="114">
    <w:name w:val="Table Paragraph"/>
    <w:basedOn w:val="1"/>
    <w:qFormat/>
    <w:uiPriority w:val="1"/>
    <w:pPr>
      <w:autoSpaceDE w:val="0"/>
      <w:autoSpaceDN w:val="0"/>
      <w:adjustRightInd w:val="0"/>
      <w:jc w:val="left"/>
    </w:pPr>
    <w:rPr>
      <w:rFonts w:ascii="Times New Roman" w:hAnsi="Times New Roman"/>
      <w:kern w:val="0"/>
      <w:sz w:val="24"/>
      <w:szCs w:val="24"/>
    </w:rPr>
  </w:style>
  <w:style w:type="paragraph" w:customStyle="1" w:styleId="115">
    <w:name w:val="表格题名"/>
    <w:qFormat/>
    <w:uiPriority w:val="0"/>
    <w:pPr>
      <w:adjustRightInd w:val="0"/>
      <w:spacing w:before="100" w:after="100"/>
      <w:jc w:val="center"/>
      <w:textAlignment w:val="baseline"/>
    </w:pPr>
    <w:rPr>
      <w:rFonts w:ascii="Times New Roman" w:hAnsi="Times New Roman" w:eastAsia="宋体" w:cs="Times New Roman"/>
      <w:b/>
      <w:sz w:val="24"/>
      <w:lang w:val="en-US" w:eastAsia="zh-CN" w:bidi="ar-SA"/>
    </w:rPr>
  </w:style>
  <w:style w:type="paragraph" w:customStyle="1" w:styleId="116">
    <w:name w:val="表格标题-5"/>
    <w:basedOn w:val="105"/>
    <w:next w:val="1"/>
    <w:qFormat/>
    <w:uiPriority w:val="0"/>
    <w:pPr>
      <w:numPr>
        <w:ilvl w:val="0"/>
        <w:numId w:val="3"/>
      </w:numPr>
    </w:pPr>
    <w:rPr>
      <w:rFonts w:ascii="Times New Roman"/>
    </w:rPr>
  </w:style>
  <w:style w:type="paragraph" w:customStyle="1" w:styleId="117">
    <w:name w:val="p0"/>
    <w:basedOn w:val="1"/>
    <w:qFormat/>
    <w:uiPriority w:val="0"/>
    <w:pPr>
      <w:widowControl/>
    </w:pPr>
    <w:rPr>
      <w:kern w:val="0"/>
      <w:szCs w:val="21"/>
    </w:rPr>
  </w:style>
  <w:style w:type="paragraph" w:customStyle="1" w:styleId="118">
    <w:name w:val="_Style 12"/>
    <w:qFormat/>
    <w:uiPriority w:val="1"/>
    <w:pPr>
      <w:widowControl w:val="0"/>
      <w:spacing w:line="360" w:lineRule="auto"/>
      <w:ind w:right="-675" w:rightChars="-675"/>
      <w:jc w:val="both"/>
    </w:pPr>
    <w:rPr>
      <w:rFonts w:ascii="Times New Roman" w:hAnsi="Times New Roman" w:eastAsia="宋体" w:cs="Times New Roman"/>
      <w:kern w:val="2"/>
      <w:sz w:val="24"/>
      <w:szCs w:val="24"/>
      <w:lang w:val="en-US" w:eastAsia="zh-CN" w:bidi="ar-SA"/>
    </w:rPr>
  </w:style>
  <w:style w:type="paragraph" w:customStyle="1" w:styleId="119">
    <w:name w:val="表格名称"/>
    <w:basedOn w:val="84"/>
    <w:qFormat/>
    <w:uiPriority w:val="0"/>
    <w:rPr>
      <w:b/>
      <w:sz w:val="24"/>
    </w:rPr>
  </w:style>
  <w:style w:type="paragraph" w:customStyle="1" w:styleId="120">
    <w:name w:val="正文-黑体"/>
    <w:basedOn w:val="71"/>
    <w:qFormat/>
    <w:uiPriority w:val="0"/>
    <w:rPr>
      <w:rFonts w:eastAsia="黑体"/>
    </w:rPr>
  </w:style>
  <w:style w:type="paragraph" w:customStyle="1" w:styleId="121">
    <w:name w:val="君邦正文"/>
    <w:qFormat/>
    <w:uiPriority w:val="99"/>
    <w:pPr>
      <w:spacing w:after="60" w:line="360" w:lineRule="auto"/>
      <w:ind w:firstLine="480" w:firstLineChars="200"/>
      <w:jc w:val="both"/>
    </w:pPr>
    <w:rPr>
      <w:rFonts w:ascii="Times New Roman" w:hAnsi="Times New Roman" w:eastAsia="宋体" w:cs="Times New Roman"/>
      <w:bCs/>
      <w:sz w:val="24"/>
      <w:lang w:val="en-US" w:eastAsia="zh-CN" w:bidi="ar-SA"/>
    </w:rPr>
  </w:style>
  <w:style w:type="paragraph" w:customStyle="1" w:styleId="122">
    <w:name w:val="表内容"/>
    <w:basedOn w:val="1"/>
    <w:next w:val="93"/>
    <w:qFormat/>
    <w:uiPriority w:val="0"/>
    <w:pPr>
      <w:spacing w:line="240" w:lineRule="auto"/>
      <w:jc w:val="center"/>
    </w:pPr>
    <w:rPr>
      <w:sz w:val="21"/>
      <w:szCs w:val="21"/>
    </w:rPr>
  </w:style>
  <w:style w:type="paragraph" w:customStyle="1" w:styleId="123">
    <w:name w:val="表格内文字1"/>
    <w:qFormat/>
    <w:uiPriority w:val="0"/>
    <w:pPr>
      <w:widowControl w:val="0"/>
      <w:jc w:val="center"/>
    </w:pPr>
    <w:rPr>
      <w:rFonts w:ascii="Times New Roman" w:hAnsi="Times New Roman" w:eastAsia="宋体" w:cs="Times New Roman"/>
      <w:color w:val="000000"/>
      <w:kern w:val="2"/>
      <w:sz w:val="21"/>
      <w:szCs w:val="24"/>
      <w:lang w:val="en-US" w:eastAsia="zh-CN" w:bidi="ar-SA"/>
    </w:rPr>
  </w:style>
  <w:style w:type="paragraph" w:customStyle="1" w:styleId="124">
    <w:name w:val="表格标题"/>
    <w:basedOn w:val="101"/>
    <w:qFormat/>
    <w:uiPriority w:val="0"/>
    <w:pPr>
      <w:spacing w:before="120"/>
      <w:jc w:val="center"/>
    </w:pPr>
    <w:rPr>
      <w:rFonts w:eastAsia="仿宋_GB2312"/>
      <w:szCs w:val="20"/>
    </w:rPr>
  </w:style>
  <w:style w:type="paragraph" w:customStyle="1" w:styleId="125">
    <w:name w:val="正文2"/>
    <w:qFormat/>
    <w:uiPriority w:val="0"/>
    <w:pPr>
      <w:widowControl w:val="0"/>
      <w:adjustRightInd w:val="0"/>
      <w:spacing w:line="360" w:lineRule="atLeast"/>
      <w:textAlignment w:val="baseline"/>
    </w:pPr>
    <w:rPr>
      <w:rFonts w:ascii="宋体" w:hAnsi="Times New Roman" w:eastAsia="宋体" w:cs="Times New Roman"/>
      <w:sz w:val="24"/>
      <w:szCs w:val="22"/>
      <w:lang w:val="en-US" w:eastAsia="zh-CN" w:bidi="ar-SA"/>
    </w:rPr>
  </w:style>
  <w:style w:type="paragraph" w:customStyle="1" w:styleId="126">
    <w:name w:val="二级标题"/>
    <w:basedOn w:val="1"/>
    <w:qFormat/>
    <w:uiPriority w:val="99"/>
    <w:pPr>
      <w:outlineLvl w:val="1"/>
    </w:pPr>
    <w:rPr>
      <w:rFonts w:eastAsia="黑体"/>
      <w:sz w:val="30"/>
    </w:rPr>
  </w:style>
  <w:style w:type="paragraph" w:customStyle="1" w:styleId="127">
    <w:name w:val="表格中文字"/>
    <w:basedOn w:val="1"/>
    <w:qFormat/>
    <w:uiPriority w:val="0"/>
    <w:pPr>
      <w:adjustRightInd w:val="0"/>
      <w:snapToGrid w:val="0"/>
      <w:spacing w:line="240" w:lineRule="auto"/>
      <w:ind w:firstLine="0" w:firstLineChars="0"/>
      <w:jc w:val="center"/>
    </w:pPr>
    <w:rPr>
      <w:rFonts w:cs="Times New Roman"/>
      <w:kern w:val="18"/>
      <w:sz w:val="21"/>
      <w:szCs w:val="21"/>
    </w:rPr>
  </w:style>
  <w:style w:type="paragraph" w:customStyle="1" w:styleId="128">
    <w:name w:val="Heading 1"/>
    <w:basedOn w:val="1"/>
    <w:qFormat/>
    <w:uiPriority w:val="1"/>
    <w:pPr>
      <w:outlineLvl w:val="0"/>
    </w:pPr>
    <w:rPr>
      <w:rFonts w:ascii="黑体" w:eastAsia="黑体" w:cs="黑体"/>
      <w:b/>
      <w:bCs/>
      <w:sz w:val="36"/>
      <w:szCs w:val="36"/>
    </w:rPr>
  </w:style>
  <w:style w:type="paragraph" w:customStyle="1" w:styleId="129">
    <w:name w:val="正文文本1"/>
    <w:basedOn w:val="1"/>
    <w:qFormat/>
    <w:uiPriority w:val="0"/>
    <w:pPr>
      <w:spacing w:line="480" w:lineRule="exact"/>
      <w:ind w:firstLine="200" w:firstLineChars="200"/>
    </w:pPr>
    <w:rPr>
      <w:color w:val="000000"/>
      <w:sz w:val="24"/>
    </w:rPr>
  </w:style>
  <w:style w:type="paragraph" w:customStyle="1" w:styleId="130">
    <w:name w:val="0正文"/>
    <w:basedOn w:val="20"/>
    <w:unhideWhenUsed/>
    <w:qFormat/>
    <w:uiPriority w:val="0"/>
    <w:pPr>
      <w:ind w:firstLine="720"/>
    </w:pPr>
    <w:rPr>
      <w:sz w:val="24"/>
    </w:rPr>
  </w:style>
  <w:style w:type="paragraph" w:customStyle="1" w:styleId="131">
    <w:name w:val="表格标题-1"/>
    <w:basedOn w:val="105"/>
    <w:next w:val="1"/>
    <w:qFormat/>
    <w:uiPriority w:val="0"/>
    <w:pPr>
      <w:numPr>
        <w:ilvl w:val="0"/>
        <w:numId w:val="4"/>
      </w:numPr>
    </w:pPr>
    <w:rPr>
      <w:rFonts w:ascii="Times New Roman"/>
    </w:rPr>
  </w:style>
  <w:style w:type="paragraph" w:customStyle="1" w:styleId="132">
    <w:name w:val="表格样式"/>
    <w:basedOn w:val="112"/>
    <w:qFormat/>
    <w:uiPriority w:val="0"/>
    <w:rPr>
      <w:b/>
    </w:rPr>
  </w:style>
  <w:style w:type="paragraph" w:customStyle="1" w:styleId="133">
    <w:name w:val="图文框"/>
    <w:basedOn w:val="1"/>
    <w:qFormat/>
    <w:uiPriority w:val="0"/>
    <w:pPr>
      <w:autoSpaceDE w:val="0"/>
      <w:autoSpaceDN w:val="0"/>
      <w:adjustRightInd w:val="0"/>
      <w:snapToGrid w:val="0"/>
      <w:spacing w:before="36" w:after="36" w:line="240" w:lineRule="exact"/>
      <w:jc w:val="center"/>
      <w:textAlignment w:val="baseline"/>
    </w:pPr>
    <w:rPr>
      <w:color w:val="000000"/>
      <w:sz w:val="21"/>
      <w:szCs w:val="21"/>
    </w:rPr>
  </w:style>
  <w:style w:type="paragraph" w:customStyle="1" w:styleId="134">
    <w:name w:val="TOC 标题1"/>
    <w:basedOn w:val="3"/>
    <w:next w:val="1"/>
    <w:unhideWhenUsed/>
    <w:qFormat/>
    <w:uiPriority w:val="39"/>
    <w:pPr>
      <w:widowControl/>
      <w:spacing w:before="240" w:after="0" w:line="259" w:lineRule="auto"/>
      <w:jc w:val="left"/>
      <w:outlineLvl w:val="9"/>
    </w:pPr>
    <w:rPr>
      <w:rFonts w:ascii="Calibri Light" w:hAnsi="Calibri Light"/>
      <w:b w:val="0"/>
      <w:bCs w:val="0"/>
      <w:color w:val="2E75B5"/>
      <w:kern w:val="0"/>
      <w:sz w:val="32"/>
      <w:szCs w:val="32"/>
    </w:rPr>
  </w:style>
  <w:style w:type="paragraph" w:customStyle="1" w:styleId="135">
    <w:name w:val="0"/>
    <w:basedOn w:val="1"/>
    <w:qFormat/>
    <w:uiPriority w:val="0"/>
    <w:pPr>
      <w:widowControl/>
      <w:spacing w:before="100" w:beforeAutospacing="1" w:after="100" w:afterAutospacing="1" w:line="360" w:lineRule="auto"/>
      <w:jc w:val="left"/>
    </w:pPr>
  </w:style>
  <w:style w:type="paragraph" w:customStyle="1" w:styleId="136">
    <w:name w:val="报告表格"/>
    <w:basedOn w:val="1"/>
    <w:qFormat/>
    <w:uiPriority w:val="0"/>
    <w:pPr>
      <w:autoSpaceDE w:val="0"/>
      <w:autoSpaceDN w:val="0"/>
      <w:spacing w:before="40" w:after="40"/>
      <w:ind w:firstLine="1040" w:firstLineChars="200"/>
      <w:jc w:val="center"/>
      <w:textAlignment w:val="bottom"/>
    </w:pPr>
    <w:rPr>
      <w:rFonts w:ascii="Times New Roman" w:hAnsi="Times New Roman"/>
      <w:sz w:val="24"/>
      <w:szCs w:val="24"/>
    </w:rPr>
  </w:style>
  <w:style w:type="paragraph" w:customStyle="1" w:styleId="137">
    <w:name w:val="标题 31"/>
    <w:basedOn w:val="1"/>
    <w:qFormat/>
    <w:uiPriority w:val="1"/>
    <w:pPr>
      <w:spacing w:before="92"/>
      <w:ind w:left="128"/>
      <w:outlineLvl w:val="2"/>
    </w:pPr>
    <w:rPr>
      <w:b/>
      <w:bCs/>
      <w:sz w:val="28"/>
      <w:szCs w:val="28"/>
    </w:rPr>
  </w:style>
  <w:style w:type="paragraph" w:customStyle="1" w:styleId="138">
    <w:name w:val="List Paragraph"/>
    <w:basedOn w:val="1"/>
    <w:qFormat/>
    <w:uiPriority w:val="34"/>
    <w:pPr>
      <w:ind w:firstLine="420" w:firstLineChars="200"/>
    </w:pPr>
  </w:style>
  <w:style w:type="paragraph" w:customStyle="1" w:styleId="139">
    <w:name w:val="WPSOffice手动目录 2"/>
    <w:qFormat/>
    <w:uiPriority w:val="0"/>
    <w:pPr>
      <w:ind w:leftChars="200"/>
    </w:pPr>
    <w:rPr>
      <w:rFonts w:ascii="Times New Roman" w:hAnsi="Times New Roman" w:eastAsia="宋体" w:cs="Times New Roman"/>
      <w:lang w:val="en-US" w:eastAsia="zh-CN" w:bidi="ar-SA"/>
    </w:rPr>
  </w:style>
  <w:style w:type="paragraph" w:customStyle="1" w:styleId="140">
    <w:name w:val="闽科书表格文字"/>
    <w:qFormat/>
    <w:uiPriority w:val="0"/>
    <w:pPr>
      <w:widowControl w:val="0"/>
      <w:jc w:val="center"/>
    </w:pPr>
    <w:rPr>
      <w:rFonts w:ascii="Times New Roman" w:hAnsi="Times New Roman" w:eastAsia="宋体" w:cs="Courier New"/>
      <w:kern w:val="2"/>
      <w:sz w:val="18"/>
      <w:szCs w:val="18"/>
      <w:lang w:val="en-US" w:eastAsia="zh-CN" w:bidi="ar-SA"/>
    </w:rPr>
  </w:style>
  <w:style w:type="paragraph" w:customStyle="1" w:styleId="141">
    <w:name w:val="Revision"/>
    <w:semiHidden/>
    <w:qFormat/>
    <w:uiPriority w:val="99"/>
    <w:rPr>
      <w:rFonts w:ascii="Times New Roman" w:hAnsi="Times New Roman" w:eastAsia="宋体" w:cs="Times New Roman"/>
      <w:kern w:val="2"/>
      <w:sz w:val="21"/>
      <w:szCs w:val="22"/>
      <w:lang w:val="en-US" w:eastAsia="zh-CN" w:bidi="ar-SA"/>
    </w:rPr>
  </w:style>
  <w:style w:type="paragraph" w:customStyle="1" w:styleId="142">
    <w:name w:val="表格首行"/>
    <w:basedOn w:val="1"/>
    <w:next w:val="3"/>
    <w:qFormat/>
    <w:uiPriority w:val="0"/>
    <w:pPr>
      <w:adjustRightInd w:val="0"/>
      <w:jc w:val="center"/>
    </w:pPr>
    <w:rPr>
      <w:rFonts w:cs="宋体"/>
      <w:b/>
      <w:szCs w:val="20"/>
    </w:rPr>
  </w:style>
  <w:style w:type="paragraph" w:customStyle="1" w:styleId="143">
    <w:name w:val="表头样式"/>
    <w:basedOn w:val="1"/>
    <w:qFormat/>
    <w:uiPriority w:val="0"/>
    <w:pPr>
      <w:spacing w:beforeLines="50" w:afterLines="50"/>
      <w:jc w:val="center"/>
    </w:pPr>
    <w:rPr>
      <w:b/>
      <w:szCs w:val="21"/>
    </w:rPr>
  </w:style>
  <w:style w:type="paragraph" w:customStyle="1" w:styleId="144">
    <w:name w:val="正文01"/>
    <w:basedOn w:val="1"/>
    <w:qFormat/>
    <w:uiPriority w:val="0"/>
    <w:pPr>
      <w:spacing w:line="460" w:lineRule="exact"/>
    </w:pPr>
    <w:rPr>
      <w:rFonts w:ascii="Calibri" w:hAnsi="Calibri" w:cs="Times New Roman"/>
      <w:kern w:val="2"/>
    </w:rPr>
  </w:style>
  <w:style w:type="paragraph" w:customStyle="1" w:styleId="145">
    <w:name w:val="正文文本缩进 21"/>
    <w:basedOn w:val="1"/>
    <w:qFormat/>
    <w:uiPriority w:val="0"/>
    <w:pPr>
      <w:spacing w:line="440" w:lineRule="exact"/>
      <w:ind w:firstLine="435"/>
    </w:pPr>
    <w:rPr>
      <w:rFonts w:ascii="Times New Roman" w:hAnsi="Times New Roman"/>
      <w:sz w:val="24"/>
      <w:szCs w:val="20"/>
    </w:rPr>
  </w:style>
  <w:style w:type="paragraph" w:customStyle="1" w:styleId="146">
    <w:name w:val="表头"/>
    <w:basedOn w:val="124"/>
    <w:qFormat/>
    <w:uiPriority w:val="0"/>
    <w:pPr>
      <w:spacing w:line="240" w:lineRule="auto"/>
    </w:pPr>
  </w:style>
  <w:style w:type="paragraph" w:customStyle="1" w:styleId="147">
    <w:name w:val="批注"/>
    <w:basedOn w:val="1"/>
    <w:next w:val="1"/>
    <w:qFormat/>
    <w:uiPriority w:val="0"/>
    <w:pPr>
      <w:adjustRightInd/>
      <w:ind w:left="0" w:firstLine="525" w:firstLineChars="250"/>
    </w:pPr>
    <w:rPr>
      <w:rFonts w:cs="宋体"/>
    </w:rPr>
  </w:style>
  <w:style w:type="paragraph" w:customStyle="1" w:styleId="148">
    <w:name w:val="正文1"/>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149">
    <w:name w:val="表格表头"/>
    <w:qFormat/>
    <w:uiPriority w:val="0"/>
    <w:pPr>
      <w:spacing w:before="160" w:after="160"/>
      <w:jc w:val="center"/>
    </w:pPr>
    <w:rPr>
      <w:rFonts w:ascii="Times New Roman" w:hAnsi="Times New Roman" w:eastAsia="宋体" w:cs="Times New Roman"/>
      <w:b/>
      <w:kern w:val="2"/>
      <w:sz w:val="24"/>
      <w:szCs w:val="24"/>
      <w:lang w:val="en-US" w:eastAsia="zh-CN" w:bidi="ar-SA"/>
    </w:rPr>
  </w:style>
  <w:style w:type="paragraph" w:customStyle="1" w:styleId="150">
    <w:name w:val="BGZX"/>
    <w:next w:val="1"/>
    <w:qFormat/>
    <w:uiPriority w:val="0"/>
    <w:pPr>
      <w:widowControl w:val="0"/>
      <w:spacing w:line="360" w:lineRule="auto"/>
      <w:ind w:firstLine="480" w:firstLineChars="200"/>
      <w:jc w:val="both"/>
      <w:textAlignment w:val="center"/>
    </w:pPr>
    <w:rPr>
      <w:rFonts w:ascii="Times New Roman" w:hAnsi="Times New Roman" w:eastAsia="宋体" w:cs="Times New Roman"/>
      <w:color w:val="0000FF"/>
      <w:sz w:val="24"/>
      <w:lang w:val="en-US" w:eastAsia="zh-CN" w:bidi="ar-SA"/>
    </w:rPr>
  </w:style>
  <w:style w:type="paragraph" w:customStyle="1" w:styleId="151">
    <w:name w:val="char"/>
    <w:basedOn w:val="1"/>
    <w:qFormat/>
    <w:uiPriority w:val="0"/>
    <w:pPr>
      <w:spacing w:line="360" w:lineRule="auto"/>
      <w:ind w:firstLine="560" w:firstLineChars="200"/>
    </w:pPr>
    <w:rPr>
      <w:iCs/>
      <w:kern w:val="2"/>
      <w:sz w:val="28"/>
      <w:szCs w:val="28"/>
    </w:rPr>
  </w:style>
  <w:style w:type="paragraph" w:customStyle="1" w:styleId="152">
    <w:name w:val="妇幼正文"/>
    <w:basedOn w:val="1"/>
    <w:qFormat/>
    <w:uiPriority w:val="0"/>
    <w:pPr>
      <w:adjustRightInd w:val="0"/>
      <w:spacing w:line="360" w:lineRule="auto"/>
      <w:ind w:firstLine="480" w:firstLineChars="200"/>
    </w:pPr>
    <w:rPr>
      <w:color w:val="000000"/>
      <w:sz w:val="24"/>
    </w:rPr>
  </w:style>
  <w:style w:type="paragraph" w:customStyle="1" w:styleId="153">
    <w:name w:val="表格标题-3"/>
    <w:basedOn w:val="105"/>
    <w:next w:val="1"/>
    <w:qFormat/>
    <w:uiPriority w:val="0"/>
    <w:pPr>
      <w:numPr>
        <w:ilvl w:val="0"/>
        <w:numId w:val="5"/>
      </w:numPr>
      <w:ind w:left="0" w:firstLine="0"/>
    </w:pPr>
    <w:rPr>
      <w:rFonts w:ascii="Times New Roman"/>
    </w:rPr>
  </w:style>
  <w:style w:type="paragraph" w:customStyle="1" w:styleId="154">
    <w:name w:val="样式 正文缩进 + 首行缩进:  2 字符"/>
    <w:basedOn w:val="12"/>
    <w:qFormat/>
    <w:uiPriority w:val="0"/>
    <w:pPr>
      <w:widowControl/>
      <w:spacing w:line="500" w:lineRule="exact"/>
      <w:ind w:firstLine="200" w:firstLineChars="200"/>
      <w:jc w:val="left"/>
    </w:pPr>
    <w:rPr>
      <w:sz w:val="24"/>
    </w:rPr>
  </w:style>
  <w:style w:type="paragraph" w:customStyle="1" w:styleId="155">
    <w:name w:val="表格式"/>
    <w:basedOn w:val="32"/>
    <w:qFormat/>
    <w:uiPriority w:val="0"/>
    <w:pPr>
      <w:spacing w:beforeLines="50" w:afterLines="50" w:line="200" w:lineRule="exact"/>
    </w:pPr>
  </w:style>
  <w:style w:type="table" w:customStyle="1" w:styleId="156">
    <w:name w:val="网格型1"/>
    <w:basedOn w:val="41"/>
    <w:qFormat/>
    <w:uiPriority w:val="59"/>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7">
    <w:name w:val="网格型6"/>
    <w:basedOn w:val="41"/>
    <w:qFormat/>
    <w:uiPriority w:val="59"/>
    <w:rPr>
      <w:rFonts w:ascii="Times New Roman" w:hAnsi="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58">
    <w:name w:val="表格标题-2"/>
    <w:basedOn w:val="105"/>
    <w:next w:val="1"/>
    <w:qFormat/>
    <w:uiPriority w:val="0"/>
    <w:pPr>
      <w:numPr>
        <w:ilvl w:val="0"/>
        <w:numId w:val="6"/>
      </w:numPr>
    </w:pPr>
  </w:style>
  <w:style w:type="paragraph" w:customStyle="1" w:styleId="159">
    <w:name w:val="表后隔行"/>
    <w:basedOn w:val="97"/>
    <w:qFormat/>
    <w:uiPriority w:val="0"/>
    <w:pPr>
      <w:spacing w:line="240" w:lineRule="auto"/>
    </w:pPr>
  </w:style>
  <w:style w:type="paragraph" w:customStyle="1" w:styleId="160">
    <w:name w:val="表标题"/>
    <w:basedOn w:val="1"/>
    <w:next w:val="84"/>
    <w:qFormat/>
    <w:uiPriority w:val="0"/>
    <w:pPr>
      <w:ind w:firstLine="470" w:firstLineChars="195"/>
      <w:jc w:val="center"/>
    </w:pPr>
    <w:rPr>
      <w:rFonts w:eastAsia="黑体"/>
      <w:bCs/>
    </w:rPr>
  </w:style>
  <w:style w:type="paragraph" w:customStyle="1" w:styleId="161">
    <w:name w:val="样式 表头 + 段前: 0.5 行"/>
    <w:basedOn w:val="146"/>
    <w:qFormat/>
    <w:uiPriority w:val="0"/>
    <w:pPr>
      <w:framePr w:wrap="auto" w:vAnchor="margin" w:hAnchor="text" w:yAlign="top"/>
      <w:spacing w:beforeLines="30" w:line="360" w:lineRule="exact"/>
    </w:pPr>
    <w:rPr>
      <w:rFonts w:cs="宋体"/>
      <w:color w:val="000000"/>
      <w:kern w:val="0"/>
      <w:szCs w:val="20"/>
    </w:rPr>
  </w:style>
  <w:style w:type="paragraph" w:customStyle="1" w:styleId="162">
    <w:name w:val="真·正文"/>
    <w:basedOn w:val="1"/>
    <w:next w:val="163"/>
    <w:qFormat/>
    <w:uiPriority w:val="0"/>
    <w:pPr>
      <w:ind w:firstLine="200"/>
    </w:pPr>
    <w:rPr>
      <w:rFonts w:ascii="Calibri"/>
    </w:rPr>
  </w:style>
  <w:style w:type="paragraph" w:customStyle="1" w:styleId="163">
    <w:name w:val="1表格"/>
    <w:basedOn w:val="1"/>
    <w:next w:val="19"/>
    <w:qFormat/>
    <w:uiPriority w:val="0"/>
  </w:style>
  <w:style w:type="paragraph" w:customStyle="1" w:styleId="164">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165">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table" w:customStyle="1" w:styleId="166">
    <w:name w:val="Table Grid_0"/>
    <w:basedOn w:val="41"/>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7">
    <w:name w:val="10"/>
    <w:qFormat/>
    <w:uiPriority w:val="0"/>
    <w:rPr>
      <w:rFonts w:hint="eastAsia" w:ascii="仿宋" w:hAnsi="仿宋" w:eastAsia="仿宋"/>
    </w:rPr>
  </w:style>
  <w:style w:type="paragraph" w:customStyle="1" w:styleId="168">
    <w:name w:val="zw1"/>
    <w:basedOn w:val="1"/>
    <w:qFormat/>
    <w:uiPriority w:val="0"/>
    <w:pPr>
      <w:tabs>
        <w:tab w:val="left" w:pos="0"/>
      </w:tabs>
      <w:spacing w:line="440" w:lineRule="exact"/>
      <w:ind w:firstLine="200" w:firstLineChars="200"/>
    </w:pPr>
    <w:rPr>
      <w:sz w:val="24"/>
    </w:rPr>
  </w:style>
  <w:style w:type="paragraph" w:customStyle="1" w:styleId="169">
    <w:name w:val="样式1"/>
    <w:basedOn w:val="1"/>
    <w:qFormat/>
    <w:uiPriority w:val="0"/>
    <w:pPr>
      <w:spacing w:line="480" w:lineRule="exact"/>
    </w:pPr>
    <w:rPr>
      <w:b/>
    </w:rPr>
  </w:style>
  <w:style w:type="character" w:customStyle="1" w:styleId="170">
    <w:name w:val="15"/>
    <w:qFormat/>
    <w:uiPriority w:val="0"/>
    <w:rPr>
      <w:rFonts w:hint="default" w:ascii="Times New Roman" w:hAnsi="Times New Roman" w:eastAsia="宋体" w:cs="Times New Roman"/>
      <w:sz w:val="21"/>
      <w:szCs w:val="21"/>
    </w:rPr>
  </w:style>
  <w:style w:type="character" w:customStyle="1" w:styleId="171">
    <w:name w:val="font31"/>
    <w:basedOn w:val="43"/>
    <w:qFormat/>
    <w:uiPriority w:val="0"/>
    <w:rPr>
      <w:rFonts w:ascii="宋体" w:hAnsi="宋体" w:eastAsia="宋体" w:cs="宋体"/>
      <w:b/>
      <w:bCs/>
      <w:color w:val="000000"/>
      <w:sz w:val="26"/>
      <w:szCs w:val="26"/>
      <w:u w:val="none"/>
    </w:rPr>
  </w:style>
  <w:style w:type="character" w:customStyle="1" w:styleId="172">
    <w:name w:val="font41"/>
    <w:basedOn w:val="43"/>
    <w:qFormat/>
    <w:uiPriority w:val="0"/>
    <w:rPr>
      <w:rFonts w:ascii="宋体" w:hAnsi="宋体" w:eastAsia="宋体" w:cs="宋体"/>
      <w:color w:val="000000"/>
      <w:sz w:val="26"/>
      <w:szCs w:val="26"/>
      <w:u w:val="none"/>
    </w:rPr>
  </w:style>
  <w:style w:type="character" w:customStyle="1" w:styleId="173">
    <w:name w:val="font51"/>
    <w:basedOn w:val="43"/>
    <w:qFormat/>
    <w:uiPriority w:val="0"/>
    <w:rPr>
      <w:rFonts w:ascii="Calibri" w:hAnsi="Calibri" w:cs="Calibri"/>
      <w:color w:val="000000"/>
      <w:sz w:val="28"/>
      <w:szCs w:val="28"/>
      <w:u w:val="none"/>
    </w:rPr>
  </w:style>
  <w:style w:type="character" w:customStyle="1" w:styleId="174">
    <w:name w:val="font61"/>
    <w:basedOn w:val="43"/>
    <w:qFormat/>
    <w:uiPriority w:val="0"/>
    <w:rPr>
      <w:rFonts w:hint="default" w:ascii="Calibri" w:hAnsi="Calibri" w:cs="Calibri"/>
      <w:color w:val="000000"/>
      <w:sz w:val="26"/>
      <w:szCs w:val="26"/>
      <w:u w:val="none"/>
    </w:rPr>
  </w:style>
  <w:style w:type="character" w:customStyle="1" w:styleId="175">
    <w:name w:val="font11"/>
    <w:basedOn w:val="43"/>
    <w:qFormat/>
    <w:uiPriority w:val="0"/>
    <w:rPr>
      <w:rFonts w:ascii="宋体" w:hAnsi="宋体" w:eastAsia="宋体" w:cs="宋体"/>
      <w:b/>
      <w:bCs/>
      <w:color w:val="141815"/>
      <w:sz w:val="28"/>
      <w:szCs w:val="28"/>
      <w:u w:val="none"/>
    </w:rPr>
  </w:style>
  <w:style w:type="character" w:customStyle="1" w:styleId="176">
    <w:name w:val="font22"/>
    <w:basedOn w:val="43"/>
    <w:qFormat/>
    <w:uiPriority w:val="0"/>
    <w:rPr>
      <w:rFonts w:ascii="宋体" w:hAnsi="宋体" w:eastAsia="宋体" w:cs="宋体"/>
      <w:b/>
      <w:bCs/>
      <w:color w:val="131613"/>
      <w:sz w:val="28"/>
      <w:szCs w:val="28"/>
      <w:u w:val="none"/>
    </w:rPr>
  </w:style>
  <w:style w:type="character" w:customStyle="1" w:styleId="177">
    <w:name w:val="font91"/>
    <w:basedOn w:val="43"/>
    <w:qFormat/>
    <w:uiPriority w:val="0"/>
    <w:rPr>
      <w:rFonts w:ascii="宋体" w:hAnsi="宋体" w:eastAsia="宋体" w:cs="宋体"/>
      <w:b/>
      <w:bCs/>
      <w:color w:val="0C0E0C"/>
      <w:sz w:val="28"/>
      <w:szCs w:val="28"/>
      <w:u w:val="none"/>
    </w:rPr>
  </w:style>
  <w:style w:type="character" w:customStyle="1" w:styleId="178">
    <w:name w:val="font32"/>
    <w:basedOn w:val="43"/>
    <w:qFormat/>
    <w:uiPriority w:val="0"/>
    <w:rPr>
      <w:rFonts w:ascii="宋体" w:hAnsi="宋体" w:eastAsia="宋体" w:cs="宋体"/>
      <w:b/>
      <w:bCs/>
      <w:color w:val="111411"/>
      <w:sz w:val="28"/>
      <w:szCs w:val="28"/>
      <w:u w:val="none"/>
    </w:rPr>
  </w:style>
  <w:style w:type="character" w:customStyle="1" w:styleId="179">
    <w:name w:val="font101"/>
    <w:basedOn w:val="43"/>
    <w:qFormat/>
    <w:uiPriority w:val="0"/>
    <w:rPr>
      <w:rFonts w:ascii="宋体" w:hAnsi="宋体" w:eastAsia="宋体" w:cs="宋体"/>
      <w:color w:val="000000"/>
      <w:sz w:val="28"/>
      <w:szCs w:val="28"/>
      <w:u w:val="none"/>
    </w:rPr>
  </w:style>
  <w:style w:type="character" w:customStyle="1" w:styleId="180">
    <w:name w:val="font112"/>
    <w:basedOn w:val="43"/>
    <w:qFormat/>
    <w:uiPriority w:val="0"/>
    <w:rPr>
      <w:rFonts w:ascii="宋体" w:hAnsi="宋体" w:eastAsia="宋体" w:cs="宋体"/>
      <w:b/>
      <w:bCs/>
      <w:color w:val="4C5955"/>
      <w:sz w:val="28"/>
      <w:szCs w:val="28"/>
      <w:u w:val="none"/>
    </w:rPr>
  </w:style>
  <w:style w:type="character" w:customStyle="1" w:styleId="181">
    <w:name w:val="font121"/>
    <w:basedOn w:val="43"/>
    <w:qFormat/>
    <w:uiPriority w:val="0"/>
    <w:rPr>
      <w:rFonts w:ascii="宋体" w:hAnsi="宋体" w:eastAsia="宋体" w:cs="宋体"/>
      <w:color w:val="4C5955"/>
      <w:sz w:val="28"/>
      <w:szCs w:val="28"/>
      <w:u w:val="none"/>
    </w:rPr>
  </w:style>
  <w:style w:type="character" w:customStyle="1" w:styleId="182">
    <w:name w:val="font131"/>
    <w:basedOn w:val="43"/>
    <w:qFormat/>
    <w:uiPriority w:val="0"/>
    <w:rPr>
      <w:rFonts w:ascii="宋体" w:hAnsi="宋体" w:eastAsia="宋体" w:cs="宋体"/>
      <w:b/>
      <w:bCs/>
      <w:color w:val="4D5751"/>
      <w:sz w:val="28"/>
      <w:szCs w:val="28"/>
      <w:u w:val="none"/>
    </w:rPr>
  </w:style>
  <w:style w:type="character" w:customStyle="1" w:styleId="183">
    <w:name w:val="font141"/>
    <w:basedOn w:val="43"/>
    <w:qFormat/>
    <w:uiPriority w:val="0"/>
    <w:rPr>
      <w:rFonts w:ascii="宋体" w:hAnsi="宋体" w:eastAsia="宋体" w:cs="宋体"/>
      <w:b/>
      <w:bCs/>
      <w:color w:val="4C534A"/>
      <w:sz w:val="28"/>
      <w:szCs w:val="28"/>
      <w:u w:val="none"/>
    </w:rPr>
  </w:style>
  <w:style w:type="character" w:customStyle="1" w:styleId="184">
    <w:name w:val="font151"/>
    <w:basedOn w:val="43"/>
    <w:qFormat/>
    <w:uiPriority w:val="0"/>
    <w:rPr>
      <w:rFonts w:ascii="宋体" w:hAnsi="宋体" w:eastAsia="宋体" w:cs="宋体"/>
      <w:color w:val="4C534A"/>
      <w:sz w:val="28"/>
      <w:szCs w:val="28"/>
      <w:u w:val="none"/>
    </w:rPr>
  </w:style>
  <w:style w:type="character" w:customStyle="1" w:styleId="185">
    <w:name w:val="font161"/>
    <w:basedOn w:val="43"/>
    <w:qFormat/>
    <w:uiPriority w:val="0"/>
    <w:rPr>
      <w:rFonts w:ascii="宋体" w:hAnsi="宋体" w:eastAsia="宋体" w:cs="宋体"/>
      <w:b/>
      <w:bCs/>
      <w:color w:val="4D564D"/>
      <w:sz w:val="28"/>
      <w:szCs w:val="28"/>
      <w:u w:val="none"/>
    </w:rPr>
  </w:style>
  <w:style w:type="character" w:customStyle="1" w:styleId="186">
    <w:name w:val="font171"/>
    <w:basedOn w:val="43"/>
    <w:qFormat/>
    <w:uiPriority w:val="0"/>
    <w:rPr>
      <w:rFonts w:ascii="宋体" w:hAnsi="宋体" w:eastAsia="宋体" w:cs="宋体"/>
      <w:color w:val="4D564D"/>
      <w:sz w:val="28"/>
      <w:szCs w:val="28"/>
      <w:u w:val="none"/>
    </w:rPr>
  </w:style>
  <w:style w:type="character" w:customStyle="1" w:styleId="187">
    <w:name w:val="font181"/>
    <w:basedOn w:val="43"/>
    <w:qFormat/>
    <w:uiPriority w:val="0"/>
    <w:rPr>
      <w:rFonts w:ascii="宋体" w:hAnsi="宋体" w:eastAsia="宋体" w:cs="宋体"/>
      <w:color w:val="5F6F66"/>
      <w:sz w:val="28"/>
      <w:szCs w:val="28"/>
      <w:u w:val="none"/>
    </w:rPr>
  </w:style>
  <w:style w:type="character" w:customStyle="1" w:styleId="188">
    <w:name w:val="font191"/>
    <w:basedOn w:val="43"/>
    <w:qFormat/>
    <w:uiPriority w:val="0"/>
    <w:rPr>
      <w:rFonts w:ascii="宋体" w:hAnsi="宋体" w:eastAsia="宋体" w:cs="宋体"/>
      <w:b/>
      <w:bCs/>
      <w:color w:val="4D5B55"/>
      <w:sz w:val="28"/>
      <w:szCs w:val="28"/>
      <w:u w:val="none"/>
    </w:rPr>
  </w:style>
  <w:style w:type="character" w:customStyle="1" w:styleId="189">
    <w:name w:val="font201"/>
    <w:basedOn w:val="43"/>
    <w:qFormat/>
    <w:uiPriority w:val="0"/>
    <w:rPr>
      <w:rFonts w:ascii="宋体" w:hAnsi="宋体" w:eastAsia="宋体" w:cs="宋体"/>
      <w:b/>
      <w:bCs/>
      <w:color w:val="565D53"/>
      <w:sz w:val="28"/>
      <w:szCs w:val="28"/>
      <w:u w:val="none"/>
    </w:rPr>
  </w:style>
  <w:style w:type="character" w:customStyle="1" w:styleId="190">
    <w:name w:val="font211"/>
    <w:basedOn w:val="43"/>
    <w:qFormat/>
    <w:uiPriority w:val="0"/>
    <w:rPr>
      <w:rFonts w:ascii="宋体" w:hAnsi="宋体" w:eastAsia="宋体" w:cs="宋体"/>
      <w:color w:val="565D53"/>
      <w:sz w:val="28"/>
      <w:szCs w:val="28"/>
      <w:u w:val="none"/>
    </w:rPr>
  </w:style>
  <w:style w:type="character" w:customStyle="1" w:styleId="191">
    <w:name w:val="font222"/>
    <w:basedOn w:val="43"/>
    <w:qFormat/>
    <w:uiPriority w:val="0"/>
    <w:rPr>
      <w:rFonts w:ascii="宋体" w:hAnsi="宋体" w:eastAsia="宋体" w:cs="宋体"/>
      <w:b/>
      <w:bCs/>
      <w:color w:val="474F4B"/>
      <w:sz w:val="28"/>
      <w:szCs w:val="28"/>
      <w:u w:val="none"/>
    </w:rPr>
  </w:style>
  <w:style w:type="character" w:customStyle="1" w:styleId="192">
    <w:name w:val="font231"/>
    <w:basedOn w:val="43"/>
    <w:qFormat/>
    <w:uiPriority w:val="0"/>
    <w:rPr>
      <w:rFonts w:ascii="宋体" w:hAnsi="宋体" w:eastAsia="宋体" w:cs="宋体"/>
      <w:color w:val="474F4B"/>
      <w:sz w:val="28"/>
      <w:szCs w:val="28"/>
      <w:u w:val="none"/>
    </w:rPr>
  </w:style>
  <w:style w:type="character" w:customStyle="1" w:styleId="193">
    <w:name w:val="font241"/>
    <w:basedOn w:val="43"/>
    <w:qFormat/>
    <w:uiPriority w:val="0"/>
    <w:rPr>
      <w:rFonts w:ascii="宋体" w:hAnsi="宋体" w:eastAsia="宋体" w:cs="宋体"/>
      <w:b/>
      <w:bCs/>
      <w:color w:val="596965"/>
      <w:sz w:val="28"/>
      <w:szCs w:val="28"/>
      <w:u w:val="none"/>
    </w:rPr>
  </w:style>
  <w:style w:type="character" w:customStyle="1" w:styleId="194">
    <w:name w:val="font251"/>
    <w:basedOn w:val="43"/>
    <w:qFormat/>
    <w:uiPriority w:val="0"/>
    <w:rPr>
      <w:rFonts w:ascii="宋体" w:hAnsi="宋体" w:eastAsia="宋体" w:cs="宋体"/>
      <w:color w:val="596965"/>
      <w:sz w:val="28"/>
      <w:szCs w:val="28"/>
      <w:u w:val="none"/>
    </w:rPr>
  </w:style>
  <w:style w:type="character" w:customStyle="1" w:styleId="195">
    <w:name w:val="font261"/>
    <w:basedOn w:val="43"/>
    <w:qFormat/>
    <w:uiPriority w:val="0"/>
    <w:rPr>
      <w:rFonts w:ascii="宋体" w:hAnsi="宋体" w:eastAsia="宋体" w:cs="宋体"/>
      <w:b/>
      <w:bCs/>
      <w:color w:val="1B211C"/>
      <w:sz w:val="28"/>
      <w:szCs w:val="28"/>
      <w:u w:val="none"/>
    </w:rPr>
  </w:style>
  <w:style w:type="character" w:customStyle="1" w:styleId="196">
    <w:name w:val="font271"/>
    <w:basedOn w:val="43"/>
    <w:qFormat/>
    <w:uiPriority w:val="0"/>
    <w:rPr>
      <w:rFonts w:ascii="宋体" w:hAnsi="宋体" w:eastAsia="宋体" w:cs="宋体"/>
      <w:color w:val="1B211C"/>
      <w:sz w:val="28"/>
      <w:szCs w:val="28"/>
      <w:u w:val="none"/>
    </w:rPr>
  </w:style>
  <w:style w:type="character" w:customStyle="1" w:styleId="197">
    <w:name w:val="font281"/>
    <w:basedOn w:val="43"/>
    <w:qFormat/>
    <w:uiPriority w:val="0"/>
    <w:rPr>
      <w:rFonts w:ascii="宋体" w:hAnsi="宋体" w:eastAsia="宋体" w:cs="宋体"/>
      <w:color w:val="5C6B5F"/>
      <w:sz w:val="28"/>
      <w:szCs w:val="28"/>
      <w:u w:val="none"/>
    </w:rPr>
  </w:style>
  <w:style w:type="character" w:customStyle="1" w:styleId="198">
    <w:name w:val="font291"/>
    <w:basedOn w:val="43"/>
    <w:qFormat/>
    <w:uiPriority w:val="0"/>
    <w:rPr>
      <w:rFonts w:ascii="宋体" w:hAnsi="宋体" w:eastAsia="宋体" w:cs="宋体"/>
      <w:b/>
      <w:bCs/>
      <w:color w:val="161A16"/>
      <w:sz w:val="28"/>
      <w:szCs w:val="28"/>
      <w:u w:val="none"/>
    </w:rPr>
  </w:style>
  <w:style w:type="character" w:customStyle="1" w:styleId="199">
    <w:name w:val="font301"/>
    <w:basedOn w:val="43"/>
    <w:qFormat/>
    <w:uiPriority w:val="0"/>
    <w:rPr>
      <w:rFonts w:ascii="宋体" w:hAnsi="宋体" w:eastAsia="宋体" w:cs="宋体"/>
      <w:color w:val="161A16"/>
      <w:sz w:val="28"/>
      <w:szCs w:val="28"/>
      <w:u w:val="none"/>
    </w:rPr>
  </w:style>
  <w:style w:type="character" w:customStyle="1" w:styleId="200">
    <w:name w:val="font311"/>
    <w:basedOn w:val="43"/>
    <w:qFormat/>
    <w:uiPriority w:val="0"/>
    <w:rPr>
      <w:rFonts w:ascii="宋体" w:hAnsi="宋体" w:eastAsia="宋体" w:cs="宋体"/>
      <w:color w:val="31332F"/>
      <w:sz w:val="28"/>
      <w:szCs w:val="28"/>
      <w:u w:val="none"/>
    </w:rPr>
  </w:style>
  <w:style w:type="character" w:customStyle="1" w:styleId="201">
    <w:name w:val="font322"/>
    <w:basedOn w:val="43"/>
    <w:qFormat/>
    <w:uiPriority w:val="0"/>
    <w:rPr>
      <w:rFonts w:ascii="宋体" w:hAnsi="宋体" w:eastAsia="宋体" w:cs="宋体"/>
      <w:color w:val="637568"/>
      <w:sz w:val="28"/>
      <w:szCs w:val="28"/>
      <w:u w:val="none"/>
    </w:rPr>
  </w:style>
  <w:style w:type="character" w:customStyle="1" w:styleId="202">
    <w:name w:val="font331"/>
    <w:basedOn w:val="43"/>
    <w:qFormat/>
    <w:uiPriority w:val="0"/>
    <w:rPr>
      <w:rFonts w:ascii="宋体" w:hAnsi="宋体" w:eastAsia="宋体" w:cs="宋体"/>
      <w:color w:val="636D62"/>
      <w:sz w:val="28"/>
      <w:szCs w:val="28"/>
      <w:u w:val="none"/>
    </w:rPr>
  </w:style>
  <w:style w:type="character" w:customStyle="1" w:styleId="203">
    <w:name w:val="font341"/>
    <w:basedOn w:val="43"/>
    <w:qFormat/>
    <w:uiPriority w:val="0"/>
    <w:rPr>
      <w:rFonts w:ascii="宋体" w:hAnsi="宋体" w:eastAsia="宋体" w:cs="宋体"/>
      <w:color w:val="4B554D"/>
      <w:sz w:val="28"/>
      <w:szCs w:val="28"/>
      <w:u w:val="none"/>
    </w:rPr>
  </w:style>
  <w:style w:type="character" w:customStyle="1" w:styleId="204">
    <w:name w:val="font351"/>
    <w:basedOn w:val="43"/>
    <w:qFormat/>
    <w:uiPriority w:val="0"/>
    <w:rPr>
      <w:rFonts w:ascii="宋体" w:hAnsi="宋体" w:eastAsia="宋体" w:cs="宋体"/>
      <w:color w:val="252121"/>
      <w:sz w:val="28"/>
      <w:szCs w:val="28"/>
      <w:u w:val="none"/>
    </w:rPr>
  </w:style>
  <w:style w:type="character" w:customStyle="1" w:styleId="205">
    <w:name w:val="font361"/>
    <w:basedOn w:val="43"/>
    <w:qFormat/>
    <w:uiPriority w:val="0"/>
    <w:rPr>
      <w:rFonts w:ascii="宋体" w:hAnsi="宋体" w:eastAsia="宋体" w:cs="宋体"/>
      <w:color w:val="333233"/>
      <w:sz w:val="28"/>
      <w:szCs w:val="28"/>
      <w:u w:val="none"/>
    </w:rPr>
  </w:style>
  <w:style w:type="character" w:customStyle="1" w:styleId="206">
    <w:name w:val="font371"/>
    <w:basedOn w:val="43"/>
    <w:qFormat/>
    <w:uiPriority w:val="0"/>
    <w:rPr>
      <w:rFonts w:ascii="宋体" w:hAnsi="宋体" w:eastAsia="宋体" w:cs="宋体"/>
      <w:color w:val="697B6E"/>
      <w:sz w:val="28"/>
      <w:szCs w:val="28"/>
      <w:u w:val="none"/>
    </w:rPr>
  </w:style>
  <w:style w:type="character" w:customStyle="1" w:styleId="207">
    <w:name w:val="font381"/>
    <w:basedOn w:val="43"/>
    <w:qFormat/>
    <w:uiPriority w:val="0"/>
    <w:rPr>
      <w:rFonts w:ascii="宋体" w:hAnsi="宋体" w:eastAsia="宋体" w:cs="宋体"/>
      <w:b/>
      <w:bCs/>
      <w:color w:val="181D19"/>
      <w:sz w:val="28"/>
      <w:szCs w:val="28"/>
      <w:u w:val="none"/>
    </w:rPr>
  </w:style>
  <w:style w:type="character" w:customStyle="1" w:styleId="208">
    <w:name w:val="font391"/>
    <w:basedOn w:val="43"/>
    <w:qFormat/>
    <w:uiPriority w:val="0"/>
    <w:rPr>
      <w:rFonts w:ascii="宋体" w:hAnsi="宋体" w:eastAsia="宋体" w:cs="宋体"/>
      <w:color w:val="181D19"/>
      <w:sz w:val="28"/>
      <w:szCs w:val="28"/>
      <w:u w:val="none"/>
    </w:rPr>
  </w:style>
  <w:style w:type="character" w:customStyle="1" w:styleId="209">
    <w:name w:val="font401"/>
    <w:basedOn w:val="43"/>
    <w:qFormat/>
    <w:uiPriority w:val="0"/>
    <w:rPr>
      <w:rFonts w:ascii="宋体" w:hAnsi="宋体" w:eastAsia="宋体" w:cs="宋体"/>
      <w:color w:val="5F7167"/>
      <w:sz w:val="28"/>
      <w:szCs w:val="28"/>
      <w:u w:val="none"/>
    </w:rPr>
  </w:style>
  <w:style w:type="character" w:customStyle="1" w:styleId="210">
    <w:name w:val="font412"/>
    <w:basedOn w:val="43"/>
    <w:qFormat/>
    <w:uiPriority w:val="0"/>
    <w:rPr>
      <w:rFonts w:ascii="宋体" w:hAnsi="宋体" w:eastAsia="宋体" w:cs="宋体"/>
      <w:color w:val="48534B"/>
      <w:sz w:val="28"/>
      <w:szCs w:val="28"/>
      <w:u w:val="none"/>
    </w:rPr>
  </w:style>
  <w:style w:type="character" w:customStyle="1" w:styleId="211">
    <w:name w:val="font421"/>
    <w:basedOn w:val="43"/>
    <w:qFormat/>
    <w:uiPriority w:val="0"/>
    <w:rPr>
      <w:rFonts w:ascii="宋体" w:hAnsi="宋体" w:eastAsia="宋体" w:cs="宋体"/>
      <w:b/>
      <w:bCs/>
      <w:color w:val="56635B"/>
      <w:sz w:val="28"/>
      <w:szCs w:val="28"/>
      <w:u w:val="none"/>
    </w:rPr>
  </w:style>
  <w:style w:type="character" w:customStyle="1" w:styleId="212">
    <w:name w:val="font431"/>
    <w:basedOn w:val="43"/>
    <w:qFormat/>
    <w:uiPriority w:val="0"/>
    <w:rPr>
      <w:rFonts w:ascii="宋体" w:hAnsi="宋体" w:eastAsia="宋体" w:cs="宋体"/>
      <w:color w:val="56635B"/>
      <w:sz w:val="28"/>
      <w:szCs w:val="28"/>
      <w:u w:val="none"/>
    </w:rPr>
  </w:style>
  <w:style w:type="character" w:customStyle="1" w:styleId="213">
    <w:name w:val="font441"/>
    <w:basedOn w:val="43"/>
    <w:qFormat/>
    <w:uiPriority w:val="0"/>
    <w:rPr>
      <w:rFonts w:ascii="宋体" w:hAnsi="宋体" w:eastAsia="宋体" w:cs="宋体"/>
      <w:b/>
      <w:bCs/>
      <w:color w:val="111412"/>
      <w:sz w:val="28"/>
      <w:szCs w:val="28"/>
      <w:u w:val="none"/>
    </w:rPr>
  </w:style>
  <w:style w:type="character" w:customStyle="1" w:styleId="214">
    <w:name w:val="font451"/>
    <w:basedOn w:val="43"/>
    <w:qFormat/>
    <w:uiPriority w:val="0"/>
    <w:rPr>
      <w:rFonts w:ascii="宋体" w:hAnsi="宋体" w:eastAsia="宋体" w:cs="宋体"/>
      <w:color w:val="111412"/>
      <w:sz w:val="28"/>
      <w:szCs w:val="28"/>
      <w:u w:val="none"/>
    </w:rPr>
  </w:style>
  <w:style w:type="character" w:customStyle="1" w:styleId="215">
    <w:name w:val="font461"/>
    <w:basedOn w:val="43"/>
    <w:qFormat/>
    <w:uiPriority w:val="0"/>
    <w:rPr>
      <w:rFonts w:ascii="宋体" w:hAnsi="宋体" w:eastAsia="宋体" w:cs="宋体"/>
      <w:color w:val="636C61"/>
      <w:sz w:val="28"/>
      <w:szCs w:val="28"/>
      <w:u w:val="none"/>
    </w:rPr>
  </w:style>
  <w:style w:type="character" w:customStyle="1" w:styleId="216">
    <w:name w:val="font471"/>
    <w:basedOn w:val="43"/>
    <w:qFormat/>
    <w:uiPriority w:val="0"/>
    <w:rPr>
      <w:rFonts w:ascii="宋体" w:hAnsi="宋体" w:eastAsia="宋体" w:cs="宋体"/>
      <w:b/>
      <w:bCs/>
      <w:color w:val="0A0C0A"/>
      <w:sz w:val="28"/>
      <w:szCs w:val="28"/>
      <w:u w:val="none"/>
    </w:rPr>
  </w:style>
  <w:style w:type="character" w:customStyle="1" w:styleId="217">
    <w:name w:val="font481"/>
    <w:basedOn w:val="43"/>
    <w:qFormat/>
    <w:uiPriority w:val="0"/>
    <w:rPr>
      <w:rFonts w:ascii="宋体" w:hAnsi="宋体" w:eastAsia="宋体" w:cs="宋体"/>
      <w:color w:val="0A0C0A"/>
      <w:sz w:val="28"/>
      <w:szCs w:val="28"/>
      <w:u w:val="none"/>
    </w:rPr>
  </w:style>
  <w:style w:type="character" w:customStyle="1" w:styleId="218">
    <w:name w:val="font71"/>
    <w:basedOn w:val="43"/>
    <w:qFormat/>
    <w:uiPriority w:val="0"/>
    <w:rPr>
      <w:rFonts w:ascii="宋体" w:hAnsi="宋体" w:eastAsia="宋体" w:cs="宋体"/>
      <w:color w:val="576459"/>
      <w:sz w:val="28"/>
      <w:szCs w:val="28"/>
      <w:u w:val="none"/>
    </w:rPr>
  </w:style>
  <w:style w:type="character" w:customStyle="1" w:styleId="219">
    <w:name w:val="font491"/>
    <w:basedOn w:val="43"/>
    <w:qFormat/>
    <w:uiPriority w:val="0"/>
    <w:rPr>
      <w:rFonts w:ascii="宋体" w:hAnsi="宋体" w:eastAsia="宋体" w:cs="宋体"/>
      <w:b/>
      <w:bCs/>
      <w:color w:val="4D5955"/>
      <w:sz w:val="28"/>
      <w:szCs w:val="28"/>
      <w:u w:val="none"/>
    </w:rPr>
  </w:style>
  <w:style w:type="character" w:customStyle="1" w:styleId="220">
    <w:name w:val="font81"/>
    <w:basedOn w:val="43"/>
    <w:qFormat/>
    <w:uiPriority w:val="0"/>
    <w:rPr>
      <w:rFonts w:ascii="宋体" w:hAnsi="宋体" w:eastAsia="宋体" w:cs="宋体"/>
      <w:color w:val="4D5955"/>
      <w:sz w:val="28"/>
      <w:szCs w:val="28"/>
      <w:u w:val="none"/>
    </w:rPr>
  </w:style>
  <w:style w:type="character" w:customStyle="1" w:styleId="221">
    <w:name w:val="font501"/>
    <w:basedOn w:val="43"/>
    <w:qFormat/>
    <w:uiPriority w:val="0"/>
    <w:rPr>
      <w:rFonts w:ascii="宋体" w:hAnsi="宋体" w:eastAsia="宋体" w:cs="宋体"/>
      <w:b/>
      <w:bCs/>
      <w:color w:val="181C18"/>
      <w:sz w:val="28"/>
      <w:szCs w:val="28"/>
      <w:u w:val="none"/>
    </w:rPr>
  </w:style>
  <w:style w:type="character" w:customStyle="1" w:styleId="222">
    <w:name w:val="font512"/>
    <w:basedOn w:val="43"/>
    <w:qFormat/>
    <w:uiPriority w:val="0"/>
    <w:rPr>
      <w:rFonts w:ascii="宋体" w:hAnsi="宋体" w:eastAsia="宋体" w:cs="宋体"/>
      <w:color w:val="181C18"/>
      <w:sz w:val="28"/>
      <w:szCs w:val="28"/>
      <w:u w:val="none"/>
    </w:rPr>
  </w:style>
  <w:style w:type="character" w:customStyle="1" w:styleId="223">
    <w:name w:val="font521"/>
    <w:basedOn w:val="43"/>
    <w:qFormat/>
    <w:uiPriority w:val="0"/>
    <w:rPr>
      <w:rFonts w:ascii="宋体" w:hAnsi="宋体" w:eastAsia="宋体" w:cs="宋体"/>
      <w:b/>
      <w:bCs/>
      <w:color w:val="1C221D"/>
      <w:sz w:val="28"/>
      <w:szCs w:val="28"/>
      <w:u w:val="none"/>
    </w:rPr>
  </w:style>
  <w:style w:type="character" w:customStyle="1" w:styleId="224">
    <w:name w:val="font531"/>
    <w:basedOn w:val="43"/>
    <w:qFormat/>
    <w:uiPriority w:val="0"/>
    <w:rPr>
      <w:rFonts w:ascii="宋体" w:hAnsi="宋体" w:eastAsia="宋体" w:cs="宋体"/>
      <w:color w:val="1C221D"/>
      <w:sz w:val="28"/>
      <w:szCs w:val="28"/>
      <w:u w:val="none"/>
    </w:rPr>
  </w:style>
  <w:style w:type="character" w:customStyle="1" w:styleId="225">
    <w:name w:val="font541"/>
    <w:basedOn w:val="43"/>
    <w:qFormat/>
    <w:uiPriority w:val="0"/>
    <w:rPr>
      <w:rFonts w:ascii="宋体" w:hAnsi="宋体" w:eastAsia="宋体" w:cs="宋体"/>
      <w:color w:val="3D3F41"/>
      <w:sz w:val="28"/>
      <w:szCs w:val="28"/>
      <w:u w:val="none"/>
    </w:rPr>
  </w:style>
  <w:style w:type="character" w:customStyle="1" w:styleId="226">
    <w:name w:val="font13"/>
    <w:basedOn w:val="43"/>
    <w:qFormat/>
    <w:uiPriority w:val="0"/>
    <w:rPr>
      <w:rFonts w:ascii="宋体" w:hAnsi="宋体" w:eastAsia="宋体" w:cs="宋体"/>
      <w:b/>
      <w:bCs/>
      <w:color w:val="141714"/>
      <w:sz w:val="28"/>
      <w:szCs w:val="28"/>
      <w:u w:val="none"/>
    </w:rPr>
  </w:style>
  <w:style w:type="character" w:customStyle="1" w:styleId="227">
    <w:name w:val="font21"/>
    <w:basedOn w:val="43"/>
    <w:qFormat/>
    <w:uiPriority w:val="0"/>
    <w:rPr>
      <w:rFonts w:ascii="宋体" w:hAnsi="宋体" w:eastAsia="宋体" w:cs="宋体"/>
      <w:b/>
      <w:bCs/>
      <w:color w:val="1E231E"/>
      <w:sz w:val="28"/>
      <w:szCs w:val="28"/>
      <w:u w:val="none"/>
    </w:rPr>
  </w:style>
  <w:style w:type="character" w:customStyle="1" w:styleId="228">
    <w:name w:val="font33"/>
    <w:basedOn w:val="43"/>
    <w:qFormat/>
    <w:uiPriority w:val="0"/>
    <w:rPr>
      <w:rFonts w:ascii="宋体" w:hAnsi="宋体" w:eastAsia="宋体" w:cs="宋体"/>
      <w:b/>
      <w:bCs/>
      <w:color w:val="0E110E"/>
      <w:sz w:val="28"/>
      <w:szCs w:val="28"/>
      <w:u w:val="none"/>
    </w:rPr>
  </w:style>
  <w:style w:type="character" w:customStyle="1" w:styleId="229">
    <w:name w:val="font111"/>
    <w:basedOn w:val="43"/>
    <w:qFormat/>
    <w:uiPriority w:val="0"/>
    <w:rPr>
      <w:rFonts w:ascii="宋体" w:hAnsi="宋体" w:eastAsia="宋体" w:cs="宋体"/>
      <w:color w:val="565000"/>
      <w:sz w:val="28"/>
      <w:szCs w:val="28"/>
      <w:u w:val="none"/>
    </w:rPr>
  </w:style>
  <w:style w:type="character" w:customStyle="1" w:styleId="230">
    <w:name w:val="font132"/>
    <w:basedOn w:val="43"/>
    <w:qFormat/>
    <w:uiPriority w:val="0"/>
    <w:rPr>
      <w:rFonts w:ascii="宋体" w:hAnsi="宋体" w:eastAsia="宋体" w:cs="宋体"/>
      <w:b/>
      <w:bCs/>
      <w:color w:val="151A16"/>
      <w:sz w:val="28"/>
      <w:szCs w:val="28"/>
      <w:u w:val="none"/>
    </w:rPr>
  </w:style>
  <w:style w:type="character" w:customStyle="1" w:styleId="231">
    <w:name w:val="font212"/>
    <w:basedOn w:val="43"/>
    <w:qFormat/>
    <w:uiPriority w:val="0"/>
    <w:rPr>
      <w:rFonts w:ascii="宋体" w:hAnsi="宋体" w:eastAsia="宋体" w:cs="宋体"/>
      <w:color w:val="566259"/>
      <w:sz w:val="28"/>
      <w:szCs w:val="28"/>
      <w:u w:val="none"/>
    </w:rPr>
  </w:style>
  <w:style w:type="character" w:customStyle="1" w:styleId="232">
    <w:name w:val="font221"/>
    <w:basedOn w:val="43"/>
    <w:qFormat/>
    <w:uiPriority w:val="0"/>
    <w:rPr>
      <w:rFonts w:ascii="宋体" w:hAnsi="宋体" w:eastAsia="宋体" w:cs="宋体"/>
      <w:b/>
      <w:bCs/>
      <w:color w:val="111411"/>
      <w:sz w:val="28"/>
      <w:szCs w:val="28"/>
      <w:u w:val="none"/>
    </w:rPr>
  </w:style>
  <w:style w:type="character" w:customStyle="1" w:styleId="233">
    <w:name w:val="font321"/>
    <w:basedOn w:val="43"/>
    <w:qFormat/>
    <w:uiPriority w:val="0"/>
    <w:rPr>
      <w:rFonts w:ascii="宋体" w:hAnsi="宋体" w:eastAsia="宋体" w:cs="宋体"/>
      <w:b/>
      <w:bCs/>
      <w:color w:val="00624E"/>
      <w:sz w:val="28"/>
      <w:szCs w:val="28"/>
      <w:u w:val="none"/>
    </w:rPr>
  </w:style>
  <w:style w:type="character" w:customStyle="1" w:styleId="234">
    <w:name w:val="font332"/>
    <w:basedOn w:val="43"/>
    <w:qFormat/>
    <w:uiPriority w:val="0"/>
    <w:rPr>
      <w:rFonts w:ascii="宋体" w:hAnsi="宋体" w:eastAsia="宋体" w:cs="宋体"/>
      <w:color w:val="00624E"/>
      <w:sz w:val="28"/>
      <w:szCs w:val="28"/>
      <w:u w:val="none"/>
    </w:rPr>
  </w:style>
  <w:style w:type="table" w:customStyle="1" w:styleId="235">
    <w:name w:val="Table Normal"/>
    <w:semiHidden/>
    <w:unhideWhenUsed/>
    <w:qFormat/>
    <w:uiPriority w:val="0"/>
    <w:tblPr>
      <w:tblCellMar>
        <w:top w:w="0" w:type="dxa"/>
        <w:left w:w="0" w:type="dxa"/>
        <w:bottom w:w="0" w:type="dxa"/>
        <w:right w:w="0" w:type="dxa"/>
      </w:tblCellMar>
    </w:tblPr>
  </w:style>
  <w:style w:type="paragraph" w:customStyle="1" w:styleId="236">
    <w:name w:val="Table Text"/>
    <w:basedOn w:val="1"/>
    <w:semiHidden/>
    <w:qFormat/>
    <w:uiPriority w:val="0"/>
    <w:rPr>
      <w:rFonts w:ascii="仿宋" w:hAnsi="仿宋" w:eastAsia="仿宋" w:cs="仿宋"/>
      <w:sz w:val="28"/>
      <w:szCs w:val="28"/>
      <w:lang w:val="en-US" w:eastAsia="en-US" w:bidi="ar-SA"/>
    </w:rPr>
  </w:style>
  <w:style w:type="paragraph" w:customStyle="1" w:styleId="237">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60</Pages>
  <Words>4237</Words>
  <Characters>4683</Characters>
  <Lines>1229</Lines>
  <Paragraphs>346</Paragraphs>
  <TotalTime>5</TotalTime>
  <ScaleCrop>false</ScaleCrop>
  <LinksUpToDate>false</LinksUpToDate>
  <CharactersWithSpaces>4712</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2017-10-31T16:45:00Z</dcterms:created>
  <dc:creator>PC</dc:creator>
  <cp:lastModifiedBy>user</cp:lastModifiedBy>
  <cp:lastPrinted>2025-10-16T15:35:00Z</cp:lastPrinted>
  <dcterms:modified xsi:type="dcterms:W3CDTF">2025-10-28T09:25:23Z</dcterms:modified>
  <cp:revision>191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6BDAF8E56C3F4685A29754546E01907B</vt:lpwstr>
  </property>
  <property fmtid="{D5CDD505-2E9C-101B-9397-08002B2CF9AE}" pid="4" name="KSOTemplateDocerSaveRecord">
    <vt:lpwstr>eyJoZGlkIjoiZWUxNDQ0ZjhiOWE1MjVlZGYzOTZhZWVhYTZiYTQ0MzIiLCJ1c2VySWQiOiIxNDY4NTY5MzY5In0=</vt:lpwstr>
  </property>
</Properties>
</file>